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3BEEC128">
      <w:pPr>
        <w:rPr>
          <w:highlight w:val="none"/>
        </w:rPr>
      </w:pPr>
    </w:p>
    <w:p w14:paraId="0DB3EA46">
      <w:pPr>
        <w:adjustRightInd w:val="0"/>
        <w:snapToGrid w:val="0"/>
        <w:spacing w:line="1200" w:lineRule="exact"/>
        <w:jc w:val="center"/>
        <w:rPr>
          <w:rFonts w:ascii="宋体" w:hAnsi="宋体" w:cs="宋体"/>
          <w:b/>
          <w:bCs/>
          <w:color w:val="000000"/>
          <w:sz w:val="72"/>
          <w:highlight w:val="none"/>
        </w:rPr>
      </w:pPr>
      <w:r>
        <w:rPr>
          <w:rFonts w:hint="eastAsia" w:ascii="宋体" w:hAnsi="宋体" w:cs="宋体"/>
          <w:b/>
          <w:bCs/>
          <w:color w:val="000000"/>
          <w:sz w:val="72"/>
          <w:highlight w:val="none"/>
        </w:rPr>
        <w:t>台州市政府采购</w:t>
      </w:r>
    </w:p>
    <w:p w14:paraId="6C884054">
      <w:pPr>
        <w:adjustRightInd w:val="0"/>
        <w:snapToGrid w:val="0"/>
        <w:spacing w:line="1200" w:lineRule="exact"/>
        <w:jc w:val="center"/>
        <w:rPr>
          <w:rFonts w:ascii="宋体" w:hAnsi="宋体" w:cs="宋体"/>
          <w:b/>
          <w:bCs/>
          <w:sz w:val="56"/>
          <w:szCs w:val="56"/>
          <w:highlight w:val="none"/>
        </w:rPr>
      </w:pPr>
      <w:r>
        <w:rPr>
          <w:rFonts w:hint="eastAsia" w:ascii="宋体" w:hAnsi="宋体" w:cs="宋体"/>
          <w:b/>
          <w:bCs/>
          <w:color w:val="000000"/>
          <w:sz w:val="56"/>
          <w:szCs w:val="56"/>
          <w:highlight w:val="none"/>
        </w:rPr>
        <w:t>竞争性磋商</w:t>
      </w:r>
      <w:r>
        <w:rPr>
          <w:rFonts w:hint="eastAsia" w:ascii="宋体" w:hAnsi="宋体" w:cs="宋体"/>
          <w:b/>
          <w:bCs/>
          <w:sz w:val="56"/>
          <w:szCs w:val="56"/>
          <w:highlight w:val="none"/>
        </w:rPr>
        <w:t>文件</w:t>
      </w:r>
    </w:p>
    <w:p w14:paraId="4BA582D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kern w:val="0"/>
          <w:sz w:val="36"/>
          <w:szCs w:val="36"/>
          <w:highlight w:val="none"/>
        </w:rPr>
      </w:pPr>
      <w:r>
        <w:rPr>
          <w:rFonts w:hint="eastAsia" w:ascii="宋体"/>
          <w:b/>
          <w:bCs/>
          <w:kern w:val="0"/>
          <w:sz w:val="36"/>
          <w:szCs w:val="36"/>
          <w:highlight w:val="none"/>
        </w:rPr>
        <w:t>（电子招投标方式）</w:t>
      </w:r>
    </w:p>
    <w:p w14:paraId="628C0809">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kern w:val="0"/>
          <w:sz w:val="28"/>
          <w:szCs w:val="28"/>
          <w:highlight w:val="none"/>
          <w:lang w:eastAsia="zh-CN"/>
        </w:rPr>
      </w:pPr>
      <w:r>
        <w:rPr>
          <w:rFonts w:hint="eastAsia" w:ascii="宋体"/>
          <w:kern w:val="0"/>
          <w:sz w:val="28"/>
          <w:szCs w:val="28"/>
          <w:highlight w:val="none"/>
        </w:rPr>
        <w:t xml:space="preserve">   编号：</w:t>
      </w:r>
      <w:r>
        <w:rPr>
          <w:rFonts w:hint="eastAsia" w:ascii="宋体" w:hAnsi="宋体" w:cs="宋体"/>
          <w:kern w:val="0"/>
          <w:sz w:val="28"/>
          <w:szCs w:val="28"/>
          <w:highlight w:val="none"/>
          <w:lang w:eastAsia="zh-CN"/>
        </w:rPr>
        <w:t>TZJH-2025-010号</w:t>
      </w:r>
    </w:p>
    <w:p w14:paraId="1D3ED0E4">
      <w:pPr>
        <w:pStyle w:val="2"/>
        <w:jc w:val="center"/>
        <w:rPr>
          <w:highlight w:val="none"/>
        </w:rPr>
      </w:pPr>
    </w:p>
    <w:p w14:paraId="52C64C2E">
      <w:pPr>
        <w:pStyle w:val="3"/>
        <w:ind w:firstLine="0" w:firstLineChars="0"/>
        <w:rPr>
          <w:highlight w:val="none"/>
        </w:rPr>
      </w:pPr>
    </w:p>
    <w:p w14:paraId="5BE696D9">
      <w:pPr>
        <w:pStyle w:val="2"/>
        <w:jc w:val="center"/>
        <w:rPr>
          <w:highlight w:val="none"/>
        </w:rPr>
      </w:pPr>
    </w:p>
    <w:p w14:paraId="5D07C090">
      <w:pPr>
        <w:spacing w:line="600" w:lineRule="auto"/>
        <w:ind w:left="1600" w:hanging="1600" w:hangingChars="500"/>
        <w:jc w:val="center"/>
        <w:rPr>
          <w:rFonts w:ascii="宋体" w:hAnsi="宋体" w:cs="宋体"/>
          <w:kern w:val="0"/>
          <w:sz w:val="32"/>
          <w:highlight w:val="none"/>
        </w:rPr>
      </w:pPr>
    </w:p>
    <w:p w14:paraId="6C83FAFF">
      <w:pPr>
        <w:spacing w:line="600" w:lineRule="auto"/>
        <w:ind w:left="1600" w:hanging="1600" w:hangingChars="500"/>
        <w:jc w:val="center"/>
        <w:rPr>
          <w:rFonts w:hint="eastAsia" w:eastAsia="宋体"/>
          <w:sz w:val="22"/>
          <w:szCs w:val="28"/>
          <w:highlight w:val="none"/>
          <w:lang w:eastAsia="zh-CN"/>
        </w:rPr>
      </w:pPr>
      <w:r>
        <w:rPr>
          <w:rFonts w:hint="eastAsia" w:ascii="宋体"/>
          <w:kern w:val="0"/>
          <w:sz w:val="32"/>
          <w:szCs w:val="32"/>
          <w:highlight w:val="none"/>
        </w:rPr>
        <w:t>采购项目：</w:t>
      </w:r>
      <w:r>
        <w:rPr>
          <w:rFonts w:hint="eastAsia" w:ascii="宋体"/>
          <w:kern w:val="0"/>
          <w:sz w:val="32"/>
          <w:szCs w:val="32"/>
          <w:highlight w:val="none"/>
          <w:u w:val="single"/>
          <w:lang w:eastAsia="zh-CN"/>
        </w:rPr>
        <w:t>台州湾新区消安委办购买消防安全服务项目</w:t>
      </w:r>
    </w:p>
    <w:p w14:paraId="6C06146E">
      <w:pPr>
        <w:spacing w:line="600" w:lineRule="auto"/>
        <w:jc w:val="center"/>
        <w:rPr>
          <w:rFonts w:hint="eastAsia" w:ascii="宋体" w:eastAsia="宋体"/>
          <w:kern w:val="0"/>
          <w:sz w:val="32"/>
          <w:szCs w:val="32"/>
          <w:highlight w:val="none"/>
          <w:u w:val="single"/>
          <w:lang w:eastAsia="zh-CN"/>
        </w:rPr>
      </w:pPr>
      <w:r>
        <w:rPr>
          <w:rFonts w:hint="eastAsia" w:ascii="宋体"/>
          <w:kern w:val="0"/>
          <w:sz w:val="32"/>
          <w:szCs w:val="32"/>
          <w:highlight w:val="none"/>
        </w:rPr>
        <w:t>采 购 人：</w:t>
      </w:r>
      <w:r>
        <w:rPr>
          <w:rFonts w:hint="eastAsia" w:ascii="宋体"/>
          <w:kern w:val="0"/>
          <w:sz w:val="32"/>
          <w:szCs w:val="32"/>
          <w:highlight w:val="none"/>
          <w:u w:val="single"/>
          <w:lang w:eastAsia="zh-CN"/>
        </w:rPr>
        <w:t>台州湾新区管理委员会</w:t>
      </w:r>
    </w:p>
    <w:p w14:paraId="1D178AAC">
      <w:pPr>
        <w:pStyle w:val="2"/>
        <w:rPr>
          <w:highlight w:val="none"/>
        </w:rPr>
      </w:pPr>
    </w:p>
    <w:p w14:paraId="019F16EF">
      <w:pPr>
        <w:spacing w:line="360" w:lineRule="auto"/>
        <w:jc w:val="center"/>
        <w:rPr>
          <w:rFonts w:ascii="宋体"/>
          <w:kern w:val="0"/>
          <w:sz w:val="28"/>
          <w:szCs w:val="28"/>
          <w:highlight w:val="none"/>
        </w:rPr>
      </w:pPr>
    </w:p>
    <w:p w14:paraId="0372EFDD">
      <w:pPr>
        <w:pStyle w:val="2"/>
        <w:rPr>
          <w:highlight w:val="none"/>
        </w:rPr>
      </w:pPr>
    </w:p>
    <w:p w14:paraId="3EE3BAEE">
      <w:pPr>
        <w:spacing w:line="360" w:lineRule="auto"/>
        <w:rPr>
          <w:rFonts w:ascii="宋体"/>
          <w:kern w:val="0"/>
          <w:sz w:val="28"/>
          <w:szCs w:val="28"/>
          <w:highlight w:val="none"/>
        </w:rPr>
      </w:pPr>
    </w:p>
    <w:p w14:paraId="0BD1C79E">
      <w:pPr>
        <w:pStyle w:val="2"/>
        <w:rPr>
          <w:highlight w:val="none"/>
        </w:rPr>
      </w:pPr>
    </w:p>
    <w:p w14:paraId="1384CF14">
      <w:pPr>
        <w:pStyle w:val="2"/>
        <w:jc w:val="center"/>
        <w:rPr>
          <w:rFonts w:hint="eastAsia" w:eastAsia="宋体"/>
          <w:highlight w:val="none"/>
          <w:lang w:eastAsia="zh-CN"/>
        </w:rPr>
      </w:pPr>
      <w:r>
        <w:rPr>
          <w:rFonts w:hint="eastAsia" w:ascii="宋体"/>
          <w:kern w:val="0"/>
          <w:sz w:val="28"/>
          <w:szCs w:val="28"/>
          <w:highlight w:val="none"/>
          <w:lang w:eastAsia="zh-CN"/>
        </w:rPr>
        <w:t>台州市建航工程管理有限公司</w:t>
      </w:r>
    </w:p>
    <w:p w14:paraId="4028420A">
      <w:pPr>
        <w:pStyle w:val="3"/>
        <w:ind w:firstLine="280"/>
        <w:jc w:val="center"/>
        <w:rPr>
          <w:highlight w:val="none"/>
        </w:rPr>
      </w:pPr>
      <w:r>
        <w:rPr>
          <w:rFonts w:hint="eastAsia" w:ascii="宋体"/>
          <w:kern w:val="0"/>
          <w:sz w:val="28"/>
          <w:szCs w:val="28"/>
          <w:highlight w:val="none"/>
        </w:rPr>
        <w:t>二0二</w:t>
      </w:r>
      <w:r>
        <w:rPr>
          <w:rFonts w:hint="eastAsia" w:ascii="宋体"/>
          <w:kern w:val="0"/>
          <w:sz w:val="28"/>
          <w:szCs w:val="28"/>
          <w:highlight w:val="none"/>
          <w:lang w:val="en-US" w:eastAsia="zh-CN"/>
        </w:rPr>
        <w:t>五</w:t>
      </w:r>
      <w:r>
        <w:rPr>
          <w:rFonts w:hint="eastAsia" w:ascii="宋体"/>
          <w:kern w:val="0"/>
          <w:sz w:val="28"/>
          <w:szCs w:val="28"/>
          <w:highlight w:val="none"/>
        </w:rPr>
        <w:t>年</w:t>
      </w:r>
      <w:r>
        <w:rPr>
          <w:rFonts w:hint="eastAsia" w:ascii="宋体"/>
          <w:kern w:val="0"/>
          <w:sz w:val="28"/>
          <w:szCs w:val="28"/>
          <w:highlight w:val="none"/>
          <w:lang w:val="en-US" w:eastAsia="zh-CN"/>
        </w:rPr>
        <w:t>三</w:t>
      </w:r>
      <w:r>
        <w:rPr>
          <w:rFonts w:hint="eastAsia" w:ascii="宋体"/>
          <w:kern w:val="0"/>
          <w:sz w:val="28"/>
          <w:szCs w:val="28"/>
          <w:highlight w:val="none"/>
        </w:rPr>
        <w:t>月</w:t>
      </w:r>
    </w:p>
    <w:p w14:paraId="47D0732E">
      <w:pPr>
        <w:pStyle w:val="2"/>
        <w:jc w:val="center"/>
        <w:rPr>
          <w:highlight w:val="none"/>
        </w:rPr>
      </w:pPr>
    </w:p>
    <w:p w14:paraId="10DD5D21">
      <w:pPr>
        <w:pStyle w:val="2"/>
        <w:jc w:val="center"/>
        <w:rPr>
          <w:highlight w:val="none"/>
        </w:rPr>
      </w:pPr>
    </w:p>
    <w:p w14:paraId="60D39236">
      <w:pPr>
        <w:pStyle w:val="2"/>
        <w:jc w:val="center"/>
        <w:rPr>
          <w:highlight w:val="none"/>
        </w:rPr>
      </w:pPr>
    </w:p>
    <w:p w14:paraId="3CFF44BF">
      <w:pPr>
        <w:pStyle w:val="2"/>
        <w:jc w:val="center"/>
        <w:rPr>
          <w:highlight w:val="none"/>
        </w:rPr>
      </w:pPr>
    </w:p>
    <w:p w14:paraId="2347F86B">
      <w:pPr>
        <w:spacing w:line="360" w:lineRule="auto"/>
        <w:jc w:val="center"/>
        <w:rPr>
          <w:rFonts w:ascii="宋体" w:cs="Arial"/>
          <w:b/>
          <w:bCs/>
          <w:sz w:val="36"/>
          <w:szCs w:val="36"/>
          <w:highlight w:val="none"/>
        </w:rPr>
      </w:pPr>
      <w:r>
        <w:rPr>
          <w:rFonts w:hint="eastAsia" w:ascii="宋体" w:hAnsi="宋体" w:cs="Arial"/>
          <w:b/>
          <w:bCs/>
          <w:sz w:val="36"/>
          <w:szCs w:val="36"/>
          <w:highlight w:val="none"/>
        </w:rPr>
        <w:t>目录</w:t>
      </w:r>
    </w:p>
    <w:p w14:paraId="366017E1">
      <w:pPr>
        <w:spacing w:line="360" w:lineRule="auto"/>
        <w:rPr>
          <w:rFonts w:ascii="新宋体" w:hAnsi="新宋体" w:eastAsia="新宋体"/>
          <w:sz w:val="28"/>
          <w:szCs w:val="28"/>
          <w:highlight w:val="none"/>
        </w:rPr>
      </w:pPr>
    </w:p>
    <w:p w14:paraId="7D08A3AF">
      <w:pPr>
        <w:numPr>
          <w:ilvl w:val="0"/>
          <w:numId w:val="2"/>
        </w:numPr>
        <w:spacing w:line="360" w:lineRule="auto"/>
        <w:rPr>
          <w:rFonts w:ascii="宋体"/>
          <w:b/>
          <w:sz w:val="28"/>
          <w:szCs w:val="28"/>
          <w:highlight w:val="none"/>
        </w:rPr>
      </w:pPr>
      <w:r>
        <w:rPr>
          <w:rFonts w:hint="eastAsia" w:ascii="宋体" w:hAnsi="宋体"/>
          <w:b/>
          <w:sz w:val="28"/>
          <w:szCs w:val="28"/>
          <w:highlight w:val="none"/>
        </w:rPr>
        <w:t>竞争性磋商公告</w:t>
      </w:r>
    </w:p>
    <w:p w14:paraId="0F529533">
      <w:pPr>
        <w:numPr>
          <w:ilvl w:val="0"/>
          <w:numId w:val="2"/>
        </w:numPr>
        <w:spacing w:line="360" w:lineRule="auto"/>
        <w:rPr>
          <w:rFonts w:ascii="宋体"/>
          <w:b/>
          <w:sz w:val="28"/>
          <w:szCs w:val="28"/>
          <w:highlight w:val="none"/>
        </w:rPr>
      </w:pPr>
      <w:r>
        <w:rPr>
          <w:rFonts w:hint="eastAsia" w:ascii="宋体" w:hAnsi="宋体"/>
          <w:b/>
          <w:sz w:val="28"/>
          <w:szCs w:val="28"/>
          <w:highlight w:val="none"/>
        </w:rPr>
        <w:t>供应商须知</w:t>
      </w:r>
    </w:p>
    <w:p w14:paraId="37903A83">
      <w:pPr>
        <w:numPr>
          <w:ilvl w:val="0"/>
          <w:numId w:val="2"/>
        </w:numPr>
        <w:spacing w:line="360" w:lineRule="auto"/>
        <w:rPr>
          <w:rFonts w:ascii="宋体"/>
          <w:b/>
          <w:sz w:val="28"/>
          <w:szCs w:val="28"/>
          <w:highlight w:val="none"/>
        </w:rPr>
      </w:pPr>
      <w:r>
        <w:rPr>
          <w:rFonts w:hint="eastAsia" w:ascii="宋体" w:hAnsi="宋体"/>
          <w:b/>
          <w:sz w:val="28"/>
          <w:szCs w:val="28"/>
          <w:highlight w:val="none"/>
        </w:rPr>
        <w:t>评审办法及评审标准</w:t>
      </w:r>
    </w:p>
    <w:p w14:paraId="7A80D3B5">
      <w:pPr>
        <w:numPr>
          <w:ilvl w:val="0"/>
          <w:numId w:val="2"/>
        </w:numPr>
        <w:spacing w:line="360" w:lineRule="auto"/>
        <w:rPr>
          <w:rFonts w:ascii="宋体"/>
          <w:b/>
          <w:sz w:val="28"/>
          <w:szCs w:val="28"/>
          <w:highlight w:val="none"/>
        </w:rPr>
      </w:pPr>
      <w:r>
        <w:rPr>
          <w:rFonts w:hint="eastAsia" w:ascii="宋体" w:hAnsi="宋体"/>
          <w:b/>
          <w:sz w:val="28"/>
          <w:szCs w:val="28"/>
          <w:highlight w:val="none"/>
        </w:rPr>
        <w:t>项目需求</w:t>
      </w:r>
    </w:p>
    <w:p w14:paraId="38427F68">
      <w:pPr>
        <w:numPr>
          <w:ilvl w:val="0"/>
          <w:numId w:val="2"/>
        </w:numPr>
        <w:spacing w:line="360" w:lineRule="auto"/>
        <w:rPr>
          <w:rFonts w:ascii="宋体"/>
          <w:b/>
          <w:sz w:val="28"/>
          <w:szCs w:val="28"/>
          <w:highlight w:val="none"/>
        </w:rPr>
      </w:pPr>
      <w:r>
        <w:rPr>
          <w:rFonts w:hint="eastAsia" w:ascii="宋体" w:hAnsi="宋体"/>
          <w:b/>
          <w:sz w:val="28"/>
          <w:szCs w:val="28"/>
          <w:highlight w:val="none"/>
        </w:rPr>
        <w:t>政府采购合同主要条款指引</w:t>
      </w:r>
    </w:p>
    <w:p w14:paraId="7257CD9D">
      <w:pPr>
        <w:numPr>
          <w:ilvl w:val="0"/>
          <w:numId w:val="2"/>
        </w:numPr>
        <w:spacing w:line="360" w:lineRule="auto"/>
        <w:rPr>
          <w:rFonts w:ascii="宋体"/>
          <w:b/>
          <w:sz w:val="28"/>
          <w:szCs w:val="28"/>
          <w:highlight w:val="none"/>
        </w:rPr>
      </w:pPr>
      <w:r>
        <w:rPr>
          <w:rFonts w:hint="eastAsia" w:ascii="宋体" w:hAnsi="宋体"/>
          <w:b/>
          <w:sz w:val="28"/>
          <w:szCs w:val="28"/>
          <w:highlight w:val="none"/>
        </w:rPr>
        <w:t>响应文件格式附件</w:t>
      </w:r>
    </w:p>
    <w:p w14:paraId="3484CC96">
      <w:pPr>
        <w:pStyle w:val="2"/>
        <w:jc w:val="center"/>
        <w:rPr>
          <w:highlight w:val="none"/>
        </w:rPr>
      </w:pPr>
    </w:p>
    <w:p w14:paraId="71CFF3D8">
      <w:pPr>
        <w:pStyle w:val="2"/>
        <w:jc w:val="center"/>
        <w:rPr>
          <w:highlight w:val="none"/>
        </w:rPr>
      </w:pPr>
    </w:p>
    <w:p w14:paraId="2F0E09D8">
      <w:pPr>
        <w:pStyle w:val="2"/>
        <w:jc w:val="center"/>
        <w:rPr>
          <w:highlight w:val="none"/>
        </w:rPr>
      </w:pPr>
    </w:p>
    <w:p w14:paraId="6D9E937D">
      <w:pPr>
        <w:pStyle w:val="2"/>
        <w:jc w:val="center"/>
        <w:rPr>
          <w:highlight w:val="none"/>
        </w:rPr>
      </w:pPr>
    </w:p>
    <w:p w14:paraId="72A8A1A2">
      <w:pPr>
        <w:pStyle w:val="2"/>
        <w:jc w:val="center"/>
        <w:rPr>
          <w:highlight w:val="none"/>
        </w:rPr>
      </w:pPr>
    </w:p>
    <w:p w14:paraId="2E623019">
      <w:pPr>
        <w:pStyle w:val="2"/>
        <w:jc w:val="center"/>
        <w:rPr>
          <w:highlight w:val="none"/>
        </w:rPr>
      </w:pPr>
    </w:p>
    <w:p w14:paraId="284FD1AE">
      <w:pPr>
        <w:pStyle w:val="2"/>
        <w:jc w:val="center"/>
        <w:rPr>
          <w:highlight w:val="none"/>
        </w:rPr>
      </w:pPr>
    </w:p>
    <w:p w14:paraId="5C0A1C8E">
      <w:pPr>
        <w:pStyle w:val="2"/>
        <w:jc w:val="center"/>
        <w:rPr>
          <w:highlight w:val="none"/>
        </w:rPr>
      </w:pPr>
    </w:p>
    <w:p w14:paraId="5D54D18D">
      <w:pPr>
        <w:pStyle w:val="2"/>
        <w:jc w:val="center"/>
        <w:rPr>
          <w:highlight w:val="none"/>
        </w:rPr>
      </w:pPr>
    </w:p>
    <w:p w14:paraId="1A7918F3">
      <w:pPr>
        <w:pStyle w:val="2"/>
        <w:jc w:val="center"/>
        <w:rPr>
          <w:highlight w:val="none"/>
        </w:rPr>
      </w:pPr>
    </w:p>
    <w:p w14:paraId="62C82805">
      <w:pPr>
        <w:pStyle w:val="2"/>
        <w:jc w:val="center"/>
        <w:rPr>
          <w:highlight w:val="none"/>
        </w:rPr>
      </w:pPr>
    </w:p>
    <w:p w14:paraId="57F8FE20">
      <w:pPr>
        <w:pStyle w:val="2"/>
        <w:jc w:val="center"/>
        <w:rPr>
          <w:highlight w:val="none"/>
        </w:rPr>
      </w:pPr>
    </w:p>
    <w:p w14:paraId="1EF24013">
      <w:pPr>
        <w:pStyle w:val="2"/>
        <w:jc w:val="center"/>
        <w:rPr>
          <w:highlight w:val="none"/>
        </w:rPr>
      </w:pPr>
    </w:p>
    <w:p w14:paraId="4BFF95DB">
      <w:pPr>
        <w:pStyle w:val="3"/>
        <w:ind w:firstLine="210"/>
        <w:rPr>
          <w:highlight w:val="none"/>
        </w:rPr>
      </w:pPr>
    </w:p>
    <w:p w14:paraId="0C003EF8">
      <w:pPr>
        <w:pStyle w:val="3"/>
        <w:ind w:firstLine="210"/>
        <w:rPr>
          <w:highlight w:val="none"/>
        </w:rPr>
      </w:pPr>
    </w:p>
    <w:p w14:paraId="06B23E5D">
      <w:pPr>
        <w:pStyle w:val="2"/>
        <w:jc w:val="center"/>
        <w:rPr>
          <w:highlight w:val="none"/>
        </w:rPr>
      </w:pPr>
    </w:p>
    <w:p w14:paraId="115A7841">
      <w:pPr>
        <w:pStyle w:val="3"/>
        <w:ind w:firstLine="210"/>
        <w:rPr>
          <w:highlight w:val="none"/>
        </w:rPr>
      </w:pPr>
    </w:p>
    <w:p w14:paraId="095922CD">
      <w:pPr>
        <w:pStyle w:val="2"/>
        <w:jc w:val="center"/>
        <w:rPr>
          <w:highlight w:val="none"/>
        </w:rPr>
      </w:pPr>
    </w:p>
    <w:p w14:paraId="6152C63F">
      <w:pPr>
        <w:pStyle w:val="3"/>
        <w:ind w:firstLine="210"/>
        <w:rPr>
          <w:highlight w:val="none"/>
        </w:rPr>
      </w:pPr>
    </w:p>
    <w:p w14:paraId="10338E42">
      <w:pPr>
        <w:numPr>
          <w:ilvl w:val="0"/>
          <w:numId w:val="3"/>
        </w:numPr>
        <w:tabs>
          <w:tab w:val="left" w:pos="180"/>
          <w:tab w:val="left" w:pos="360"/>
          <w:tab w:val="left" w:pos="540"/>
          <w:tab w:val="left" w:pos="8280"/>
        </w:tabs>
        <w:autoSpaceDE w:val="0"/>
        <w:autoSpaceDN w:val="0"/>
        <w:adjustRightInd w:val="0"/>
        <w:spacing w:line="360" w:lineRule="auto"/>
        <w:ind w:right="23"/>
        <w:jc w:val="center"/>
        <w:rPr>
          <w:rFonts w:ascii="宋体" w:hAnsi="宋体"/>
          <w:b/>
          <w:kern w:val="0"/>
          <w:sz w:val="36"/>
          <w:szCs w:val="36"/>
          <w:highlight w:val="none"/>
        </w:rPr>
      </w:pPr>
      <w:r>
        <w:rPr>
          <w:rFonts w:hint="eastAsia" w:ascii="宋体" w:hAnsi="宋体"/>
          <w:b/>
          <w:kern w:val="0"/>
          <w:sz w:val="36"/>
          <w:szCs w:val="36"/>
          <w:highlight w:val="none"/>
        </w:rPr>
        <w:t>竞争性磋商公告</w:t>
      </w:r>
    </w:p>
    <w:p w14:paraId="666D20A3">
      <w:pPr>
        <w:pStyle w:val="27"/>
        <w:ind w:left="840" w:leftChars="400" w:firstLine="0" w:firstLineChars="0"/>
        <w:rPr>
          <w:highlight w:val="none"/>
        </w:rPr>
      </w:pPr>
    </w:p>
    <w:p w14:paraId="0C5A88C9">
      <w:pPr>
        <w:spacing w:line="360" w:lineRule="auto"/>
        <w:ind w:firstLine="480" w:firstLineChars="200"/>
        <w:rPr>
          <w:rFonts w:ascii="宋体" w:hAnsi="宋体" w:cs="宋体"/>
          <w:sz w:val="24"/>
          <w:highlight w:val="none"/>
        </w:rPr>
      </w:pPr>
      <w:r>
        <w:rPr>
          <w:rFonts w:hint="eastAsia" w:ascii="宋体" w:hAnsi="宋体" w:cs="宋体"/>
          <w:sz w:val="24"/>
          <w:highlight w:val="none"/>
        </w:rPr>
        <w:t>根据《中华人民共和国政府采购法》、《中华人民共和国政府采购法实施条例》和《政府采购竞争性磋商采购方式管理暂行办法》等有关规定, 受</w:t>
      </w:r>
      <w:r>
        <w:rPr>
          <w:rFonts w:hint="eastAsia" w:ascii="宋体" w:hAnsi="宋体" w:cs="宋体"/>
          <w:b/>
          <w:bCs/>
          <w:sz w:val="24"/>
          <w:highlight w:val="none"/>
          <w:lang w:eastAsia="zh-CN"/>
        </w:rPr>
        <w:t>台州湾新区管理委员会</w:t>
      </w:r>
      <w:r>
        <w:rPr>
          <w:rFonts w:hint="eastAsia" w:ascii="宋体" w:hAnsi="宋体" w:cs="宋体"/>
          <w:sz w:val="24"/>
          <w:highlight w:val="none"/>
        </w:rPr>
        <w:t>委托，现就其</w:t>
      </w:r>
      <w:r>
        <w:rPr>
          <w:rFonts w:hint="eastAsia" w:ascii="宋体" w:hAnsi="宋体" w:cs="宋体"/>
          <w:b/>
          <w:bCs/>
          <w:sz w:val="24"/>
          <w:highlight w:val="none"/>
          <w:lang w:eastAsia="zh-CN"/>
        </w:rPr>
        <w:t>台州湾新区消安委办购买消防安全服务项目</w:t>
      </w:r>
      <w:r>
        <w:rPr>
          <w:rFonts w:hint="eastAsia" w:ascii="宋体" w:hAnsi="宋体" w:cs="宋体"/>
          <w:sz w:val="24"/>
          <w:highlight w:val="none"/>
        </w:rPr>
        <w:t>进行竞争性磋商采购，欢迎合格供应商前来磋商</w:t>
      </w:r>
      <w:r>
        <w:rPr>
          <w:rFonts w:hint="eastAsia" w:ascii="宋体" w:hAnsi="宋体" w:cs="宋体"/>
          <w:kern w:val="0"/>
          <w:sz w:val="24"/>
          <w:highlight w:val="none"/>
        </w:rPr>
        <w:t>（电子招投标）</w:t>
      </w:r>
      <w:r>
        <w:rPr>
          <w:rFonts w:hint="eastAsia" w:ascii="宋体" w:hAnsi="宋体" w:cs="宋体"/>
          <w:sz w:val="24"/>
          <w:highlight w:val="none"/>
        </w:rPr>
        <w:t>。</w:t>
      </w:r>
    </w:p>
    <w:p w14:paraId="04E7C49F">
      <w:pPr>
        <w:spacing w:line="360" w:lineRule="auto"/>
        <w:ind w:firstLine="482" w:firstLineChars="200"/>
        <w:rPr>
          <w:rFonts w:hint="eastAsia" w:ascii="宋体" w:hAnsi="宋体" w:eastAsia="宋体" w:cs="宋体"/>
          <w:b/>
          <w:bCs/>
          <w:sz w:val="24"/>
          <w:highlight w:val="none"/>
          <w:lang w:eastAsia="zh-CN"/>
        </w:rPr>
      </w:pPr>
      <w:r>
        <w:rPr>
          <w:rFonts w:hint="eastAsia" w:ascii="宋体" w:hAnsi="宋体" w:cs="宋体"/>
          <w:b/>
          <w:bCs/>
          <w:sz w:val="24"/>
          <w:highlight w:val="none"/>
        </w:rPr>
        <w:t>一、项目编号：</w:t>
      </w:r>
      <w:r>
        <w:rPr>
          <w:rFonts w:hint="eastAsia" w:ascii="宋体" w:hAnsi="宋体" w:cs="宋体"/>
          <w:b/>
          <w:bCs/>
          <w:sz w:val="24"/>
          <w:highlight w:val="none"/>
          <w:lang w:eastAsia="zh-CN"/>
        </w:rPr>
        <w:t>TZJH-2025-010号</w:t>
      </w:r>
    </w:p>
    <w:p w14:paraId="24781A89">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二、磋商内容：</w:t>
      </w:r>
    </w:p>
    <w:tbl>
      <w:tblPr>
        <w:tblStyle w:val="28"/>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309"/>
        <w:gridCol w:w="1527"/>
        <w:gridCol w:w="596"/>
        <w:gridCol w:w="775"/>
        <w:gridCol w:w="1203"/>
        <w:gridCol w:w="1533"/>
      </w:tblGrid>
      <w:tr w14:paraId="2DAD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875" w:type="dxa"/>
            <w:vAlign w:val="center"/>
          </w:tcPr>
          <w:p w14:paraId="06F4E347">
            <w:pPr>
              <w:tabs>
                <w:tab w:val="left" w:pos="8280"/>
              </w:tabs>
              <w:autoSpaceDE w:val="0"/>
              <w:autoSpaceDN w:val="0"/>
              <w:adjustRightInd w:val="0"/>
              <w:ind w:right="25"/>
              <w:jc w:val="center"/>
              <w:rPr>
                <w:rFonts w:ascii="宋体" w:hAnsi="宋体" w:cs="宋体"/>
                <w:b/>
                <w:sz w:val="24"/>
                <w:highlight w:val="none"/>
              </w:rPr>
            </w:pPr>
            <w:r>
              <w:rPr>
                <w:rFonts w:hint="eastAsia" w:ascii="宋体" w:hAnsi="宋体" w:cs="宋体"/>
                <w:b/>
                <w:sz w:val="24"/>
                <w:highlight w:val="none"/>
              </w:rPr>
              <w:t>序号</w:t>
            </w:r>
          </w:p>
        </w:tc>
        <w:tc>
          <w:tcPr>
            <w:tcW w:w="2309" w:type="dxa"/>
            <w:vAlign w:val="center"/>
          </w:tcPr>
          <w:p w14:paraId="2C8EA984">
            <w:pPr>
              <w:tabs>
                <w:tab w:val="left" w:pos="8280"/>
              </w:tabs>
              <w:autoSpaceDE w:val="0"/>
              <w:autoSpaceDN w:val="0"/>
              <w:adjustRightInd w:val="0"/>
              <w:ind w:right="25" w:firstLine="120" w:firstLineChars="50"/>
              <w:jc w:val="center"/>
              <w:rPr>
                <w:rFonts w:ascii="宋体" w:hAnsi="宋体" w:cs="宋体"/>
                <w:b/>
                <w:sz w:val="24"/>
                <w:highlight w:val="none"/>
              </w:rPr>
            </w:pPr>
            <w:r>
              <w:rPr>
                <w:rFonts w:hint="eastAsia" w:ascii="宋体" w:hAnsi="宋体" w:cs="宋体"/>
                <w:b/>
                <w:sz w:val="24"/>
                <w:highlight w:val="none"/>
              </w:rPr>
              <w:t>项目名称</w:t>
            </w:r>
          </w:p>
        </w:tc>
        <w:tc>
          <w:tcPr>
            <w:tcW w:w="1527" w:type="dxa"/>
            <w:vAlign w:val="center"/>
          </w:tcPr>
          <w:p w14:paraId="0585D877">
            <w:pPr>
              <w:tabs>
                <w:tab w:val="left" w:pos="8280"/>
              </w:tabs>
              <w:autoSpaceDE w:val="0"/>
              <w:autoSpaceDN w:val="0"/>
              <w:adjustRightInd w:val="0"/>
              <w:ind w:right="25"/>
              <w:jc w:val="center"/>
              <w:rPr>
                <w:rFonts w:ascii="宋体" w:hAnsi="宋体" w:cs="宋体"/>
                <w:b/>
                <w:sz w:val="24"/>
                <w:highlight w:val="none"/>
              </w:rPr>
            </w:pPr>
            <w:r>
              <w:rPr>
                <w:rFonts w:hint="eastAsia" w:ascii="宋体" w:hAnsi="宋体" w:cs="宋体"/>
                <w:b/>
                <w:kern w:val="0"/>
                <w:sz w:val="24"/>
                <w:highlight w:val="none"/>
              </w:rPr>
              <w:t>简要技术要求</w:t>
            </w:r>
          </w:p>
        </w:tc>
        <w:tc>
          <w:tcPr>
            <w:tcW w:w="596" w:type="dxa"/>
            <w:vAlign w:val="center"/>
          </w:tcPr>
          <w:p w14:paraId="7BBF99F4">
            <w:pPr>
              <w:tabs>
                <w:tab w:val="left" w:pos="8280"/>
              </w:tabs>
              <w:autoSpaceDE w:val="0"/>
              <w:autoSpaceDN w:val="0"/>
              <w:adjustRightInd w:val="0"/>
              <w:ind w:right="25"/>
              <w:jc w:val="center"/>
              <w:rPr>
                <w:rFonts w:ascii="宋体" w:hAnsi="宋体" w:cs="宋体"/>
                <w:b/>
                <w:sz w:val="24"/>
                <w:highlight w:val="none"/>
              </w:rPr>
            </w:pPr>
            <w:r>
              <w:rPr>
                <w:rFonts w:hint="eastAsia" w:ascii="宋体" w:hAnsi="宋体" w:cs="宋体"/>
                <w:b/>
                <w:sz w:val="24"/>
                <w:highlight w:val="none"/>
              </w:rPr>
              <w:t>数量</w:t>
            </w:r>
          </w:p>
        </w:tc>
        <w:tc>
          <w:tcPr>
            <w:tcW w:w="775" w:type="dxa"/>
            <w:vAlign w:val="center"/>
          </w:tcPr>
          <w:p w14:paraId="546D0CE9">
            <w:pPr>
              <w:tabs>
                <w:tab w:val="left" w:pos="8280"/>
              </w:tabs>
              <w:autoSpaceDE w:val="0"/>
              <w:autoSpaceDN w:val="0"/>
              <w:adjustRightInd w:val="0"/>
              <w:ind w:right="25"/>
              <w:jc w:val="center"/>
              <w:rPr>
                <w:rFonts w:ascii="宋体" w:hAnsi="宋体" w:cs="宋体"/>
                <w:b/>
                <w:sz w:val="24"/>
                <w:highlight w:val="none"/>
              </w:rPr>
            </w:pPr>
            <w:r>
              <w:rPr>
                <w:rFonts w:hint="eastAsia" w:ascii="宋体" w:hAnsi="宋体" w:cs="宋体"/>
                <w:b/>
                <w:sz w:val="24"/>
                <w:highlight w:val="none"/>
              </w:rPr>
              <w:t>单位</w:t>
            </w:r>
          </w:p>
        </w:tc>
        <w:tc>
          <w:tcPr>
            <w:tcW w:w="1203" w:type="dxa"/>
            <w:vAlign w:val="center"/>
          </w:tcPr>
          <w:p w14:paraId="048ECBAB">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预算</w:t>
            </w:r>
          </w:p>
          <w:p w14:paraId="51485EC2">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1533" w:type="dxa"/>
            <w:vAlign w:val="center"/>
          </w:tcPr>
          <w:p w14:paraId="56B046BA">
            <w:pPr>
              <w:tabs>
                <w:tab w:val="left" w:pos="8280"/>
              </w:tabs>
              <w:autoSpaceDE w:val="0"/>
              <w:autoSpaceDN w:val="0"/>
              <w:adjustRightInd w:val="0"/>
              <w:ind w:right="25"/>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5D15C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75" w:type="dxa"/>
            <w:vAlign w:val="center"/>
          </w:tcPr>
          <w:p w14:paraId="204A05C5">
            <w:pPr>
              <w:tabs>
                <w:tab w:val="left" w:pos="8280"/>
              </w:tabs>
              <w:autoSpaceDE w:val="0"/>
              <w:autoSpaceDN w:val="0"/>
              <w:adjustRightInd w:val="0"/>
              <w:ind w:right="25"/>
              <w:jc w:val="center"/>
              <w:rPr>
                <w:rFonts w:ascii="宋体" w:hAnsi="宋体" w:cs="宋体"/>
                <w:sz w:val="24"/>
                <w:highlight w:val="none"/>
              </w:rPr>
            </w:pPr>
            <w:r>
              <w:rPr>
                <w:rFonts w:hint="eastAsia" w:ascii="宋体" w:hAnsi="宋体" w:cs="宋体"/>
                <w:sz w:val="24"/>
                <w:highlight w:val="none"/>
              </w:rPr>
              <w:t>一</w:t>
            </w:r>
          </w:p>
        </w:tc>
        <w:tc>
          <w:tcPr>
            <w:tcW w:w="2309" w:type="dxa"/>
            <w:vAlign w:val="center"/>
          </w:tcPr>
          <w:p w14:paraId="59650845">
            <w:pPr>
              <w:tabs>
                <w:tab w:val="left" w:pos="8280"/>
              </w:tabs>
              <w:autoSpaceDE w:val="0"/>
              <w:autoSpaceDN w:val="0"/>
              <w:adjustRightInd w:val="0"/>
              <w:ind w:right="25"/>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台州湾新区消安委办购买消防安全服务项目</w:t>
            </w:r>
          </w:p>
        </w:tc>
        <w:tc>
          <w:tcPr>
            <w:tcW w:w="1527" w:type="dxa"/>
            <w:vAlign w:val="center"/>
          </w:tcPr>
          <w:p w14:paraId="60D8DAF0">
            <w:pPr>
              <w:tabs>
                <w:tab w:val="left" w:pos="8280"/>
              </w:tabs>
              <w:autoSpaceDE w:val="0"/>
              <w:autoSpaceDN w:val="0"/>
              <w:adjustRightInd w:val="0"/>
              <w:ind w:right="25"/>
              <w:jc w:val="center"/>
              <w:rPr>
                <w:rFonts w:ascii="宋体" w:hAnsi="宋体" w:cs="宋体"/>
                <w:sz w:val="24"/>
                <w:highlight w:val="none"/>
              </w:rPr>
            </w:pPr>
            <w:r>
              <w:rPr>
                <w:rFonts w:hint="eastAsia" w:ascii="宋体" w:hAnsi="宋体" w:cs="宋体"/>
                <w:sz w:val="24"/>
                <w:highlight w:val="none"/>
              </w:rPr>
              <w:t>详见具体技术需求</w:t>
            </w:r>
          </w:p>
        </w:tc>
        <w:tc>
          <w:tcPr>
            <w:tcW w:w="596" w:type="dxa"/>
            <w:vAlign w:val="center"/>
          </w:tcPr>
          <w:p w14:paraId="797FF1B6">
            <w:pPr>
              <w:tabs>
                <w:tab w:val="left" w:pos="8280"/>
              </w:tabs>
              <w:autoSpaceDE w:val="0"/>
              <w:autoSpaceDN w:val="0"/>
              <w:adjustRightInd w:val="0"/>
              <w:ind w:right="25"/>
              <w:jc w:val="center"/>
              <w:rPr>
                <w:rFonts w:ascii="宋体" w:hAnsi="宋体" w:cs="宋体"/>
                <w:sz w:val="24"/>
                <w:highlight w:val="none"/>
              </w:rPr>
            </w:pPr>
            <w:r>
              <w:rPr>
                <w:rFonts w:hint="eastAsia" w:ascii="宋体" w:hAnsi="宋体" w:cs="宋体"/>
                <w:sz w:val="24"/>
                <w:highlight w:val="none"/>
              </w:rPr>
              <w:t>1</w:t>
            </w:r>
          </w:p>
        </w:tc>
        <w:tc>
          <w:tcPr>
            <w:tcW w:w="775" w:type="dxa"/>
            <w:vAlign w:val="center"/>
          </w:tcPr>
          <w:p w14:paraId="40A40470">
            <w:pPr>
              <w:tabs>
                <w:tab w:val="left" w:pos="8280"/>
              </w:tabs>
              <w:autoSpaceDE w:val="0"/>
              <w:autoSpaceDN w:val="0"/>
              <w:adjustRightInd w:val="0"/>
              <w:ind w:right="25"/>
              <w:jc w:val="center"/>
              <w:rPr>
                <w:rFonts w:ascii="宋体" w:hAnsi="宋体" w:cs="宋体"/>
                <w:sz w:val="24"/>
                <w:highlight w:val="none"/>
              </w:rPr>
            </w:pPr>
            <w:r>
              <w:rPr>
                <w:rFonts w:hint="eastAsia" w:ascii="宋体" w:hAnsi="宋体" w:cs="宋体"/>
                <w:sz w:val="24"/>
                <w:highlight w:val="none"/>
              </w:rPr>
              <w:t>项</w:t>
            </w:r>
          </w:p>
        </w:tc>
        <w:tc>
          <w:tcPr>
            <w:tcW w:w="1203" w:type="dxa"/>
            <w:vAlign w:val="center"/>
          </w:tcPr>
          <w:p w14:paraId="0ADFD2B0">
            <w:pPr>
              <w:tabs>
                <w:tab w:val="left" w:pos="8280"/>
              </w:tabs>
              <w:autoSpaceDE w:val="0"/>
              <w:autoSpaceDN w:val="0"/>
              <w:adjustRightInd w:val="0"/>
              <w:ind w:right="25"/>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80.9</w:t>
            </w:r>
          </w:p>
        </w:tc>
        <w:tc>
          <w:tcPr>
            <w:tcW w:w="1533" w:type="dxa"/>
            <w:vAlign w:val="center"/>
          </w:tcPr>
          <w:p w14:paraId="5A40F111">
            <w:pPr>
              <w:tabs>
                <w:tab w:val="left" w:pos="8280"/>
              </w:tabs>
              <w:autoSpaceDE w:val="0"/>
              <w:autoSpaceDN w:val="0"/>
              <w:adjustRightInd w:val="0"/>
              <w:ind w:right="25"/>
              <w:jc w:val="center"/>
              <w:rPr>
                <w:rFonts w:ascii="宋体" w:hAnsi="宋体" w:cs="宋体"/>
                <w:color w:val="auto"/>
                <w:sz w:val="24"/>
                <w:highlight w:val="none"/>
              </w:rPr>
            </w:pPr>
          </w:p>
        </w:tc>
      </w:tr>
    </w:tbl>
    <w:p w14:paraId="75AD09B8">
      <w:pPr>
        <w:widowControl/>
        <w:tabs>
          <w:tab w:val="left" w:pos="0"/>
        </w:tabs>
        <w:spacing w:line="360" w:lineRule="auto"/>
        <w:ind w:firstLine="482" w:firstLineChars="200"/>
        <w:rPr>
          <w:rFonts w:ascii="宋体" w:hAnsi="宋体" w:cs="宋体"/>
          <w:sz w:val="24"/>
          <w:highlight w:val="none"/>
        </w:rPr>
      </w:pPr>
      <w:r>
        <w:rPr>
          <w:rFonts w:hint="eastAsia" w:ascii="宋体" w:hAnsi="宋体" w:cs="宋体"/>
          <w:b/>
          <w:sz w:val="24"/>
          <w:highlight w:val="none"/>
          <w:u w:val="single"/>
        </w:rPr>
        <w:t>本项目采用“电子交易”的方式提交磋商响应文件，请各供应商按照要求进行。</w:t>
      </w:r>
    </w:p>
    <w:p w14:paraId="0DCD8E92">
      <w:pPr>
        <w:numPr>
          <w:ilvl w:val="0"/>
          <w:numId w:val="4"/>
        </w:numPr>
        <w:spacing w:line="360" w:lineRule="auto"/>
        <w:ind w:firstLine="482" w:firstLineChars="200"/>
        <w:rPr>
          <w:rFonts w:ascii="宋体" w:hAnsi="宋体" w:cs="宋体"/>
          <w:bCs/>
          <w:sz w:val="24"/>
          <w:highlight w:val="none"/>
        </w:rPr>
      </w:pPr>
      <w:r>
        <w:rPr>
          <w:rFonts w:hint="eastAsia" w:ascii="宋体" w:hAnsi="宋体" w:cs="宋体"/>
          <w:b/>
          <w:bCs/>
          <w:sz w:val="24"/>
          <w:highlight w:val="none"/>
        </w:rPr>
        <w:t>合格磋商供应商的资格条件：</w:t>
      </w:r>
    </w:p>
    <w:p w14:paraId="006B1668">
      <w:pPr>
        <w:numPr>
          <w:ilvl w:val="0"/>
          <w:numId w:val="0"/>
        </w:numPr>
        <w:spacing w:line="360" w:lineRule="auto"/>
        <w:ind w:firstLine="480" w:firstLineChars="200"/>
        <w:rPr>
          <w:rFonts w:ascii="宋体" w:hAnsi="宋体" w:cs="宋体"/>
          <w:bCs/>
          <w:sz w:val="24"/>
          <w:highlight w:val="none"/>
        </w:rPr>
      </w:pPr>
      <w:r>
        <w:rPr>
          <w:rFonts w:hint="eastAsia" w:ascii="宋体" w:hAnsi="宋体" w:cs="宋体"/>
          <w:bCs/>
          <w:sz w:val="24"/>
          <w:highlight w:val="none"/>
        </w:rPr>
        <w:t>（一）符合《中华人民共和国政府采购法》第二十二条规定的磋商供应商资格条件。</w:t>
      </w:r>
    </w:p>
    <w:p w14:paraId="51861259">
      <w:pPr>
        <w:snapToGrid w:val="0"/>
        <w:spacing w:line="360" w:lineRule="auto"/>
        <w:ind w:firstLine="566" w:firstLineChars="236"/>
        <w:rPr>
          <w:rFonts w:ascii="宋体" w:hAnsi="宋体" w:cs="宋体"/>
          <w:bCs/>
          <w:sz w:val="24"/>
          <w:highlight w:val="none"/>
        </w:rPr>
      </w:pPr>
      <w:r>
        <w:rPr>
          <w:rFonts w:hint="eastAsia" w:ascii="宋体" w:hAnsi="宋体" w:cs="宋体"/>
          <w:bCs/>
          <w:sz w:val="24"/>
          <w:highlight w:val="none"/>
        </w:rPr>
        <w:t>（1）具有独立承担民事责任的能力；</w:t>
      </w:r>
    </w:p>
    <w:p w14:paraId="44E4A1FC">
      <w:pPr>
        <w:snapToGrid w:val="0"/>
        <w:spacing w:line="360" w:lineRule="auto"/>
        <w:ind w:firstLine="566" w:firstLineChars="236"/>
        <w:rPr>
          <w:rFonts w:ascii="宋体" w:hAnsi="宋体" w:cs="宋体"/>
          <w:bCs/>
          <w:sz w:val="24"/>
          <w:highlight w:val="none"/>
        </w:rPr>
      </w:pPr>
      <w:r>
        <w:rPr>
          <w:rFonts w:hint="eastAsia" w:ascii="宋体" w:hAnsi="宋体" w:cs="宋体"/>
          <w:bCs/>
          <w:sz w:val="24"/>
          <w:highlight w:val="none"/>
        </w:rPr>
        <w:t>（2）具有良好的商业信誉和健全的财务会计制度；</w:t>
      </w:r>
    </w:p>
    <w:p w14:paraId="50952F33">
      <w:pPr>
        <w:snapToGrid w:val="0"/>
        <w:spacing w:line="360" w:lineRule="auto"/>
        <w:ind w:firstLine="566" w:firstLineChars="236"/>
        <w:rPr>
          <w:rFonts w:ascii="宋体" w:hAnsi="宋体" w:cs="宋体"/>
          <w:bCs/>
          <w:sz w:val="24"/>
          <w:highlight w:val="none"/>
        </w:rPr>
      </w:pPr>
      <w:r>
        <w:rPr>
          <w:rFonts w:hint="eastAsia" w:ascii="宋体" w:hAnsi="宋体" w:cs="宋体"/>
          <w:bCs/>
          <w:sz w:val="24"/>
          <w:highlight w:val="none"/>
        </w:rPr>
        <w:t>（3）具有履行合同所必需的设备和专业技术能力；</w:t>
      </w:r>
    </w:p>
    <w:p w14:paraId="074776C0">
      <w:pPr>
        <w:snapToGrid w:val="0"/>
        <w:spacing w:line="360" w:lineRule="auto"/>
        <w:ind w:firstLine="566" w:firstLineChars="236"/>
        <w:rPr>
          <w:rFonts w:ascii="宋体" w:hAnsi="宋体" w:cs="宋体"/>
          <w:bCs/>
          <w:sz w:val="24"/>
          <w:highlight w:val="none"/>
        </w:rPr>
      </w:pPr>
      <w:r>
        <w:rPr>
          <w:rFonts w:hint="eastAsia" w:ascii="宋体" w:hAnsi="宋体" w:cs="宋体"/>
          <w:bCs/>
          <w:sz w:val="24"/>
          <w:highlight w:val="none"/>
        </w:rPr>
        <w:t>（4）有依法缴纳税收和社会保障资金的良好记录；</w:t>
      </w:r>
    </w:p>
    <w:p w14:paraId="1A3691ED">
      <w:pPr>
        <w:snapToGrid w:val="0"/>
        <w:spacing w:line="360" w:lineRule="auto"/>
        <w:ind w:firstLine="566" w:firstLineChars="236"/>
        <w:rPr>
          <w:rFonts w:hint="eastAsia" w:ascii="宋体" w:hAnsi="宋体" w:cs="宋体"/>
          <w:bCs/>
          <w:sz w:val="24"/>
          <w:highlight w:val="none"/>
        </w:rPr>
      </w:pPr>
      <w:r>
        <w:rPr>
          <w:rFonts w:hint="eastAsia" w:ascii="宋体" w:hAnsi="宋体" w:cs="宋体"/>
          <w:bCs/>
          <w:sz w:val="24"/>
          <w:highlight w:val="none"/>
        </w:rPr>
        <w:t>（5）参加政府采购活动前三年内，在经营活动中没有重大违法记录。</w:t>
      </w:r>
    </w:p>
    <w:p w14:paraId="0E6C2603">
      <w:pPr>
        <w:snapToGrid w:val="0"/>
        <w:spacing w:line="360" w:lineRule="auto"/>
        <w:ind w:firstLine="566" w:firstLineChars="236"/>
        <w:rPr>
          <w:rFonts w:hint="eastAsia" w:eastAsia="宋体"/>
          <w:b/>
          <w:bCs w:val="0"/>
          <w:highlight w:val="none"/>
          <w:lang w:eastAsia="zh-CN"/>
        </w:rPr>
      </w:pPr>
      <w:r>
        <w:rPr>
          <w:rFonts w:hint="eastAsia" w:ascii="宋体" w:hAnsi="宋体" w:cs="宋体"/>
          <w:bCs/>
          <w:sz w:val="24"/>
          <w:highlight w:val="none"/>
        </w:rPr>
        <w:t>（二）</w:t>
      </w:r>
      <w:r>
        <w:rPr>
          <w:rFonts w:hint="eastAsia" w:ascii="宋体" w:hAnsi="宋体" w:cs="宋体"/>
          <w:b/>
          <w:bCs w:val="0"/>
          <w:sz w:val="24"/>
          <w:highlight w:val="none"/>
        </w:rPr>
        <w:t>本项目为专门面向中小企业采购的项目，供应商应为中小微企业（监狱企业及残疾人福利性单位视同小型、微型企业）</w:t>
      </w:r>
      <w:r>
        <w:rPr>
          <w:rFonts w:hint="eastAsia" w:ascii="宋体" w:hAnsi="宋体" w:cs="宋体"/>
          <w:b/>
          <w:bCs w:val="0"/>
          <w:sz w:val="24"/>
          <w:highlight w:val="none"/>
          <w:lang w:eastAsia="zh-CN"/>
        </w:rPr>
        <w:t>。</w:t>
      </w:r>
      <w:r>
        <w:rPr>
          <w:rFonts w:hint="eastAsia" w:ascii="宋体" w:hAnsi="宋体" w:cs="宋体"/>
          <w:b/>
          <w:bCs w:val="0"/>
          <w:sz w:val="24"/>
          <w:highlight w:val="none"/>
        </w:rPr>
        <w:t xml:space="preserve"> </w:t>
      </w:r>
    </w:p>
    <w:p w14:paraId="58DA983F">
      <w:pPr>
        <w:snapToGrid w:val="0"/>
        <w:spacing w:line="360" w:lineRule="auto"/>
        <w:ind w:firstLine="566" w:firstLineChars="236"/>
        <w:rPr>
          <w:rFonts w:hint="eastAsia" w:eastAsia="宋体"/>
          <w:highlight w:val="none"/>
          <w:lang w:eastAsia="zh-CN"/>
        </w:rPr>
      </w:pPr>
      <w:r>
        <w:rPr>
          <w:rFonts w:hint="eastAsia" w:ascii="宋体" w:hAnsi="宋体" w:cs="宋体"/>
          <w:bCs/>
          <w:sz w:val="24"/>
          <w:highlight w:val="none"/>
          <w:lang w:eastAsia="zh-CN"/>
        </w:rPr>
        <w:t>（三）</w:t>
      </w:r>
      <w:r>
        <w:rPr>
          <w:rFonts w:hint="eastAsia" w:ascii="宋体" w:hAnsi="宋体" w:cs="宋体"/>
          <w:bCs/>
          <w:sz w:val="24"/>
          <w:highlight w:val="none"/>
        </w:rPr>
        <w:t>本项目不接受联合体磋商。</w:t>
      </w:r>
    </w:p>
    <w:p w14:paraId="7DED5B9D">
      <w:pPr>
        <w:tabs>
          <w:tab w:val="left" w:pos="180"/>
          <w:tab w:val="left" w:pos="360"/>
          <w:tab w:val="left" w:pos="540"/>
          <w:tab w:val="left" w:pos="8280"/>
        </w:tabs>
        <w:autoSpaceDE w:val="0"/>
        <w:autoSpaceDN w:val="0"/>
        <w:spacing w:line="360" w:lineRule="auto"/>
        <w:ind w:firstLine="482" w:firstLineChars="200"/>
        <w:rPr>
          <w:rFonts w:ascii="宋体" w:hAnsi="宋体" w:cs="宋体"/>
          <w:b/>
          <w:sz w:val="24"/>
          <w:highlight w:val="none"/>
        </w:rPr>
      </w:pPr>
      <w:r>
        <w:rPr>
          <w:rFonts w:hint="eastAsia" w:ascii="宋体" w:hAnsi="宋体" w:cs="宋体"/>
          <w:b/>
          <w:sz w:val="24"/>
          <w:highlight w:val="none"/>
        </w:rPr>
        <w:t>四、磋商文件获取的方式、时间：</w:t>
      </w:r>
    </w:p>
    <w:p w14:paraId="251017F7">
      <w:pPr>
        <w:shd w:val="clear"/>
        <w:tabs>
          <w:tab w:val="left" w:pos="3360"/>
        </w:tabs>
        <w:spacing w:line="360" w:lineRule="auto"/>
        <w:ind w:firstLine="480" w:firstLineChars="200"/>
        <w:rPr>
          <w:rFonts w:ascii="宋体" w:hAnsi="宋体" w:cs="宋体"/>
          <w:color w:val="auto"/>
          <w:sz w:val="24"/>
          <w:szCs w:val="32"/>
          <w:highlight w:val="none"/>
        </w:rPr>
      </w:pPr>
      <w:r>
        <w:rPr>
          <w:rFonts w:hint="eastAsia" w:ascii="宋体" w:hAnsi="宋体" w:cs="宋体"/>
          <w:sz w:val="24"/>
          <w:highlight w:val="none"/>
        </w:rPr>
        <w:t>1、获取时间：</w:t>
      </w:r>
      <w:r>
        <w:rPr>
          <w:rFonts w:hint="eastAsia" w:ascii="宋体" w:hAnsi="宋体" w:cs="宋体"/>
          <w:color w:val="auto"/>
          <w:sz w:val="24"/>
          <w:szCs w:val="32"/>
          <w:highlight w:val="none"/>
        </w:rPr>
        <w:t>自本公告发布之日起至响应文件递交截止时间止（以供应商完成获取磋商文件申请后下载磋商文件的时间为准）。</w:t>
      </w:r>
    </w:p>
    <w:p w14:paraId="47CD491D">
      <w:pPr>
        <w:spacing w:line="360" w:lineRule="auto"/>
        <w:ind w:left="420"/>
        <w:rPr>
          <w:rFonts w:ascii="宋体" w:hAnsi="宋体" w:cs="宋体"/>
          <w:sz w:val="24"/>
          <w:highlight w:val="none"/>
        </w:rPr>
      </w:pPr>
      <w:r>
        <w:rPr>
          <w:rFonts w:hint="eastAsia" w:ascii="宋体" w:hAnsi="宋体" w:cs="宋体"/>
          <w:sz w:val="24"/>
          <w:highlight w:val="none"/>
        </w:rPr>
        <w:t xml:space="preserve">2、获取地点（网址）：政府采购云平台（www.zcygov.cn） </w:t>
      </w:r>
    </w:p>
    <w:p w14:paraId="6C518ACF">
      <w:pPr>
        <w:spacing w:line="360" w:lineRule="auto"/>
        <w:ind w:left="420"/>
        <w:rPr>
          <w:rFonts w:ascii="宋体" w:hAnsi="宋体" w:cs="宋体"/>
          <w:b/>
          <w:bCs/>
          <w:sz w:val="24"/>
          <w:highlight w:val="none"/>
        </w:rPr>
      </w:pPr>
      <w:r>
        <w:rPr>
          <w:rFonts w:hint="eastAsia" w:ascii="宋体" w:hAnsi="宋体" w:cs="宋体"/>
          <w:sz w:val="24"/>
          <w:highlight w:val="none"/>
        </w:rPr>
        <w:t>3、获取方式：</w:t>
      </w:r>
      <w:r>
        <w:rPr>
          <w:rFonts w:hint="eastAsia" w:ascii="宋体" w:hAnsi="宋体" w:cs="宋体"/>
          <w:b/>
          <w:bCs/>
          <w:sz w:val="24"/>
          <w:highlight w:val="none"/>
        </w:rPr>
        <w:t>在线获取，</w:t>
      </w:r>
      <w:r>
        <w:rPr>
          <w:rFonts w:hint="eastAsia" w:ascii="宋体" w:hAnsi="宋体" w:cs="宋体"/>
          <w:b/>
          <w:sz w:val="24"/>
          <w:highlight w:val="none"/>
        </w:rPr>
        <w:t>不提供磋商文件纸质版。</w:t>
      </w:r>
      <w:r>
        <w:rPr>
          <w:rFonts w:hint="eastAsia" w:ascii="宋体" w:hAnsi="宋体" w:cs="宋体"/>
          <w:b/>
          <w:bCs/>
          <w:sz w:val="24"/>
          <w:highlight w:val="none"/>
        </w:rPr>
        <w:t>供应商获取磋商文件前应先完成“浙江政府采购网”的账号注册。</w:t>
      </w:r>
    </w:p>
    <w:p w14:paraId="49C54540">
      <w:pPr>
        <w:spacing w:line="360" w:lineRule="auto"/>
        <w:ind w:left="420" w:firstLine="480" w:firstLineChars="200"/>
        <w:rPr>
          <w:rFonts w:ascii="宋体" w:hAnsi="宋体" w:cs="宋体"/>
          <w:sz w:val="24"/>
          <w:highlight w:val="none"/>
        </w:rPr>
      </w:pPr>
      <w:r>
        <w:rPr>
          <w:rFonts w:hint="eastAsia" w:ascii="宋体" w:hAnsi="宋体" w:cs="宋体"/>
          <w:sz w:val="24"/>
          <w:highlight w:val="none"/>
        </w:rPr>
        <w:t>潜在供应商登陆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14:paraId="3B58C6F5">
      <w:pPr>
        <w:spacing w:line="360" w:lineRule="auto"/>
        <w:ind w:left="420"/>
        <w:rPr>
          <w:rFonts w:ascii="宋体" w:hAnsi="宋体" w:cs="宋体"/>
          <w:sz w:val="24"/>
          <w:highlight w:val="none"/>
        </w:rPr>
      </w:pPr>
      <w:r>
        <w:rPr>
          <w:rFonts w:hint="eastAsia" w:ascii="宋体" w:hAnsi="宋体" w:cs="宋体"/>
          <w:sz w:val="24"/>
          <w:highlight w:val="none"/>
        </w:rPr>
        <w:t xml:space="preserve">4、售价（元）：0 </w:t>
      </w:r>
    </w:p>
    <w:p w14:paraId="6EBEF234">
      <w:pPr>
        <w:spacing w:line="360" w:lineRule="auto"/>
        <w:ind w:firstLine="480" w:firstLineChars="200"/>
        <w:rPr>
          <w:rFonts w:ascii="宋体" w:hAnsi="宋体" w:cs="宋体"/>
          <w:sz w:val="24"/>
          <w:highlight w:val="none"/>
        </w:rPr>
      </w:pPr>
      <w:r>
        <w:rPr>
          <w:rFonts w:hint="eastAsia" w:ascii="宋体" w:hAnsi="宋体" w:cs="宋体"/>
          <w:sz w:val="24"/>
          <w:highlight w:val="none"/>
        </w:rPr>
        <w:t>5、</w:t>
      </w:r>
      <w:r>
        <w:rPr>
          <w:rStyle w:val="31"/>
          <w:rFonts w:hint="eastAsia" w:ascii="宋体" w:hAnsi="宋体" w:cs="宋体"/>
          <w:b w:val="0"/>
          <w:highlight w:val="none"/>
        </w:rPr>
        <w:t>供应商网上报名操作指南：“浙江政府采购网-办事指南-省采中心-网上报名”（http://zfcg.czt.zj.gov.cn/bs_other/2018-03-30/12002.html）。</w:t>
      </w:r>
    </w:p>
    <w:p w14:paraId="4101E5FC">
      <w:pPr>
        <w:pStyle w:val="26"/>
        <w:spacing w:beforeAutospacing="0" w:afterAutospacing="0" w:line="360" w:lineRule="auto"/>
        <w:ind w:firstLine="480" w:firstLineChars="200"/>
        <w:rPr>
          <w:rFonts w:cs="宋体"/>
          <w:highlight w:val="none"/>
        </w:rPr>
      </w:pPr>
      <w:r>
        <w:rPr>
          <w:rStyle w:val="31"/>
          <w:rFonts w:hint="eastAsia" w:ascii="宋体" w:hAnsi="宋体" w:cs="宋体"/>
          <w:b w:val="0"/>
          <w:highlight w:val="none"/>
        </w:rPr>
        <w:t>6、供应商获取招标文件时须提交的文件资料：无；</w:t>
      </w:r>
    </w:p>
    <w:p w14:paraId="25A4F224">
      <w:pPr>
        <w:pStyle w:val="26"/>
        <w:spacing w:beforeAutospacing="0" w:afterAutospacing="0" w:line="360" w:lineRule="auto"/>
        <w:ind w:firstLine="482" w:firstLineChars="200"/>
        <w:rPr>
          <w:rStyle w:val="31"/>
          <w:rFonts w:ascii="宋体" w:hAnsi="宋体" w:cs="宋体"/>
          <w:highlight w:val="none"/>
        </w:rPr>
      </w:pPr>
      <w:r>
        <w:rPr>
          <w:rStyle w:val="31"/>
          <w:rFonts w:hint="eastAsia" w:ascii="宋体" w:hAnsi="宋体" w:cs="宋体"/>
          <w:highlight w:val="none"/>
        </w:rPr>
        <w:t>7、提示：</w:t>
      </w:r>
    </w:p>
    <w:p w14:paraId="4F3A469F">
      <w:pPr>
        <w:pStyle w:val="26"/>
        <w:spacing w:beforeAutospacing="0" w:afterAutospacing="0" w:line="360" w:lineRule="auto"/>
        <w:ind w:firstLine="482" w:firstLineChars="200"/>
        <w:rPr>
          <w:rFonts w:cs="宋体"/>
          <w:highlight w:val="none"/>
        </w:rPr>
      </w:pPr>
      <w:r>
        <w:rPr>
          <w:rStyle w:val="31"/>
          <w:rFonts w:hint="eastAsia" w:ascii="宋体" w:hAnsi="宋体" w:cs="宋体"/>
          <w:highlight w:val="none"/>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5E025677">
      <w:pPr>
        <w:pStyle w:val="26"/>
        <w:spacing w:beforeAutospacing="0" w:afterAutospacing="0" w:line="360" w:lineRule="auto"/>
        <w:ind w:firstLine="480"/>
        <w:rPr>
          <w:rStyle w:val="31"/>
          <w:rFonts w:ascii="宋体" w:hAnsi="宋体" w:cs="宋体"/>
          <w:highlight w:val="none"/>
        </w:rPr>
      </w:pPr>
      <w:r>
        <w:rPr>
          <w:rStyle w:val="31"/>
          <w:rFonts w:hint="eastAsia" w:ascii="宋体" w:hAnsi="宋体" w:cs="宋体"/>
          <w:highlight w:val="none"/>
        </w:rPr>
        <w:t>（2）采购人、采购机构将依托政采云平台完成本项目的电子交易活动，平台不接受未按上述方式获取招标文件的供应商进行投标活动；</w:t>
      </w:r>
    </w:p>
    <w:p w14:paraId="604314F7">
      <w:pPr>
        <w:pStyle w:val="26"/>
        <w:spacing w:beforeAutospacing="0" w:afterAutospacing="0" w:line="360" w:lineRule="auto"/>
        <w:ind w:firstLine="480"/>
        <w:rPr>
          <w:rStyle w:val="31"/>
          <w:rFonts w:ascii="宋体" w:hAnsi="宋体" w:cs="宋体"/>
          <w:highlight w:val="none"/>
        </w:rPr>
      </w:pPr>
      <w:r>
        <w:rPr>
          <w:rStyle w:val="31"/>
          <w:rFonts w:hint="eastAsia" w:ascii="宋体" w:hAnsi="宋体" w:cs="宋体"/>
          <w:highlight w:val="none"/>
        </w:rPr>
        <w:t>（3）对未按上述方式获取招标文件的供应商对该文件提出的质疑，采购人或采购代理机构将不予处理；</w:t>
      </w:r>
    </w:p>
    <w:p w14:paraId="3ED6AF18">
      <w:pPr>
        <w:pStyle w:val="26"/>
        <w:spacing w:beforeAutospacing="0" w:afterAutospacing="0" w:line="360" w:lineRule="auto"/>
        <w:ind w:firstLine="480"/>
        <w:rPr>
          <w:rStyle w:val="31"/>
          <w:rFonts w:ascii="宋体" w:hAnsi="宋体" w:cs="宋体"/>
          <w:highlight w:val="none"/>
        </w:rPr>
      </w:pPr>
      <w:r>
        <w:rPr>
          <w:rStyle w:val="31"/>
          <w:rFonts w:hint="eastAsia" w:ascii="宋体" w:hAnsi="宋体" w:cs="宋体"/>
          <w:highlight w:val="none"/>
        </w:rPr>
        <w:t>（4）请供应商按上述要求获取招标文件，如未在“政府采购云平台”系统内完成相关流程，引起的投标无效责任自负。</w:t>
      </w:r>
    </w:p>
    <w:p w14:paraId="1E4A691C">
      <w:pPr>
        <w:spacing w:line="360" w:lineRule="auto"/>
        <w:ind w:firstLine="482" w:firstLineChars="200"/>
        <w:rPr>
          <w:rStyle w:val="31"/>
          <w:rFonts w:ascii="宋体" w:hAnsi="宋体" w:cs="宋体"/>
          <w:kern w:val="0"/>
          <w:highlight w:val="none"/>
        </w:rPr>
      </w:pPr>
      <w:r>
        <w:rPr>
          <w:rStyle w:val="31"/>
          <w:rFonts w:hint="eastAsia" w:ascii="宋体" w:hAnsi="宋体" w:cs="宋体"/>
          <w:kern w:val="0"/>
          <w:highlight w:val="none"/>
        </w:rPr>
        <w:t>注：在网上报名过程中如有任何疑问，请及时联系“政采云”平台客服：400-881-7190</w:t>
      </w:r>
    </w:p>
    <w:p w14:paraId="49ED6984">
      <w:pPr>
        <w:tabs>
          <w:tab w:val="left" w:pos="180"/>
          <w:tab w:val="left" w:pos="360"/>
          <w:tab w:val="left" w:pos="540"/>
          <w:tab w:val="left" w:pos="8280"/>
        </w:tabs>
        <w:autoSpaceDE w:val="0"/>
        <w:autoSpaceDN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五、招标答疑会</w:t>
      </w:r>
    </w:p>
    <w:p w14:paraId="69AB26B3">
      <w:pPr>
        <w:tabs>
          <w:tab w:val="left" w:pos="180"/>
          <w:tab w:val="left" w:pos="360"/>
          <w:tab w:val="left" w:pos="540"/>
          <w:tab w:val="left" w:pos="8280"/>
        </w:tabs>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不组织。</w:t>
      </w:r>
    </w:p>
    <w:p w14:paraId="2DD7EF66">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b/>
          <w:kern w:val="0"/>
          <w:sz w:val="24"/>
          <w:highlight w:val="none"/>
        </w:rPr>
      </w:pPr>
      <w:r>
        <w:rPr>
          <w:rFonts w:hint="eastAsia" w:ascii="宋体" w:hAnsi="宋体" w:cs="宋体"/>
          <w:b/>
          <w:sz w:val="24"/>
          <w:highlight w:val="none"/>
        </w:rPr>
        <w:t>六、</w:t>
      </w:r>
      <w:r>
        <w:rPr>
          <w:rFonts w:hint="eastAsia" w:ascii="宋体" w:hAnsi="宋体" w:cs="宋体"/>
          <w:b/>
          <w:kern w:val="0"/>
          <w:sz w:val="24"/>
          <w:highlight w:val="none"/>
        </w:rPr>
        <w:t>响应文件递交截止时间及磋商开始时间、地点：</w:t>
      </w:r>
      <w:bookmarkStart w:id="1" w:name="_GoBack"/>
      <w:bookmarkEnd w:id="1"/>
    </w:p>
    <w:p w14:paraId="6CD10C8E">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b/>
          <w:bCs/>
          <w:sz w:val="24"/>
          <w:highlight w:val="none"/>
        </w:rPr>
        <w:t>磋商截止时间与地点</w:t>
      </w:r>
      <w:r>
        <w:rPr>
          <w:rFonts w:hint="eastAsia" w:ascii="宋体" w:hAnsi="宋体" w:cs="宋体"/>
          <w:sz w:val="24"/>
          <w:highlight w:val="none"/>
        </w:rPr>
        <w:t>：</w:t>
      </w:r>
      <w:r>
        <w:rPr>
          <w:rFonts w:hint="eastAsia" w:cs="宋体"/>
          <w:sz w:val="24"/>
          <w:highlight w:val="none"/>
          <w:lang w:eastAsia="zh-CN"/>
        </w:rPr>
        <w:t>2025年3月21日</w:t>
      </w:r>
      <w:r>
        <w:rPr>
          <w:rFonts w:hint="eastAsia" w:cs="宋体"/>
          <w:sz w:val="24"/>
          <w:highlight w:val="none"/>
        </w:rPr>
        <w:t xml:space="preserve"> </w:t>
      </w:r>
      <w:r>
        <w:rPr>
          <w:rFonts w:hint="eastAsia" w:cs="宋体"/>
          <w:sz w:val="24"/>
          <w:highlight w:val="none"/>
          <w:lang w:val="en-US" w:eastAsia="zh-CN"/>
        </w:rPr>
        <w:t>09</w:t>
      </w:r>
      <w:r>
        <w:rPr>
          <w:rFonts w:hint="eastAsia" w:cs="宋体"/>
          <w:sz w:val="24"/>
          <w:highlight w:val="none"/>
        </w:rPr>
        <w:t>:00</w:t>
      </w:r>
      <w:r>
        <w:rPr>
          <w:rFonts w:hint="eastAsia" w:ascii="宋体" w:hAnsi="宋体" w:cs="宋体"/>
          <w:sz w:val="24"/>
          <w:highlight w:val="none"/>
        </w:rPr>
        <w:t>（北京时间），地点（网址）：政府采购云平台（www.zcygov.cn） 实行在线投标响应</w:t>
      </w:r>
    </w:p>
    <w:p w14:paraId="0AA13DD3">
      <w:pPr>
        <w:pStyle w:val="26"/>
        <w:spacing w:line="360" w:lineRule="auto"/>
        <w:ind w:firstLine="482" w:firstLineChars="200"/>
        <w:rPr>
          <w:rFonts w:cs="宋体"/>
          <w:highlight w:val="none"/>
        </w:rPr>
      </w:pPr>
      <w:r>
        <w:rPr>
          <w:rFonts w:hint="eastAsia" w:cs="宋体"/>
          <w:b/>
          <w:bCs/>
          <w:highlight w:val="none"/>
        </w:rPr>
        <w:t>2、磋商时间及地点</w:t>
      </w:r>
      <w:r>
        <w:rPr>
          <w:rFonts w:hint="eastAsia" w:cs="宋体"/>
          <w:highlight w:val="none"/>
        </w:rPr>
        <w:t>：</w:t>
      </w:r>
      <w:r>
        <w:rPr>
          <w:rFonts w:hint="eastAsia" w:cs="宋体"/>
          <w:highlight w:val="none"/>
          <w:lang w:eastAsia="zh-CN"/>
        </w:rPr>
        <w:t>2025年3月21日</w:t>
      </w:r>
      <w:r>
        <w:rPr>
          <w:rFonts w:hint="eastAsia" w:cs="宋体"/>
          <w:highlight w:val="none"/>
          <w:lang w:val="en-US" w:eastAsia="zh-CN"/>
        </w:rPr>
        <w:t>09</w:t>
      </w:r>
      <w:r>
        <w:rPr>
          <w:rFonts w:hint="eastAsia" w:cs="宋体"/>
          <w:highlight w:val="none"/>
        </w:rPr>
        <w:t>:00 （北京时间），地点（网址）：政府采购云平台（www.zcygov.cn） 实行在线投标响应</w:t>
      </w:r>
    </w:p>
    <w:p w14:paraId="1FC58FC7">
      <w:pPr>
        <w:pStyle w:val="26"/>
        <w:spacing w:line="360" w:lineRule="auto"/>
        <w:ind w:firstLine="482" w:firstLineChars="200"/>
        <w:rPr>
          <w:rFonts w:cs="宋体"/>
          <w:highlight w:val="none"/>
        </w:rPr>
      </w:pPr>
      <w:r>
        <w:rPr>
          <w:rFonts w:hint="eastAsia" w:cs="宋体"/>
          <w:b/>
          <w:bCs/>
          <w:highlight w:val="none"/>
        </w:rPr>
        <w:t>3、解密截止时间</w:t>
      </w:r>
      <w:r>
        <w:rPr>
          <w:rFonts w:hint="eastAsia" w:cs="宋体"/>
          <w:highlight w:val="none"/>
        </w:rPr>
        <w:t>：</w:t>
      </w:r>
      <w:r>
        <w:rPr>
          <w:rFonts w:hint="eastAsia" w:cs="宋体"/>
          <w:b/>
          <w:bCs/>
          <w:highlight w:val="none"/>
          <w:u w:val="single"/>
        </w:rPr>
        <w:t>开标时间后30分钟内（即</w:t>
      </w:r>
      <w:r>
        <w:rPr>
          <w:rFonts w:hint="eastAsia" w:cs="宋体"/>
          <w:b/>
          <w:bCs/>
          <w:highlight w:val="none"/>
          <w:u w:val="single"/>
          <w:lang w:eastAsia="zh-CN"/>
        </w:rPr>
        <w:t>2025年3月21日</w:t>
      </w:r>
      <w:r>
        <w:rPr>
          <w:rFonts w:hint="eastAsia" w:cs="宋体"/>
          <w:b/>
          <w:bCs/>
          <w:highlight w:val="none"/>
          <w:u w:val="single"/>
          <w:lang w:val="en-US" w:eastAsia="zh-CN"/>
        </w:rPr>
        <w:t>09：30</w:t>
      </w:r>
      <w:r>
        <w:rPr>
          <w:rFonts w:hint="eastAsia" w:cs="宋体"/>
          <w:b/>
          <w:bCs/>
          <w:highlight w:val="none"/>
          <w:u w:val="single"/>
        </w:rPr>
        <w:t>前），供应商须登录“政采云”平台，用“项目采购-开标评标”功能解密投标文件，投标人未按时解密或解密失败的，其投标文件为无效标。</w:t>
      </w:r>
    </w:p>
    <w:p w14:paraId="5B3BAA64">
      <w:pPr>
        <w:pStyle w:val="9"/>
        <w:spacing w:line="360" w:lineRule="auto"/>
        <w:ind w:firstLine="436" w:firstLineChars="181"/>
        <w:rPr>
          <w:rFonts w:ascii="宋体" w:hAnsi="宋体" w:cs="宋体"/>
          <w:b/>
          <w:sz w:val="24"/>
          <w:szCs w:val="24"/>
          <w:highlight w:val="none"/>
        </w:rPr>
      </w:pPr>
      <w:r>
        <w:rPr>
          <w:rFonts w:hint="eastAsia" w:ascii="宋体" w:hAnsi="宋体" w:cs="宋体"/>
          <w:b/>
          <w:sz w:val="24"/>
          <w:szCs w:val="24"/>
          <w:highlight w:val="none"/>
        </w:rPr>
        <w:t>七、投标保证金：</w:t>
      </w:r>
    </w:p>
    <w:p w14:paraId="59D3DAD7">
      <w:pPr>
        <w:pStyle w:val="9"/>
        <w:spacing w:line="360" w:lineRule="auto"/>
        <w:ind w:firstLine="470" w:firstLineChars="196"/>
        <w:rPr>
          <w:rFonts w:ascii="宋体" w:hAnsi="宋体" w:cs="宋体"/>
          <w:sz w:val="24"/>
          <w:szCs w:val="24"/>
          <w:highlight w:val="none"/>
        </w:rPr>
      </w:pPr>
      <w:r>
        <w:rPr>
          <w:rFonts w:hint="eastAsia" w:ascii="宋体" w:hAnsi="宋体" w:cs="宋体"/>
          <w:sz w:val="24"/>
          <w:szCs w:val="24"/>
          <w:highlight w:val="none"/>
        </w:rPr>
        <w:t>本项目不需要交纳磋商保证金。</w:t>
      </w:r>
    </w:p>
    <w:p w14:paraId="463274C7">
      <w:pPr>
        <w:pStyle w:val="2"/>
        <w:ind w:firstLine="482" w:firstLineChars="200"/>
        <w:rPr>
          <w:rFonts w:ascii="宋体" w:hAnsi="宋体" w:cs="宋体"/>
          <w:sz w:val="24"/>
          <w:highlight w:val="none"/>
        </w:rPr>
      </w:pPr>
      <w:r>
        <w:rPr>
          <w:rFonts w:hint="eastAsia" w:ascii="宋体" w:hAnsi="宋体" w:cs="宋体"/>
          <w:b/>
          <w:snapToGrid w:val="0"/>
          <w:kern w:val="28"/>
          <w:sz w:val="24"/>
          <w:highlight w:val="none"/>
        </w:rPr>
        <w:t>八、电子招投标的说明</w:t>
      </w:r>
    </w:p>
    <w:p w14:paraId="11E1A516">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1、本项目实行电子招投标，通过“政府采购云平台（www.zcygov.cn）”实行在线投标响应（电子投标），供应商应先安装“政采云电子交易客户端”，并按照本项目招标文件和“政府采购云平台”的相关要求，通过“政采云电子交易客户端”编制并加密投标文件。</w:t>
      </w:r>
      <w:r>
        <w:rPr>
          <w:rFonts w:hint="eastAsia" w:ascii="宋体" w:hAnsi="宋体" w:cs="宋体"/>
          <w:b/>
          <w:bCs/>
          <w:sz w:val="24"/>
          <w:highlight w:val="none"/>
        </w:rPr>
        <w:t>供应商未按规定加密的投标文件，“政府采购云平台”将予以拒收。</w:t>
      </w:r>
      <w:r>
        <w:rPr>
          <w:rFonts w:hint="eastAsia" w:ascii="宋体" w:hAnsi="宋体" w:cs="宋体"/>
          <w:sz w:val="24"/>
          <w:highlight w:val="none"/>
        </w:rPr>
        <w:t>通过“政府采购云平台”参与在线投标时如遇平台技术问题详询400-881-7190。</w:t>
      </w:r>
    </w:p>
    <w:p w14:paraId="3D56AED1">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2、为确保投标的合法、有效和安全，供应商应当在磋商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sz w:val="24"/>
          <w:highlight w:val="none"/>
        </w:rPr>
        <w:t>完成CA数字证书办理时间预计一周左右，请各投标人自行把握时间。</w:t>
      </w:r>
    </w:p>
    <w:p w14:paraId="54318355">
      <w:pPr>
        <w:snapToGrid w:val="0"/>
        <w:spacing w:line="440" w:lineRule="exact"/>
        <w:ind w:firstLine="480" w:firstLineChars="200"/>
        <w:rPr>
          <w:rFonts w:ascii="宋体" w:hAnsi="宋体" w:cs="宋体"/>
          <w:sz w:val="24"/>
          <w:highlight w:val="none"/>
        </w:rPr>
      </w:pPr>
      <w:r>
        <w:rPr>
          <w:rFonts w:hint="eastAsia" w:ascii="宋体" w:hAnsi="宋体" w:cs="宋体"/>
          <w:sz w:val="24"/>
          <w:highlight w:val="none"/>
        </w:rPr>
        <w:t>3、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14:paraId="3564DAFF">
      <w:pPr>
        <w:snapToGrid w:val="0"/>
        <w:spacing w:line="440" w:lineRule="exact"/>
        <w:ind w:firstLine="480" w:firstLineChars="200"/>
        <w:rPr>
          <w:rFonts w:ascii="宋体" w:hAnsi="宋体" w:cs="宋体"/>
          <w:b/>
          <w:bCs/>
          <w:sz w:val="24"/>
          <w:highlight w:val="none"/>
        </w:rPr>
      </w:pPr>
      <w:r>
        <w:rPr>
          <w:rFonts w:hint="eastAsia" w:ascii="宋体" w:hAnsi="宋体" w:cs="宋体"/>
          <w:sz w:val="24"/>
          <w:highlight w:val="none"/>
        </w:rPr>
        <w:t>4、供应商应当在磋商截止时间前完成电子投标文件的上传，磋商截止时间前可以补充、修改或者撤回电子投标文件。补充或者修改电子磋商响应文件的，应当先行撤回原文件，补充、修改后重新上传。磋商截止时间前未完成上传的，视为撤回投标文件。</w:t>
      </w:r>
      <w:r>
        <w:rPr>
          <w:rFonts w:hint="eastAsia" w:ascii="宋体" w:hAnsi="宋体" w:cs="宋体"/>
          <w:b/>
          <w:bCs/>
          <w:sz w:val="24"/>
          <w:highlight w:val="none"/>
        </w:rPr>
        <w:t>磋商截止时间后传输、递交的投标文件，将被拒收。</w:t>
      </w:r>
    </w:p>
    <w:p w14:paraId="42845AB3">
      <w:pPr>
        <w:snapToGrid w:val="0"/>
        <w:spacing w:line="440" w:lineRule="exact"/>
        <w:ind w:firstLine="480" w:firstLineChars="200"/>
        <w:rPr>
          <w:rFonts w:ascii="宋体" w:hAnsi="宋体" w:cs="宋体"/>
          <w:b/>
          <w:bCs/>
          <w:color w:val="000000"/>
          <w:sz w:val="24"/>
          <w:highlight w:val="none"/>
        </w:rPr>
      </w:pPr>
      <w:r>
        <w:rPr>
          <w:rFonts w:hint="eastAsia" w:ascii="宋体" w:hAnsi="宋体" w:cs="宋体"/>
          <w:sz w:val="24"/>
          <w:highlight w:val="none"/>
        </w:rPr>
        <w:t>5、现阶段为电子交易试运行阶段，为保证项目顺利开展，</w:t>
      </w:r>
      <w:r>
        <w:rPr>
          <w:rFonts w:hint="eastAsia" w:ascii="宋体" w:hAnsi="宋体" w:cs="宋体"/>
          <w:b/>
          <w:bCs/>
          <w:sz w:val="24"/>
          <w:highlight w:val="none"/>
        </w:rPr>
        <w:t>本项目需要投</w:t>
      </w:r>
      <w:r>
        <w:rPr>
          <w:rFonts w:hint="eastAsia" w:ascii="宋体" w:hAnsi="宋体" w:cs="宋体"/>
          <w:b/>
          <w:bCs/>
          <w:color w:val="000000"/>
          <w:sz w:val="24"/>
          <w:highlight w:val="none"/>
        </w:rPr>
        <w:t>标人同时提供电子备份标书（后缀名为“.bfbs”，以U盘或光盘等形式提供）和纸质磋商响应文件</w:t>
      </w:r>
      <w:r>
        <w:rPr>
          <w:rStyle w:val="33"/>
          <w:rFonts w:hint="eastAsia" w:cs="Arial" w:asciiTheme="minorEastAsia" w:hAnsiTheme="minorEastAsia" w:eastAsiaTheme="minorEastAsia"/>
          <w:b/>
          <w:bCs/>
          <w:color w:val="auto"/>
          <w:sz w:val="24"/>
          <w:highlight w:val="none"/>
        </w:rPr>
        <w:t>（自愿提供，非实质性要求，因无法读取的后果由投标人自行承担）</w:t>
      </w:r>
      <w:r>
        <w:rPr>
          <w:rFonts w:hint="eastAsia" w:ascii="宋体" w:hAnsi="宋体" w:cs="宋体"/>
          <w:b/>
          <w:bCs/>
          <w:color w:val="000000"/>
          <w:sz w:val="24"/>
          <w:highlight w:val="none"/>
        </w:rPr>
        <w:t>，</w:t>
      </w:r>
      <w:r>
        <w:rPr>
          <w:rFonts w:hint="eastAsia" w:ascii="宋体" w:hAnsi="宋体" w:cs="宋体"/>
          <w:color w:val="000000"/>
          <w:sz w:val="24"/>
          <w:highlight w:val="none"/>
        </w:rPr>
        <w:t>按要求各自装袋密封并在</w:t>
      </w:r>
      <w:r>
        <w:rPr>
          <w:rFonts w:hint="eastAsia" w:ascii="宋体" w:hAnsi="宋体" w:cs="宋体"/>
          <w:sz w:val="24"/>
          <w:highlight w:val="none"/>
        </w:rPr>
        <w:t>磋商截止时间</w:t>
      </w:r>
      <w:r>
        <w:rPr>
          <w:rFonts w:hint="eastAsia" w:ascii="宋体" w:hAnsi="宋体" w:cs="宋体"/>
          <w:color w:val="000000"/>
          <w:sz w:val="24"/>
          <w:highlight w:val="none"/>
        </w:rPr>
        <w:t>前通过邮寄方式</w:t>
      </w:r>
      <w:r>
        <w:rPr>
          <w:rFonts w:hint="eastAsia" w:ascii="宋体" w:hAnsi="宋体" w:cs="宋体"/>
          <w:sz w:val="24"/>
          <w:highlight w:val="none"/>
        </w:rPr>
        <w:t>送至</w:t>
      </w:r>
      <w:r>
        <w:rPr>
          <w:rFonts w:hint="eastAsia" w:ascii="宋体" w:hAnsi="宋体" w:cs="宋体"/>
          <w:sz w:val="24"/>
          <w:highlight w:val="none"/>
          <w:lang w:eastAsia="zh-CN"/>
        </w:rPr>
        <w:t>台州市建航工程管理有限公司</w:t>
      </w:r>
      <w:r>
        <w:rPr>
          <w:rFonts w:hint="eastAsia" w:ascii="宋体" w:hAnsi="宋体" w:cs="宋体"/>
          <w:sz w:val="24"/>
          <w:highlight w:val="none"/>
        </w:rPr>
        <w:t>（地址：</w:t>
      </w:r>
      <w:r>
        <w:rPr>
          <w:rFonts w:hint="eastAsia" w:ascii="宋体" w:hAnsi="宋体" w:cs="宋体"/>
          <w:szCs w:val="21"/>
          <w:highlight w:val="none"/>
        </w:rPr>
        <w:t>浙江省台州市经济开发区天和路95号天和大厦B幢1104</w:t>
      </w:r>
      <w:r>
        <w:rPr>
          <w:rFonts w:hint="eastAsia" w:ascii="宋体" w:hAnsi="宋体" w:cs="宋体"/>
          <w:sz w:val="24"/>
          <w:highlight w:val="none"/>
        </w:rPr>
        <w:t>）</w:t>
      </w:r>
      <w:r>
        <w:rPr>
          <w:rFonts w:hint="eastAsia" w:ascii="宋体" w:hAnsi="宋体" w:cs="宋体"/>
          <w:color w:val="000000"/>
          <w:sz w:val="24"/>
          <w:highlight w:val="none"/>
        </w:rPr>
        <w:t>，</w:t>
      </w:r>
      <w:r>
        <w:rPr>
          <w:rFonts w:hint="eastAsia" w:ascii="宋体" w:hAnsi="宋体" w:cs="宋体"/>
          <w:b/>
          <w:bCs/>
          <w:color w:val="000000"/>
          <w:sz w:val="24"/>
          <w:highlight w:val="none"/>
        </w:rPr>
        <w:t>请充分考虑快递运输所需的时间，确保在磋商截止时间前送达，逾期寄达或未按要求密封将被拒收。</w:t>
      </w:r>
    </w:p>
    <w:p w14:paraId="3C057F5B">
      <w:pPr>
        <w:pStyle w:val="2"/>
        <w:spacing w:line="360" w:lineRule="auto"/>
        <w:ind w:firstLine="480" w:firstLineChars="200"/>
        <w:rPr>
          <w:rFonts w:ascii="宋体" w:hAnsi="宋体" w:cs="宋体"/>
          <w:color w:val="000000"/>
          <w:sz w:val="24"/>
          <w:highlight w:val="none"/>
        </w:rPr>
      </w:pPr>
      <w:r>
        <w:rPr>
          <w:rFonts w:hint="eastAsia"/>
          <w:sz w:val="24"/>
          <w:highlight w:val="none"/>
        </w:rPr>
        <w:t>▲</w:t>
      </w:r>
      <w:r>
        <w:rPr>
          <w:rFonts w:hint="eastAsia" w:ascii="宋体" w:hAnsi="宋体" w:cs="宋体"/>
          <w:color w:val="000000"/>
          <w:sz w:val="24"/>
          <w:highlight w:val="none"/>
        </w:rPr>
        <w:t>6、投标文件启用顺序和效力：</w:t>
      </w:r>
      <w:r>
        <w:rPr>
          <w:rFonts w:hint="eastAsia" w:ascii="宋体" w:hAnsi="宋体" w:cs="宋体"/>
          <w:b/>
          <w:bCs/>
          <w:color w:val="000000"/>
          <w:sz w:val="24"/>
          <w:highlight w:val="none"/>
        </w:rPr>
        <w:t>投标文件的启用，按先后顺位分别为电子投标文件、备份投标文件。</w:t>
      </w:r>
      <w:r>
        <w:rPr>
          <w:rFonts w:hint="eastAsia" w:ascii="宋体" w:hAnsi="宋体" w:cs="宋体"/>
          <w:color w:val="000000"/>
          <w:sz w:val="24"/>
          <w:highlight w:val="none"/>
        </w:rPr>
        <w:t>全部投标人的电子投标文件均已按时解密的，电子备份文件和纸质备份投标文件自动失效，若有供应商发生解密异常时，可以申请由采购代理机构使用电子备份标书上传处理，供应商的电子标书解密和备份标书解密均失败或逾期解密的，投标文件将作无效标处理。</w:t>
      </w:r>
      <w:r>
        <w:rPr>
          <w:rFonts w:hint="eastAsia" w:ascii="宋体" w:hAnsi="宋体" w:cs="宋体"/>
          <w:b/>
          <w:bCs/>
          <w:color w:val="000000"/>
          <w:sz w:val="24"/>
          <w:highlight w:val="none"/>
          <w:u w:val="single"/>
        </w:rPr>
        <w:t>投标人仅提交备份投标文件，没有在电子交易平台传输递交“电子加密投标文件”的，投标无效。</w:t>
      </w:r>
    </w:p>
    <w:p w14:paraId="54EB3F18">
      <w:pPr>
        <w:spacing w:line="360" w:lineRule="auto"/>
        <w:ind w:firstLine="482" w:firstLineChars="200"/>
        <w:rPr>
          <w:rFonts w:ascii="宋体" w:hAnsi="宋体" w:cs="宋体"/>
          <w:b/>
          <w:sz w:val="24"/>
          <w:highlight w:val="none"/>
        </w:rPr>
      </w:pPr>
      <w:r>
        <w:rPr>
          <w:rFonts w:hint="eastAsia" w:ascii="宋体" w:hAnsi="宋体" w:cs="宋体"/>
          <w:b/>
          <w:sz w:val="24"/>
          <w:highlight w:val="none"/>
        </w:rPr>
        <w:t>九、投标人信用信息查询渠道及截止时点、信用信息查询记录和证据留存的具体方式、信用信息的使用规则：</w:t>
      </w:r>
    </w:p>
    <w:p w14:paraId="3BE8EDD9">
      <w:pPr>
        <w:numPr>
          <w:ilvl w:val="0"/>
          <w:numId w:val="5"/>
        </w:numPr>
        <w:spacing w:line="360" w:lineRule="auto"/>
        <w:ind w:left="0" w:firstLine="480" w:firstLineChars="200"/>
        <w:rPr>
          <w:rFonts w:ascii="宋体" w:hAnsi="宋体" w:cs="宋体"/>
          <w:sz w:val="24"/>
          <w:highlight w:val="none"/>
        </w:rPr>
      </w:pPr>
      <w:r>
        <w:rPr>
          <w:rFonts w:hint="eastAsia" w:ascii="宋体" w:hAnsi="宋体" w:cs="宋体"/>
          <w:sz w:val="24"/>
          <w:highlight w:val="none"/>
        </w:rPr>
        <w:t>查询渠道：</w:t>
      </w:r>
      <w:r>
        <w:rPr>
          <w:rFonts w:hint="eastAsia" w:ascii="宋体" w:hAnsi="宋体" w:cs="宋体"/>
          <w:kern w:val="0"/>
          <w:sz w:val="24"/>
          <w:highlight w:val="none"/>
        </w:rPr>
        <w:t>信用中国（www.creditchina.gov.cn）、中国政府采购网（www.ccgp.gov.cn）、国家企业信用信息公示系统（www.gsxt.gov.cn）</w:t>
      </w:r>
      <w:r>
        <w:rPr>
          <w:rFonts w:hint="eastAsia" w:ascii="宋体" w:hAnsi="宋体" w:cs="宋体"/>
          <w:sz w:val="24"/>
          <w:highlight w:val="none"/>
        </w:rPr>
        <w:t>。</w:t>
      </w:r>
    </w:p>
    <w:p w14:paraId="4E6D9EBB">
      <w:pPr>
        <w:numPr>
          <w:ilvl w:val="0"/>
          <w:numId w:val="5"/>
        </w:numPr>
        <w:spacing w:line="360" w:lineRule="auto"/>
        <w:ind w:left="0" w:firstLine="480" w:firstLineChars="200"/>
        <w:rPr>
          <w:rFonts w:ascii="宋体" w:hAnsi="宋体" w:cs="宋体"/>
          <w:b/>
          <w:bCs/>
          <w:sz w:val="24"/>
          <w:highlight w:val="none"/>
          <w:shd w:val="clear" w:color="FFFFFF" w:fill="D9D9D9"/>
        </w:rPr>
      </w:pPr>
      <w:r>
        <w:rPr>
          <w:rFonts w:hint="eastAsia" w:ascii="宋体" w:hAnsi="宋体" w:cs="宋体"/>
          <w:sz w:val="24"/>
          <w:highlight w:val="none"/>
        </w:rPr>
        <w:t>截止时点：开标后评标前。</w:t>
      </w:r>
    </w:p>
    <w:p w14:paraId="4D747CDC">
      <w:pPr>
        <w:numPr>
          <w:ilvl w:val="0"/>
          <w:numId w:val="5"/>
        </w:numPr>
        <w:spacing w:line="360" w:lineRule="auto"/>
        <w:ind w:left="0" w:firstLine="480" w:firstLineChars="200"/>
        <w:rPr>
          <w:rFonts w:ascii="宋体" w:hAnsi="宋体" w:cs="宋体"/>
          <w:sz w:val="24"/>
          <w:highlight w:val="none"/>
        </w:rPr>
      </w:pPr>
      <w:r>
        <w:rPr>
          <w:rFonts w:hint="eastAsia" w:ascii="宋体" w:hAnsi="宋体" w:cs="宋体"/>
          <w:sz w:val="24"/>
          <w:highlight w:val="none"/>
        </w:rPr>
        <w:t>信用信息查询记录和证据留存的具体方式：由采购组织机构在规定查询时间内打印信用信息查询记录并归入项目档案。</w:t>
      </w:r>
    </w:p>
    <w:p w14:paraId="66AE733C">
      <w:pPr>
        <w:numPr>
          <w:ilvl w:val="0"/>
          <w:numId w:val="5"/>
        </w:numPr>
        <w:spacing w:line="360" w:lineRule="auto"/>
        <w:ind w:left="0" w:firstLine="480" w:firstLineChars="200"/>
        <w:rPr>
          <w:rFonts w:ascii="宋体" w:hAnsi="宋体" w:cs="宋体"/>
          <w:sz w:val="24"/>
          <w:highlight w:val="none"/>
        </w:rPr>
      </w:pPr>
      <w:r>
        <w:rPr>
          <w:rFonts w:hint="eastAsia" w:ascii="宋体" w:hAnsi="宋体" w:cs="宋体"/>
          <w:sz w:val="24"/>
          <w:highlight w:val="none"/>
        </w:rPr>
        <w:t>使用规则：对列入失信被执行人、重大税收违法案件当事人名单、政府采购严重违法失信行为记录名单及其他不符合《中华人民共和国政府采购法》第二十二条规定条件的供应商，将被拒绝其参与政府采购活动。</w:t>
      </w:r>
    </w:p>
    <w:p w14:paraId="21AF93BA">
      <w:pPr>
        <w:spacing w:line="360" w:lineRule="auto"/>
        <w:ind w:firstLine="482" w:firstLineChars="200"/>
        <w:rPr>
          <w:rFonts w:ascii="宋体" w:hAnsi="宋体" w:cs="宋体"/>
          <w:sz w:val="24"/>
          <w:highlight w:val="none"/>
        </w:rPr>
      </w:pPr>
      <w:r>
        <w:rPr>
          <w:rFonts w:hint="eastAsia" w:ascii="宋体" w:hAnsi="宋体" w:cs="宋体"/>
          <w:b/>
          <w:bCs/>
          <w:sz w:val="24"/>
          <w:highlight w:val="none"/>
        </w:rPr>
        <w:t>十、</w:t>
      </w:r>
      <w:r>
        <w:rPr>
          <w:rFonts w:hint="eastAsia" w:ascii="宋体" w:hAnsi="宋体" w:cs="宋体"/>
          <w:b/>
          <w:sz w:val="24"/>
          <w:highlight w:val="none"/>
        </w:rPr>
        <w:t>相关注意事项</w:t>
      </w:r>
      <w:r>
        <w:rPr>
          <w:rFonts w:hint="eastAsia" w:ascii="宋体" w:hAnsi="宋体" w:cs="宋体"/>
          <w:sz w:val="24"/>
          <w:highlight w:val="none"/>
        </w:rPr>
        <w:t>：</w:t>
      </w:r>
    </w:p>
    <w:p w14:paraId="44CAE10A">
      <w:pPr>
        <w:spacing w:line="360" w:lineRule="auto"/>
        <w:ind w:firstLine="480" w:firstLineChars="200"/>
        <w:rPr>
          <w:rFonts w:ascii="宋体" w:hAnsi="宋体" w:cs="宋体"/>
          <w:sz w:val="24"/>
          <w:highlight w:val="none"/>
        </w:rPr>
      </w:pPr>
      <w:r>
        <w:rPr>
          <w:rFonts w:hint="eastAsia" w:ascii="宋体" w:hAnsi="宋体" w:cs="宋体"/>
          <w:kern w:val="0"/>
          <w:sz w:val="24"/>
          <w:highlight w:val="none"/>
        </w:rPr>
        <w:t>1、本项目公告期限为5个工作日，</w:t>
      </w:r>
      <w:r>
        <w:rPr>
          <w:rFonts w:hint="eastAsia" w:ascii="宋体" w:hAnsi="宋体" w:cs="宋体"/>
          <w:sz w:val="24"/>
          <w:highlight w:val="none"/>
        </w:rPr>
        <w:t>供应商认为采购文件使自己的权益受到损害的，</w:t>
      </w:r>
      <w:r>
        <w:rPr>
          <w:rFonts w:hint="eastAsia" w:ascii="宋体" w:hAnsi="宋体" w:cs="宋体"/>
          <w:kern w:val="0"/>
          <w:sz w:val="24"/>
          <w:highlight w:val="none"/>
        </w:rPr>
        <w:t>可以自获取采购文件之日或者采购文件公告期限届满之日（公告期限届满后获取采购文件的，以公告期限届满之日为准）起7个工作日内</w:t>
      </w:r>
      <w:r>
        <w:rPr>
          <w:rFonts w:hint="eastAsia" w:ascii="宋体" w:hAnsi="宋体" w:cs="宋体"/>
          <w:sz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14:paraId="21C9F215">
      <w:pPr>
        <w:spacing w:line="360" w:lineRule="auto"/>
        <w:ind w:firstLine="480" w:firstLineChars="200"/>
        <w:rPr>
          <w:rFonts w:ascii="宋体" w:hAnsi="宋体" w:cs="宋体"/>
          <w:sz w:val="24"/>
          <w:highlight w:val="none"/>
        </w:rPr>
      </w:pPr>
      <w:r>
        <w:rPr>
          <w:rFonts w:hint="eastAsia" w:ascii="宋体" w:hAnsi="宋体" w:cs="宋体"/>
          <w:sz w:val="24"/>
          <w:highlight w:val="none"/>
        </w:rPr>
        <w:t>2、获取招标文件截止时间之后有潜在供应商提出获取招标文件的，采购机构将允许其报名获取，但该供应商如对招标文件有异议的，应于自采购文件公告期限届满之日起七个工作日内且在磋商截止时间之前以书面形式向采购机构提出，逾期提出的，采购组织机构可不予受理、答复。</w:t>
      </w:r>
    </w:p>
    <w:p w14:paraId="3A390875">
      <w:pPr>
        <w:spacing w:line="360" w:lineRule="auto"/>
        <w:ind w:firstLine="480" w:firstLineChars="200"/>
        <w:rPr>
          <w:rFonts w:ascii="宋体" w:hAnsi="宋体" w:cs="宋体"/>
          <w:sz w:val="24"/>
          <w:highlight w:val="none"/>
        </w:rPr>
      </w:pPr>
      <w:r>
        <w:rPr>
          <w:rFonts w:hint="eastAsia" w:ascii="宋体" w:hAnsi="宋体" w:cs="宋体"/>
          <w:sz w:val="24"/>
          <w:highlight w:val="none"/>
        </w:rPr>
        <w:t>3、根据《浙江省政府采购供应商注册及诚信管理暂行办法》浙财采监【2009】28号文件，请各投标供应商及时办理浙江政府采购网“政府采购供应商注册”手续。中标供应商必须在浙江政府采购网上进行正式注册入库，否则由此造成的后果由该供应商承担。</w:t>
      </w:r>
    </w:p>
    <w:p w14:paraId="41BCB7ED">
      <w:pPr>
        <w:spacing w:line="360" w:lineRule="auto"/>
        <w:ind w:firstLine="480" w:firstLineChars="200"/>
        <w:rPr>
          <w:rFonts w:ascii="宋体" w:hAnsi="宋体" w:cs="宋体"/>
          <w:sz w:val="24"/>
          <w:highlight w:val="none"/>
        </w:rPr>
      </w:pPr>
      <w:r>
        <w:rPr>
          <w:rFonts w:hint="eastAsia" w:ascii="宋体" w:hAnsi="宋体" w:cs="宋体"/>
          <w:sz w:val="24"/>
          <w:highlight w:val="none"/>
        </w:rPr>
        <w:t>4、本项目所有公告发布网站：“浙江政府采购网”（http://www.zjzfcg.gov.cn）。项目如有更正或澄清公告，请各供应商自行及时登陆上述网站查看，采购代理机构不再作出书面通知。</w:t>
      </w:r>
    </w:p>
    <w:p w14:paraId="34F4AE99">
      <w:pPr>
        <w:spacing w:line="360" w:lineRule="auto"/>
        <w:ind w:firstLine="480" w:firstLineChars="200"/>
        <w:rPr>
          <w:rFonts w:ascii="宋体" w:hAnsi="宋体" w:cs="宋体"/>
          <w:sz w:val="24"/>
          <w:highlight w:val="none"/>
        </w:rPr>
      </w:pPr>
      <w:r>
        <w:rPr>
          <w:rFonts w:hint="eastAsia" w:ascii="宋体" w:hAnsi="宋体" w:cs="宋体"/>
          <w:sz w:val="24"/>
          <w:highlight w:val="none"/>
        </w:rPr>
        <w:t>5、本项目资格审查方式：资格后审。</w:t>
      </w:r>
    </w:p>
    <w:p w14:paraId="21DCCF86">
      <w:pPr>
        <w:spacing w:line="360" w:lineRule="auto"/>
        <w:ind w:firstLine="482" w:firstLineChars="200"/>
        <w:rPr>
          <w:rFonts w:ascii="宋体" w:hAnsi="宋体" w:cs="宋体"/>
          <w:b/>
          <w:sz w:val="24"/>
          <w:highlight w:val="none"/>
        </w:rPr>
      </w:pPr>
      <w:r>
        <w:rPr>
          <w:rFonts w:hint="eastAsia" w:ascii="宋体" w:hAnsi="宋体" w:cs="宋体"/>
          <w:b/>
          <w:sz w:val="24"/>
          <w:highlight w:val="none"/>
        </w:rPr>
        <w:t>十一、联系方式：</w:t>
      </w:r>
    </w:p>
    <w:p w14:paraId="2BA6856D">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（一）采购代理机构</w:t>
      </w:r>
    </w:p>
    <w:p w14:paraId="6B965B03">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台州市建航工程管理有限公司</w:t>
      </w:r>
    </w:p>
    <w:p w14:paraId="7596610D">
      <w:pPr>
        <w:spacing w:line="360" w:lineRule="auto"/>
        <w:ind w:firstLine="480" w:firstLineChars="200"/>
        <w:rPr>
          <w:rFonts w:ascii="宋体" w:hAnsi="宋体" w:cs="宋体"/>
          <w:sz w:val="24"/>
          <w:highlight w:val="none"/>
        </w:rPr>
      </w:pPr>
      <w:r>
        <w:rPr>
          <w:rFonts w:hint="eastAsia" w:ascii="宋体" w:hAnsi="宋体" w:cs="宋体"/>
          <w:sz w:val="24"/>
          <w:highlight w:val="none"/>
        </w:rPr>
        <w:t>联 系 人：小施</w:t>
      </w:r>
    </w:p>
    <w:p w14:paraId="0F5CADD3">
      <w:pPr>
        <w:spacing w:line="360" w:lineRule="auto"/>
        <w:ind w:firstLine="480" w:firstLineChars="200"/>
        <w:rPr>
          <w:rFonts w:ascii="宋体" w:hAnsi="宋体" w:cs="宋体"/>
          <w:sz w:val="24"/>
          <w:highlight w:val="none"/>
        </w:rPr>
      </w:pPr>
      <w:r>
        <w:rPr>
          <w:rFonts w:hint="eastAsia" w:ascii="宋体" w:hAnsi="宋体" w:cs="宋体"/>
          <w:sz w:val="24"/>
          <w:highlight w:val="none"/>
        </w:rPr>
        <w:t>联 系 人：</w:t>
      </w:r>
      <w:r>
        <w:rPr>
          <w:rFonts w:hint="eastAsia" w:ascii="宋体" w:hAnsi="宋体" w:cs="宋体"/>
          <w:sz w:val="24"/>
          <w:highlight w:val="none"/>
          <w:lang w:eastAsia="zh-CN"/>
        </w:rPr>
        <w:t>王</w:t>
      </w:r>
      <w:r>
        <w:rPr>
          <w:rFonts w:hint="eastAsia" w:ascii="宋体" w:hAnsi="宋体" w:cs="宋体"/>
          <w:sz w:val="24"/>
          <w:highlight w:val="none"/>
        </w:rPr>
        <w:t>女士（受理质疑）　</w:t>
      </w:r>
    </w:p>
    <w:p w14:paraId="6C41B45B">
      <w:pPr>
        <w:spacing w:line="360" w:lineRule="auto"/>
        <w:ind w:firstLine="480" w:firstLineChars="200"/>
        <w:rPr>
          <w:rFonts w:ascii="宋体" w:hAnsi="宋体" w:cs="宋体"/>
          <w:sz w:val="24"/>
          <w:highlight w:val="none"/>
        </w:rPr>
      </w:pPr>
      <w:r>
        <w:rPr>
          <w:rFonts w:hint="eastAsia" w:ascii="宋体" w:hAnsi="宋体" w:cs="宋体"/>
          <w:sz w:val="24"/>
          <w:highlight w:val="none"/>
        </w:rPr>
        <w:t>联系电话：0576-88810077</w:t>
      </w:r>
    </w:p>
    <w:p w14:paraId="49D0989A">
      <w:pPr>
        <w:spacing w:line="360" w:lineRule="auto"/>
        <w:ind w:firstLine="480" w:firstLineChars="200"/>
        <w:rPr>
          <w:rFonts w:ascii="宋体" w:hAnsi="宋体" w:cs="宋体"/>
          <w:color w:val="FF0000"/>
          <w:sz w:val="24"/>
          <w:highlight w:val="none"/>
        </w:rPr>
      </w:pPr>
      <w:r>
        <w:rPr>
          <w:rFonts w:hint="eastAsia" w:ascii="宋体" w:hAnsi="宋体" w:cs="宋体"/>
          <w:sz w:val="24"/>
          <w:highlight w:val="none"/>
        </w:rPr>
        <w:t>地    址：浙江省台州市经济开发区天和路95号天和大厦B幢1104</w:t>
      </w:r>
    </w:p>
    <w:p w14:paraId="0CD59DE7">
      <w:pPr>
        <w:spacing w:line="360" w:lineRule="auto"/>
        <w:ind w:firstLine="482" w:firstLineChars="200"/>
        <w:rPr>
          <w:rFonts w:ascii="宋体" w:hAnsi="宋体" w:cs="宋体"/>
          <w:b/>
          <w:sz w:val="24"/>
          <w:highlight w:val="none"/>
        </w:rPr>
      </w:pPr>
      <w:r>
        <w:rPr>
          <w:rFonts w:hint="eastAsia" w:ascii="宋体" w:hAnsi="宋体" w:cs="宋体"/>
          <w:b/>
          <w:sz w:val="24"/>
          <w:highlight w:val="none"/>
        </w:rPr>
        <w:t>（二）采购人</w:t>
      </w:r>
    </w:p>
    <w:p w14:paraId="45281529">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名    称：</w:t>
      </w:r>
      <w:r>
        <w:rPr>
          <w:rFonts w:hint="eastAsia" w:ascii="宋体" w:hAnsi="宋体" w:cs="宋体"/>
          <w:sz w:val="24"/>
          <w:highlight w:val="none"/>
          <w:lang w:eastAsia="zh-CN"/>
        </w:rPr>
        <w:t>台州湾新区管理委员会</w:t>
      </w:r>
    </w:p>
    <w:p w14:paraId="1B7A4253">
      <w:pPr>
        <w:spacing w:line="360" w:lineRule="auto"/>
        <w:ind w:firstLine="480" w:firstLineChars="200"/>
        <w:rPr>
          <w:rFonts w:ascii="宋体" w:hAnsi="宋体" w:cs="宋体"/>
          <w:sz w:val="24"/>
          <w:highlight w:val="none"/>
        </w:rPr>
      </w:pPr>
      <w:r>
        <w:rPr>
          <w:rFonts w:hint="eastAsia" w:ascii="宋体" w:hAnsi="宋体" w:cs="宋体"/>
          <w:sz w:val="24"/>
          <w:highlight w:val="none"/>
        </w:rPr>
        <w:t>联 系 人：郑巍</w:t>
      </w:r>
      <w:r>
        <w:rPr>
          <w:rFonts w:hint="eastAsia" w:ascii="宋体" w:hAnsi="宋体" w:cs="宋体"/>
          <w:sz w:val="24"/>
          <w:highlight w:val="none"/>
          <w:lang w:val="en-US" w:eastAsia="zh-CN"/>
        </w:rPr>
        <w:t xml:space="preserve"> </w:t>
      </w:r>
      <w:r>
        <w:rPr>
          <w:rFonts w:hint="eastAsia" w:ascii="宋体" w:hAnsi="宋体" w:cs="宋体"/>
          <w:sz w:val="24"/>
          <w:highlight w:val="none"/>
        </w:rPr>
        <w:t xml:space="preserve">       </w:t>
      </w:r>
    </w:p>
    <w:p w14:paraId="406E272B">
      <w:pPr>
        <w:spacing w:line="360" w:lineRule="auto"/>
        <w:ind w:firstLine="480" w:firstLineChars="200"/>
        <w:rPr>
          <w:rFonts w:hint="eastAsia" w:ascii="宋体" w:hAnsi="宋体" w:cs="宋体"/>
          <w:sz w:val="24"/>
          <w:highlight w:val="none"/>
          <w:lang w:val="en-US" w:eastAsia="zh-CN"/>
        </w:rPr>
      </w:pPr>
      <w:r>
        <w:rPr>
          <w:rFonts w:hint="eastAsia" w:ascii="宋体" w:hAnsi="宋体" w:cs="宋体"/>
          <w:sz w:val="24"/>
          <w:highlight w:val="none"/>
        </w:rPr>
        <w:t>联系电话：13819612275</w:t>
      </w:r>
    </w:p>
    <w:p w14:paraId="69CFA034">
      <w:pPr>
        <w:spacing w:line="360" w:lineRule="auto"/>
        <w:ind w:firstLine="480" w:firstLineChars="200"/>
        <w:rPr>
          <w:rFonts w:ascii="宋体" w:hAnsi="宋体" w:cs="宋体"/>
          <w:sz w:val="24"/>
          <w:highlight w:val="none"/>
        </w:rPr>
      </w:pPr>
      <w:r>
        <w:rPr>
          <w:rFonts w:hint="eastAsia" w:ascii="宋体" w:hAnsi="宋体" w:cs="宋体"/>
          <w:sz w:val="24"/>
          <w:highlight w:val="none"/>
        </w:rPr>
        <w:t>联 系 人：叶宇轩</w:t>
      </w:r>
      <w:r>
        <w:rPr>
          <w:rFonts w:hint="eastAsia" w:ascii="宋体" w:hAnsi="宋体" w:cs="宋体"/>
          <w:sz w:val="24"/>
          <w:highlight w:val="none"/>
          <w:lang w:val="en-US" w:eastAsia="zh-CN"/>
        </w:rPr>
        <w:t xml:space="preserve">  </w:t>
      </w:r>
      <w:r>
        <w:rPr>
          <w:rFonts w:hint="eastAsia" w:ascii="宋体" w:hAnsi="宋体" w:cs="宋体"/>
          <w:sz w:val="24"/>
          <w:highlight w:val="none"/>
        </w:rPr>
        <w:t>（受理质疑）　</w:t>
      </w:r>
    </w:p>
    <w:p w14:paraId="01654B72">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联系电话：0576-88909172</w:t>
      </w:r>
    </w:p>
    <w:p w14:paraId="2B9C0906">
      <w:pPr>
        <w:pStyle w:val="9"/>
        <w:rPr>
          <w:rFonts w:hint="default"/>
          <w:highlight w:val="none"/>
          <w:lang w:val="en-US" w:eastAsia="zh-CN"/>
        </w:rPr>
      </w:pPr>
    </w:p>
    <w:p w14:paraId="06DE6C36">
      <w:p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rPr>
        <w:t>地    址：</w:t>
      </w:r>
      <w:r>
        <w:rPr>
          <w:rFonts w:hint="eastAsia" w:ascii="宋体" w:hAnsi="宋体" w:cs="宋体"/>
          <w:sz w:val="24"/>
          <w:highlight w:val="none"/>
          <w:lang w:eastAsia="zh-CN"/>
        </w:rPr>
        <w:t>台州市甲南大道东段</w:t>
      </w:r>
      <w:r>
        <w:rPr>
          <w:rFonts w:hint="eastAsia" w:ascii="宋体" w:hAnsi="宋体" w:cs="宋体"/>
          <w:sz w:val="24"/>
          <w:highlight w:val="none"/>
          <w:lang w:val="en-US" w:eastAsia="zh-CN"/>
        </w:rPr>
        <w:t>9号</w:t>
      </w:r>
    </w:p>
    <w:p w14:paraId="34450F6A">
      <w:pPr>
        <w:spacing w:line="360" w:lineRule="auto"/>
        <w:ind w:firstLine="482" w:firstLineChars="200"/>
        <w:rPr>
          <w:rFonts w:ascii="宋体" w:hAnsi="宋体" w:cs="宋体"/>
          <w:b/>
          <w:sz w:val="24"/>
          <w:highlight w:val="none"/>
        </w:rPr>
      </w:pPr>
      <w:r>
        <w:rPr>
          <w:rFonts w:hint="eastAsia" w:ascii="宋体" w:hAnsi="宋体" w:cs="宋体"/>
          <w:b/>
          <w:sz w:val="24"/>
          <w:highlight w:val="none"/>
        </w:rPr>
        <w:t>（三）同级政府采购监督管理部门</w:t>
      </w:r>
    </w:p>
    <w:p w14:paraId="431B91B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称：台州市财政局</w:t>
      </w:r>
    </w:p>
    <w:p w14:paraId="25CCDA8C">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 系 人：陈老师/李女士                   </w:t>
      </w:r>
    </w:p>
    <w:p w14:paraId="7DD1736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监督电话：</w:t>
      </w:r>
      <w:r>
        <w:rPr>
          <w:rFonts w:hint="eastAsia" w:asciiTheme="minorEastAsia" w:hAnsiTheme="minorEastAsia" w:eastAsiaTheme="minorEastAsia" w:cstheme="minorEastAsia"/>
          <w:color w:val="auto"/>
          <w:sz w:val="24"/>
          <w:highlight w:val="none"/>
        </w:rPr>
        <w:t>0576-88206705/0576-88206731</w:t>
      </w:r>
      <w:r>
        <w:rPr>
          <w:rFonts w:hint="eastAsia" w:ascii="宋体" w:hAnsi="宋体" w:cs="宋体"/>
          <w:color w:val="auto"/>
          <w:sz w:val="24"/>
          <w:highlight w:val="none"/>
        </w:rPr>
        <w:t xml:space="preserve">      </w:t>
      </w:r>
    </w:p>
    <w:p w14:paraId="3A59E4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址：浙江省台州市高新区纬一路66号</w:t>
      </w:r>
    </w:p>
    <w:p w14:paraId="70D400B4">
      <w:pPr>
        <w:spacing w:line="360" w:lineRule="auto"/>
        <w:rPr>
          <w:rFonts w:ascii="宋体" w:hAnsi="宋体" w:cs="宋体"/>
          <w:sz w:val="24"/>
          <w:highlight w:val="none"/>
        </w:rPr>
      </w:pPr>
      <w:r>
        <w:rPr>
          <w:rFonts w:hint="eastAsia" w:ascii="宋体" w:hAnsi="宋体" w:cs="宋体"/>
          <w:b/>
          <w:sz w:val="24"/>
          <w:highlight w:val="none"/>
        </w:rPr>
        <w:t>（四）银行（中标项目贷款咨询）</w:t>
      </w:r>
      <w:r>
        <w:rPr>
          <w:rFonts w:hint="eastAsia" w:ascii="宋体" w:hAnsi="宋体" w:cs="宋体"/>
          <w:b/>
          <w:sz w:val="24"/>
          <w:highlight w:val="none"/>
        </w:rPr>
        <w:br w:type="textWrapping"/>
      </w:r>
      <w:r>
        <w:rPr>
          <w:rFonts w:hint="eastAsia" w:ascii="宋体" w:hAnsi="宋体" w:cs="宋体"/>
          <w:sz w:val="24"/>
          <w:highlight w:val="none"/>
        </w:rPr>
        <w:t>中标供应商如有融资需求，可使用以下银行的政采贷服务。</w:t>
      </w:r>
    </w:p>
    <w:p w14:paraId="70D55F2A">
      <w:pPr>
        <w:jc w:val="center"/>
        <w:rPr>
          <w:highlight w:val="none"/>
        </w:rPr>
      </w:pPr>
      <w:r>
        <w:rPr>
          <w:rFonts w:hint="eastAsia"/>
          <w:highlight w:val="none"/>
        </w:rPr>
        <w:t>政采贷联系方式</w:t>
      </w:r>
    </w:p>
    <w:tbl>
      <w:tblPr>
        <w:tblStyle w:val="2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1725"/>
        <w:gridCol w:w="1688"/>
        <w:gridCol w:w="2131"/>
      </w:tblGrid>
      <w:tr w14:paraId="5543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7CD83D0C">
            <w:pPr>
              <w:jc w:val="center"/>
              <w:rPr>
                <w:highlight w:val="none"/>
              </w:rPr>
            </w:pPr>
            <w:r>
              <w:rPr>
                <w:rFonts w:hint="eastAsia"/>
                <w:highlight w:val="none"/>
              </w:rPr>
              <w:t>银行</w:t>
            </w:r>
          </w:p>
        </w:tc>
        <w:tc>
          <w:tcPr>
            <w:tcW w:w="1725" w:type="dxa"/>
            <w:vAlign w:val="center"/>
          </w:tcPr>
          <w:p w14:paraId="15FA020F">
            <w:pPr>
              <w:jc w:val="center"/>
              <w:rPr>
                <w:highlight w:val="none"/>
              </w:rPr>
            </w:pPr>
            <w:r>
              <w:rPr>
                <w:rFonts w:hint="eastAsia"/>
                <w:highlight w:val="none"/>
              </w:rPr>
              <w:t>贷款年利率</w:t>
            </w:r>
          </w:p>
        </w:tc>
        <w:tc>
          <w:tcPr>
            <w:tcW w:w="1688" w:type="dxa"/>
            <w:vAlign w:val="center"/>
          </w:tcPr>
          <w:p w14:paraId="79C509A7">
            <w:pPr>
              <w:jc w:val="center"/>
              <w:rPr>
                <w:highlight w:val="none"/>
              </w:rPr>
            </w:pPr>
            <w:r>
              <w:rPr>
                <w:rFonts w:hint="eastAsia"/>
                <w:highlight w:val="none"/>
              </w:rPr>
              <w:t>联系人</w:t>
            </w:r>
          </w:p>
        </w:tc>
        <w:tc>
          <w:tcPr>
            <w:tcW w:w="2131" w:type="dxa"/>
            <w:vAlign w:val="center"/>
          </w:tcPr>
          <w:p w14:paraId="1066AD1F">
            <w:pPr>
              <w:jc w:val="center"/>
              <w:rPr>
                <w:highlight w:val="none"/>
              </w:rPr>
            </w:pPr>
            <w:r>
              <w:rPr>
                <w:rFonts w:hint="eastAsia"/>
                <w:highlight w:val="none"/>
              </w:rPr>
              <w:t>联系电话</w:t>
            </w:r>
          </w:p>
        </w:tc>
      </w:tr>
      <w:tr w14:paraId="317F5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6BB4ABC0">
            <w:pPr>
              <w:jc w:val="center"/>
              <w:rPr>
                <w:highlight w:val="none"/>
              </w:rPr>
            </w:pPr>
            <w:r>
              <w:rPr>
                <w:rFonts w:hint="eastAsia"/>
                <w:highlight w:val="none"/>
              </w:rPr>
              <w:t>中国工商银行</w:t>
            </w:r>
          </w:p>
        </w:tc>
        <w:tc>
          <w:tcPr>
            <w:tcW w:w="1725" w:type="dxa"/>
            <w:vAlign w:val="center"/>
          </w:tcPr>
          <w:p w14:paraId="2E673D38">
            <w:pPr>
              <w:jc w:val="center"/>
              <w:rPr>
                <w:highlight w:val="none"/>
              </w:rPr>
            </w:pPr>
            <w:r>
              <w:rPr>
                <w:rFonts w:hint="eastAsia"/>
                <w:highlight w:val="none"/>
              </w:rPr>
              <w:t>3.8%起</w:t>
            </w:r>
          </w:p>
        </w:tc>
        <w:tc>
          <w:tcPr>
            <w:tcW w:w="1688" w:type="dxa"/>
            <w:vAlign w:val="center"/>
          </w:tcPr>
          <w:p w14:paraId="4E9B7C8D">
            <w:pPr>
              <w:jc w:val="center"/>
              <w:rPr>
                <w:highlight w:val="none"/>
              </w:rPr>
            </w:pPr>
            <w:r>
              <w:rPr>
                <w:rFonts w:hint="eastAsia"/>
                <w:highlight w:val="none"/>
              </w:rPr>
              <w:t>王霖</w:t>
            </w:r>
          </w:p>
        </w:tc>
        <w:tc>
          <w:tcPr>
            <w:tcW w:w="2131" w:type="dxa"/>
            <w:vAlign w:val="center"/>
          </w:tcPr>
          <w:p w14:paraId="695FD5DA">
            <w:pPr>
              <w:jc w:val="center"/>
              <w:rPr>
                <w:highlight w:val="none"/>
              </w:rPr>
            </w:pPr>
            <w:r>
              <w:rPr>
                <w:rFonts w:hint="eastAsia"/>
                <w:highlight w:val="none"/>
              </w:rPr>
              <w:t>88588246  13857654562</w:t>
            </w:r>
          </w:p>
        </w:tc>
      </w:tr>
      <w:tr w14:paraId="11DB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1407ED61">
            <w:pPr>
              <w:jc w:val="center"/>
              <w:rPr>
                <w:highlight w:val="none"/>
              </w:rPr>
            </w:pPr>
            <w:r>
              <w:rPr>
                <w:rFonts w:hint="eastAsia"/>
                <w:highlight w:val="none"/>
              </w:rPr>
              <w:t>中国农业银行</w:t>
            </w:r>
          </w:p>
        </w:tc>
        <w:tc>
          <w:tcPr>
            <w:tcW w:w="1725" w:type="dxa"/>
            <w:vAlign w:val="center"/>
          </w:tcPr>
          <w:p w14:paraId="50778B41">
            <w:pPr>
              <w:jc w:val="center"/>
              <w:rPr>
                <w:highlight w:val="none"/>
              </w:rPr>
            </w:pPr>
            <w:r>
              <w:rPr>
                <w:rFonts w:hint="eastAsia"/>
                <w:highlight w:val="none"/>
              </w:rPr>
              <w:t>3.8%起</w:t>
            </w:r>
          </w:p>
        </w:tc>
        <w:tc>
          <w:tcPr>
            <w:tcW w:w="1688" w:type="dxa"/>
            <w:vAlign w:val="center"/>
          </w:tcPr>
          <w:p w14:paraId="1CDB2BFF">
            <w:pPr>
              <w:jc w:val="center"/>
              <w:rPr>
                <w:highlight w:val="none"/>
              </w:rPr>
            </w:pPr>
            <w:r>
              <w:rPr>
                <w:rFonts w:hint="eastAsia"/>
                <w:highlight w:val="none"/>
              </w:rPr>
              <w:t>龚盛</w:t>
            </w:r>
          </w:p>
        </w:tc>
        <w:tc>
          <w:tcPr>
            <w:tcW w:w="2131" w:type="dxa"/>
            <w:vAlign w:val="center"/>
          </w:tcPr>
          <w:p w14:paraId="256A555F">
            <w:pPr>
              <w:jc w:val="center"/>
              <w:rPr>
                <w:highlight w:val="none"/>
              </w:rPr>
            </w:pPr>
            <w:r>
              <w:rPr>
                <w:rFonts w:hint="eastAsia"/>
                <w:highlight w:val="none"/>
              </w:rPr>
              <w:t>15858682216</w:t>
            </w:r>
          </w:p>
        </w:tc>
      </w:tr>
      <w:tr w14:paraId="1793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2978" w:type="dxa"/>
            <w:vAlign w:val="center"/>
          </w:tcPr>
          <w:p w14:paraId="7C2DF36F">
            <w:pPr>
              <w:jc w:val="center"/>
              <w:rPr>
                <w:highlight w:val="none"/>
              </w:rPr>
            </w:pPr>
            <w:r>
              <w:rPr>
                <w:rFonts w:hint="eastAsia"/>
                <w:highlight w:val="none"/>
              </w:rPr>
              <w:t>中国建设银行</w:t>
            </w:r>
          </w:p>
        </w:tc>
        <w:tc>
          <w:tcPr>
            <w:tcW w:w="1725" w:type="dxa"/>
            <w:vAlign w:val="center"/>
          </w:tcPr>
          <w:p w14:paraId="62FB3E3F">
            <w:pPr>
              <w:jc w:val="center"/>
              <w:rPr>
                <w:highlight w:val="none"/>
              </w:rPr>
            </w:pPr>
            <w:r>
              <w:rPr>
                <w:rFonts w:hint="eastAsia"/>
                <w:highlight w:val="none"/>
              </w:rPr>
              <w:t>3.8%起</w:t>
            </w:r>
          </w:p>
        </w:tc>
        <w:tc>
          <w:tcPr>
            <w:tcW w:w="1688" w:type="dxa"/>
            <w:vAlign w:val="center"/>
          </w:tcPr>
          <w:p w14:paraId="535233C5">
            <w:pPr>
              <w:jc w:val="center"/>
              <w:rPr>
                <w:highlight w:val="none"/>
              </w:rPr>
            </w:pPr>
            <w:r>
              <w:rPr>
                <w:rFonts w:hint="eastAsia"/>
                <w:highlight w:val="none"/>
              </w:rPr>
              <w:t>梅晶晶</w:t>
            </w:r>
          </w:p>
        </w:tc>
        <w:tc>
          <w:tcPr>
            <w:tcW w:w="2131" w:type="dxa"/>
            <w:vAlign w:val="center"/>
          </w:tcPr>
          <w:p w14:paraId="67E1F3AC">
            <w:pPr>
              <w:jc w:val="center"/>
              <w:rPr>
                <w:highlight w:val="none"/>
              </w:rPr>
            </w:pPr>
            <w:r>
              <w:rPr>
                <w:rFonts w:hint="eastAsia"/>
                <w:highlight w:val="none"/>
              </w:rPr>
              <w:t>88525339</w:t>
            </w:r>
          </w:p>
          <w:p w14:paraId="7755D3F1">
            <w:pPr>
              <w:jc w:val="center"/>
              <w:rPr>
                <w:highlight w:val="none"/>
              </w:rPr>
            </w:pPr>
            <w:r>
              <w:rPr>
                <w:rFonts w:hint="eastAsia"/>
                <w:highlight w:val="none"/>
              </w:rPr>
              <w:t>13736585303</w:t>
            </w:r>
          </w:p>
        </w:tc>
      </w:tr>
      <w:tr w14:paraId="5FA7A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50820E78">
            <w:pPr>
              <w:jc w:val="center"/>
              <w:rPr>
                <w:highlight w:val="none"/>
              </w:rPr>
            </w:pPr>
            <w:r>
              <w:rPr>
                <w:rFonts w:hint="eastAsia"/>
                <w:highlight w:val="none"/>
              </w:rPr>
              <w:t>中国银行</w:t>
            </w:r>
          </w:p>
        </w:tc>
        <w:tc>
          <w:tcPr>
            <w:tcW w:w="1725" w:type="dxa"/>
            <w:vAlign w:val="center"/>
          </w:tcPr>
          <w:p w14:paraId="11ACB703">
            <w:pPr>
              <w:jc w:val="center"/>
              <w:rPr>
                <w:highlight w:val="none"/>
              </w:rPr>
            </w:pPr>
            <w:r>
              <w:rPr>
                <w:rFonts w:hint="eastAsia"/>
                <w:highlight w:val="none"/>
              </w:rPr>
              <w:t>3.75%起</w:t>
            </w:r>
          </w:p>
        </w:tc>
        <w:tc>
          <w:tcPr>
            <w:tcW w:w="1688" w:type="dxa"/>
            <w:vAlign w:val="center"/>
          </w:tcPr>
          <w:p w14:paraId="6CADEB10">
            <w:pPr>
              <w:jc w:val="center"/>
              <w:rPr>
                <w:highlight w:val="none"/>
              </w:rPr>
            </w:pPr>
            <w:r>
              <w:rPr>
                <w:rFonts w:hint="eastAsia"/>
                <w:highlight w:val="none"/>
              </w:rPr>
              <w:t>任茜</w:t>
            </w:r>
          </w:p>
        </w:tc>
        <w:tc>
          <w:tcPr>
            <w:tcW w:w="2131" w:type="dxa"/>
            <w:vAlign w:val="center"/>
          </w:tcPr>
          <w:p w14:paraId="301B370B">
            <w:pPr>
              <w:jc w:val="center"/>
              <w:rPr>
                <w:highlight w:val="none"/>
              </w:rPr>
            </w:pPr>
            <w:r>
              <w:rPr>
                <w:rFonts w:hint="eastAsia"/>
                <w:highlight w:val="none"/>
              </w:rPr>
              <w:t>13857695378</w:t>
            </w:r>
          </w:p>
        </w:tc>
      </w:tr>
      <w:tr w14:paraId="011F8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4D65A845">
            <w:pPr>
              <w:jc w:val="center"/>
              <w:rPr>
                <w:highlight w:val="none"/>
              </w:rPr>
            </w:pPr>
            <w:r>
              <w:rPr>
                <w:rFonts w:hint="eastAsia"/>
                <w:highlight w:val="none"/>
              </w:rPr>
              <w:t>浦发银行台州分行</w:t>
            </w:r>
          </w:p>
        </w:tc>
        <w:tc>
          <w:tcPr>
            <w:tcW w:w="1725" w:type="dxa"/>
            <w:vAlign w:val="center"/>
          </w:tcPr>
          <w:p w14:paraId="4372EA80">
            <w:pPr>
              <w:jc w:val="center"/>
              <w:rPr>
                <w:highlight w:val="none"/>
              </w:rPr>
            </w:pPr>
            <w:r>
              <w:rPr>
                <w:rFonts w:hint="eastAsia"/>
                <w:highlight w:val="none"/>
              </w:rPr>
              <w:t>4.05%起</w:t>
            </w:r>
          </w:p>
        </w:tc>
        <w:tc>
          <w:tcPr>
            <w:tcW w:w="1688" w:type="dxa"/>
            <w:vAlign w:val="center"/>
          </w:tcPr>
          <w:p w14:paraId="312BCB04">
            <w:pPr>
              <w:jc w:val="center"/>
              <w:rPr>
                <w:highlight w:val="none"/>
              </w:rPr>
            </w:pPr>
            <w:r>
              <w:rPr>
                <w:rFonts w:hint="eastAsia"/>
                <w:highlight w:val="none"/>
              </w:rPr>
              <w:t>王渊</w:t>
            </w:r>
          </w:p>
        </w:tc>
        <w:tc>
          <w:tcPr>
            <w:tcW w:w="2131" w:type="dxa"/>
            <w:vAlign w:val="center"/>
          </w:tcPr>
          <w:p w14:paraId="31F5D005">
            <w:pPr>
              <w:jc w:val="center"/>
              <w:rPr>
                <w:highlight w:val="none"/>
              </w:rPr>
            </w:pPr>
            <w:r>
              <w:rPr>
                <w:rFonts w:hint="eastAsia"/>
                <w:highlight w:val="none"/>
              </w:rPr>
              <w:t>13616676319</w:t>
            </w:r>
          </w:p>
        </w:tc>
      </w:tr>
      <w:tr w14:paraId="29271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1E3952E6">
            <w:pPr>
              <w:jc w:val="center"/>
              <w:rPr>
                <w:highlight w:val="none"/>
              </w:rPr>
            </w:pPr>
            <w:r>
              <w:rPr>
                <w:rFonts w:hint="eastAsia"/>
                <w:highlight w:val="none"/>
              </w:rPr>
              <w:t>浦发银行椒江分行</w:t>
            </w:r>
          </w:p>
        </w:tc>
        <w:tc>
          <w:tcPr>
            <w:tcW w:w="1725" w:type="dxa"/>
            <w:vAlign w:val="center"/>
          </w:tcPr>
          <w:p w14:paraId="4133C549">
            <w:pPr>
              <w:jc w:val="center"/>
              <w:rPr>
                <w:highlight w:val="none"/>
              </w:rPr>
            </w:pPr>
            <w:r>
              <w:rPr>
                <w:rFonts w:hint="eastAsia"/>
                <w:highlight w:val="none"/>
              </w:rPr>
              <w:t>4.05%起</w:t>
            </w:r>
          </w:p>
        </w:tc>
        <w:tc>
          <w:tcPr>
            <w:tcW w:w="1688" w:type="dxa"/>
            <w:vAlign w:val="center"/>
          </w:tcPr>
          <w:p w14:paraId="2901A25D">
            <w:pPr>
              <w:jc w:val="center"/>
              <w:rPr>
                <w:highlight w:val="none"/>
              </w:rPr>
            </w:pPr>
            <w:r>
              <w:rPr>
                <w:rFonts w:hint="eastAsia"/>
                <w:highlight w:val="none"/>
              </w:rPr>
              <w:t>孙瑞华</w:t>
            </w:r>
          </w:p>
        </w:tc>
        <w:tc>
          <w:tcPr>
            <w:tcW w:w="2131" w:type="dxa"/>
            <w:vAlign w:val="center"/>
          </w:tcPr>
          <w:p w14:paraId="5E339AF1">
            <w:pPr>
              <w:jc w:val="center"/>
              <w:rPr>
                <w:highlight w:val="none"/>
              </w:rPr>
            </w:pPr>
            <w:r>
              <w:rPr>
                <w:rFonts w:hint="eastAsia"/>
                <w:highlight w:val="none"/>
              </w:rPr>
              <w:t>13857688081</w:t>
            </w:r>
          </w:p>
        </w:tc>
      </w:tr>
      <w:tr w14:paraId="1F2F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0A7BE3ED">
            <w:pPr>
              <w:jc w:val="center"/>
              <w:rPr>
                <w:highlight w:val="none"/>
              </w:rPr>
            </w:pPr>
            <w:r>
              <w:rPr>
                <w:rFonts w:hint="eastAsia"/>
                <w:highlight w:val="none"/>
              </w:rPr>
              <w:t>交通银行台州分行</w:t>
            </w:r>
          </w:p>
        </w:tc>
        <w:tc>
          <w:tcPr>
            <w:tcW w:w="1725" w:type="dxa"/>
            <w:vAlign w:val="center"/>
          </w:tcPr>
          <w:p w14:paraId="5E04E927">
            <w:pPr>
              <w:jc w:val="center"/>
              <w:rPr>
                <w:highlight w:val="none"/>
              </w:rPr>
            </w:pPr>
            <w:r>
              <w:rPr>
                <w:rFonts w:hint="eastAsia"/>
                <w:highlight w:val="none"/>
              </w:rPr>
              <w:t>3.75%起</w:t>
            </w:r>
          </w:p>
        </w:tc>
        <w:tc>
          <w:tcPr>
            <w:tcW w:w="1688" w:type="dxa"/>
            <w:vAlign w:val="center"/>
          </w:tcPr>
          <w:p w14:paraId="250FA669">
            <w:pPr>
              <w:jc w:val="center"/>
              <w:rPr>
                <w:highlight w:val="none"/>
              </w:rPr>
            </w:pPr>
            <w:r>
              <w:rPr>
                <w:rFonts w:hint="eastAsia"/>
                <w:highlight w:val="none"/>
              </w:rPr>
              <w:t>周翔宇</w:t>
            </w:r>
          </w:p>
        </w:tc>
        <w:tc>
          <w:tcPr>
            <w:tcW w:w="2131" w:type="dxa"/>
            <w:vAlign w:val="center"/>
          </w:tcPr>
          <w:p w14:paraId="7C76C5FD">
            <w:pPr>
              <w:jc w:val="center"/>
              <w:rPr>
                <w:highlight w:val="none"/>
              </w:rPr>
            </w:pPr>
            <w:r>
              <w:rPr>
                <w:rFonts w:hint="eastAsia"/>
                <w:highlight w:val="none"/>
              </w:rPr>
              <w:t>13867697018</w:t>
            </w:r>
          </w:p>
        </w:tc>
      </w:tr>
      <w:tr w14:paraId="4B9D4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4996E89C">
            <w:pPr>
              <w:jc w:val="center"/>
              <w:rPr>
                <w:highlight w:val="none"/>
              </w:rPr>
            </w:pPr>
            <w:r>
              <w:rPr>
                <w:rFonts w:hint="eastAsia"/>
                <w:highlight w:val="none"/>
              </w:rPr>
              <w:t>招商银行台州分行</w:t>
            </w:r>
          </w:p>
        </w:tc>
        <w:tc>
          <w:tcPr>
            <w:tcW w:w="1725" w:type="dxa"/>
            <w:vAlign w:val="center"/>
          </w:tcPr>
          <w:p w14:paraId="503571AE">
            <w:pPr>
              <w:jc w:val="center"/>
              <w:rPr>
                <w:highlight w:val="none"/>
              </w:rPr>
            </w:pPr>
            <w:r>
              <w:rPr>
                <w:rFonts w:hint="eastAsia"/>
                <w:highlight w:val="none"/>
              </w:rPr>
              <w:t>4.32%起</w:t>
            </w:r>
          </w:p>
        </w:tc>
        <w:tc>
          <w:tcPr>
            <w:tcW w:w="1688" w:type="dxa"/>
            <w:vAlign w:val="center"/>
          </w:tcPr>
          <w:p w14:paraId="14E64115">
            <w:pPr>
              <w:jc w:val="center"/>
              <w:rPr>
                <w:highlight w:val="none"/>
              </w:rPr>
            </w:pPr>
            <w:r>
              <w:rPr>
                <w:rFonts w:hint="eastAsia"/>
                <w:highlight w:val="none"/>
              </w:rPr>
              <w:t>王海玲</w:t>
            </w:r>
          </w:p>
        </w:tc>
        <w:tc>
          <w:tcPr>
            <w:tcW w:w="2131" w:type="dxa"/>
            <w:vAlign w:val="center"/>
          </w:tcPr>
          <w:p w14:paraId="1F128BF7">
            <w:pPr>
              <w:jc w:val="center"/>
              <w:rPr>
                <w:highlight w:val="none"/>
              </w:rPr>
            </w:pPr>
            <w:r>
              <w:rPr>
                <w:rFonts w:hint="eastAsia"/>
                <w:highlight w:val="none"/>
              </w:rPr>
              <w:t>13566413827</w:t>
            </w:r>
          </w:p>
        </w:tc>
      </w:tr>
      <w:tr w14:paraId="1C06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6E964015">
            <w:pPr>
              <w:jc w:val="center"/>
              <w:rPr>
                <w:highlight w:val="none"/>
              </w:rPr>
            </w:pPr>
            <w:r>
              <w:rPr>
                <w:rFonts w:hint="eastAsia"/>
                <w:highlight w:val="none"/>
              </w:rPr>
              <w:t>浙商银行台州分行</w:t>
            </w:r>
          </w:p>
        </w:tc>
        <w:tc>
          <w:tcPr>
            <w:tcW w:w="1725" w:type="dxa"/>
            <w:vAlign w:val="center"/>
          </w:tcPr>
          <w:p w14:paraId="0E9FB6B5">
            <w:pPr>
              <w:jc w:val="center"/>
              <w:rPr>
                <w:highlight w:val="none"/>
              </w:rPr>
            </w:pPr>
            <w:r>
              <w:rPr>
                <w:rFonts w:hint="eastAsia"/>
                <w:highlight w:val="none"/>
              </w:rPr>
              <w:t>5.01%起</w:t>
            </w:r>
          </w:p>
        </w:tc>
        <w:tc>
          <w:tcPr>
            <w:tcW w:w="1688" w:type="dxa"/>
            <w:vAlign w:val="center"/>
          </w:tcPr>
          <w:p w14:paraId="11CB89EF">
            <w:pPr>
              <w:jc w:val="center"/>
              <w:rPr>
                <w:highlight w:val="none"/>
              </w:rPr>
            </w:pPr>
            <w:r>
              <w:rPr>
                <w:rFonts w:hint="eastAsia"/>
                <w:highlight w:val="none"/>
              </w:rPr>
              <w:t>章涉漪</w:t>
            </w:r>
          </w:p>
        </w:tc>
        <w:tc>
          <w:tcPr>
            <w:tcW w:w="2131" w:type="dxa"/>
            <w:vAlign w:val="center"/>
          </w:tcPr>
          <w:p w14:paraId="5027289C">
            <w:pPr>
              <w:jc w:val="center"/>
              <w:rPr>
                <w:highlight w:val="none"/>
              </w:rPr>
            </w:pPr>
            <w:r>
              <w:rPr>
                <w:rFonts w:hint="eastAsia"/>
                <w:highlight w:val="none"/>
              </w:rPr>
              <w:t>81880185</w:t>
            </w:r>
          </w:p>
          <w:p w14:paraId="0CF93228">
            <w:pPr>
              <w:jc w:val="center"/>
              <w:rPr>
                <w:highlight w:val="none"/>
              </w:rPr>
            </w:pPr>
            <w:r>
              <w:rPr>
                <w:rFonts w:hint="eastAsia"/>
                <w:highlight w:val="none"/>
              </w:rPr>
              <w:t>13606681262</w:t>
            </w:r>
          </w:p>
        </w:tc>
      </w:tr>
      <w:tr w14:paraId="5230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7D1285B9">
            <w:pPr>
              <w:jc w:val="center"/>
              <w:rPr>
                <w:highlight w:val="none"/>
              </w:rPr>
            </w:pPr>
            <w:r>
              <w:rPr>
                <w:rFonts w:hint="eastAsia"/>
                <w:highlight w:val="none"/>
              </w:rPr>
              <w:t>中信银行台州分行</w:t>
            </w:r>
          </w:p>
        </w:tc>
        <w:tc>
          <w:tcPr>
            <w:tcW w:w="1725" w:type="dxa"/>
            <w:vAlign w:val="center"/>
          </w:tcPr>
          <w:p w14:paraId="6C95A194">
            <w:pPr>
              <w:jc w:val="center"/>
              <w:rPr>
                <w:highlight w:val="none"/>
              </w:rPr>
            </w:pPr>
            <w:r>
              <w:rPr>
                <w:rFonts w:hint="eastAsia"/>
                <w:highlight w:val="none"/>
              </w:rPr>
              <w:t>4.15%起</w:t>
            </w:r>
          </w:p>
        </w:tc>
        <w:tc>
          <w:tcPr>
            <w:tcW w:w="1688" w:type="dxa"/>
            <w:vAlign w:val="center"/>
          </w:tcPr>
          <w:p w14:paraId="6AA0B4AA">
            <w:pPr>
              <w:jc w:val="center"/>
              <w:rPr>
                <w:highlight w:val="none"/>
              </w:rPr>
            </w:pPr>
            <w:r>
              <w:rPr>
                <w:rFonts w:hint="eastAsia"/>
                <w:highlight w:val="none"/>
              </w:rPr>
              <w:t>陈金园</w:t>
            </w:r>
          </w:p>
        </w:tc>
        <w:tc>
          <w:tcPr>
            <w:tcW w:w="2131" w:type="dxa"/>
            <w:vAlign w:val="center"/>
          </w:tcPr>
          <w:p w14:paraId="3794B201">
            <w:pPr>
              <w:jc w:val="center"/>
              <w:rPr>
                <w:highlight w:val="none"/>
              </w:rPr>
            </w:pPr>
            <w:r>
              <w:rPr>
                <w:rFonts w:hint="eastAsia"/>
                <w:highlight w:val="none"/>
              </w:rPr>
              <w:t>13586052161</w:t>
            </w:r>
          </w:p>
        </w:tc>
      </w:tr>
      <w:tr w14:paraId="6143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197DDD51">
            <w:pPr>
              <w:jc w:val="center"/>
              <w:rPr>
                <w:highlight w:val="none"/>
              </w:rPr>
            </w:pPr>
            <w:r>
              <w:rPr>
                <w:rFonts w:hint="eastAsia"/>
                <w:highlight w:val="none"/>
              </w:rPr>
              <w:t>华夏银行台州分行</w:t>
            </w:r>
          </w:p>
        </w:tc>
        <w:tc>
          <w:tcPr>
            <w:tcW w:w="1725" w:type="dxa"/>
            <w:vAlign w:val="center"/>
          </w:tcPr>
          <w:p w14:paraId="7277FA6F">
            <w:pPr>
              <w:jc w:val="center"/>
              <w:rPr>
                <w:highlight w:val="none"/>
              </w:rPr>
            </w:pPr>
            <w:r>
              <w:rPr>
                <w:rFonts w:hint="eastAsia"/>
                <w:highlight w:val="none"/>
              </w:rPr>
              <w:t>4.5%起</w:t>
            </w:r>
          </w:p>
        </w:tc>
        <w:tc>
          <w:tcPr>
            <w:tcW w:w="1688" w:type="dxa"/>
            <w:vAlign w:val="center"/>
          </w:tcPr>
          <w:p w14:paraId="356994B8">
            <w:pPr>
              <w:jc w:val="center"/>
              <w:rPr>
                <w:highlight w:val="none"/>
              </w:rPr>
            </w:pPr>
            <w:r>
              <w:rPr>
                <w:rFonts w:hint="eastAsia"/>
                <w:highlight w:val="none"/>
              </w:rPr>
              <w:t>邱明达</w:t>
            </w:r>
          </w:p>
        </w:tc>
        <w:tc>
          <w:tcPr>
            <w:tcW w:w="2131" w:type="dxa"/>
            <w:vAlign w:val="center"/>
          </w:tcPr>
          <w:p w14:paraId="0843650F">
            <w:pPr>
              <w:jc w:val="center"/>
              <w:rPr>
                <w:highlight w:val="none"/>
              </w:rPr>
            </w:pPr>
            <w:r>
              <w:rPr>
                <w:rFonts w:hint="eastAsia"/>
                <w:highlight w:val="none"/>
              </w:rPr>
              <w:t>81871518</w:t>
            </w:r>
          </w:p>
          <w:p w14:paraId="73203370">
            <w:pPr>
              <w:jc w:val="center"/>
              <w:rPr>
                <w:highlight w:val="none"/>
              </w:rPr>
            </w:pPr>
            <w:r>
              <w:rPr>
                <w:rFonts w:hint="eastAsia"/>
                <w:highlight w:val="none"/>
              </w:rPr>
              <w:t>13736252233</w:t>
            </w:r>
          </w:p>
        </w:tc>
      </w:tr>
      <w:tr w14:paraId="7931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121C09B4">
            <w:pPr>
              <w:jc w:val="center"/>
              <w:rPr>
                <w:highlight w:val="none"/>
              </w:rPr>
            </w:pPr>
            <w:r>
              <w:rPr>
                <w:rFonts w:hint="eastAsia"/>
                <w:highlight w:val="none"/>
              </w:rPr>
              <w:t>泰隆银行开发区支行</w:t>
            </w:r>
          </w:p>
        </w:tc>
        <w:tc>
          <w:tcPr>
            <w:tcW w:w="1725" w:type="dxa"/>
            <w:vAlign w:val="center"/>
          </w:tcPr>
          <w:p w14:paraId="5939AF2C">
            <w:pPr>
              <w:jc w:val="center"/>
              <w:rPr>
                <w:highlight w:val="none"/>
              </w:rPr>
            </w:pPr>
            <w:r>
              <w:rPr>
                <w:rFonts w:hint="eastAsia"/>
                <w:highlight w:val="none"/>
              </w:rPr>
              <w:t>5.6%起</w:t>
            </w:r>
          </w:p>
        </w:tc>
        <w:tc>
          <w:tcPr>
            <w:tcW w:w="1688" w:type="dxa"/>
            <w:vAlign w:val="center"/>
          </w:tcPr>
          <w:p w14:paraId="53E15012">
            <w:pPr>
              <w:jc w:val="center"/>
              <w:rPr>
                <w:highlight w:val="none"/>
              </w:rPr>
            </w:pPr>
            <w:r>
              <w:rPr>
                <w:rFonts w:hint="eastAsia"/>
                <w:highlight w:val="none"/>
              </w:rPr>
              <w:t>梁宛莉</w:t>
            </w:r>
          </w:p>
        </w:tc>
        <w:tc>
          <w:tcPr>
            <w:tcW w:w="2131" w:type="dxa"/>
            <w:vAlign w:val="center"/>
          </w:tcPr>
          <w:p w14:paraId="493D8EE1">
            <w:pPr>
              <w:jc w:val="center"/>
              <w:rPr>
                <w:highlight w:val="none"/>
              </w:rPr>
            </w:pPr>
            <w:r>
              <w:rPr>
                <w:rFonts w:hint="eastAsia"/>
                <w:highlight w:val="none"/>
              </w:rPr>
              <w:t>13306869100</w:t>
            </w:r>
          </w:p>
        </w:tc>
      </w:tr>
      <w:tr w14:paraId="372C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284C15E9">
            <w:pPr>
              <w:jc w:val="center"/>
              <w:rPr>
                <w:highlight w:val="none"/>
              </w:rPr>
            </w:pPr>
            <w:r>
              <w:rPr>
                <w:rFonts w:hint="eastAsia"/>
                <w:highlight w:val="none"/>
              </w:rPr>
              <w:t>民泰银行椒江支行</w:t>
            </w:r>
          </w:p>
        </w:tc>
        <w:tc>
          <w:tcPr>
            <w:tcW w:w="1725" w:type="dxa"/>
            <w:vAlign w:val="center"/>
          </w:tcPr>
          <w:p w14:paraId="234CEDBE">
            <w:pPr>
              <w:jc w:val="center"/>
              <w:rPr>
                <w:highlight w:val="none"/>
              </w:rPr>
            </w:pPr>
            <w:r>
              <w:rPr>
                <w:rFonts w:hint="eastAsia"/>
                <w:highlight w:val="none"/>
              </w:rPr>
              <w:t>5.8%起</w:t>
            </w:r>
          </w:p>
        </w:tc>
        <w:tc>
          <w:tcPr>
            <w:tcW w:w="1688" w:type="dxa"/>
            <w:vAlign w:val="center"/>
          </w:tcPr>
          <w:p w14:paraId="40DD345A">
            <w:pPr>
              <w:jc w:val="center"/>
              <w:rPr>
                <w:highlight w:val="none"/>
              </w:rPr>
            </w:pPr>
            <w:r>
              <w:rPr>
                <w:rFonts w:hint="eastAsia"/>
                <w:highlight w:val="none"/>
              </w:rPr>
              <w:t>陈慧珠</w:t>
            </w:r>
          </w:p>
        </w:tc>
        <w:tc>
          <w:tcPr>
            <w:tcW w:w="2131" w:type="dxa"/>
            <w:vAlign w:val="center"/>
          </w:tcPr>
          <w:p w14:paraId="6E4D9677">
            <w:pPr>
              <w:jc w:val="center"/>
              <w:rPr>
                <w:highlight w:val="none"/>
              </w:rPr>
            </w:pPr>
            <w:r>
              <w:rPr>
                <w:rFonts w:hint="eastAsia"/>
                <w:highlight w:val="none"/>
              </w:rPr>
              <w:t>13857699669</w:t>
            </w:r>
          </w:p>
        </w:tc>
      </w:tr>
      <w:tr w14:paraId="0C3F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1B66867F">
            <w:pPr>
              <w:jc w:val="center"/>
              <w:rPr>
                <w:highlight w:val="none"/>
              </w:rPr>
            </w:pPr>
            <w:r>
              <w:rPr>
                <w:rFonts w:hint="eastAsia"/>
                <w:highlight w:val="none"/>
              </w:rPr>
              <w:t>绍兴银行台州分行</w:t>
            </w:r>
          </w:p>
        </w:tc>
        <w:tc>
          <w:tcPr>
            <w:tcW w:w="1725" w:type="dxa"/>
            <w:vAlign w:val="center"/>
          </w:tcPr>
          <w:p w14:paraId="510A6C92">
            <w:pPr>
              <w:jc w:val="center"/>
              <w:rPr>
                <w:highlight w:val="none"/>
              </w:rPr>
            </w:pPr>
            <w:r>
              <w:rPr>
                <w:rFonts w:hint="eastAsia"/>
                <w:highlight w:val="none"/>
              </w:rPr>
              <w:t>5.1%起</w:t>
            </w:r>
          </w:p>
        </w:tc>
        <w:tc>
          <w:tcPr>
            <w:tcW w:w="1688" w:type="dxa"/>
            <w:vAlign w:val="center"/>
          </w:tcPr>
          <w:p w14:paraId="6A7BEBB6">
            <w:pPr>
              <w:jc w:val="center"/>
              <w:rPr>
                <w:highlight w:val="none"/>
              </w:rPr>
            </w:pPr>
            <w:r>
              <w:rPr>
                <w:rFonts w:hint="eastAsia"/>
                <w:highlight w:val="none"/>
              </w:rPr>
              <w:t>郭庭斌</w:t>
            </w:r>
          </w:p>
        </w:tc>
        <w:tc>
          <w:tcPr>
            <w:tcW w:w="2131" w:type="dxa"/>
            <w:vAlign w:val="center"/>
          </w:tcPr>
          <w:p w14:paraId="0408A639">
            <w:pPr>
              <w:jc w:val="center"/>
              <w:rPr>
                <w:highlight w:val="none"/>
              </w:rPr>
            </w:pPr>
            <w:r>
              <w:rPr>
                <w:rFonts w:hint="eastAsia"/>
                <w:highlight w:val="none"/>
              </w:rPr>
              <w:t>15958633119</w:t>
            </w:r>
          </w:p>
        </w:tc>
      </w:tr>
      <w:tr w14:paraId="6E73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4312C548">
            <w:pPr>
              <w:jc w:val="center"/>
              <w:rPr>
                <w:highlight w:val="none"/>
              </w:rPr>
            </w:pPr>
            <w:r>
              <w:rPr>
                <w:rFonts w:hint="eastAsia"/>
                <w:highlight w:val="none"/>
              </w:rPr>
              <w:t>温州银行台州分行</w:t>
            </w:r>
          </w:p>
        </w:tc>
        <w:tc>
          <w:tcPr>
            <w:tcW w:w="1725" w:type="dxa"/>
            <w:vAlign w:val="center"/>
          </w:tcPr>
          <w:p w14:paraId="682B07EA">
            <w:pPr>
              <w:jc w:val="center"/>
              <w:rPr>
                <w:highlight w:val="none"/>
              </w:rPr>
            </w:pPr>
            <w:r>
              <w:rPr>
                <w:rFonts w:hint="eastAsia"/>
                <w:highlight w:val="none"/>
              </w:rPr>
              <w:t>4.55%起</w:t>
            </w:r>
          </w:p>
        </w:tc>
        <w:tc>
          <w:tcPr>
            <w:tcW w:w="1688" w:type="dxa"/>
            <w:vAlign w:val="center"/>
          </w:tcPr>
          <w:p w14:paraId="2960A801">
            <w:pPr>
              <w:jc w:val="center"/>
              <w:rPr>
                <w:highlight w:val="none"/>
              </w:rPr>
            </w:pPr>
            <w:r>
              <w:rPr>
                <w:rFonts w:hint="eastAsia"/>
                <w:highlight w:val="none"/>
              </w:rPr>
              <w:t>王晓波</w:t>
            </w:r>
          </w:p>
        </w:tc>
        <w:tc>
          <w:tcPr>
            <w:tcW w:w="2131" w:type="dxa"/>
            <w:vAlign w:val="center"/>
          </w:tcPr>
          <w:p w14:paraId="06CB60D7">
            <w:pPr>
              <w:jc w:val="center"/>
              <w:rPr>
                <w:highlight w:val="none"/>
              </w:rPr>
            </w:pPr>
            <w:r>
              <w:rPr>
                <w:rFonts w:hint="eastAsia"/>
                <w:highlight w:val="none"/>
              </w:rPr>
              <w:t>15824005475</w:t>
            </w:r>
          </w:p>
        </w:tc>
      </w:tr>
      <w:tr w14:paraId="5B224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0930BA4D">
            <w:pPr>
              <w:jc w:val="center"/>
              <w:rPr>
                <w:highlight w:val="none"/>
              </w:rPr>
            </w:pPr>
            <w:r>
              <w:rPr>
                <w:rFonts w:hint="eastAsia"/>
                <w:highlight w:val="none"/>
              </w:rPr>
              <w:t>平安银行台州分行</w:t>
            </w:r>
          </w:p>
        </w:tc>
        <w:tc>
          <w:tcPr>
            <w:tcW w:w="1725" w:type="dxa"/>
            <w:vAlign w:val="center"/>
          </w:tcPr>
          <w:p w14:paraId="4A205090">
            <w:pPr>
              <w:jc w:val="center"/>
              <w:rPr>
                <w:highlight w:val="none"/>
              </w:rPr>
            </w:pPr>
            <w:r>
              <w:rPr>
                <w:rFonts w:hint="eastAsia"/>
                <w:highlight w:val="none"/>
              </w:rPr>
              <w:t>6.53%起</w:t>
            </w:r>
          </w:p>
        </w:tc>
        <w:tc>
          <w:tcPr>
            <w:tcW w:w="1688" w:type="dxa"/>
            <w:vAlign w:val="center"/>
          </w:tcPr>
          <w:p w14:paraId="073AD372">
            <w:pPr>
              <w:jc w:val="center"/>
              <w:rPr>
                <w:highlight w:val="none"/>
              </w:rPr>
            </w:pPr>
            <w:r>
              <w:rPr>
                <w:rFonts w:hint="eastAsia"/>
                <w:highlight w:val="none"/>
              </w:rPr>
              <w:t>李俊丽</w:t>
            </w:r>
          </w:p>
        </w:tc>
        <w:tc>
          <w:tcPr>
            <w:tcW w:w="2131" w:type="dxa"/>
            <w:vAlign w:val="center"/>
          </w:tcPr>
          <w:p w14:paraId="005FA235">
            <w:pPr>
              <w:jc w:val="center"/>
              <w:rPr>
                <w:highlight w:val="none"/>
              </w:rPr>
            </w:pPr>
            <w:r>
              <w:rPr>
                <w:rFonts w:hint="eastAsia"/>
                <w:highlight w:val="none"/>
              </w:rPr>
              <w:t>15906861025</w:t>
            </w:r>
          </w:p>
        </w:tc>
      </w:tr>
      <w:tr w14:paraId="2CB1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37AA4678">
            <w:pPr>
              <w:jc w:val="center"/>
              <w:rPr>
                <w:highlight w:val="none"/>
              </w:rPr>
            </w:pPr>
            <w:r>
              <w:rPr>
                <w:rFonts w:hint="eastAsia"/>
                <w:highlight w:val="none"/>
              </w:rPr>
              <w:t>宁波银行台州分行</w:t>
            </w:r>
          </w:p>
        </w:tc>
        <w:tc>
          <w:tcPr>
            <w:tcW w:w="1725" w:type="dxa"/>
            <w:vAlign w:val="center"/>
          </w:tcPr>
          <w:p w14:paraId="50834DC0">
            <w:pPr>
              <w:jc w:val="center"/>
              <w:rPr>
                <w:highlight w:val="none"/>
              </w:rPr>
            </w:pPr>
            <w:r>
              <w:rPr>
                <w:rFonts w:hint="eastAsia"/>
                <w:highlight w:val="none"/>
              </w:rPr>
              <w:t>4.35%起</w:t>
            </w:r>
          </w:p>
        </w:tc>
        <w:tc>
          <w:tcPr>
            <w:tcW w:w="1688" w:type="dxa"/>
            <w:vAlign w:val="center"/>
          </w:tcPr>
          <w:p w14:paraId="781F54FE">
            <w:pPr>
              <w:jc w:val="center"/>
              <w:rPr>
                <w:highlight w:val="none"/>
              </w:rPr>
            </w:pPr>
            <w:r>
              <w:rPr>
                <w:rFonts w:hint="eastAsia"/>
                <w:highlight w:val="none"/>
              </w:rPr>
              <w:t>戴莉丽</w:t>
            </w:r>
          </w:p>
        </w:tc>
        <w:tc>
          <w:tcPr>
            <w:tcW w:w="2131" w:type="dxa"/>
            <w:vAlign w:val="center"/>
          </w:tcPr>
          <w:p w14:paraId="4ED28A2E">
            <w:pPr>
              <w:jc w:val="center"/>
              <w:rPr>
                <w:highlight w:val="none"/>
              </w:rPr>
            </w:pPr>
            <w:r>
              <w:rPr>
                <w:rFonts w:hint="eastAsia"/>
                <w:highlight w:val="none"/>
              </w:rPr>
              <w:t>13566627207</w:t>
            </w:r>
          </w:p>
        </w:tc>
      </w:tr>
      <w:tr w14:paraId="076B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978" w:type="dxa"/>
            <w:vAlign w:val="center"/>
          </w:tcPr>
          <w:p w14:paraId="7939AFF2">
            <w:pPr>
              <w:jc w:val="center"/>
              <w:rPr>
                <w:highlight w:val="none"/>
              </w:rPr>
            </w:pPr>
            <w:r>
              <w:rPr>
                <w:rFonts w:hint="eastAsia"/>
                <w:highlight w:val="none"/>
              </w:rPr>
              <w:t>金华银行台州分行</w:t>
            </w:r>
          </w:p>
        </w:tc>
        <w:tc>
          <w:tcPr>
            <w:tcW w:w="1725" w:type="dxa"/>
            <w:vAlign w:val="center"/>
          </w:tcPr>
          <w:p w14:paraId="65D8015C">
            <w:pPr>
              <w:jc w:val="center"/>
              <w:rPr>
                <w:highlight w:val="none"/>
              </w:rPr>
            </w:pPr>
            <w:r>
              <w:rPr>
                <w:rFonts w:hint="eastAsia"/>
                <w:highlight w:val="none"/>
              </w:rPr>
              <w:t>4.05%起</w:t>
            </w:r>
          </w:p>
        </w:tc>
        <w:tc>
          <w:tcPr>
            <w:tcW w:w="1688" w:type="dxa"/>
            <w:vAlign w:val="center"/>
          </w:tcPr>
          <w:p w14:paraId="3146187E">
            <w:pPr>
              <w:jc w:val="center"/>
              <w:rPr>
                <w:highlight w:val="none"/>
              </w:rPr>
            </w:pPr>
            <w:r>
              <w:rPr>
                <w:rFonts w:hint="eastAsia"/>
                <w:highlight w:val="none"/>
              </w:rPr>
              <w:t>金雪婷</w:t>
            </w:r>
          </w:p>
        </w:tc>
        <w:tc>
          <w:tcPr>
            <w:tcW w:w="2131" w:type="dxa"/>
            <w:vAlign w:val="center"/>
          </w:tcPr>
          <w:p w14:paraId="568F27E0">
            <w:pPr>
              <w:jc w:val="center"/>
              <w:rPr>
                <w:highlight w:val="none"/>
              </w:rPr>
            </w:pPr>
            <w:r>
              <w:rPr>
                <w:rFonts w:hint="eastAsia"/>
                <w:highlight w:val="none"/>
              </w:rPr>
              <w:t>81886670</w:t>
            </w:r>
          </w:p>
          <w:p w14:paraId="6D0F7C00">
            <w:pPr>
              <w:jc w:val="center"/>
              <w:rPr>
                <w:highlight w:val="none"/>
              </w:rPr>
            </w:pPr>
            <w:r>
              <w:rPr>
                <w:rFonts w:hint="eastAsia"/>
                <w:highlight w:val="none"/>
              </w:rPr>
              <w:t>15968661569</w:t>
            </w:r>
          </w:p>
        </w:tc>
      </w:tr>
      <w:tr w14:paraId="31443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72504718">
            <w:pPr>
              <w:jc w:val="center"/>
              <w:rPr>
                <w:highlight w:val="none"/>
              </w:rPr>
            </w:pPr>
            <w:r>
              <w:rPr>
                <w:rFonts w:hint="eastAsia"/>
                <w:highlight w:val="none"/>
              </w:rPr>
              <w:t>台州银行</w:t>
            </w:r>
          </w:p>
        </w:tc>
        <w:tc>
          <w:tcPr>
            <w:tcW w:w="1725" w:type="dxa"/>
            <w:vAlign w:val="center"/>
          </w:tcPr>
          <w:p w14:paraId="4306C4C1">
            <w:pPr>
              <w:jc w:val="center"/>
              <w:rPr>
                <w:highlight w:val="none"/>
              </w:rPr>
            </w:pPr>
            <w:r>
              <w:rPr>
                <w:rFonts w:hint="eastAsia"/>
                <w:highlight w:val="none"/>
              </w:rPr>
              <w:t>5.6%起</w:t>
            </w:r>
          </w:p>
        </w:tc>
        <w:tc>
          <w:tcPr>
            <w:tcW w:w="1688" w:type="dxa"/>
            <w:vAlign w:val="center"/>
          </w:tcPr>
          <w:p w14:paraId="79419C99">
            <w:pPr>
              <w:jc w:val="center"/>
              <w:rPr>
                <w:highlight w:val="none"/>
              </w:rPr>
            </w:pPr>
            <w:r>
              <w:rPr>
                <w:rFonts w:hint="eastAsia"/>
                <w:highlight w:val="none"/>
              </w:rPr>
              <w:t>洪婷</w:t>
            </w:r>
          </w:p>
        </w:tc>
        <w:tc>
          <w:tcPr>
            <w:tcW w:w="2131" w:type="dxa"/>
            <w:vAlign w:val="center"/>
          </w:tcPr>
          <w:p w14:paraId="5C532812">
            <w:pPr>
              <w:jc w:val="center"/>
              <w:rPr>
                <w:highlight w:val="none"/>
              </w:rPr>
            </w:pPr>
            <w:r>
              <w:rPr>
                <w:rFonts w:hint="eastAsia"/>
                <w:highlight w:val="none"/>
              </w:rPr>
              <w:t>15858624999</w:t>
            </w:r>
          </w:p>
        </w:tc>
      </w:tr>
      <w:tr w14:paraId="3658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8" w:type="dxa"/>
            <w:vAlign w:val="center"/>
          </w:tcPr>
          <w:p w14:paraId="5A6BBFD2">
            <w:pPr>
              <w:jc w:val="center"/>
              <w:rPr>
                <w:highlight w:val="none"/>
              </w:rPr>
            </w:pPr>
            <w:r>
              <w:rPr>
                <w:rFonts w:hint="eastAsia"/>
                <w:highlight w:val="none"/>
              </w:rPr>
              <w:t>邮储银行台州分行</w:t>
            </w:r>
          </w:p>
        </w:tc>
        <w:tc>
          <w:tcPr>
            <w:tcW w:w="1725" w:type="dxa"/>
            <w:vAlign w:val="center"/>
          </w:tcPr>
          <w:p w14:paraId="74D1AFE3">
            <w:pPr>
              <w:jc w:val="center"/>
              <w:rPr>
                <w:highlight w:val="none"/>
              </w:rPr>
            </w:pPr>
            <w:r>
              <w:rPr>
                <w:rFonts w:hint="eastAsia"/>
                <w:highlight w:val="none"/>
              </w:rPr>
              <w:t>3.85%起</w:t>
            </w:r>
          </w:p>
        </w:tc>
        <w:tc>
          <w:tcPr>
            <w:tcW w:w="1688" w:type="dxa"/>
            <w:vAlign w:val="center"/>
          </w:tcPr>
          <w:p w14:paraId="62EF2949">
            <w:pPr>
              <w:jc w:val="center"/>
              <w:rPr>
                <w:highlight w:val="none"/>
              </w:rPr>
            </w:pPr>
            <w:r>
              <w:rPr>
                <w:rFonts w:hint="eastAsia"/>
                <w:highlight w:val="none"/>
              </w:rPr>
              <w:t>董庆</w:t>
            </w:r>
          </w:p>
        </w:tc>
        <w:tc>
          <w:tcPr>
            <w:tcW w:w="2131" w:type="dxa"/>
            <w:vAlign w:val="center"/>
          </w:tcPr>
          <w:p w14:paraId="69629D21">
            <w:pPr>
              <w:jc w:val="center"/>
              <w:rPr>
                <w:highlight w:val="none"/>
              </w:rPr>
            </w:pPr>
            <w:r>
              <w:rPr>
                <w:rFonts w:hint="eastAsia"/>
                <w:highlight w:val="none"/>
              </w:rPr>
              <w:t>81888982</w:t>
            </w:r>
          </w:p>
          <w:p w14:paraId="34F20D1E">
            <w:pPr>
              <w:jc w:val="center"/>
              <w:rPr>
                <w:highlight w:val="none"/>
              </w:rPr>
            </w:pPr>
            <w:r>
              <w:rPr>
                <w:rFonts w:hint="eastAsia"/>
                <w:highlight w:val="none"/>
              </w:rPr>
              <w:t>18957683435</w:t>
            </w:r>
          </w:p>
        </w:tc>
      </w:tr>
    </w:tbl>
    <w:p w14:paraId="4CD43872">
      <w:pPr>
        <w:jc w:val="center"/>
        <w:rPr>
          <w:highlight w:val="none"/>
        </w:rPr>
      </w:pPr>
    </w:p>
    <w:p w14:paraId="4F57106A">
      <w:pPr>
        <w:jc w:val="center"/>
        <w:rPr>
          <w:highlight w:val="none"/>
        </w:rPr>
      </w:pPr>
      <w:bookmarkStart w:id="0" w:name="_Toc29166"/>
      <w:r>
        <w:rPr>
          <w:rFonts w:hint="eastAsia"/>
          <w:highlight w:val="none"/>
        </w:rPr>
        <w:t>合同履约保函联系方式</w:t>
      </w:r>
      <w:bookmarkEnd w:id="0"/>
    </w:p>
    <w:tbl>
      <w:tblPr>
        <w:tblStyle w:val="2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73"/>
        <w:gridCol w:w="2633"/>
        <w:gridCol w:w="986"/>
        <w:gridCol w:w="1536"/>
      </w:tblGrid>
      <w:tr w14:paraId="437B61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jc w:val="center"/>
        </w:trPr>
        <w:tc>
          <w:tcPr>
            <w:tcW w:w="3373" w:type="dxa"/>
            <w:vAlign w:val="center"/>
          </w:tcPr>
          <w:p w14:paraId="4F438D5E">
            <w:pPr>
              <w:jc w:val="center"/>
              <w:rPr>
                <w:highlight w:val="none"/>
              </w:rPr>
            </w:pPr>
            <w:r>
              <w:rPr>
                <w:rFonts w:hint="eastAsia"/>
                <w:highlight w:val="none"/>
              </w:rPr>
              <w:t>保险公司名称</w:t>
            </w:r>
          </w:p>
        </w:tc>
        <w:tc>
          <w:tcPr>
            <w:tcW w:w="2633" w:type="dxa"/>
            <w:vAlign w:val="center"/>
          </w:tcPr>
          <w:p w14:paraId="5A9582C0">
            <w:pPr>
              <w:jc w:val="center"/>
              <w:rPr>
                <w:highlight w:val="none"/>
              </w:rPr>
            </w:pPr>
            <w:r>
              <w:rPr>
                <w:rFonts w:hint="eastAsia"/>
                <w:highlight w:val="none"/>
              </w:rPr>
              <w:t>保费率</w:t>
            </w:r>
          </w:p>
        </w:tc>
        <w:tc>
          <w:tcPr>
            <w:tcW w:w="986" w:type="dxa"/>
            <w:vAlign w:val="center"/>
          </w:tcPr>
          <w:p w14:paraId="39137680">
            <w:pPr>
              <w:jc w:val="center"/>
              <w:rPr>
                <w:highlight w:val="none"/>
              </w:rPr>
            </w:pPr>
            <w:r>
              <w:rPr>
                <w:rFonts w:hint="eastAsia"/>
                <w:highlight w:val="none"/>
              </w:rPr>
              <w:t>联系人</w:t>
            </w:r>
          </w:p>
        </w:tc>
        <w:tc>
          <w:tcPr>
            <w:tcW w:w="1536" w:type="dxa"/>
            <w:vAlign w:val="center"/>
          </w:tcPr>
          <w:p w14:paraId="61A60B56">
            <w:pPr>
              <w:jc w:val="center"/>
              <w:rPr>
                <w:highlight w:val="none"/>
              </w:rPr>
            </w:pPr>
            <w:r>
              <w:rPr>
                <w:rFonts w:hint="eastAsia"/>
                <w:highlight w:val="none"/>
              </w:rPr>
              <w:t>联系电话</w:t>
            </w:r>
          </w:p>
        </w:tc>
      </w:tr>
      <w:tr w14:paraId="79E2E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14:paraId="4647A53F">
            <w:pPr>
              <w:jc w:val="center"/>
              <w:rPr>
                <w:highlight w:val="none"/>
              </w:rPr>
            </w:pPr>
            <w:r>
              <w:rPr>
                <w:rFonts w:hint="eastAsia"/>
                <w:highlight w:val="none"/>
              </w:rPr>
              <w:t>中国人寿财产保险股份有限公司台州中心支公司</w:t>
            </w:r>
          </w:p>
        </w:tc>
        <w:tc>
          <w:tcPr>
            <w:tcW w:w="2633" w:type="dxa"/>
          </w:tcPr>
          <w:p w14:paraId="059DB25A">
            <w:pPr>
              <w:jc w:val="center"/>
              <w:rPr>
                <w:highlight w:val="none"/>
              </w:rPr>
            </w:pPr>
            <w:r>
              <w:rPr>
                <w:rFonts w:hint="eastAsia"/>
                <w:highlight w:val="none"/>
              </w:rPr>
              <w:t>年费率1%，最低保费500元</w:t>
            </w:r>
          </w:p>
        </w:tc>
        <w:tc>
          <w:tcPr>
            <w:tcW w:w="986" w:type="dxa"/>
          </w:tcPr>
          <w:p w14:paraId="3DA33382">
            <w:pPr>
              <w:jc w:val="center"/>
              <w:rPr>
                <w:highlight w:val="none"/>
              </w:rPr>
            </w:pPr>
            <w:r>
              <w:rPr>
                <w:rFonts w:hint="eastAsia"/>
                <w:highlight w:val="none"/>
              </w:rPr>
              <w:t>徐凌</w:t>
            </w:r>
          </w:p>
        </w:tc>
        <w:tc>
          <w:tcPr>
            <w:tcW w:w="1536" w:type="dxa"/>
          </w:tcPr>
          <w:p w14:paraId="58D9E8FF">
            <w:pPr>
              <w:jc w:val="center"/>
              <w:rPr>
                <w:highlight w:val="none"/>
              </w:rPr>
            </w:pPr>
            <w:r>
              <w:rPr>
                <w:rFonts w:hint="eastAsia"/>
                <w:highlight w:val="none"/>
              </w:rPr>
              <w:t>13905168070</w:t>
            </w:r>
          </w:p>
        </w:tc>
      </w:tr>
      <w:tr w14:paraId="0DF88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14:paraId="3D190A61">
            <w:pPr>
              <w:jc w:val="center"/>
              <w:rPr>
                <w:highlight w:val="none"/>
              </w:rPr>
            </w:pPr>
            <w:r>
              <w:rPr>
                <w:rFonts w:hint="eastAsia"/>
                <w:highlight w:val="none"/>
              </w:rPr>
              <w:t>永诚财产保险股份有限公司台州分公司</w:t>
            </w:r>
          </w:p>
        </w:tc>
        <w:tc>
          <w:tcPr>
            <w:tcW w:w="2633" w:type="dxa"/>
          </w:tcPr>
          <w:p w14:paraId="4770F024">
            <w:pPr>
              <w:jc w:val="center"/>
              <w:rPr>
                <w:highlight w:val="none"/>
              </w:rPr>
            </w:pPr>
            <w:r>
              <w:rPr>
                <w:rFonts w:hint="eastAsia"/>
                <w:highlight w:val="none"/>
              </w:rPr>
              <w:t>年费率1%，最低保费1000元</w:t>
            </w:r>
          </w:p>
        </w:tc>
        <w:tc>
          <w:tcPr>
            <w:tcW w:w="986" w:type="dxa"/>
          </w:tcPr>
          <w:p w14:paraId="51F322A2">
            <w:pPr>
              <w:jc w:val="center"/>
              <w:rPr>
                <w:highlight w:val="none"/>
              </w:rPr>
            </w:pPr>
            <w:r>
              <w:rPr>
                <w:rFonts w:hint="eastAsia"/>
                <w:highlight w:val="none"/>
              </w:rPr>
              <w:t>尹刚强</w:t>
            </w:r>
          </w:p>
        </w:tc>
        <w:tc>
          <w:tcPr>
            <w:tcW w:w="1536" w:type="dxa"/>
          </w:tcPr>
          <w:p w14:paraId="4FAF8498">
            <w:pPr>
              <w:jc w:val="center"/>
              <w:rPr>
                <w:highlight w:val="none"/>
              </w:rPr>
            </w:pPr>
            <w:r>
              <w:rPr>
                <w:rFonts w:hint="eastAsia"/>
                <w:highlight w:val="none"/>
              </w:rPr>
              <w:t>13750668184</w:t>
            </w:r>
          </w:p>
        </w:tc>
      </w:tr>
      <w:tr w14:paraId="55078F1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14:paraId="32A6AC40">
            <w:pPr>
              <w:jc w:val="center"/>
              <w:rPr>
                <w:highlight w:val="none"/>
              </w:rPr>
            </w:pPr>
            <w:r>
              <w:rPr>
                <w:rFonts w:hint="eastAsia"/>
                <w:highlight w:val="none"/>
              </w:rPr>
              <w:t>华泰财产保险有限公司台州中心支公司</w:t>
            </w:r>
          </w:p>
        </w:tc>
        <w:tc>
          <w:tcPr>
            <w:tcW w:w="2633" w:type="dxa"/>
          </w:tcPr>
          <w:p w14:paraId="6A8DCBD4">
            <w:pPr>
              <w:jc w:val="center"/>
              <w:rPr>
                <w:highlight w:val="none"/>
              </w:rPr>
            </w:pPr>
            <w:r>
              <w:rPr>
                <w:rFonts w:hint="eastAsia"/>
                <w:highlight w:val="none"/>
              </w:rPr>
              <w:t>年费率0.5%，最低保费1000元</w:t>
            </w:r>
          </w:p>
        </w:tc>
        <w:tc>
          <w:tcPr>
            <w:tcW w:w="986" w:type="dxa"/>
          </w:tcPr>
          <w:p w14:paraId="76A790C0">
            <w:pPr>
              <w:jc w:val="center"/>
              <w:rPr>
                <w:highlight w:val="none"/>
              </w:rPr>
            </w:pPr>
            <w:r>
              <w:rPr>
                <w:rFonts w:hint="eastAsia"/>
                <w:highlight w:val="none"/>
              </w:rPr>
              <w:t>王灵芳</w:t>
            </w:r>
          </w:p>
        </w:tc>
        <w:tc>
          <w:tcPr>
            <w:tcW w:w="1536" w:type="dxa"/>
          </w:tcPr>
          <w:p w14:paraId="3F842511">
            <w:pPr>
              <w:jc w:val="center"/>
              <w:rPr>
                <w:highlight w:val="none"/>
              </w:rPr>
            </w:pPr>
            <w:r>
              <w:rPr>
                <w:rFonts w:hint="eastAsia"/>
                <w:highlight w:val="none"/>
              </w:rPr>
              <w:t>88869818 13586123199</w:t>
            </w:r>
          </w:p>
        </w:tc>
      </w:tr>
      <w:tr w14:paraId="344F7B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14:paraId="6B27E54E">
            <w:pPr>
              <w:jc w:val="center"/>
              <w:rPr>
                <w:highlight w:val="none"/>
              </w:rPr>
            </w:pPr>
            <w:r>
              <w:rPr>
                <w:rFonts w:hint="eastAsia"/>
                <w:highlight w:val="none"/>
              </w:rPr>
              <w:t>中国大地财产保险股份有限公司台州中心支公司</w:t>
            </w:r>
          </w:p>
        </w:tc>
        <w:tc>
          <w:tcPr>
            <w:tcW w:w="2633" w:type="dxa"/>
          </w:tcPr>
          <w:p w14:paraId="6F7800FD">
            <w:pPr>
              <w:jc w:val="center"/>
              <w:rPr>
                <w:highlight w:val="none"/>
              </w:rPr>
            </w:pPr>
            <w:r>
              <w:rPr>
                <w:rFonts w:hint="eastAsia"/>
                <w:highlight w:val="none"/>
              </w:rPr>
              <w:t>年费率1.5%，最低保费1000元</w:t>
            </w:r>
          </w:p>
        </w:tc>
        <w:tc>
          <w:tcPr>
            <w:tcW w:w="986" w:type="dxa"/>
          </w:tcPr>
          <w:p w14:paraId="707964B6">
            <w:pPr>
              <w:jc w:val="center"/>
              <w:rPr>
                <w:highlight w:val="none"/>
              </w:rPr>
            </w:pPr>
            <w:r>
              <w:rPr>
                <w:rFonts w:hint="eastAsia"/>
                <w:highlight w:val="none"/>
              </w:rPr>
              <w:t>徐小明</w:t>
            </w:r>
          </w:p>
        </w:tc>
        <w:tc>
          <w:tcPr>
            <w:tcW w:w="1536" w:type="dxa"/>
          </w:tcPr>
          <w:p w14:paraId="6D31EA3E">
            <w:pPr>
              <w:jc w:val="center"/>
              <w:rPr>
                <w:highlight w:val="none"/>
              </w:rPr>
            </w:pPr>
            <w:r>
              <w:rPr>
                <w:rFonts w:hint="eastAsia"/>
                <w:highlight w:val="none"/>
              </w:rPr>
              <w:t>88552788      13968603112</w:t>
            </w:r>
          </w:p>
        </w:tc>
      </w:tr>
      <w:tr w14:paraId="210A61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14:paraId="4E579A24">
            <w:pPr>
              <w:jc w:val="center"/>
              <w:rPr>
                <w:highlight w:val="none"/>
              </w:rPr>
            </w:pPr>
            <w:r>
              <w:rPr>
                <w:rFonts w:hint="eastAsia"/>
                <w:highlight w:val="none"/>
              </w:rPr>
              <w:t>阳光保险台州中心支公司</w:t>
            </w:r>
          </w:p>
        </w:tc>
        <w:tc>
          <w:tcPr>
            <w:tcW w:w="2633" w:type="dxa"/>
          </w:tcPr>
          <w:p w14:paraId="23E3AE0E">
            <w:pPr>
              <w:jc w:val="center"/>
              <w:rPr>
                <w:highlight w:val="none"/>
              </w:rPr>
            </w:pPr>
            <w:r>
              <w:rPr>
                <w:rFonts w:hint="eastAsia"/>
                <w:highlight w:val="none"/>
              </w:rPr>
              <w:t>年费率1%，最低保费500元</w:t>
            </w:r>
          </w:p>
        </w:tc>
        <w:tc>
          <w:tcPr>
            <w:tcW w:w="986" w:type="dxa"/>
          </w:tcPr>
          <w:p w14:paraId="12CB68ED">
            <w:pPr>
              <w:jc w:val="center"/>
              <w:rPr>
                <w:highlight w:val="none"/>
              </w:rPr>
            </w:pPr>
            <w:r>
              <w:rPr>
                <w:rFonts w:hint="eastAsia"/>
                <w:highlight w:val="none"/>
              </w:rPr>
              <w:t>林高明</w:t>
            </w:r>
          </w:p>
        </w:tc>
        <w:tc>
          <w:tcPr>
            <w:tcW w:w="1536" w:type="dxa"/>
          </w:tcPr>
          <w:p w14:paraId="6D23876C">
            <w:pPr>
              <w:jc w:val="center"/>
              <w:rPr>
                <w:highlight w:val="none"/>
              </w:rPr>
            </w:pPr>
            <w:r>
              <w:rPr>
                <w:rFonts w:hint="eastAsia"/>
                <w:highlight w:val="none"/>
              </w:rPr>
              <w:t>15888682693</w:t>
            </w:r>
          </w:p>
        </w:tc>
      </w:tr>
      <w:tr w14:paraId="465CCB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14:paraId="303B2A15">
            <w:pPr>
              <w:jc w:val="center"/>
              <w:rPr>
                <w:highlight w:val="none"/>
              </w:rPr>
            </w:pPr>
            <w:r>
              <w:rPr>
                <w:rFonts w:hint="eastAsia"/>
                <w:highlight w:val="none"/>
              </w:rPr>
              <w:t>中华联合财产保险股份有限公司台州中心支公司</w:t>
            </w:r>
          </w:p>
        </w:tc>
        <w:tc>
          <w:tcPr>
            <w:tcW w:w="2633" w:type="dxa"/>
          </w:tcPr>
          <w:p w14:paraId="4DFE6D28">
            <w:pPr>
              <w:jc w:val="center"/>
              <w:rPr>
                <w:highlight w:val="none"/>
              </w:rPr>
            </w:pPr>
            <w:r>
              <w:rPr>
                <w:rFonts w:hint="eastAsia"/>
                <w:highlight w:val="none"/>
              </w:rPr>
              <w:t>年费率2%，最低保费500元</w:t>
            </w:r>
          </w:p>
        </w:tc>
        <w:tc>
          <w:tcPr>
            <w:tcW w:w="986" w:type="dxa"/>
          </w:tcPr>
          <w:p w14:paraId="3E947695">
            <w:pPr>
              <w:jc w:val="center"/>
              <w:rPr>
                <w:highlight w:val="none"/>
              </w:rPr>
            </w:pPr>
            <w:r>
              <w:rPr>
                <w:rFonts w:hint="eastAsia"/>
                <w:highlight w:val="none"/>
              </w:rPr>
              <w:t>王仙高</w:t>
            </w:r>
          </w:p>
        </w:tc>
        <w:tc>
          <w:tcPr>
            <w:tcW w:w="1536" w:type="dxa"/>
          </w:tcPr>
          <w:p w14:paraId="530440D0">
            <w:pPr>
              <w:jc w:val="center"/>
              <w:rPr>
                <w:highlight w:val="none"/>
              </w:rPr>
            </w:pPr>
            <w:r>
              <w:rPr>
                <w:rFonts w:hint="eastAsia"/>
                <w:highlight w:val="none"/>
              </w:rPr>
              <w:t>13858600221</w:t>
            </w:r>
          </w:p>
        </w:tc>
      </w:tr>
      <w:tr w14:paraId="6FF844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14:paraId="27311041">
            <w:pPr>
              <w:jc w:val="center"/>
              <w:rPr>
                <w:highlight w:val="none"/>
              </w:rPr>
            </w:pPr>
            <w:r>
              <w:rPr>
                <w:rFonts w:hint="eastAsia"/>
                <w:highlight w:val="none"/>
              </w:rPr>
              <w:t>中国人民财产保险股份有限公司台州中心支公司</w:t>
            </w:r>
          </w:p>
        </w:tc>
        <w:tc>
          <w:tcPr>
            <w:tcW w:w="2633" w:type="dxa"/>
          </w:tcPr>
          <w:p w14:paraId="64E721D6">
            <w:pPr>
              <w:jc w:val="center"/>
              <w:rPr>
                <w:highlight w:val="none"/>
              </w:rPr>
            </w:pPr>
            <w:r>
              <w:rPr>
                <w:rFonts w:hint="eastAsia"/>
                <w:highlight w:val="none"/>
              </w:rPr>
              <w:t>年费率0.3%，最低保费1000元</w:t>
            </w:r>
          </w:p>
        </w:tc>
        <w:tc>
          <w:tcPr>
            <w:tcW w:w="986" w:type="dxa"/>
          </w:tcPr>
          <w:p w14:paraId="770E74A0">
            <w:pPr>
              <w:jc w:val="center"/>
              <w:rPr>
                <w:highlight w:val="none"/>
              </w:rPr>
            </w:pPr>
            <w:r>
              <w:rPr>
                <w:rFonts w:hint="eastAsia"/>
                <w:highlight w:val="none"/>
              </w:rPr>
              <w:t>王仙春</w:t>
            </w:r>
          </w:p>
        </w:tc>
        <w:tc>
          <w:tcPr>
            <w:tcW w:w="1536" w:type="dxa"/>
          </w:tcPr>
          <w:p w14:paraId="3FCC1AD7">
            <w:pPr>
              <w:jc w:val="center"/>
              <w:rPr>
                <w:highlight w:val="none"/>
              </w:rPr>
            </w:pPr>
            <w:r>
              <w:rPr>
                <w:rFonts w:hint="eastAsia"/>
                <w:highlight w:val="none"/>
              </w:rPr>
              <w:t>13515769179</w:t>
            </w:r>
          </w:p>
        </w:tc>
      </w:tr>
      <w:tr w14:paraId="01D7C7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373" w:type="dxa"/>
          </w:tcPr>
          <w:p w14:paraId="0C8A15CC">
            <w:pPr>
              <w:jc w:val="center"/>
              <w:rPr>
                <w:highlight w:val="none"/>
              </w:rPr>
            </w:pPr>
            <w:r>
              <w:rPr>
                <w:rFonts w:hint="eastAsia"/>
                <w:highlight w:val="none"/>
              </w:rPr>
              <w:t>永安财产保险股份有限公司台州中心支公司</w:t>
            </w:r>
          </w:p>
        </w:tc>
        <w:tc>
          <w:tcPr>
            <w:tcW w:w="2633" w:type="dxa"/>
          </w:tcPr>
          <w:p w14:paraId="40DC8521">
            <w:pPr>
              <w:jc w:val="center"/>
              <w:rPr>
                <w:highlight w:val="none"/>
              </w:rPr>
            </w:pPr>
            <w:r>
              <w:rPr>
                <w:rFonts w:hint="eastAsia"/>
                <w:highlight w:val="none"/>
              </w:rPr>
              <w:t>年费率0.3%，最低保费1000</w:t>
            </w:r>
          </w:p>
        </w:tc>
        <w:tc>
          <w:tcPr>
            <w:tcW w:w="986" w:type="dxa"/>
          </w:tcPr>
          <w:p w14:paraId="501BA971">
            <w:pPr>
              <w:jc w:val="center"/>
              <w:rPr>
                <w:highlight w:val="none"/>
              </w:rPr>
            </w:pPr>
            <w:r>
              <w:rPr>
                <w:rFonts w:hint="eastAsia"/>
                <w:highlight w:val="none"/>
              </w:rPr>
              <w:t>王春宇</w:t>
            </w:r>
          </w:p>
        </w:tc>
        <w:tc>
          <w:tcPr>
            <w:tcW w:w="1536" w:type="dxa"/>
          </w:tcPr>
          <w:p w14:paraId="0A879280">
            <w:pPr>
              <w:jc w:val="center"/>
              <w:rPr>
                <w:highlight w:val="none"/>
              </w:rPr>
            </w:pPr>
            <w:r>
              <w:rPr>
                <w:rFonts w:hint="eastAsia"/>
                <w:highlight w:val="none"/>
              </w:rPr>
              <w:t>13676675331</w:t>
            </w:r>
          </w:p>
        </w:tc>
      </w:tr>
    </w:tbl>
    <w:p w14:paraId="3C69CC09">
      <w:pPr>
        <w:jc w:val="center"/>
        <w:rPr>
          <w:highlight w:val="none"/>
        </w:rPr>
      </w:pPr>
    </w:p>
    <w:p w14:paraId="1065F5B5">
      <w:pPr>
        <w:jc w:val="center"/>
        <w:rPr>
          <w:highlight w:val="none"/>
        </w:rPr>
      </w:pPr>
      <w:r>
        <w:rPr>
          <w:rFonts w:hint="eastAsia"/>
          <w:highlight w:val="none"/>
        </w:rPr>
        <w:t>预付款保函联系方式</w:t>
      </w:r>
    </w:p>
    <w:tbl>
      <w:tblPr>
        <w:tblStyle w:val="29"/>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361"/>
        <w:gridCol w:w="1701"/>
        <w:gridCol w:w="992"/>
        <w:gridCol w:w="1468"/>
      </w:tblGrid>
      <w:tr w14:paraId="3F506E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4361" w:type="dxa"/>
            <w:vAlign w:val="center"/>
          </w:tcPr>
          <w:p w14:paraId="4BE61EDD">
            <w:pPr>
              <w:jc w:val="center"/>
              <w:rPr>
                <w:highlight w:val="none"/>
              </w:rPr>
            </w:pPr>
            <w:r>
              <w:rPr>
                <w:rFonts w:hint="eastAsia"/>
                <w:highlight w:val="none"/>
              </w:rPr>
              <w:t>保险公司名称</w:t>
            </w:r>
          </w:p>
        </w:tc>
        <w:tc>
          <w:tcPr>
            <w:tcW w:w="1701" w:type="dxa"/>
            <w:vAlign w:val="center"/>
          </w:tcPr>
          <w:p w14:paraId="1FB0A25F">
            <w:pPr>
              <w:jc w:val="center"/>
              <w:rPr>
                <w:highlight w:val="none"/>
              </w:rPr>
            </w:pPr>
            <w:r>
              <w:rPr>
                <w:rFonts w:hint="eastAsia"/>
                <w:highlight w:val="none"/>
              </w:rPr>
              <w:t>保费率</w:t>
            </w:r>
          </w:p>
        </w:tc>
        <w:tc>
          <w:tcPr>
            <w:tcW w:w="992" w:type="dxa"/>
            <w:vAlign w:val="center"/>
          </w:tcPr>
          <w:p w14:paraId="3C45E942">
            <w:pPr>
              <w:jc w:val="center"/>
              <w:rPr>
                <w:highlight w:val="none"/>
              </w:rPr>
            </w:pPr>
            <w:r>
              <w:rPr>
                <w:rFonts w:hint="eastAsia"/>
                <w:highlight w:val="none"/>
              </w:rPr>
              <w:t>联系人</w:t>
            </w:r>
          </w:p>
        </w:tc>
        <w:tc>
          <w:tcPr>
            <w:tcW w:w="1468" w:type="dxa"/>
            <w:vAlign w:val="center"/>
          </w:tcPr>
          <w:p w14:paraId="591327B4">
            <w:pPr>
              <w:jc w:val="center"/>
              <w:rPr>
                <w:highlight w:val="none"/>
              </w:rPr>
            </w:pPr>
            <w:r>
              <w:rPr>
                <w:rFonts w:hint="eastAsia"/>
                <w:highlight w:val="none"/>
              </w:rPr>
              <w:t>联系电话</w:t>
            </w:r>
          </w:p>
        </w:tc>
      </w:tr>
      <w:tr w14:paraId="06231A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14:paraId="49C0E105">
            <w:pPr>
              <w:jc w:val="center"/>
              <w:rPr>
                <w:highlight w:val="none"/>
              </w:rPr>
            </w:pPr>
            <w:r>
              <w:rPr>
                <w:rFonts w:hint="eastAsia"/>
                <w:highlight w:val="none"/>
              </w:rPr>
              <w:t>中国人寿财产保险股份有限公司台州中心支公司</w:t>
            </w:r>
          </w:p>
        </w:tc>
        <w:tc>
          <w:tcPr>
            <w:tcW w:w="1701" w:type="dxa"/>
          </w:tcPr>
          <w:p w14:paraId="21402A95">
            <w:pPr>
              <w:jc w:val="center"/>
              <w:rPr>
                <w:highlight w:val="none"/>
              </w:rPr>
            </w:pPr>
            <w:r>
              <w:rPr>
                <w:rFonts w:hint="eastAsia"/>
                <w:highlight w:val="none"/>
              </w:rPr>
              <w:t>年费率3%，最低保费500元</w:t>
            </w:r>
          </w:p>
        </w:tc>
        <w:tc>
          <w:tcPr>
            <w:tcW w:w="992" w:type="dxa"/>
          </w:tcPr>
          <w:p w14:paraId="34A49028">
            <w:pPr>
              <w:jc w:val="center"/>
              <w:rPr>
                <w:highlight w:val="none"/>
              </w:rPr>
            </w:pPr>
            <w:r>
              <w:rPr>
                <w:rFonts w:hint="eastAsia"/>
                <w:highlight w:val="none"/>
              </w:rPr>
              <w:t>徐凌</w:t>
            </w:r>
          </w:p>
        </w:tc>
        <w:tc>
          <w:tcPr>
            <w:tcW w:w="1468" w:type="dxa"/>
          </w:tcPr>
          <w:p w14:paraId="3A491F58">
            <w:pPr>
              <w:jc w:val="center"/>
              <w:rPr>
                <w:highlight w:val="none"/>
              </w:rPr>
            </w:pPr>
            <w:r>
              <w:rPr>
                <w:rFonts w:hint="eastAsia"/>
                <w:highlight w:val="none"/>
              </w:rPr>
              <w:t>13905168070</w:t>
            </w:r>
          </w:p>
        </w:tc>
      </w:tr>
      <w:tr w14:paraId="2A4162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14:paraId="45D56B0B">
            <w:pPr>
              <w:jc w:val="center"/>
              <w:rPr>
                <w:highlight w:val="none"/>
              </w:rPr>
            </w:pPr>
            <w:r>
              <w:rPr>
                <w:rFonts w:hint="eastAsia"/>
                <w:highlight w:val="none"/>
              </w:rPr>
              <w:t>阳光保险台州中心支公司</w:t>
            </w:r>
          </w:p>
        </w:tc>
        <w:tc>
          <w:tcPr>
            <w:tcW w:w="1701" w:type="dxa"/>
          </w:tcPr>
          <w:p w14:paraId="4939EB6C">
            <w:pPr>
              <w:jc w:val="center"/>
              <w:rPr>
                <w:highlight w:val="none"/>
              </w:rPr>
            </w:pPr>
            <w:r>
              <w:rPr>
                <w:rFonts w:hint="eastAsia"/>
                <w:highlight w:val="none"/>
              </w:rPr>
              <w:t>年费率1%，最低保费500元</w:t>
            </w:r>
          </w:p>
        </w:tc>
        <w:tc>
          <w:tcPr>
            <w:tcW w:w="992" w:type="dxa"/>
          </w:tcPr>
          <w:p w14:paraId="3D14A5FA">
            <w:pPr>
              <w:jc w:val="center"/>
              <w:rPr>
                <w:highlight w:val="none"/>
              </w:rPr>
            </w:pPr>
            <w:r>
              <w:rPr>
                <w:rFonts w:hint="eastAsia"/>
                <w:highlight w:val="none"/>
              </w:rPr>
              <w:t>林高明</w:t>
            </w:r>
          </w:p>
        </w:tc>
        <w:tc>
          <w:tcPr>
            <w:tcW w:w="1468" w:type="dxa"/>
          </w:tcPr>
          <w:p w14:paraId="117FA7F9">
            <w:pPr>
              <w:jc w:val="center"/>
              <w:rPr>
                <w:highlight w:val="none"/>
              </w:rPr>
            </w:pPr>
            <w:r>
              <w:rPr>
                <w:rFonts w:hint="eastAsia"/>
                <w:highlight w:val="none"/>
              </w:rPr>
              <w:t>15888682693</w:t>
            </w:r>
          </w:p>
        </w:tc>
      </w:tr>
      <w:tr w14:paraId="5DED1F3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361" w:type="dxa"/>
          </w:tcPr>
          <w:p w14:paraId="78432A7F">
            <w:pPr>
              <w:jc w:val="center"/>
              <w:rPr>
                <w:highlight w:val="none"/>
              </w:rPr>
            </w:pPr>
            <w:r>
              <w:rPr>
                <w:rFonts w:hint="eastAsia"/>
                <w:highlight w:val="none"/>
              </w:rPr>
              <w:t>天安财产保险股份有限公司台州中心支公司</w:t>
            </w:r>
          </w:p>
        </w:tc>
        <w:tc>
          <w:tcPr>
            <w:tcW w:w="1701" w:type="dxa"/>
          </w:tcPr>
          <w:p w14:paraId="671499EC">
            <w:pPr>
              <w:jc w:val="center"/>
              <w:rPr>
                <w:highlight w:val="none"/>
              </w:rPr>
            </w:pPr>
            <w:r>
              <w:rPr>
                <w:rFonts w:hint="eastAsia"/>
                <w:highlight w:val="none"/>
              </w:rPr>
              <w:t>年费率1%-2%，最低保费500元</w:t>
            </w:r>
          </w:p>
        </w:tc>
        <w:tc>
          <w:tcPr>
            <w:tcW w:w="992" w:type="dxa"/>
          </w:tcPr>
          <w:p w14:paraId="5F71FB63">
            <w:pPr>
              <w:jc w:val="center"/>
              <w:rPr>
                <w:highlight w:val="none"/>
              </w:rPr>
            </w:pPr>
            <w:r>
              <w:rPr>
                <w:rFonts w:hint="eastAsia"/>
                <w:highlight w:val="none"/>
              </w:rPr>
              <w:t>罗赛</w:t>
            </w:r>
          </w:p>
        </w:tc>
        <w:tc>
          <w:tcPr>
            <w:tcW w:w="1468" w:type="dxa"/>
          </w:tcPr>
          <w:p w14:paraId="693F4034">
            <w:pPr>
              <w:jc w:val="center"/>
              <w:rPr>
                <w:highlight w:val="none"/>
              </w:rPr>
            </w:pPr>
            <w:r>
              <w:rPr>
                <w:rFonts w:hint="eastAsia"/>
                <w:highlight w:val="none"/>
              </w:rPr>
              <w:t>13736605643</w:t>
            </w:r>
          </w:p>
        </w:tc>
      </w:tr>
    </w:tbl>
    <w:p w14:paraId="45CE7DB6">
      <w:pPr>
        <w:jc w:val="center"/>
        <w:rPr>
          <w:highlight w:val="none"/>
        </w:rPr>
      </w:pPr>
    </w:p>
    <w:p w14:paraId="6B740A8B">
      <w:pPr>
        <w:pStyle w:val="2"/>
        <w:jc w:val="right"/>
        <w:rPr>
          <w:rFonts w:asciiTheme="minorEastAsia" w:hAnsiTheme="minorEastAsia" w:eastAsiaTheme="minorEastAsia" w:cstheme="minorEastAsia"/>
          <w:szCs w:val="21"/>
          <w:highlight w:val="none"/>
        </w:rPr>
      </w:pPr>
    </w:p>
    <w:p w14:paraId="53CEF0B9">
      <w:pPr>
        <w:pStyle w:val="2"/>
        <w:jc w:val="right"/>
        <w:rPr>
          <w:rFonts w:asciiTheme="minorEastAsia" w:hAnsiTheme="minorEastAsia" w:eastAsiaTheme="minorEastAsia" w:cstheme="minorEastAsia"/>
          <w:szCs w:val="21"/>
          <w:highlight w:val="none"/>
        </w:rPr>
      </w:pPr>
    </w:p>
    <w:p w14:paraId="30FF6213">
      <w:pPr>
        <w:pStyle w:val="3"/>
        <w:ind w:firstLine="0" w:firstLineChars="0"/>
        <w:rPr>
          <w:rFonts w:asciiTheme="minorEastAsia" w:hAnsiTheme="minorEastAsia" w:eastAsiaTheme="minorEastAsia" w:cstheme="minorEastAsia"/>
          <w:szCs w:val="21"/>
          <w:highlight w:val="none"/>
        </w:rPr>
      </w:pPr>
    </w:p>
    <w:p w14:paraId="68235471">
      <w:pPr>
        <w:rPr>
          <w:rFonts w:asciiTheme="minorEastAsia" w:hAnsiTheme="minorEastAsia" w:eastAsiaTheme="minorEastAsia" w:cstheme="minorEastAsia"/>
          <w:szCs w:val="21"/>
          <w:highlight w:val="none"/>
        </w:rPr>
      </w:pPr>
    </w:p>
    <w:p w14:paraId="5192A354">
      <w:pPr>
        <w:pStyle w:val="35"/>
        <w:rPr>
          <w:rFonts w:asciiTheme="minorEastAsia" w:hAnsiTheme="minorEastAsia" w:eastAsiaTheme="minorEastAsia" w:cstheme="minorEastAsia"/>
          <w:szCs w:val="21"/>
          <w:highlight w:val="none"/>
        </w:rPr>
      </w:pPr>
    </w:p>
    <w:p w14:paraId="47CD4138">
      <w:pPr>
        <w:pStyle w:val="35"/>
        <w:rPr>
          <w:rFonts w:asciiTheme="minorEastAsia" w:hAnsiTheme="minorEastAsia" w:eastAsiaTheme="minorEastAsia" w:cstheme="minorEastAsia"/>
          <w:szCs w:val="21"/>
          <w:highlight w:val="none"/>
        </w:rPr>
      </w:pPr>
    </w:p>
    <w:p w14:paraId="5E0986A1">
      <w:pPr>
        <w:pStyle w:val="35"/>
        <w:rPr>
          <w:rFonts w:asciiTheme="minorEastAsia" w:hAnsiTheme="minorEastAsia" w:eastAsiaTheme="minorEastAsia" w:cstheme="minorEastAsia"/>
          <w:szCs w:val="21"/>
          <w:highlight w:val="none"/>
        </w:rPr>
      </w:pPr>
    </w:p>
    <w:p w14:paraId="588F1452">
      <w:pPr>
        <w:pStyle w:val="35"/>
        <w:rPr>
          <w:rFonts w:asciiTheme="minorEastAsia" w:hAnsiTheme="minorEastAsia" w:eastAsiaTheme="minorEastAsia" w:cstheme="minorEastAsia"/>
          <w:szCs w:val="21"/>
          <w:highlight w:val="none"/>
        </w:rPr>
      </w:pPr>
    </w:p>
    <w:p w14:paraId="6507B3EB">
      <w:pPr>
        <w:pStyle w:val="35"/>
        <w:rPr>
          <w:rFonts w:asciiTheme="minorEastAsia" w:hAnsiTheme="minorEastAsia" w:eastAsiaTheme="minorEastAsia" w:cstheme="minorEastAsia"/>
          <w:szCs w:val="21"/>
          <w:highlight w:val="none"/>
        </w:rPr>
      </w:pPr>
    </w:p>
    <w:p w14:paraId="4D6260F4">
      <w:pPr>
        <w:pStyle w:val="35"/>
        <w:rPr>
          <w:rFonts w:asciiTheme="minorEastAsia" w:hAnsiTheme="minorEastAsia" w:eastAsiaTheme="minorEastAsia" w:cstheme="minorEastAsia"/>
          <w:szCs w:val="21"/>
          <w:highlight w:val="none"/>
        </w:rPr>
      </w:pPr>
    </w:p>
    <w:p w14:paraId="59477874">
      <w:pPr>
        <w:pStyle w:val="35"/>
        <w:rPr>
          <w:rFonts w:asciiTheme="minorEastAsia" w:hAnsiTheme="minorEastAsia" w:eastAsiaTheme="minorEastAsia" w:cstheme="minorEastAsia"/>
          <w:szCs w:val="21"/>
          <w:highlight w:val="none"/>
        </w:rPr>
      </w:pPr>
    </w:p>
    <w:p w14:paraId="6F176311">
      <w:pPr>
        <w:pStyle w:val="35"/>
        <w:rPr>
          <w:rFonts w:asciiTheme="minorEastAsia" w:hAnsiTheme="minorEastAsia" w:eastAsiaTheme="minorEastAsia" w:cstheme="minorEastAsia"/>
          <w:szCs w:val="21"/>
          <w:highlight w:val="none"/>
        </w:rPr>
      </w:pPr>
    </w:p>
    <w:p w14:paraId="594033AB">
      <w:pPr>
        <w:pStyle w:val="35"/>
        <w:rPr>
          <w:rFonts w:asciiTheme="minorEastAsia" w:hAnsiTheme="minorEastAsia" w:eastAsiaTheme="minorEastAsia" w:cstheme="minorEastAsia"/>
          <w:szCs w:val="21"/>
          <w:highlight w:val="none"/>
        </w:rPr>
      </w:pPr>
    </w:p>
    <w:p w14:paraId="7FAC3170">
      <w:pPr>
        <w:numPr>
          <w:ilvl w:val="0"/>
          <w:numId w:val="6"/>
        </w:numPr>
        <w:spacing w:line="360" w:lineRule="auto"/>
        <w:jc w:val="center"/>
        <w:rPr>
          <w:rFonts w:ascii="宋体"/>
          <w:b/>
          <w:sz w:val="36"/>
          <w:szCs w:val="36"/>
          <w:highlight w:val="none"/>
        </w:rPr>
      </w:pPr>
      <w:r>
        <w:rPr>
          <w:rFonts w:hint="eastAsia" w:ascii="宋体" w:hAnsi="宋体"/>
          <w:b/>
          <w:sz w:val="36"/>
          <w:szCs w:val="36"/>
          <w:highlight w:val="none"/>
        </w:rPr>
        <w:t>供应商须知</w:t>
      </w:r>
    </w:p>
    <w:p w14:paraId="6FAC6C08">
      <w:pPr>
        <w:spacing w:line="360" w:lineRule="auto"/>
        <w:jc w:val="center"/>
        <w:rPr>
          <w:rFonts w:ascii="宋体"/>
          <w:b/>
          <w:sz w:val="28"/>
          <w:szCs w:val="28"/>
          <w:highlight w:val="none"/>
        </w:rPr>
      </w:pPr>
      <w:r>
        <w:rPr>
          <w:rFonts w:hint="eastAsia" w:ascii="宋体" w:hAnsi="宋体"/>
          <w:b/>
          <w:sz w:val="28"/>
          <w:szCs w:val="28"/>
          <w:highlight w:val="none"/>
        </w:rPr>
        <w:t>前附表</w:t>
      </w:r>
    </w:p>
    <w:tbl>
      <w:tblPr>
        <w:tblStyle w:val="28"/>
        <w:tblW w:w="91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185"/>
        <w:gridCol w:w="6393"/>
      </w:tblGrid>
      <w:tr w14:paraId="3312D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EBA8523">
            <w:pPr>
              <w:spacing w:line="360" w:lineRule="auto"/>
              <w:jc w:val="center"/>
              <w:rPr>
                <w:rFonts w:ascii="宋体" w:hAnsi="宋体" w:cs="宋体"/>
                <w:szCs w:val="21"/>
                <w:highlight w:val="none"/>
              </w:rPr>
            </w:pPr>
            <w:r>
              <w:rPr>
                <w:rFonts w:hint="eastAsia" w:ascii="宋体" w:hAnsi="宋体" w:cs="宋体"/>
                <w:szCs w:val="21"/>
                <w:highlight w:val="none"/>
              </w:rPr>
              <w:t>序号</w:t>
            </w:r>
          </w:p>
        </w:tc>
        <w:tc>
          <w:tcPr>
            <w:tcW w:w="2185" w:type="dxa"/>
            <w:tcBorders>
              <w:top w:val="single" w:color="auto" w:sz="4" w:space="0"/>
              <w:left w:val="single" w:color="auto" w:sz="4" w:space="0"/>
              <w:bottom w:val="single" w:color="auto" w:sz="4" w:space="0"/>
              <w:right w:val="single" w:color="auto" w:sz="4" w:space="0"/>
            </w:tcBorders>
            <w:vAlign w:val="center"/>
          </w:tcPr>
          <w:p w14:paraId="6D78CC03">
            <w:pPr>
              <w:spacing w:line="360" w:lineRule="auto"/>
              <w:jc w:val="center"/>
              <w:rPr>
                <w:rFonts w:ascii="宋体" w:hAnsi="宋体" w:cs="宋体"/>
                <w:szCs w:val="21"/>
                <w:highlight w:val="none"/>
              </w:rPr>
            </w:pPr>
            <w:r>
              <w:rPr>
                <w:rFonts w:hint="eastAsia" w:ascii="宋体" w:hAnsi="宋体" w:cs="宋体"/>
                <w:szCs w:val="21"/>
                <w:highlight w:val="none"/>
              </w:rPr>
              <w:t>项    目</w:t>
            </w:r>
          </w:p>
        </w:tc>
        <w:tc>
          <w:tcPr>
            <w:tcW w:w="6393" w:type="dxa"/>
            <w:tcBorders>
              <w:top w:val="single" w:color="auto" w:sz="4" w:space="0"/>
              <w:left w:val="single" w:color="auto" w:sz="4" w:space="0"/>
              <w:bottom w:val="single" w:color="auto" w:sz="4" w:space="0"/>
              <w:right w:val="single" w:color="auto" w:sz="4" w:space="0"/>
            </w:tcBorders>
            <w:vAlign w:val="center"/>
          </w:tcPr>
          <w:p w14:paraId="3B5533B4">
            <w:pPr>
              <w:spacing w:line="360" w:lineRule="auto"/>
              <w:jc w:val="center"/>
              <w:rPr>
                <w:rFonts w:ascii="宋体" w:hAnsi="宋体" w:cs="宋体"/>
                <w:szCs w:val="21"/>
                <w:highlight w:val="none"/>
              </w:rPr>
            </w:pPr>
            <w:r>
              <w:rPr>
                <w:rFonts w:hint="eastAsia" w:ascii="宋体" w:hAnsi="宋体" w:cs="宋体"/>
                <w:szCs w:val="21"/>
                <w:highlight w:val="none"/>
              </w:rPr>
              <w:t>内                 容</w:t>
            </w:r>
          </w:p>
        </w:tc>
      </w:tr>
      <w:tr w14:paraId="0C9F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64C292F">
            <w:pPr>
              <w:spacing w:line="360" w:lineRule="auto"/>
              <w:jc w:val="center"/>
              <w:rPr>
                <w:rFonts w:ascii="宋体" w:hAnsi="宋体" w:cs="宋体"/>
                <w:szCs w:val="21"/>
                <w:highlight w:val="none"/>
              </w:rPr>
            </w:pPr>
            <w:r>
              <w:rPr>
                <w:rFonts w:hint="eastAsia" w:ascii="宋体" w:hAnsi="宋体" w:cs="宋体"/>
                <w:szCs w:val="21"/>
                <w:highlight w:val="none"/>
              </w:rPr>
              <w:t>1</w:t>
            </w:r>
          </w:p>
        </w:tc>
        <w:tc>
          <w:tcPr>
            <w:tcW w:w="2185" w:type="dxa"/>
            <w:tcBorders>
              <w:top w:val="single" w:color="auto" w:sz="4" w:space="0"/>
              <w:left w:val="single" w:color="auto" w:sz="4" w:space="0"/>
              <w:bottom w:val="single" w:color="auto" w:sz="4" w:space="0"/>
              <w:right w:val="single" w:color="auto" w:sz="4" w:space="0"/>
            </w:tcBorders>
            <w:vAlign w:val="center"/>
          </w:tcPr>
          <w:p w14:paraId="516F7E2A">
            <w:pPr>
              <w:spacing w:line="360" w:lineRule="auto"/>
              <w:jc w:val="center"/>
              <w:rPr>
                <w:rFonts w:ascii="宋体" w:hAnsi="宋体" w:cs="宋体"/>
                <w:szCs w:val="21"/>
                <w:highlight w:val="none"/>
              </w:rPr>
            </w:pPr>
            <w:r>
              <w:rPr>
                <w:rFonts w:hint="eastAsia" w:ascii="宋体" w:hAnsi="宋体" w:cs="宋体"/>
                <w:szCs w:val="21"/>
                <w:highlight w:val="none"/>
              </w:rPr>
              <w:t>供应商特定资格要求</w:t>
            </w:r>
          </w:p>
        </w:tc>
        <w:tc>
          <w:tcPr>
            <w:tcW w:w="6393" w:type="dxa"/>
            <w:tcBorders>
              <w:top w:val="single" w:color="auto" w:sz="4" w:space="0"/>
              <w:left w:val="single" w:color="auto" w:sz="4" w:space="0"/>
              <w:bottom w:val="single" w:color="auto" w:sz="4" w:space="0"/>
              <w:right w:val="single" w:color="auto" w:sz="4" w:space="0"/>
            </w:tcBorders>
            <w:vAlign w:val="center"/>
          </w:tcPr>
          <w:p w14:paraId="1684BE8C">
            <w:pPr>
              <w:spacing w:line="360" w:lineRule="auto"/>
              <w:rPr>
                <w:rFonts w:ascii="宋体" w:hAnsi="宋体" w:cs="宋体"/>
                <w:szCs w:val="21"/>
                <w:highlight w:val="none"/>
              </w:rPr>
            </w:pPr>
            <w:r>
              <w:rPr>
                <w:rFonts w:hint="eastAsia" w:ascii="宋体" w:hAnsi="宋体" w:cs="宋体"/>
                <w:szCs w:val="21"/>
                <w:highlight w:val="none"/>
              </w:rPr>
              <w:t>符合招标公告资格要求的供应商</w:t>
            </w:r>
          </w:p>
        </w:tc>
      </w:tr>
      <w:tr w14:paraId="7F8F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176EFD7">
            <w:pPr>
              <w:spacing w:line="360" w:lineRule="auto"/>
              <w:jc w:val="center"/>
              <w:rPr>
                <w:rFonts w:ascii="宋体" w:hAnsi="宋体" w:cs="宋体"/>
                <w:szCs w:val="21"/>
                <w:highlight w:val="none"/>
              </w:rPr>
            </w:pPr>
            <w:r>
              <w:rPr>
                <w:rFonts w:hint="eastAsia" w:ascii="宋体" w:hAnsi="宋体" w:cs="宋体"/>
                <w:szCs w:val="21"/>
                <w:highlight w:val="none"/>
              </w:rPr>
              <w:t>2</w:t>
            </w:r>
          </w:p>
        </w:tc>
        <w:tc>
          <w:tcPr>
            <w:tcW w:w="2185" w:type="dxa"/>
            <w:tcBorders>
              <w:top w:val="single" w:color="auto" w:sz="4" w:space="0"/>
              <w:left w:val="single" w:color="auto" w:sz="4" w:space="0"/>
              <w:bottom w:val="single" w:color="auto" w:sz="4" w:space="0"/>
              <w:right w:val="single" w:color="auto" w:sz="4" w:space="0"/>
            </w:tcBorders>
            <w:vAlign w:val="center"/>
          </w:tcPr>
          <w:p w14:paraId="61BB22A6">
            <w:pPr>
              <w:spacing w:line="360" w:lineRule="auto"/>
              <w:jc w:val="center"/>
              <w:rPr>
                <w:rFonts w:ascii="宋体" w:hAnsi="宋体" w:cs="宋体"/>
                <w:szCs w:val="21"/>
                <w:highlight w:val="none"/>
              </w:rPr>
            </w:pPr>
            <w:r>
              <w:rPr>
                <w:rFonts w:hint="eastAsia" w:ascii="宋体" w:hAnsi="宋体" w:cs="宋体"/>
                <w:kern w:val="0"/>
                <w:szCs w:val="21"/>
                <w:highlight w:val="none"/>
              </w:rPr>
              <w:t>答疑会或</w:t>
            </w:r>
            <w:r>
              <w:rPr>
                <w:rFonts w:hint="eastAsia" w:ascii="宋体" w:hAnsi="宋体" w:cs="宋体"/>
                <w:szCs w:val="21"/>
                <w:highlight w:val="none"/>
              </w:rPr>
              <w:t>现场踏勘</w:t>
            </w:r>
          </w:p>
        </w:tc>
        <w:tc>
          <w:tcPr>
            <w:tcW w:w="6393" w:type="dxa"/>
            <w:tcBorders>
              <w:top w:val="single" w:color="auto" w:sz="4" w:space="0"/>
              <w:left w:val="single" w:color="auto" w:sz="4" w:space="0"/>
              <w:bottom w:val="single" w:color="auto" w:sz="4" w:space="0"/>
              <w:right w:val="single" w:color="auto" w:sz="4" w:space="0"/>
            </w:tcBorders>
            <w:vAlign w:val="center"/>
          </w:tcPr>
          <w:p w14:paraId="0DCD26A6">
            <w:pPr>
              <w:spacing w:line="360" w:lineRule="auto"/>
              <w:rPr>
                <w:rFonts w:ascii="宋体" w:hAnsi="宋体" w:cs="宋体"/>
                <w:szCs w:val="21"/>
                <w:highlight w:val="none"/>
              </w:rPr>
            </w:pPr>
            <w:r>
              <w:rPr>
                <w:rFonts w:hint="eastAsia" w:ascii="宋体" w:hAnsi="宋体" w:cs="宋体"/>
                <w:szCs w:val="21"/>
                <w:highlight w:val="none"/>
              </w:rPr>
              <w:t>不组织。</w:t>
            </w:r>
          </w:p>
        </w:tc>
      </w:tr>
      <w:tr w14:paraId="4FE5C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C1DE51A">
            <w:pPr>
              <w:spacing w:line="360" w:lineRule="auto"/>
              <w:jc w:val="center"/>
              <w:rPr>
                <w:rFonts w:ascii="宋体" w:hAnsi="宋体" w:cs="宋体"/>
                <w:szCs w:val="21"/>
                <w:highlight w:val="none"/>
              </w:rPr>
            </w:pPr>
            <w:r>
              <w:rPr>
                <w:rFonts w:hint="eastAsia" w:ascii="宋体" w:hAnsi="宋体" w:cs="宋体"/>
                <w:szCs w:val="21"/>
                <w:highlight w:val="none"/>
              </w:rPr>
              <w:t>3</w:t>
            </w:r>
          </w:p>
        </w:tc>
        <w:tc>
          <w:tcPr>
            <w:tcW w:w="2185" w:type="dxa"/>
            <w:tcBorders>
              <w:top w:val="single" w:color="auto" w:sz="4" w:space="0"/>
              <w:left w:val="single" w:color="auto" w:sz="4" w:space="0"/>
              <w:bottom w:val="single" w:color="auto" w:sz="4" w:space="0"/>
              <w:right w:val="single" w:color="auto" w:sz="4" w:space="0"/>
            </w:tcBorders>
            <w:vAlign w:val="center"/>
          </w:tcPr>
          <w:p w14:paraId="76889A09">
            <w:pPr>
              <w:spacing w:line="360" w:lineRule="auto"/>
              <w:jc w:val="center"/>
              <w:rPr>
                <w:rFonts w:ascii="宋体" w:hAnsi="宋体" w:cs="宋体"/>
                <w:szCs w:val="21"/>
                <w:highlight w:val="none"/>
              </w:rPr>
            </w:pPr>
            <w:r>
              <w:rPr>
                <w:rFonts w:hint="eastAsia" w:ascii="宋体" w:hAnsi="宋体" w:cs="宋体"/>
                <w:szCs w:val="21"/>
                <w:highlight w:val="none"/>
              </w:rPr>
              <w:t>电子投标要求</w:t>
            </w:r>
          </w:p>
        </w:tc>
        <w:tc>
          <w:tcPr>
            <w:tcW w:w="6393" w:type="dxa"/>
            <w:tcBorders>
              <w:top w:val="single" w:color="auto" w:sz="4" w:space="0"/>
              <w:left w:val="single" w:color="auto" w:sz="4" w:space="0"/>
              <w:bottom w:val="single" w:color="auto" w:sz="4" w:space="0"/>
              <w:right w:val="single" w:color="auto" w:sz="4" w:space="0"/>
            </w:tcBorders>
            <w:vAlign w:val="center"/>
          </w:tcPr>
          <w:p w14:paraId="05956607">
            <w:pPr>
              <w:spacing w:line="360" w:lineRule="auto"/>
              <w:rPr>
                <w:szCs w:val="21"/>
                <w:highlight w:val="none"/>
              </w:rPr>
            </w:pPr>
            <w:r>
              <w:rPr>
                <w:rFonts w:hint="eastAsia"/>
                <w:szCs w:val="21"/>
                <w:highlight w:val="none"/>
              </w:rPr>
              <w:t>投标人须按照招标文件和电子交易平台的要求</w:t>
            </w:r>
            <w:r>
              <w:rPr>
                <w:rFonts w:hint="eastAsia" w:ascii="宋体" w:hAnsi="宋体" w:cs="宋体"/>
                <w:szCs w:val="21"/>
                <w:highlight w:val="none"/>
              </w:rPr>
              <w:t>编制、加密并提交磋商响应</w:t>
            </w:r>
            <w:r>
              <w:rPr>
                <w:rFonts w:hint="eastAsia"/>
                <w:szCs w:val="21"/>
                <w:highlight w:val="none"/>
              </w:rPr>
              <w:t>文件。未按规定加密的磋商响应文件，将被拒收。</w:t>
            </w:r>
          </w:p>
          <w:p w14:paraId="47D70DD1">
            <w:pPr>
              <w:spacing w:line="360" w:lineRule="auto"/>
              <w:rPr>
                <w:b/>
                <w:bCs/>
                <w:szCs w:val="21"/>
                <w:highlight w:val="none"/>
                <w:u w:val="single"/>
              </w:rPr>
            </w:pPr>
            <w:r>
              <w:rPr>
                <w:rFonts w:hint="eastAsia"/>
                <w:b/>
                <w:bCs/>
                <w:szCs w:val="21"/>
                <w:highlight w:val="none"/>
                <w:u w:val="single"/>
              </w:rPr>
              <w:t>截止时间：北京时间</w:t>
            </w:r>
            <w:r>
              <w:rPr>
                <w:rFonts w:hint="eastAsia"/>
                <w:b/>
                <w:bCs/>
                <w:szCs w:val="21"/>
                <w:highlight w:val="none"/>
                <w:u w:val="single"/>
                <w:lang w:eastAsia="zh-CN"/>
              </w:rPr>
              <w:t>2025年3月21日</w:t>
            </w:r>
            <w:r>
              <w:rPr>
                <w:rFonts w:hint="eastAsia"/>
                <w:b/>
                <w:bCs/>
                <w:szCs w:val="21"/>
                <w:highlight w:val="none"/>
                <w:u w:val="single"/>
                <w:lang w:val="en-US" w:eastAsia="zh-CN"/>
              </w:rPr>
              <w:t>09</w:t>
            </w:r>
            <w:r>
              <w:rPr>
                <w:rFonts w:hint="eastAsia"/>
                <w:b/>
                <w:bCs/>
                <w:szCs w:val="21"/>
                <w:highlight w:val="none"/>
                <w:u w:val="single"/>
              </w:rPr>
              <w:t>:00</w:t>
            </w:r>
          </w:p>
          <w:p w14:paraId="62452C48">
            <w:pPr>
              <w:spacing w:line="360" w:lineRule="auto"/>
              <w:rPr>
                <w:szCs w:val="21"/>
                <w:highlight w:val="none"/>
              </w:rPr>
            </w:pPr>
            <w:r>
              <w:rPr>
                <w:rFonts w:hint="eastAsia"/>
                <w:szCs w:val="21"/>
                <w:highlight w:val="none"/>
              </w:rPr>
              <w:t>投标人应当在磋商截止时间前完成电子磋商响应文件的传输递交，磋商</w:t>
            </w:r>
            <w:r>
              <w:rPr>
                <w:rFonts w:hint="eastAsia" w:ascii="宋体" w:hAnsi="宋体" w:cs="宋体"/>
                <w:szCs w:val="21"/>
                <w:highlight w:val="none"/>
              </w:rPr>
              <w:t>截止时间前可以补充、修改或者撤回电子磋商响应文件。补充或者修改电子磋商响应文件的，应当先行撤回原文件，补充、修改后重新传输递交。磋商截止时间前未完成传输的，视为撤回磋商响应文件</w:t>
            </w:r>
            <w:r>
              <w:rPr>
                <w:rFonts w:hint="eastAsia"/>
                <w:szCs w:val="21"/>
                <w:highlight w:val="none"/>
              </w:rPr>
              <w:t>。逾期上传的磋商响应文件恕不接受。</w:t>
            </w:r>
          </w:p>
          <w:p w14:paraId="02085413">
            <w:pPr>
              <w:pStyle w:val="2"/>
              <w:spacing w:line="360" w:lineRule="auto"/>
              <w:rPr>
                <w:szCs w:val="21"/>
                <w:highlight w:val="none"/>
              </w:rPr>
            </w:pPr>
            <w:r>
              <w:rPr>
                <w:rFonts w:hint="eastAsia"/>
                <w:b/>
                <w:bCs/>
                <w:szCs w:val="21"/>
                <w:highlight w:val="none"/>
              </w:rPr>
              <w:t>温馨提醒：供应商应提前上传，以便在上传时遇到技术问题，有充足的时间请教平台的技术人员。</w:t>
            </w:r>
          </w:p>
        </w:tc>
      </w:tr>
      <w:tr w14:paraId="7B4B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C341B63">
            <w:pPr>
              <w:spacing w:line="360" w:lineRule="auto"/>
              <w:jc w:val="center"/>
              <w:rPr>
                <w:rFonts w:ascii="宋体" w:hAnsi="宋体" w:cs="宋体"/>
                <w:szCs w:val="21"/>
                <w:highlight w:val="none"/>
              </w:rPr>
            </w:pPr>
            <w:r>
              <w:rPr>
                <w:rFonts w:hint="eastAsia" w:ascii="宋体" w:hAnsi="宋体" w:cs="宋体"/>
                <w:szCs w:val="21"/>
                <w:highlight w:val="none"/>
              </w:rPr>
              <w:t>4</w:t>
            </w:r>
          </w:p>
        </w:tc>
        <w:tc>
          <w:tcPr>
            <w:tcW w:w="2185" w:type="dxa"/>
            <w:tcBorders>
              <w:top w:val="single" w:color="auto" w:sz="4" w:space="0"/>
              <w:left w:val="single" w:color="auto" w:sz="4" w:space="0"/>
              <w:bottom w:val="single" w:color="auto" w:sz="4" w:space="0"/>
              <w:right w:val="single" w:color="auto" w:sz="4" w:space="0"/>
            </w:tcBorders>
            <w:vAlign w:val="center"/>
          </w:tcPr>
          <w:p w14:paraId="6AB05B0B">
            <w:pPr>
              <w:spacing w:line="360" w:lineRule="auto"/>
              <w:jc w:val="center"/>
              <w:rPr>
                <w:rFonts w:ascii="宋体" w:hAnsi="宋体" w:cs="宋体"/>
                <w:szCs w:val="21"/>
                <w:highlight w:val="none"/>
              </w:rPr>
            </w:pPr>
            <w:r>
              <w:rPr>
                <w:rFonts w:hint="eastAsia" w:cs="Arial" w:asciiTheme="minorEastAsia" w:hAnsiTheme="minorEastAsia" w:eastAsiaTheme="minorEastAsia"/>
                <w:b/>
                <w:bCs/>
                <w:szCs w:val="21"/>
                <w:highlight w:val="none"/>
              </w:rPr>
              <w:t>备份电子磋商响应文件</w:t>
            </w:r>
          </w:p>
        </w:tc>
        <w:tc>
          <w:tcPr>
            <w:tcW w:w="6393" w:type="dxa"/>
            <w:tcBorders>
              <w:top w:val="single" w:color="auto" w:sz="4" w:space="0"/>
              <w:left w:val="single" w:color="auto" w:sz="4" w:space="0"/>
              <w:bottom w:val="single" w:color="auto" w:sz="4" w:space="0"/>
              <w:right w:val="single" w:color="auto" w:sz="4" w:space="0"/>
            </w:tcBorders>
            <w:vAlign w:val="center"/>
          </w:tcPr>
          <w:p w14:paraId="59028A98">
            <w:pPr>
              <w:pStyle w:val="65"/>
              <w:spacing w:line="360" w:lineRule="auto"/>
              <w:rPr>
                <w:rFonts w:ascii="宋体" w:hAnsi="宋体" w:cs="宋体"/>
                <w:szCs w:val="21"/>
                <w:highlight w:val="none"/>
              </w:rPr>
            </w:pPr>
            <w:r>
              <w:rPr>
                <w:rFonts w:hint="eastAsia" w:ascii="宋体" w:hAnsi="宋体" w:cs="宋体"/>
                <w:szCs w:val="21"/>
                <w:highlight w:val="none"/>
              </w:rPr>
              <w:t>投标人在磋商截止时间前将备份电子磋商响应文件</w:t>
            </w:r>
            <w:r>
              <w:rPr>
                <w:rFonts w:hint="eastAsia" w:ascii="宋体" w:hAnsi="宋体" w:cs="宋体"/>
                <w:b/>
                <w:bCs/>
                <w:szCs w:val="21"/>
                <w:highlight w:val="none"/>
              </w:rPr>
              <w:t>（自愿提供，非实质性要求，因无法读取的后果由投标人自行承担）</w:t>
            </w:r>
            <w:r>
              <w:rPr>
                <w:rFonts w:hint="eastAsia"/>
                <w:szCs w:val="21"/>
                <w:highlight w:val="none"/>
              </w:rPr>
              <w:t>以介质（U盘）存储形式按要求密封邮寄到指定地点或</w:t>
            </w:r>
            <w:r>
              <w:rPr>
                <w:rFonts w:hint="eastAsia" w:ascii="宋体" w:hAnsi="宋体" w:cs="宋体"/>
                <w:szCs w:val="21"/>
                <w:highlight w:val="none"/>
              </w:rPr>
              <w:t>以电子邮件的方式发送至项目负责人邮箱451350540@qq.com，以收到时间为准，逾期或不符合规定的投标文件恕不接受。</w:t>
            </w:r>
          </w:p>
          <w:p w14:paraId="53EB0262">
            <w:pPr>
              <w:pStyle w:val="65"/>
              <w:spacing w:line="360" w:lineRule="auto"/>
              <w:ind w:firstLine="422" w:firstLineChars="200"/>
              <w:rPr>
                <w:rFonts w:ascii="宋体" w:hAnsi="宋体" w:cs="宋体"/>
                <w:szCs w:val="21"/>
                <w:highlight w:val="none"/>
              </w:rPr>
            </w:pPr>
            <w:r>
              <w:rPr>
                <w:rFonts w:hint="eastAsia" w:ascii="宋体" w:hAnsi="宋体" w:cs="宋体"/>
                <w:b/>
                <w:bCs/>
                <w:szCs w:val="21"/>
                <w:highlight w:val="none"/>
              </w:rPr>
              <w:t>注：</w:t>
            </w:r>
            <w:r>
              <w:rPr>
                <w:rFonts w:hint="eastAsia" w:ascii="宋体" w:hAnsi="宋体" w:cs="宋体"/>
                <w:szCs w:val="21"/>
                <w:highlight w:val="none"/>
              </w:rPr>
              <w:t>备份电子磋商响应文件：通过“政采云”平台电子投标工具制作电子投标文件产生的备份文件（</w:t>
            </w:r>
            <w:r>
              <w:rPr>
                <w:rFonts w:hint="eastAsia" w:ascii="宋体" w:hAnsi="宋体" w:cs="宋体"/>
                <w:color w:val="000000"/>
                <w:szCs w:val="21"/>
                <w:highlight w:val="none"/>
              </w:rPr>
              <w:t>后缀名为“.bfbs”</w:t>
            </w:r>
            <w:r>
              <w:rPr>
                <w:rFonts w:hint="eastAsia" w:ascii="宋体" w:hAnsi="宋体" w:cs="宋体"/>
                <w:szCs w:val="21"/>
                <w:highlight w:val="none"/>
              </w:rPr>
              <w:t>），投标人自行确定是否提交；若提交请将备份投标文件以</w:t>
            </w:r>
            <w:r>
              <w:rPr>
                <w:rFonts w:hint="eastAsia" w:ascii="宋体" w:hAnsi="宋体" w:cs="宋体"/>
                <w:color w:val="000000"/>
                <w:szCs w:val="21"/>
                <w:highlight w:val="none"/>
              </w:rPr>
              <w:t>U盘、光盘或</w:t>
            </w:r>
            <w:r>
              <w:rPr>
                <w:rFonts w:hint="eastAsia" w:ascii="宋体" w:hAnsi="宋体" w:cs="宋体"/>
                <w:szCs w:val="21"/>
                <w:highlight w:val="none"/>
              </w:rPr>
              <w:t>电子邮件（发送至451350540@qq.com）的形式递交，备份磋商响应文件在“电子加密磋商响应文件”在线解密异常或失败后启用，否则不予以启用；投标人确认“电子加密磋商响应文件”在线解密异常或失败后，</w:t>
            </w:r>
            <w:r>
              <w:rPr>
                <w:rFonts w:hint="eastAsia" w:ascii="宋体" w:hAnsi="宋体" w:cs="宋体"/>
                <w:color w:val="000000"/>
                <w:szCs w:val="21"/>
                <w:highlight w:val="none"/>
              </w:rPr>
              <w:t>可以申请由采购代理机构使用电子备份标书上传处理，投标人</w:t>
            </w:r>
            <w:r>
              <w:rPr>
                <w:rFonts w:hint="eastAsia" w:ascii="宋体" w:hAnsi="宋体" w:cs="宋体"/>
                <w:szCs w:val="21"/>
                <w:highlight w:val="none"/>
              </w:rPr>
              <w:t>将备份电子磋商响应文件在解密规定的时间（磋商截止时间后30分钟内）递交，未在规定时间内发送造成的投标无效或失败由投标人自行承担。提交备份电子磋商响应文件时，应写明投标人名称和所投项目名称。</w:t>
            </w:r>
          </w:p>
          <w:p w14:paraId="7997D2C9">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提示：</w:t>
            </w:r>
          </w:p>
          <w:p w14:paraId="6E571B1F">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1.磋商响应文件已按时解密的，备份磋商响应文件自动失效。</w:t>
            </w:r>
          </w:p>
          <w:p w14:paraId="7B642B0B">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2.磋商响应文件未按时解密，供应商提供了备份磋商响应文件的，以备份磋商响应文件作为依据，否则视为投标文件撤回。</w:t>
            </w:r>
          </w:p>
          <w:p w14:paraId="11B0A997">
            <w:pPr>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3.磋商响应文件未按时解密，又未提供备份磋商响应文件的，视为放弃投标。</w:t>
            </w:r>
          </w:p>
          <w:p w14:paraId="1DCC7A96">
            <w:pPr>
              <w:spacing w:line="360" w:lineRule="auto"/>
              <w:ind w:firstLine="422" w:firstLineChars="200"/>
              <w:rPr>
                <w:rFonts w:ascii="宋体" w:hAnsi="宋体" w:cs="宋体"/>
                <w:szCs w:val="21"/>
                <w:highlight w:val="none"/>
              </w:rPr>
            </w:pPr>
            <w:r>
              <w:rPr>
                <w:rFonts w:hint="eastAsia" w:ascii="宋体" w:hAnsi="宋体" w:cs="宋体"/>
                <w:b/>
                <w:bCs/>
                <w:szCs w:val="21"/>
                <w:highlight w:val="none"/>
              </w:rPr>
              <w:t>4.供应商仅提交备份磋商响应文件的，投标无效。</w:t>
            </w:r>
          </w:p>
        </w:tc>
      </w:tr>
      <w:tr w14:paraId="1A00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658ABB5">
            <w:pPr>
              <w:spacing w:line="360" w:lineRule="auto"/>
              <w:jc w:val="center"/>
              <w:rPr>
                <w:rFonts w:ascii="宋体" w:hAnsi="宋体" w:cs="宋体"/>
                <w:szCs w:val="21"/>
                <w:highlight w:val="none"/>
              </w:rPr>
            </w:pPr>
            <w:r>
              <w:rPr>
                <w:rFonts w:hint="eastAsia" w:ascii="宋体" w:hAnsi="宋体" w:cs="宋体"/>
                <w:szCs w:val="21"/>
                <w:highlight w:val="none"/>
              </w:rPr>
              <w:t>5</w:t>
            </w:r>
          </w:p>
        </w:tc>
        <w:tc>
          <w:tcPr>
            <w:tcW w:w="2185" w:type="dxa"/>
            <w:tcBorders>
              <w:top w:val="single" w:color="auto" w:sz="4" w:space="0"/>
              <w:left w:val="single" w:color="auto" w:sz="4" w:space="0"/>
              <w:bottom w:val="single" w:color="auto" w:sz="4" w:space="0"/>
              <w:right w:val="single" w:color="auto" w:sz="4" w:space="0"/>
            </w:tcBorders>
            <w:vAlign w:val="center"/>
          </w:tcPr>
          <w:p w14:paraId="1C2CB9B3">
            <w:pPr>
              <w:spacing w:line="360" w:lineRule="auto"/>
              <w:jc w:val="center"/>
              <w:rPr>
                <w:rFonts w:ascii="宋体" w:hAnsi="宋体" w:cs="宋体"/>
                <w:szCs w:val="21"/>
                <w:highlight w:val="none"/>
              </w:rPr>
            </w:pPr>
            <w:r>
              <w:rPr>
                <w:rFonts w:hint="eastAsia" w:ascii="宋体" w:hAnsi="宋体" w:cs="宋体"/>
                <w:szCs w:val="21"/>
                <w:highlight w:val="none"/>
              </w:rPr>
              <w:t>开标说明</w:t>
            </w:r>
          </w:p>
        </w:tc>
        <w:tc>
          <w:tcPr>
            <w:tcW w:w="6393" w:type="dxa"/>
            <w:tcBorders>
              <w:top w:val="single" w:color="auto" w:sz="4" w:space="0"/>
              <w:left w:val="single" w:color="auto" w:sz="4" w:space="0"/>
              <w:bottom w:val="single" w:color="auto" w:sz="4" w:space="0"/>
              <w:right w:val="single" w:color="auto" w:sz="4" w:space="0"/>
            </w:tcBorders>
            <w:vAlign w:val="center"/>
          </w:tcPr>
          <w:p w14:paraId="283330B6">
            <w:pPr>
              <w:spacing w:line="360" w:lineRule="auto"/>
              <w:rPr>
                <w:rFonts w:ascii="宋体" w:hAnsi="宋体" w:cs="宋体"/>
                <w:szCs w:val="21"/>
                <w:highlight w:val="none"/>
              </w:rPr>
            </w:pPr>
            <w:r>
              <w:rPr>
                <w:rFonts w:hint="eastAsia" w:ascii="宋体" w:hAnsi="宋体" w:cs="宋体"/>
                <w:szCs w:val="21"/>
                <w:highlight w:val="none"/>
              </w:rPr>
              <w:t>本项目为电子投标项目，授权代表不需要参加现场投标和开标。</w:t>
            </w:r>
          </w:p>
        </w:tc>
      </w:tr>
      <w:tr w14:paraId="3FFE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9B8A8AF">
            <w:pPr>
              <w:spacing w:line="360" w:lineRule="auto"/>
              <w:jc w:val="center"/>
              <w:rPr>
                <w:rFonts w:ascii="宋体" w:hAnsi="宋体" w:cs="宋体"/>
                <w:szCs w:val="21"/>
                <w:highlight w:val="none"/>
              </w:rPr>
            </w:pPr>
            <w:r>
              <w:rPr>
                <w:rFonts w:hint="eastAsia" w:ascii="宋体" w:hAnsi="宋体" w:cs="宋体"/>
                <w:szCs w:val="21"/>
                <w:highlight w:val="none"/>
              </w:rPr>
              <w:t>6</w:t>
            </w:r>
          </w:p>
        </w:tc>
        <w:tc>
          <w:tcPr>
            <w:tcW w:w="2185" w:type="dxa"/>
            <w:tcBorders>
              <w:top w:val="single" w:color="auto" w:sz="4" w:space="0"/>
              <w:left w:val="single" w:color="auto" w:sz="4" w:space="0"/>
              <w:bottom w:val="single" w:color="auto" w:sz="4" w:space="0"/>
              <w:right w:val="single" w:color="auto" w:sz="4" w:space="0"/>
            </w:tcBorders>
            <w:vAlign w:val="center"/>
          </w:tcPr>
          <w:p w14:paraId="30CB044A">
            <w:pPr>
              <w:spacing w:line="360" w:lineRule="auto"/>
              <w:jc w:val="center"/>
              <w:rPr>
                <w:rFonts w:ascii="宋体" w:hAnsi="宋体" w:cs="宋体"/>
                <w:szCs w:val="21"/>
                <w:highlight w:val="none"/>
              </w:rPr>
            </w:pPr>
            <w:r>
              <w:rPr>
                <w:rFonts w:hint="eastAsia" w:ascii="宋体" w:hAnsi="宋体" w:cs="宋体"/>
                <w:szCs w:val="21"/>
                <w:highlight w:val="none"/>
              </w:rPr>
              <w:t>磋商响应文件有效期</w:t>
            </w:r>
          </w:p>
        </w:tc>
        <w:tc>
          <w:tcPr>
            <w:tcW w:w="6393" w:type="dxa"/>
            <w:tcBorders>
              <w:top w:val="single" w:color="auto" w:sz="4" w:space="0"/>
              <w:left w:val="single" w:color="auto" w:sz="4" w:space="0"/>
              <w:bottom w:val="single" w:color="auto" w:sz="4" w:space="0"/>
              <w:right w:val="single" w:color="auto" w:sz="4" w:space="0"/>
            </w:tcBorders>
            <w:vAlign w:val="center"/>
          </w:tcPr>
          <w:p w14:paraId="78079431">
            <w:pPr>
              <w:spacing w:line="360" w:lineRule="auto"/>
              <w:rPr>
                <w:rFonts w:ascii="宋体" w:hAnsi="宋体" w:cs="宋体"/>
                <w:szCs w:val="21"/>
                <w:highlight w:val="none"/>
              </w:rPr>
            </w:pPr>
            <w:r>
              <w:rPr>
                <w:rFonts w:hint="eastAsia" w:ascii="宋体" w:hAnsi="宋体" w:cs="宋体"/>
                <w:szCs w:val="21"/>
                <w:highlight w:val="none"/>
              </w:rPr>
              <w:t>投标有效期为开标后90天，</w:t>
            </w:r>
            <w:r>
              <w:rPr>
                <w:rFonts w:hint="eastAsia" w:ascii="宋体" w:hAnsi="宋体" w:cs="宋体"/>
                <w:kern w:val="0"/>
                <w:szCs w:val="21"/>
                <w:highlight w:val="none"/>
              </w:rPr>
              <w:t>投标有效期从提交电子投标文件的截止之日起算。</w:t>
            </w:r>
          </w:p>
        </w:tc>
      </w:tr>
      <w:tr w14:paraId="5992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36DBEAA">
            <w:pPr>
              <w:spacing w:line="360" w:lineRule="auto"/>
              <w:jc w:val="center"/>
              <w:rPr>
                <w:rFonts w:ascii="宋体" w:hAnsi="宋体" w:cs="宋体"/>
                <w:szCs w:val="21"/>
                <w:highlight w:val="none"/>
              </w:rPr>
            </w:pPr>
            <w:r>
              <w:rPr>
                <w:rFonts w:hint="eastAsia" w:ascii="宋体" w:hAnsi="宋体" w:cs="宋体"/>
                <w:szCs w:val="21"/>
                <w:highlight w:val="none"/>
              </w:rPr>
              <w:t>7</w:t>
            </w:r>
          </w:p>
        </w:tc>
        <w:tc>
          <w:tcPr>
            <w:tcW w:w="2185" w:type="dxa"/>
            <w:tcBorders>
              <w:top w:val="single" w:color="auto" w:sz="4" w:space="0"/>
              <w:left w:val="single" w:color="auto" w:sz="4" w:space="0"/>
              <w:bottom w:val="single" w:color="auto" w:sz="4" w:space="0"/>
              <w:right w:val="single" w:color="auto" w:sz="4" w:space="0"/>
            </w:tcBorders>
            <w:vAlign w:val="center"/>
          </w:tcPr>
          <w:p w14:paraId="3113038B">
            <w:pPr>
              <w:spacing w:line="360" w:lineRule="auto"/>
              <w:jc w:val="center"/>
              <w:rPr>
                <w:rFonts w:ascii="宋体" w:hAnsi="宋体" w:cs="宋体"/>
                <w:szCs w:val="21"/>
                <w:highlight w:val="none"/>
              </w:rPr>
            </w:pPr>
            <w:r>
              <w:rPr>
                <w:rFonts w:hint="eastAsia" w:ascii="宋体" w:hAnsi="宋体" w:cs="宋体"/>
                <w:szCs w:val="21"/>
                <w:highlight w:val="none"/>
              </w:rPr>
              <w:t>磋商时间及地点</w:t>
            </w:r>
          </w:p>
        </w:tc>
        <w:tc>
          <w:tcPr>
            <w:tcW w:w="6393" w:type="dxa"/>
            <w:tcBorders>
              <w:top w:val="single" w:color="auto" w:sz="4" w:space="0"/>
              <w:left w:val="single" w:color="auto" w:sz="4" w:space="0"/>
              <w:bottom w:val="single" w:color="auto" w:sz="4" w:space="0"/>
              <w:right w:val="single" w:color="auto" w:sz="4" w:space="0"/>
            </w:tcBorders>
            <w:vAlign w:val="center"/>
          </w:tcPr>
          <w:p w14:paraId="3F5FCA4F">
            <w:pPr>
              <w:spacing w:line="360" w:lineRule="auto"/>
              <w:rPr>
                <w:rFonts w:ascii="宋体" w:hAnsi="宋体" w:cs="宋体"/>
                <w:szCs w:val="21"/>
                <w:highlight w:val="none"/>
              </w:rPr>
            </w:pPr>
            <w:r>
              <w:rPr>
                <w:rFonts w:hint="eastAsia" w:ascii="宋体" w:hAnsi="宋体" w:cs="宋体"/>
                <w:szCs w:val="21"/>
                <w:highlight w:val="none"/>
              </w:rPr>
              <w:t>时间：北京时间</w:t>
            </w:r>
            <w:r>
              <w:rPr>
                <w:rFonts w:hint="eastAsia" w:ascii="宋体" w:hAnsi="宋体" w:cs="宋体"/>
                <w:szCs w:val="21"/>
                <w:highlight w:val="none"/>
                <w:lang w:eastAsia="zh-CN"/>
              </w:rPr>
              <w:t>2025年3月21日</w:t>
            </w:r>
            <w:r>
              <w:rPr>
                <w:rFonts w:hint="eastAsia" w:ascii="宋体" w:hAnsi="宋体" w:cs="宋体"/>
                <w:szCs w:val="21"/>
                <w:highlight w:val="none"/>
              </w:rPr>
              <w:t xml:space="preserve"> </w:t>
            </w:r>
            <w:r>
              <w:rPr>
                <w:rFonts w:hint="eastAsia" w:ascii="宋体" w:hAnsi="宋体" w:cs="宋体"/>
                <w:szCs w:val="21"/>
                <w:highlight w:val="none"/>
                <w:lang w:val="en-US" w:eastAsia="zh-CN"/>
              </w:rPr>
              <w:t>09</w:t>
            </w:r>
            <w:r>
              <w:rPr>
                <w:rFonts w:hint="eastAsia" w:ascii="宋体" w:hAnsi="宋体" w:cs="宋体"/>
                <w:szCs w:val="21"/>
                <w:highlight w:val="none"/>
              </w:rPr>
              <w:t>:00</w:t>
            </w:r>
          </w:p>
          <w:p w14:paraId="6446EC76">
            <w:pPr>
              <w:spacing w:line="360" w:lineRule="auto"/>
              <w:rPr>
                <w:rFonts w:ascii="宋体" w:hAnsi="宋体" w:cs="宋体"/>
                <w:szCs w:val="21"/>
                <w:highlight w:val="none"/>
              </w:rPr>
            </w:pPr>
            <w:r>
              <w:rPr>
                <w:rFonts w:hint="eastAsia" w:ascii="宋体" w:hAnsi="宋体" w:cs="宋体"/>
                <w:szCs w:val="21"/>
                <w:highlight w:val="none"/>
              </w:rPr>
              <w:t>地点：</w:t>
            </w:r>
            <w:r>
              <w:rPr>
                <w:rFonts w:hint="eastAsia" w:ascii="宋体" w:hAnsi="宋体" w:eastAsia="宋体" w:cs="宋体"/>
                <w:sz w:val="21"/>
                <w:szCs w:val="21"/>
                <w:highlight w:val="none"/>
              </w:rPr>
              <w:t>通过“政府采购云平台（www.zcygov.cn）”实行在线投标响应</w:t>
            </w:r>
          </w:p>
        </w:tc>
      </w:tr>
      <w:tr w14:paraId="5CE7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3D137B9">
            <w:pPr>
              <w:spacing w:line="360" w:lineRule="auto"/>
              <w:jc w:val="center"/>
              <w:rPr>
                <w:rFonts w:ascii="宋体" w:hAnsi="宋体" w:cs="宋体"/>
                <w:szCs w:val="21"/>
                <w:highlight w:val="none"/>
              </w:rPr>
            </w:pPr>
            <w:r>
              <w:rPr>
                <w:rFonts w:hint="eastAsia" w:ascii="宋体" w:hAnsi="宋体" w:cs="宋体"/>
                <w:szCs w:val="21"/>
                <w:highlight w:val="none"/>
              </w:rPr>
              <w:t>8</w:t>
            </w:r>
          </w:p>
        </w:tc>
        <w:tc>
          <w:tcPr>
            <w:tcW w:w="2185" w:type="dxa"/>
            <w:tcBorders>
              <w:top w:val="single" w:color="auto" w:sz="4" w:space="0"/>
              <w:left w:val="single" w:color="auto" w:sz="4" w:space="0"/>
              <w:bottom w:val="single" w:color="auto" w:sz="4" w:space="0"/>
              <w:right w:val="single" w:color="auto" w:sz="4" w:space="0"/>
            </w:tcBorders>
            <w:vAlign w:val="center"/>
          </w:tcPr>
          <w:p w14:paraId="26C05DFA">
            <w:pPr>
              <w:spacing w:line="360" w:lineRule="auto"/>
              <w:jc w:val="center"/>
              <w:rPr>
                <w:rFonts w:ascii="宋体" w:hAnsi="宋体" w:cs="宋体"/>
                <w:szCs w:val="21"/>
                <w:highlight w:val="none"/>
              </w:rPr>
            </w:pPr>
            <w:r>
              <w:rPr>
                <w:rFonts w:hint="eastAsia" w:ascii="宋体" w:hAnsi="宋体" w:cs="宋体"/>
                <w:szCs w:val="21"/>
                <w:highlight w:val="none"/>
              </w:rPr>
              <w:t>投标保证金</w:t>
            </w:r>
          </w:p>
        </w:tc>
        <w:tc>
          <w:tcPr>
            <w:tcW w:w="6393" w:type="dxa"/>
            <w:tcBorders>
              <w:top w:val="single" w:color="auto" w:sz="4" w:space="0"/>
              <w:left w:val="single" w:color="auto" w:sz="4" w:space="0"/>
              <w:bottom w:val="single" w:color="auto" w:sz="4" w:space="0"/>
              <w:right w:val="single" w:color="auto" w:sz="4" w:space="0"/>
            </w:tcBorders>
            <w:vAlign w:val="center"/>
          </w:tcPr>
          <w:p w14:paraId="4DFE459B">
            <w:pPr>
              <w:spacing w:line="360" w:lineRule="auto"/>
              <w:rPr>
                <w:rFonts w:ascii="宋体" w:hAnsi="宋体" w:cs="宋体"/>
                <w:szCs w:val="21"/>
                <w:highlight w:val="none"/>
              </w:rPr>
            </w:pPr>
            <w:r>
              <w:rPr>
                <w:rFonts w:hint="eastAsia" w:ascii="宋体" w:hAnsi="宋体" w:cs="宋体"/>
                <w:szCs w:val="21"/>
                <w:highlight w:val="none"/>
              </w:rPr>
              <w:t>本项目不收取投标保证金</w:t>
            </w:r>
          </w:p>
        </w:tc>
      </w:tr>
      <w:tr w14:paraId="1552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08128A8">
            <w:pPr>
              <w:spacing w:line="360" w:lineRule="auto"/>
              <w:jc w:val="center"/>
              <w:rPr>
                <w:rFonts w:ascii="宋体" w:hAnsi="宋体" w:cs="宋体"/>
                <w:szCs w:val="21"/>
                <w:highlight w:val="none"/>
              </w:rPr>
            </w:pPr>
            <w:r>
              <w:rPr>
                <w:rFonts w:hint="eastAsia" w:ascii="宋体" w:hAnsi="宋体" w:cs="宋体"/>
                <w:szCs w:val="21"/>
                <w:highlight w:val="none"/>
              </w:rPr>
              <w:t>9</w:t>
            </w:r>
          </w:p>
        </w:tc>
        <w:tc>
          <w:tcPr>
            <w:tcW w:w="2185" w:type="dxa"/>
            <w:tcBorders>
              <w:top w:val="single" w:color="auto" w:sz="4" w:space="0"/>
              <w:left w:val="single" w:color="auto" w:sz="4" w:space="0"/>
              <w:bottom w:val="single" w:color="auto" w:sz="4" w:space="0"/>
              <w:right w:val="single" w:color="auto" w:sz="4" w:space="0"/>
            </w:tcBorders>
            <w:vAlign w:val="center"/>
          </w:tcPr>
          <w:p w14:paraId="124F4FB1">
            <w:pPr>
              <w:spacing w:line="360" w:lineRule="auto"/>
              <w:jc w:val="center"/>
              <w:rPr>
                <w:rFonts w:ascii="宋体" w:hAnsi="宋体" w:cs="宋体"/>
                <w:szCs w:val="21"/>
                <w:highlight w:val="none"/>
              </w:rPr>
            </w:pPr>
            <w:r>
              <w:rPr>
                <w:rFonts w:hint="eastAsia" w:ascii="宋体" w:hAnsi="宋体" w:cs="宋体"/>
                <w:szCs w:val="21"/>
                <w:highlight w:val="none"/>
              </w:rPr>
              <w:t>履约保证金</w:t>
            </w:r>
          </w:p>
        </w:tc>
        <w:tc>
          <w:tcPr>
            <w:tcW w:w="6393" w:type="dxa"/>
            <w:tcBorders>
              <w:top w:val="single" w:color="auto" w:sz="4" w:space="0"/>
              <w:left w:val="single" w:color="auto" w:sz="4" w:space="0"/>
              <w:bottom w:val="single" w:color="auto" w:sz="4" w:space="0"/>
              <w:right w:val="single" w:color="auto" w:sz="4" w:space="0"/>
            </w:tcBorders>
            <w:vAlign w:val="center"/>
          </w:tcPr>
          <w:p w14:paraId="2893920F">
            <w:pPr>
              <w:pStyle w:val="12"/>
              <w:spacing w:line="360" w:lineRule="auto"/>
              <w:ind w:left="0" w:left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无</w:t>
            </w:r>
          </w:p>
        </w:tc>
      </w:tr>
      <w:tr w14:paraId="14FF2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ECBB8BC">
            <w:pPr>
              <w:spacing w:line="360" w:lineRule="auto"/>
              <w:jc w:val="center"/>
              <w:rPr>
                <w:rFonts w:ascii="宋体" w:hAnsi="宋体" w:cs="宋体"/>
                <w:szCs w:val="21"/>
                <w:highlight w:val="none"/>
              </w:rPr>
            </w:pPr>
            <w:r>
              <w:rPr>
                <w:rFonts w:hint="eastAsia" w:ascii="宋体" w:hAnsi="宋体" w:cs="宋体"/>
                <w:szCs w:val="21"/>
                <w:highlight w:val="none"/>
              </w:rPr>
              <w:t>10</w:t>
            </w:r>
          </w:p>
        </w:tc>
        <w:tc>
          <w:tcPr>
            <w:tcW w:w="2185" w:type="dxa"/>
            <w:tcBorders>
              <w:top w:val="single" w:color="auto" w:sz="4" w:space="0"/>
              <w:left w:val="single" w:color="auto" w:sz="4" w:space="0"/>
              <w:bottom w:val="single" w:color="auto" w:sz="4" w:space="0"/>
              <w:right w:val="single" w:color="auto" w:sz="4" w:space="0"/>
            </w:tcBorders>
            <w:vAlign w:val="center"/>
          </w:tcPr>
          <w:p w14:paraId="542D6419">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电子投标文件签章</w:t>
            </w:r>
          </w:p>
        </w:tc>
        <w:tc>
          <w:tcPr>
            <w:tcW w:w="6393" w:type="dxa"/>
            <w:tcBorders>
              <w:top w:val="single" w:color="auto" w:sz="4" w:space="0"/>
              <w:left w:val="single" w:color="auto" w:sz="4" w:space="0"/>
              <w:bottom w:val="single" w:color="auto" w:sz="4" w:space="0"/>
              <w:right w:val="single" w:color="auto" w:sz="4" w:space="0"/>
            </w:tcBorders>
            <w:vAlign w:val="center"/>
          </w:tcPr>
          <w:p w14:paraId="1CB2593A">
            <w:pPr>
              <w:spacing w:line="360" w:lineRule="auto"/>
              <w:rPr>
                <w:rFonts w:ascii="宋体" w:hAnsi="宋体" w:cs="宋体"/>
                <w:kern w:val="0"/>
                <w:szCs w:val="21"/>
                <w:highlight w:val="none"/>
                <w:lang w:val="zh-CN"/>
              </w:rPr>
            </w:pPr>
            <w:r>
              <w:rPr>
                <w:rFonts w:hint="eastAsia" w:ascii="宋体" w:hAnsi="宋体" w:cs="宋体"/>
                <w:b/>
                <w:szCs w:val="21"/>
                <w:highlight w:val="none"/>
              </w:rPr>
              <w:t>电子投标文件中所须加盖公章部分均采用CA签章</w:t>
            </w:r>
          </w:p>
        </w:tc>
      </w:tr>
      <w:tr w14:paraId="4360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D8061CA">
            <w:pPr>
              <w:spacing w:line="360" w:lineRule="auto"/>
              <w:jc w:val="center"/>
              <w:rPr>
                <w:rFonts w:ascii="宋体" w:hAnsi="宋体" w:cs="宋体"/>
                <w:szCs w:val="21"/>
                <w:highlight w:val="none"/>
              </w:rPr>
            </w:pPr>
            <w:r>
              <w:rPr>
                <w:rFonts w:hint="eastAsia" w:ascii="宋体" w:hAnsi="宋体" w:cs="宋体"/>
                <w:szCs w:val="21"/>
                <w:highlight w:val="none"/>
              </w:rPr>
              <w:t>11</w:t>
            </w:r>
          </w:p>
        </w:tc>
        <w:tc>
          <w:tcPr>
            <w:tcW w:w="2185" w:type="dxa"/>
            <w:tcBorders>
              <w:top w:val="single" w:color="auto" w:sz="4" w:space="0"/>
              <w:left w:val="single" w:color="auto" w:sz="4" w:space="0"/>
              <w:bottom w:val="single" w:color="auto" w:sz="4" w:space="0"/>
              <w:right w:val="single" w:color="auto" w:sz="4" w:space="0"/>
            </w:tcBorders>
            <w:vAlign w:val="center"/>
          </w:tcPr>
          <w:p w14:paraId="2ED39D30">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b/>
                <w:bCs/>
                <w:kern w:val="0"/>
                <w:szCs w:val="21"/>
                <w:highlight w:val="none"/>
              </w:rPr>
              <w:t>纸质磋商响应文件</w:t>
            </w:r>
          </w:p>
        </w:tc>
        <w:tc>
          <w:tcPr>
            <w:tcW w:w="6393" w:type="dxa"/>
            <w:tcBorders>
              <w:top w:val="single" w:color="auto" w:sz="4" w:space="0"/>
              <w:left w:val="single" w:color="auto" w:sz="4" w:space="0"/>
              <w:bottom w:val="single" w:color="auto" w:sz="4" w:space="0"/>
              <w:right w:val="single" w:color="auto" w:sz="4" w:space="0"/>
            </w:tcBorders>
            <w:vAlign w:val="center"/>
          </w:tcPr>
          <w:p w14:paraId="6C9C1959">
            <w:pPr>
              <w:spacing w:line="360" w:lineRule="auto"/>
              <w:rPr>
                <w:szCs w:val="21"/>
                <w:highlight w:val="none"/>
              </w:rPr>
            </w:pPr>
            <w:r>
              <w:rPr>
                <w:rFonts w:hint="eastAsia"/>
                <w:szCs w:val="21"/>
                <w:highlight w:val="none"/>
              </w:rPr>
              <w:t>（1）为方便评审委员会评审，请供应商提供纸质磋商响应文件一份给招标代理机构，纸质磋商响应文件系电子磋商响应文件纸质版，两者内容应一致。本项非实质性要求，供应商自愿提供。</w:t>
            </w:r>
          </w:p>
          <w:p w14:paraId="61370804">
            <w:pPr>
              <w:spacing w:line="360" w:lineRule="auto"/>
              <w:rPr>
                <w:rFonts w:ascii="宋体" w:hAnsi="宋体" w:cs="宋体"/>
                <w:szCs w:val="21"/>
                <w:highlight w:val="none"/>
              </w:rPr>
            </w:pPr>
            <w:r>
              <w:rPr>
                <w:rFonts w:hint="eastAsia" w:ascii="宋体" w:hAnsi="宋体" w:cs="宋体"/>
                <w:szCs w:val="21"/>
                <w:highlight w:val="none"/>
              </w:rPr>
              <w:t>在磋商截止时间之前邮寄（送达）至以下地点，以签收时间为准，逾期或不符合规定的投标文件恕不接受。</w:t>
            </w:r>
          </w:p>
          <w:p w14:paraId="30FCBE0E">
            <w:pPr>
              <w:spacing w:line="360" w:lineRule="auto"/>
              <w:rPr>
                <w:rFonts w:ascii="宋体" w:hAnsi="宋体" w:cs="宋体"/>
                <w:szCs w:val="21"/>
                <w:highlight w:val="none"/>
              </w:rPr>
            </w:pPr>
            <w:r>
              <w:rPr>
                <w:rFonts w:hint="eastAsia" w:ascii="宋体" w:hAnsi="宋体" w:cs="宋体"/>
                <w:szCs w:val="21"/>
                <w:highlight w:val="none"/>
              </w:rPr>
              <w:t>收 件 人：小施（</w:t>
            </w:r>
            <w:r>
              <w:rPr>
                <w:rFonts w:hint="eastAsia" w:ascii="宋体" w:hAnsi="宋体" w:cs="宋体"/>
                <w:szCs w:val="21"/>
                <w:highlight w:val="none"/>
                <w:lang w:eastAsia="zh-CN"/>
              </w:rPr>
              <w:t>台州市建航工程管理有限公司</w:t>
            </w:r>
            <w:r>
              <w:rPr>
                <w:rFonts w:hint="eastAsia" w:ascii="宋体" w:hAnsi="宋体" w:cs="宋体"/>
                <w:szCs w:val="21"/>
                <w:highlight w:val="none"/>
              </w:rPr>
              <w:t>）</w:t>
            </w:r>
          </w:p>
          <w:p w14:paraId="34B884F6">
            <w:pPr>
              <w:spacing w:line="360" w:lineRule="auto"/>
              <w:rPr>
                <w:rFonts w:ascii="宋体" w:hAnsi="宋体" w:cs="宋体"/>
                <w:szCs w:val="21"/>
                <w:highlight w:val="none"/>
              </w:rPr>
            </w:pPr>
            <w:r>
              <w:rPr>
                <w:rFonts w:hint="eastAsia" w:ascii="宋体" w:hAnsi="宋体" w:cs="宋体"/>
                <w:szCs w:val="21"/>
                <w:highlight w:val="none"/>
              </w:rPr>
              <w:t>联系电话：0576-88810077</w:t>
            </w:r>
          </w:p>
          <w:p w14:paraId="336A0954">
            <w:pPr>
              <w:pStyle w:val="2"/>
              <w:spacing w:line="360" w:lineRule="auto"/>
              <w:rPr>
                <w:rFonts w:ascii="宋体" w:hAnsi="宋体" w:cs="宋体"/>
                <w:szCs w:val="21"/>
                <w:highlight w:val="none"/>
              </w:rPr>
            </w:pPr>
            <w:r>
              <w:rPr>
                <w:rFonts w:hint="eastAsia" w:ascii="宋体" w:hAnsi="宋体" w:cs="宋体"/>
                <w:szCs w:val="21"/>
                <w:highlight w:val="none"/>
              </w:rPr>
              <w:t>地    址：浙江省台州市经济开发区天和路95号天和大厦B幢1104。</w:t>
            </w:r>
          </w:p>
          <w:p w14:paraId="42AB62B0">
            <w:pPr>
              <w:pStyle w:val="2"/>
              <w:spacing w:line="360" w:lineRule="auto"/>
              <w:rPr>
                <w:rFonts w:ascii="宋体" w:hAnsi="宋体" w:cs="宋体"/>
                <w:b/>
                <w:bCs/>
                <w:szCs w:val="21"/>
                <w:highlight w:val="none"/>
                <w:lang w:val="zh-CN"/>
              </w:rPr>
            </w:pPr>
            <w:r>
              <w:rPr>
                <w:rFonts w:hint="eastAsia" w:ascii="宋体" w:hAnsi="宋体" w:cs="宋体"/>
                <w:b/>
                <w:bCs/>
                <w:szCs w:val="21"/>
                <w:highlight w:val="none"/>
                <w:lang w:val="zh-CN"/>
              </w:rPr>
              <w:t>（2）中标供应商中标后需提供纸质磋商响应文件给招标代理机构作为备案存档，纸质磋商响应文件系电子磋商响应文件纸质版，两者内容应一致；数量为</w:t>
            </w:r>
            <w:r>
              <w:rPr>
                <w:rFonts w:hint="eastAsia" w:ascii="宋体" w:hAnsi="宋体" w:cs="宋体"/>
                <w:b/>
                <w:bCs/>
                <w:szCs w:val="21"/>
                <w:highlight w:val="none"/>
              </w:rPr>
              <w:t>3</w:t>
            </w:r>
            <w:r>
              <w:rPr>
                <w:rFonts w:hint="eastAsia" w:ascii="宋体" w:hAnsi="宋体" w:cs="宋体"/>
                <w:b/>
                <w:bCs/>
                <w:szCs w:val="21"/>
                <w:highlight w:val="none"/>
                <w:lang w:val="zh-CN"/>
              </w:rPr>
              <w:t>份。</w:t>
            </w:r>
          </w:p>
        </w:tc>
      </w:tr>
      <w:tr w14:paraId="0D77F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6547370">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12</w:t>
            </w:r>
          </w:p>
        </w:tc>
        <w:tc>
          <w:tcPr>
            <w:tcW w:w="2185" w:type="dxa"/>
            <w:tcBorders>
              <w:top w:val="single" w:color="auto" w:sz="4" w:space="0"/>
              <w:left w:val="single" w:color="auto" w:sz="4" w:space="0"/>
              <w:bottom w:val="single" w:color="auto" w:sz="4" w:space="0"/>
              <w:right w:val="single" w:color="auto" w:sz="4" w:space="0"/>
            </w:tcBorders>
            <w:vAlign w:val="center"/>
          </w:tcPr>
          <w:p w14:paraId="423C78F0">
            <w:pPr>
              <w:autoSpaceDE w:val="0"/>
              <w:autoSpaceDN w:val="0"/>
              <w:adjustRightInd w:val="0"/>
              <w:spacing w:line="360" w:lineRule="auto"/>
              <w:jc w:val="center"/>
              <w:rPr>
                <w:rFonts w:ascii="宋体" w:hAnsi="宋体" w:cs="宋体"/>
                <w:szCs w:val="21"/>
                <w:highlight w:val="none"/>
                <w:lang w:val="zh-CN"/>
              </w:rPr>
            </w:pPr>
            <w:r>
              <w:rPr>
                <w:rFonts w:hint="eastAsia" w:ascii="宋体" w:hAnsi="宋体" w:cs="宋体"/>
                <w:szCs w:val="21"/>
                <w:highlight w:val="none"/>
                <w:lang w:val="zh-CN"/>
              </w:rPr>
              <w:t>实质性条款</w:t>
            </w:r>
          </w:p>
        </w:tc>
        <w:tc>
          <w:tcPr>
            <w:tcW w:w="6393" w:type="dxa"/>
            <w:tcBorders>
              <w:top w:val="single" w:color="auto" w:sz="4" w:space="0"/>
              <w:left w:val="single" w:color="auto" w:sz="4" w:space="0"/>
              <w:bottom w:val="single" w:color="auto" w:sz="4" w:space="0"/>
              <w:right w:val="single" w:color="auto" w:sz="4" w:space="0"/>
            </w:tcBorders>
            <w:vAlign w:val="center"/>
          </w:tcPr>
          <w:p w14:paraId="70F07AB1">
            <w:pPr>
              <w:spacing w:line="360" w:lineRule="auto"/>
              <w:rPr>
                <w:rFonts w:ascii="宋体" w:hAnsi="宋体" w:cs="宋体"/>
                <w:kern w:val="0"/>
                <w:szCs w:val="21"/>
                <w:highlight w:val="none"/>
                <w:lang w:val="zh-CN"/>
              </w:rPr>
            </w:pPr>
            <w:r>
              <w:rPr>
                <w:rFonts w:hint="eastAsia" w:ascii="宋体" w:hAnsi="宋体" w:cs="宋体"/>
                <w:kern w:val="0"/>
                <w:szCs w:val="21"/>
                <w:highlight w:val="none"/>
                <w:lang w:val="zh-CN"/>
              </w:rPr>
              <w:t>带“</w:t>
            </w:r>
            <w:r>
              <w:rPr>
                <w:rFonts w:hint="eastAsia" w:ascii="宋体" w:hAnsi="宋体" w:cs="宋体"/>
                <w:bCs/>
                <w:szCs w:val="21"/>
                <w:highlight w:val="none"/>
              </w:rPr>
              <w:t>▲”的条款是实质性条款，投标文件须作出实质性响应，否则作无效投标处理。</w:t>
            </w:r>
          </w:p>
        </w:tc>
      </w:tr>
      <w:tr w14:paraId="2C7A6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08697B6">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13</w:t>
            </w:r>
          </w:p>
        </w:tc>
        <w:tc>
          <w:tcPr>
            <w:tcW w:w="2185" w:type="dxa"/>
            <w:tcBorders>
              <w:top w:val="single" w:color="auto" w:sz="4" w:space="0"/>
              <w:left w:val="single" w:color="auto" w:sz="4" w:space="0"/>
              <w:bottom w:val="single" w:color="auto" w:sz="4" w:space="0"/>
              <w:right w:val="single" w:color="auto" w:sz="4" w:space="0"/>
            </w:tcBorders>
            <w:vAlign w:val="center"/>
          </w:tcPr>
          <w:p w14:paraId="49FD69F1">
            <w:pPr>
              <w:autoSpaceDE w:val="0"/>
              <w:autoSpaceDN w:val="0"/>
              <w:adjustRightInd w:val="0"/>
              <w:spacing w:line="360" w:lineRule="auto"/>
              <w:jc w:val="center"/>
              <w:rPr>
                <w:rFonts w:ascii="宋体" w:hAnsi="宋体" w:cs="宋体"/>
                <w:szCs w:val="21"/>
                <w:highlight w:val="none"/>
              </w:rPr>
            </w:pPr>
            <w:r>
              <w:rPr>
                <w:rFonts w:hint="eastAsia" w:ascii="宋体" w:hAnsi="宋体" w:cs="宋体"/>
                <w:szCs w:val="21"/>
                <w:highlight w:val="none"/>
              </w:rPr>
              <w:t>解释权</w:t>
            </w:r>
          </w:p>
        </w:tc>
        <w:tc>
          <w:tcPr>
            <w:tcW w:w="6393" w:type="dxa"/>
            <w:tcBorders>
              <w:top w:val="single" w:color="auto" w:sz="4" w:space="0"/>
              <w:left w:val="single" w:color="auto" w:sz="4" w:space="0"/>
              <w:bottom w:val="single" w:color="auto" w:sz="4" w:space="0"/>
              <w:right w:val="single" w:color="auto" w:sz="4" w:space="0"/>
            </w:tcBorders>
            <w:vAlign w:val="center"/>
          </w:tcPr>
          <w:p w14:paraId="438CB18B">
            <w:pPr>
              <w:autoSpaceDE w:val="0"/>
              <w:autoSpaceDN w:val="0"/>
              <w:adjustRightInd w:val="0"/>
              <w:spacing w:line="360" w:lineRule="auto"/>
              <w:rPr>
                <w:rFonts w:ascii="宋体" w:hAnsi="宋体" w:cs="宋体"/>
                <w:szCs w:val="21"/>
                <w:highlight w:val="none"/>
              </w:rPr>
            </w:pPr>
            <w:r>
              <w:rPr>
                <w:rFonts w:hint="eastAsia" w:ascii="宋体" w:hAnsi="宋体" w:cs="宋体"/>
                <w:szCs w:val="21"/>
                <w:highlight w:val="none"/>
              </w:rPr>
              <w:t>本采购文件解释权属于采购人和采购代理机构</w:t>
            </w:r>
          </w:p>
        </w:tc>
      </w:tr>
    </w:tbl>
    <w:p w14:paraId="519026F7">
      <w:pPr>
        <w:spacing w:line="360" w:lineRule="auto"/>
        <w:rPr>
          <w:rFonts w:asciiTheme="minorEastAsia" w:hAnsiTheme="minorEastAsia" w:eastAsiaTheme="minorEastAsia" w:cstheme="minorEastAsia"/>
          <w:b/>
          <w:bCs/>
          <w:szCs w:val="21"/>
          <w:highlight w:val="none"/>
        </w:rPr>
      </w:pPr>
    </w:p>
    <w:p w14:paraId="1C3FFF88">
      <w:pPr>
        <w:spacing w:line="360" w:lineRule="auto"/>
        <w:rPr>
          <w:rFonts w:asciiTheme="minorEastAsia" w:hAnsiTheme="minorEastAsia" w:eastAsiaTheme="minorEastAsia" w:cstheme="minorEastAsia"/>
          <w:b/>
          <w:bCs/>
          <w:szCs w:val="21"/>
          <w:highlight w:val="none"/>
        </w:rPr>
      </w:pPr>
    </w:p>
    <w:p w14:paraId="23E59714">
      <w:pPr>
        <w:spacing w:line="360" w:lineRule="auto"/>
        <w:rPr>
          <w:rFonts w:asciiTheme="minorEastAsia" w:hAnsiTheme="minorEastAsia" w:eastAsiaTheme="minorEastAsia" w:cstheme="minorEastAsia"/>
          <w:b/>
          <w:bCs/>
          <w:szCs w:val="21"/>
          <w:highlight w:val="none"/>
        </w:rPr>
      </w:pPr>
    </w:p>
    <w:p w14:paraId="745D2671">
      <w:pPr>
        <w:spacing w:line="360" w:lineRule="auto"/>
        <w:rPr>
          <w:rFonts w:asciiTheme="minorEastAsia" w:hAnsiTheme="minorEastAsia" w:eastAsiaTheme="minorEastAsia" w:cstheme="minorEastAsia"/>
          <w:b/>
          <w:bCs/>
          <w:szCs w:val="21"/>
          <w:highlight w:val="none"/>
        </w:rPr>
      </w:pPr>
    </w:p>
    <w:p w14:paraId="2CB2B9AA">
      <w:pPr>
        <w:spacing w:line="360" w:lineRule="auto"/>
        <w:rPr>
          <w:rFonts w:asciiTheme="minorEastAsia" w:hAnsiTheme="minorEastAsia" w:eastAsiaTheme="minorEastAsia" w:cstheme="minorEastAsia"/>
          <w:b/>
          <w:bCs/>
          <w:szCs w:val="21"/>
          <w:highlight w:val="none"/>
        </w:rPr>
      </w:pPr>
    </w:p>
    <w:p w14:paraId="2A8D8D31">
      <w:pPr>
        <w:spacing w:line="360" w:lineRule="auto"/>
        <w:rPr>
          <w:rFonts w:asciiTheme="minorEastAsia" w:hAnsiTheme="minorEastAsia" w:eastAsiaTheme="minorEastAsia" w:cstheme="minorEastAsia"/>
          <w:b/>
          <w:bCs/>
          <w:szCs w:val="21"/>
          <w:highlight w:val="none"/>
        </w:rPr>
      </w:pPr>
    </w:p>
    <w:p w14:paraId="3528E3DD">
      <w:pPr>
        <w:spacing w:line="360" w:lineRule="auto"/>
        <w:rPr>
          <w:rFonts w:asciiTheme="minorEastAsia" w:hAnsiTheme="minorEastAsia" w:eastAsiaTheme="minorEastAsia" w:cstheme="minorEastAsia"/>
          <w:b/>
          <w:bCs/>
          <w:szCs w:val="21"/>
          <w:highlight w:val="none"/>
        </w:rPr>
      </w:pPr>
    </w:p>
    <w:p w14:paraId="07E0EAC5">
      <w:pPr>
        <w:spacing w:line="360" w:lineRule="auto"/>
        <w:rPr>
          <w:rFonts w:asciiTheme="minorEastAsia" w:hAnsiTheme="minorEastAsia" w:eastAsiaTheme="minorEastAsia" w:cstheme="minorEastAsia"/>
          <w:b/>
          <w:bCs/>
          <w:szCs w:val="21"/>
          <w:highlight w:val="none"/>
        </w:rPr>
      </w:pPr>
    </w:p>
    <w:p w14:paraId="3AE0349A">
      <w:pPr>
        <w:spacing w:line="360" w:lineRule="auto"/>
        <w:rPr>
          <w:rFonts w:asciiTheme="minorEastAsia" w:hAnsiTheme="minorEastAsia" w:eastAsiaTheme="minorEastAsia" w:cstheme="minorEastAsia"/>
          <w:b/>
          <w:bCs/>
          <w:szCs w:val="21"/>
          <w:highlight w:val="none"/>
        </w:rPr>
      </w:pPr>
    </w:p>
    <w:p w14:paraId="4DE894FB">
      <w:pPr>
        <w:spacing w:line="360" w:lineRule="auto"/>
        <w:rPr>
          <w:rFonts w:asciiTheme="minorEastAsia" w:hAnsiTheme="minorEastAsia" w:eastAsiaTheme="minorEastAsia" w:cstheme="minorEastAsia"/>
          <w:b/>
          <w:bCs/>
          <w:szCs w:val="21"/>
          <w:highlight w:val="none"/>
        </w:rPr>
      </w:pPr>
    </w:p>
    <w:p w14:paraId="2D5B3F7C">
      <w:pPr>
        <w:spacing w:line="360" w:lineRule="auto"/>
        <w:rPr>
          <w:rFonts w:asciiTheme="minorEastAsia" w:hAnsiTheme="minorEastAsia" w:eastAsiaTheme="minorEastAsia" w:cstheme="minorEastAsia"/>
          <w:b/>
          <w:bCs/>
          <w:szCs w:val="21"/>
          <w:highlight w:val="none"/>
        </w:rPr>
      </w:pPr>
    </w:p>
    <w:p w14:paraId="38EF8787">
      <w:pPr>
        <w:spacing w:line="360" w:lineRule="auto"/>
        <w:rPr>
          <w:rFonts w:asciiTheme="minorEastAsia" w:hAnsiTheme="minorEastAsia" w:eastAsiaTheme="minorEastAsia" w:cstheme="minorEastAsia"/>
          <w:b/>
          <w:bCs/>
          <w:szCs w:val="21"/>
          <w:highlight w:val="none"/>
        </w:rPr>
      </w:pPr>
    </w:p>
    <w:p w14:paraId="100F48FC">
      <w:pPr>
        <w:pStyle w:val="9"/>
        <w:rPr>
          <w:rFonts w:asciiTheme="minorEastAsia" w:hAnsiTheme="minorEastAsia" w:eastAsiaTheme="minorEastAsia" w:cstheme="minorEastAsia"/>
          <w:b/>
          <w:bCs/>
          <w:szCs w:val="21"/>
          <w:highlight w:val="none"/>
        </w:rPr>
      </w:pPr>
    </w:p>
    <w:p w14:paraId="53600A18">
      <w:pPr>
        <w:rPr>
          <w:rFonts w:asciiTheme="minorEastAsia" w:hAnsiTheme="minorEastAsia" w:eastAsiaTheme="minorEastAsia" w:cstheme="minorEastAsia"/>
          <w:b/>
          <w:bCs/>
          <w:szCs w:val="21"/>
          <w:highlight w:val="none"/>
        </w:rPr>
      </w:pPr>
    </w:p>
    <w:p w14:paraId="79F6C25D">
      <w:pPr>
        <w:pStyle w:val="9"/>
        <w:rPr>
          <w:rFonts w:asciiTheme="minorEastAsia" w:hAnsiTheme="minorEastAsia" w:eastAsiaTheme="minorEastAsia" w:cstheme="minorEastAsia"/>
          <w:b/>
          <w:bCs/>
          <w:szCs w:val="21"/>
          <w:highlight w:val="none"/>
        </w:rPr>
      </w:pPr>
    </w:p>
    <w:p w14:paraId="47C6B15B">
      <w:pPr>
        <w:rPr>
          <w:rFonts w:asciiTheme="minorEastAsia" w:hAnsiTheme="minorEastAsia" w:eastAsiaTheme="minorEastAsia" w:cstheme="minorEastAsia"/>
          <w:b/>
          <w:bCs/>
          <w:szCs w:val="21"/>
          <w:highlight w:val="none"/>
        </w:rPr>
      </w:pPr>
    </w:p>
    <w:p w14:paraId="159677A4">
      <w:pPr>
        <w:pStyle w:val="9"/>
        <w:rPr>
          <w:rFonts w:asciiTheme="minorEastAsia" w:hAnsiTheme="minorEastAsia" w:eastAsiaTheme="minorEastAsia" w:cstheme="minorEastAsia"/>
          <w:b/>
          <w:bCs/>
          <w:szCs w:val="21"/>
          <w:highlight w:val="none"/>
        </w:rPr>
      </w:pPr>
    </w:p>
    <w:p w14:paraId="7612C4FF">
      <w:pPr>
        <w:pStyle w:val="9"/>
        <w:rPr>
          <w:rFonts w:asciiTheme="minorEastAsia" w:hAnsiTheme="minorEastAsia" w:eastAsiaTheme="minorEastAsia" w:cstheme="minorEastAsia"/>
          <w:b/>
          <w:bCs/>
          <w:szCs w:val="21"/>
          <w:highlight w:val="none"/>
        </w:rPr>
      </w:pPr>
    </w:p>
    <w:p w14:paraId="49D82621">
      <w:pPr>
        <w:rPr>
          <w:rFonts w:asciiTheme="minorEastAsia" w:hAnsiTheme="minorEastAsia" w:eastAsiaTheme="minorEastAsia" w:cstheme="minorEastAsia"/>
          <w:b/>
          <w:bCs/>
          <w:szCs w:val="21"/>
          <w:highlight w:val="none"/>
        </w:rPr>
      </w:pPr>
    </w:p>
    <w:p w14:paraId="6978418F">
      <w:pPr>
        <w:pStyle w:val="27"/>
        <w:rPr>
          <w:highlight w:val="none"/>
        </w:rPr>
      </w:pPr>
    </w:p>
    <w:p w14:paraId="317CA301">
      <w:pPr>
        <w:rPr>
          <w:rFonts w:asciiTheme="minorEastAsia" w:hAnsiTheme="minorEastAsia" w:eastAsiaTheme="minorEastAsia" w:cstheme="minorEastAsia"/>
          <w:b/>
          <w:bCs/>
          <w:szCs w:val="21"/>
          <w:highlight w:val="none"/>
        </w:rPr>
      </w:pPr>
    </w:p>
    <w:p w14:paraId="2E1E2706">
      <w:pPr>
        <w:pStyle w:val="9"/>
        <w:rPr>
          <w:rFonts w:asciiTheme="minorEastAsia" w:hAnsiTheme="minorEastAsia" w:eastAsiaTheme="minorEastAsia" w:cstheme="minorEastAsia"/>
          <w:b/>
          <w:bCs/>
          <w:szCs w:val="21"/>
          <w:highlight w:val="none"/>
        </w:rPr>
      </w:pPr>
    </w:p>
    <w:p w14:paraId="55203359">
      <w:pPr>
        <w:rPr>
          <w:rFonts w:asciiTheme="minorEastAsia" w:hAnsiTheme="minorEastAsia" w:eastAsiaTheme="minorEastAsia" w:cstheme="minorEastAsia"/>
          <w:b/>
          <w:bCs/>
          <w:szCs w:val="21"/>
          <w:highlight w:val="none"/>
        </w:rPr>
      </w:pPr>
    </w:p>
    <w:p w14:paraId="50539E35">
      <w:pPr>
        <w:pStyle w:val="9"/>
        <w:rPr>
          <w:highlight w:val="none"/>
        </w:rPr>
      </w:pPr>
    </w:p>
    <w:p w14:paraId="61806AEE">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一、总则</w:t>
      </w:r>
    </w:p>
    <w:p w14:paraId="16E8D8C5">
      <w:pPr>
        <w:spacing w:line="360" w:lineRule="auto"/>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（一） 适用范围</w:t>
      </w:r>
    </w:p>
    <w:p w14:paraId="036DC5E3">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本磋商文件适用于本次项目的磋商、评审、确定成交供应商、验收、合同履约、付款等行为（法律、法规另有规定的，从其规定）。</w:t>
      </w:r>
    </w:p>
    <w:p w14:paraId="2A6BD7EA">
      <w:pPr>
        <w:spacing w:line="360" w:lineRule="auto"/>
        <w:ind w:firstLine="422"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（二）定义</w:t>
      </w:r>
    </w:p>
    <w:p w14:paraId="62BBE395">
      <w:pPr>
        <w:pStyle w:val="5"/>
        <w:keepNext w:val="0"/>
        <w:keepLines w:val="0"/>
        <w:tabs>
          <w:tab w:val="left" w:pos="0"/>
          <w:tab w:val="left" w:pos="851"/>
        </w:tabs>
        <w:autoSpaceDE w:val="0"/>
        <w:autoSpaceDN w:val="0"/>
        <w:adjustRightInd w:val="0"/>
        <w:snapToGrid w:val="0"/>
        <w:spacing w:before="0" w:after="0"/>
        <w:ind w:firstLine="420"/>
        <w:jc w:val="left"/>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1、</w:t>
      </w:r>
      <w:r>
        <w:rPr>
          <w:rFonts w:hint="eastAsia" w:asciiTheme="minorEastAsia" w:hAnsiTheme="minorEastAsia" w:eastAsiaTheme="minorEastAsia" w:cstheme="minorEastAsia"/>
          <w:b w:val="0"/>
          <w:bCs w:val="0"/>
          <w:sz w:val="21"/>
          <w:szCs w:val="21"/>
          <w:highlight w:val="none"/>
          <w:lang w:val="zh-CN"/>
        </w:rPr>
        <w:t>“采购组织机构”指采购人委托组织磋商的集中采购机构或采购代理机构。</w:t>
      </w:r>
    </w:p>
    <w:p w14:paraId="4C1D1E00">
      <w:pPr>
        <w:snapToGri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2、采购人：是指委托</w:t>
      </w:r>
      <w:r>
        <w:rPr>
          <w:rFonts w:hint="eastAsia" w:asciiTheme="minorEastAsia" w:hAnsiTheme="minorEastAsia" w:eastAsiaTheme="minorEastAsia" w:cstheme="minorEastAsia"/>
          <w:szCs w:val="21"/>
          <w:highlight w:val="none"/>
          <w:lang w:val="zh-CN"/>
        </w:rPr>
        <w:t>集中采购机构或</w:t>
      </w:r>
      <w:r>
        <w:rPr>
          <w:rFonts w:hint="eastAsia" w:asciiTheme="minorEastAsia" w:hAnsiTheme="minorEastAsia" w:eastAsiaTheme="minorEastAsia" w:cstheme="minorEastAsia"/>
          <w:szCs w:val="21"/>
          <w:highlight w:val="none"/>
        </w:rPr>
        <w:t>采购代理机构采购本次项目的国家机关、事业单位和团体组织。</w:t>
      </w:r>
    </w:p>
    <w:p w14:paraId="548D2786">
      <w:pPr>
        <w:snapToGrid w:val="0"/>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3、磋商供应商：是指向</w:t>
      </w:r>
      <w:r>
        <w:rPr>
          <w:rFonts w:hint="eastAsia" w:asciiTheme="minorEastAsia" w:hAnsiTheme="minorEastAsia" w:eastAsiaTheme="minorEastAsia" w:cstheme="minorEastAsia"/>
          <w:szCs w:val="21"/>
          <w:highlight w:val="none"/>
          <w:lang w:val="zh-CN"/>
        </w:rPr>
        <w:t>采购组织机构</w:t>
      </w:r>
      <w:r>
        <w:rPr>
          <w:rFonts w:hint="eastAsia" w:asciiTheme="minorEastAsia" w:hAnsiTheme="minorEastAsia" w:eastAsiaTheme="minorEastAsia" w:cstheme="minorEastAsia"/>
          <w:szCs w:val="21"/>
          <w:highlight w:val="none"/>
        </w:rPr>
        <w:t>提交磋商响应文件的单位或个人。</w:t>
      </w:r>
    </w:p>
    <w:p w14:paraId="7FCAD53B">
      <w:pPr>
        <w:snapToGrid w:val="0"/>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4、货物：是指各种形态和种类的物品，包括原材料、燃料、设备、产品等。</w:t>
      </w:r>
    </w:p>
    <w:p w14:paraId="6815F93F">
      <w:pPr>
        <w:snapToGrid w:val="0"/>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5、服务：是指除货物和工程以外的政府采购对象，包括各类专业服务、信息网络开发服务、金融保险服务、运输服务，以及维修与维护服务等。</w:t>
      </w:r>
    </w:p>
    <w:p w14:paraId="595AF9E0">
      <w:pPr>
        <w:snapToGrid w:val="0"/>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6、“书面形式”包括信函、传真等。</w:t>
      </w:r>
    </w:p>
    <w:p w14:paraId="7EA13610">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7、“▲”系指实质性要求条款。</w:t>
      </w:r>
    </w:p>
    <w:p w14:paraId="0D2A7266">
      <w:pPr>
        <w:spacing w:line="360" w:lineRule="auto"/>
        <w:ind w:firstLine="422" w:firstLineChars="200"/>
        <w:jc w:val="lef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（三）磋商费用</w:t>
      </w:r>
    </w:p>
    <w:p w14:paraId="018E1FAB">
      <w:pPr>
        <w:snapToGrid w:val="0"/>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1、不论磋商结果如何，供应商均应自行承担所有与磋商有关的全部费用（磋商文件有相关规定除外）。</w:t>
      </w:r>
    </w:p>
    <w:p w14:paraId="6D06C48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kern w:val="2"/>
          <w:sz w:val="21"/>
          <w:szCs w:val="21"/>
          <w:highlight w:val="none"/>
          <w:lang w:val="en-US" w:eastAsia="zh-CN" w:bidi="ar-SA"/>
        </w:rPr>
        <w:t xml:space="preserve"> 2、</w:t>
      </w:r>
      <w:r>
        <w:rPr>
          <w:rFonts w:hint="eastAsia" w:asciiTheme="minorEastAsia" w:hAnsiTheme="minorEastAsia" w:eastAsiaTheme="minorEastAsia" w:cstheme="minorEastAsia"/>
          <w:color w:val="auto"/>
          <w:szCs w:val="21"/>
          <w:highlight w:val="none"/>
        </w:rPr>
        <w:t>招标代理服务费：</w:t>
      </w:r>
      <w:r>
        <w:rPr>
          <w:rFonts w:hint="eastAsia" w:asciiTheme="minorEastAsia" w:hAnsiTheme="minorEastAsia" w:eastAsiaTheme="minorEastAsia" w:cstheme="minorEastAsia"/>
          <w:color w:val="auto"/>
          <w:sz w:val="21"/>
          <w:szCs w:val="21"/>
          <w:highlight w:val="none"/>
          <w:lang w:val="en-US" w:eastAsia="zh-CN"/>
        </w:rPr>
        <w:t>根据</w:t>
      </w:r>
      <w:r>
        <w:rPr>
          <w:rFonts w:hint="eastAsia" w:hAnsi="宋体" w:cs="宋体"/>
          <w:color w:val="auto"/>
          <w:szCs w:val="21"/>
          <w:highlight w:val="none"/>
        </w:rPr>
        <w:t>《国家发展改革委关于进一步放开建设项目专业服务价格的通知》(发改价格2015 299号)规定的标准，按照中标通知书确定的中标金额，</w:t>
      </w:r>
      <w:r>
        <w:rPr>
          <w:rFonts w:hint="eastAsia" w:hAnsi="宋体" w:cs="宋体"/>
          <w:color w:val="auto"/>
          <w:szCs w:val="21"/>
          <w:highlight w:val="none"/>
          <w:lang w:val="en-US" w:eastAsia="zh-CN"/>
        </w:rPr>
        <w:t>按下附表收费标准的48%，采用差额累进算法</w:t>
      </w:r>
      <w:r>
        <w:rPr>
          <w:rFonts w:hint="eastAsia" w:hAnsi="宋体" w:cs="宋体"/>
          <w:color w:val="auto"/>
          <w:szCs w:val="21"/>
          <w:highlight w:val="none"/>
        </w:rPr>
        <w:t>向中标单位收取代理服务费。</w:t>
      </w:r>
      <w:r>
        <w:rPr>
          <w:rFonts w:hint="eastAsia" w:asciiTheme="minorEastAsia" w:hAnsiTheme="minorEastAsia" w:eastAsiaTheme="minorEastAsia" w:cstheme="minorEastAsia"/>
          <w:color w:val="auto"/>
          <w:sz w:val="21"/>
          <w:szCs w:val="21"/>
          <w:highlight w:val="none"/>
        </w:rPr>
        <w:t>代理服务费结算不足</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的，按定额</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收取。该费用中标方须在领取中标通知书时一次性付清。</w:t>
      </w:r>
    </w:p>
    <w:p w14:paraId="5C2E73E1">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14:paraId="4403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14:paraId="5D8AA1A7">
            <w:pPr>
              <w:ind w:firstLine="1470" w:firstLineChars="700"/>
              <w:rPr>
                <w:rFonts w:asciiTheme="minorEastAsia" w:hAnsiTheme="minorEastAsia" w:eastAsiaTheme="minorEastAsia" w:cstheme="minorEastAsia"/>
                <w:b/>
                <w:color w:val="auto"/>
                <w:szCs w:val="21"/>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PfnlX1AAAAAgBAAAPAAAAAAAAAAEAIAAAACIA&#10;AABkcnMvZG93bnJldi54bWxQSwECFAAUAAAACACHTuJAWpXT7g0CAAD2AwAADgAAAAAAAAABACAA&#10;AAAjAQAAZHJzL2Uyb0RvYy54bWxQSwUGAAAAAAYABgBZAQAAogUAAAAA&#10;">
                      <v:fill on="f" focussize="0,0"/>
                      <v:stroke color="#000000 [32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4BhXtUAAAAIAQAADwAAAAAAAAABACAAAAAiAAAAZHJzL2Rvd25y&#10;ZXYueG1sUEsBAhQAFAAAAAgAh07iQAUyfA4BAgAA4gMAAA4AAAAAAAAAAQAgAAAAJAEAAGRycy9l&#10;Mm9Eb2MueG1sUEsFBgAAAAAGAAYAWQEAAJcFAAAAAA==&#10;">
                      <v:fill on="f" focussize="0,0"/>
                      <v:stroke color="#000000 [32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w:t>服务</w:t>
            </w:r>
          </w:p>
          <w:p w14:paraId="76842A2A">
            <w:pPr>
              <w:ind w:firstLine="1054" w:firstLineChars="5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14:paraId="2B910414">
            <w:pPr>
              <w:ind w:firstLine="1476" w:firstLineChars="7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14:paraId="4D4FEA5A">
            <w:pP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14:paraId="119149F3">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c>
          <w:tcPr>
            <w:tcW w:w="2067" w:type="dxa"/>
            <w:vAlign w:val="center"/>
          </w:tcPr>
          <w:p w14:paraId="5E408288">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服务招标</w:t>
            </w:r>
          </w:p>
        </w:tc>
        <w:tc>
          <w:tcPr>
            <w:tcW w:w="2067" w:type="dxa"/>
            <w:vAlign w:val="center"/>
          </w:tcPr>
          <w:p w14:paraId="763900C4">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工程招标</w:t>
            </w:r>
          </w:p>
        </w:tc>
      </w:tr>
      <w:tr w14:paraId="05E8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19D9138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14:paraId="0E7B8D6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14:paraId="1F3F5BD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14:paraId="685AE21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14:paraId="7EF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2140846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14:paraId="6AF1AAF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067" w:type="dxa"/>
          </w:tcPr>
          <w:p w14:paraId="0CF8A1F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14:paraId="0B33B91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0.7%</w:t>
            </w:r>
          </w:p>
        </w:tc>
      </w:tr>
      <w:tr w14:paraId="57975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7E3756B3">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14:paraId="41184D2A">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14:paraId="67E0142E">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0.45%</w:t>
            </w:r>
          </w:p>
        </w:tc>
        <w:tc>
          <w:tcPr>
            <w:tcW w:w="2067" w:type="dxa"/>
          </w:tcPr>
          <w:p w14:paraId="23E4E44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0.55%</w:t>
            </w:r>
          </w:p>
        </w:tc>
      </w:tr>
      <w:tr w14:paraId="319D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A1F148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14:paraId="0AF0D477">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2067" w:type="dxa"/>
          </w:tcPr>
          <w:p w14:paraId="600F516C">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14:paraId="113BA4C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0.35%</w:t>
            </w:r>
          </w:p>
        </w:tc>
      </w:tr>
      <w:tr w14:paraId="58EA9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05599316">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14:paraId="0F2817E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14:paraId="61C0B61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2067" w:type="dxa"/>
          </w:tcPr>
          <w:p w14:paraId="70E70F4B">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r w14:paraId="148A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14:paraId="5ABF4D5F">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10000-100000</w:t>
            </w:r>
          </w:p>
        </w:tc>
        <w:tc>
          <w:tcPr>
            <w:tcW w:w="2067" w:type="dxa"/>
          </w:tcPr>
          <w:p w14:paraId="6BA04ED5">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14:paraId="3F3E61AD">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14:paraId="386C2562">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14:paraId="6F1E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14:paraId="45A0C5E0">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100000以上</w:t>
            </w:r>
          </w:p>
        </w:tc>
        <w:tc>
          <w:tcPr>
            <w:tcW w:w="2067" w:type="dxa"/>
          </w:tcPr>
          <w:p w14:paraId="72DDE299">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14:paraId="09F3CB38">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14:paraId="05CC6051">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r>
    </w:tbl>
    <w:p w14:paraId="379D94CC">
      <w:pPr>
        <w:spacing w:line="360" w:lineRule="auto"/>
        <w:ind w:firstLine="422" w:firstLineChars="200"/>
        <w:jc w:val="left"/>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（四）特别说明</w:t>
      </w:r>
    </w:p>
    <w:p w14:paraId="5376A82D">
      <w:pPr>
        <w:pStyle w:val="11"/>
        <w:snapToGrid w:val="0"/>
        <w:spacing w:line="360" w:lineRule="auto"/>
        <w:ind w:left="2" w:leftChars="1"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1、供应商磋商所使用的资格、信誉、荣誉、业绩与企业认证必须为本法定代表人所拥有。供应商磋商所使用的采购项目实施人员必须为本法定代表人员工（指必须为本法定代表人或控股公司正式员工）。</w:t>
      </w:r>
    </w:p>
    <w:p w14:paraId="196FF226">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2、供应商所标产品除磋商文件中明确规定要求“提供官网截图或相应检测报告的证明材料”以外，所有技术参数描述均以磋商响应文件为准。</w:t>
      </w:r>
      <w:r>
        <w:rPr>
          <w:rFonts w:hint="eastAsia" w:asciiTheme="minorEastAsia" w:hAnsiTheme="minorEastAsia" w:eastAsiaTheme="minorEastAsia" w:cstheme="minorEastAsia"/>
          <w:b/>
          <w:bCs/>
          <w:szCs w:val="21"/>
          <w:highlight w:val="none"/>
        </w:rPr>
        <w:t>磋商供应商对所标产品技术参数的真实性承担法律责任。</w:t>
      </w:r>
      <w:r>
        <w:rPr>
          <w:rFonts w:hint="eastAsia" w:asciiTheme="minorEastAsia" w:hAnsiTheme="minorEastAsia" w:eastAsiaTheme="minorEastAsia" w:cstheme="minorEastAsia"/>
          <w:szCs w:val="21"/>
          <w:highlight w:val="none"/>
        </w:rPr>
        <w:t>项目磋商结束后、质疑期限内，如有质疑供应商认为成交供应商所标产品、磋商响应文件技术参数与采购需求存在重大偏离、错误、甚至造假的情况，应提供具体有效的证明材料。</w:t>
      </w:r>
      <w:r>
        <w:rPr>
          <w:rFonts w:hint="eastAsia" w:asciiTheme="minorEastAsia" w:hAnsiTheme="minorEastAsia" w:eastAsiaTheme="minorEastAsia" w:cstheme="minorEastAsia"/>
          <w:szCs w:val="21"/>
          <w:highlight w:val="none"/>
        </w:rPr>
        <w:tab/>
      </w:r>
    </w:p>
    <w:p w14:paraId="41291A1F">
      <w:pPr>
        <w:pStyle w:val="63"/>
        <w:snapToGrid w:val="0"/>
        <w:spacing w:line="360" w:lineRule="auto"/>
        <w:ind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16319C4">
      <w:pPr>
        <w:pStyle w:val="63"/>
        <w:snapToGrid w:val="0"/>
        <w:spacing w:line="360" w:lineRule="auto"/>
        <w:ind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4、供应商不得相互串通磋商报价，不得妨碍其他供应商的公平竞争，不得损害采购人或其他供应商的合法权益，供应商不得以向采购人、磋商小组成员行贿或者采取其他不正当手段谋取成交。</w:t>
      </w:r>
    </w:p>
    <w:p w14:paraId="59450A42">
      <w:pPr>
        <w:pStyle w:val="63"/>
        <w:snapToGrid w:val="0"/>
        <w:spacing w:line="360" w:lineRule="auto"/>
        <w:ind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5、为采购项目提供整体设计、规范编制或者项目管理、监理、检测等服务的供应商，不得再参加该采购项目的其他采购活动。</w:t>
      </w:r>
    </w:p>
    <w:p w14:paraId="40536069">
      <w:pPr>
        <w:pStyle w:val="63"/>
        <w:snapToGrid w:val="0"/>
        <w:spacing w:line="360" w:lineRule="auto"/>
        <w:ind w:firstLineChars="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6、磋商响应文件格式中的表格式样可以根据项目差别做适当调整,但应当保持表格样式基本形态不变。</w:t>
      </w:r>
    </w:p>
    <w:p w14:paraId="59AAE701">
      <w:pPr>
        <w:pStyle w:val="5"/>
        <w:keepNext w:val="0"/>
        <w:keepLines w:val="0"/>
        <w:tabs>
          <w:tab w:val="left" w:pos="851"/>
        </w:tabs>
        <w:autoSpaceDE w:val="0"/>
        <w:autoSpaceDN w:val="0"/>
        <w:adjustRightInd w:val="0"/>
        <w:snapToGrid w:val="0"/>
        <w:spacing w:before="0" w:after="0"/>
        <w:ind w:firstLine="42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7、单位负责人为同一人或者存在直接控股、管理关系的不同供应商，不得参加同一合同项下的政府采购活动。</w:t>
      </w:r>
    </w:p>
    <w:p w14:paraId="3F457CDE">
      <w:pPr>
        <w:pStyle w:val="5"/>
        <w:keepNext w:val="0"/>
        <w:keepLines w:val="0"/>
        <w:tabs>
          <w:tab w:val="left" w:pos="851"/>
        </w:tabs>
        <w:autoSpaceDE w:val="0"/>
        <w:autoSpaceDN w:val="0"/>
        <w:adjustRightInd w:val="0"/>
        <w:snapToGrid w:val="0"/>
        <w:spacing w:before="0" w:after="0"/>
        <w:ind w:firstLine="42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8、本项目不允许分包。</w:t>
      </w:r>
    </w:p>
    <w:p w14:paraId="23371EC9">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二、磋商响应文件</w:t>
      </w:r>
    </w:p>
    <w:p w14:paraId="2EE410D3">
      <w:pPr>
        <w:autoSpaceDE w:val="0"/>
        <w:autoSpaceDN w:val="0"/>
        <w:adjustRightInd w:val="0"/>
        <w:snapToGrid w:val="0"/>
        <w:spacing w:line="360" w:lineRule="auto"/>
        <w:rPr>
          <w:rFonts w:ascii="宋体" w:hAnsi="宋体"/>
          <w:b/>
          <w:szCs w:val="21"/>
          <w:highlight w:val="none"/>
        </w:rPr>
      </w:pPr>
      <w:r>
        <w:rPr>
          <w:rFonts w:hint="eastAsia" w:asciiTheme="minorEastAsia" w:hAnsiTheme="minorEastAsia" w:eastAsiaTheme="minorEastAsia" w:cstheme="minorEastAsia"/>
          <w:b/>
          <w:bCs/>
          <w:szCs w:val="21"/>
          <w:highlight w:val="none"/>
        </w:rPr>
        <w:t>（一）磋商</w:t>
      </w:r>
      <w:r>
        <w:rPr>
          <w:rFonts w:hint="eastAsia" w:ascii="宋体" w:hAnsi="宋体"/>
          <w:b/>
          <w:szCs w:val="21"/>
          <w:highlight w:val="none"/>
        </w:rPr>
        <w:t>响应文件的形式和效力</w:t>
      </w:r>
    </w:p>
    <w:p w14:paraId="3022A606">
      <w:pPr>
        <w:autoSpaceDE w:val="0"/>
        <w:autoSpaceDN w:val="0"/>
        <w:adjustRightInd w:val="0"/>
        <w:spacing w:line="4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本项目实行电子招投标，各供应商应按照本项目招标文件和政采云平台的相关要求编制、加密并提交磋商响应文件，因现阶段为电子交易试运行阶段，为保证项目顺利开展，各供应商应同时制作以下内容：</w:t>
      </w:r>
    </w:p>
    <w:p w14:paraId="4B6599D7">
      <w:pPr>
        <w:autoSpaceDE w:val="0"/>
        <w:autoSpaceDN w:val="0"/>
        <w:adjustRightInd w:val="0"/>
        <w:spacing w:line="440" w:lineRule="exact"/>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1、电子加密标书（</w:t>
      </w:r>
      <w:r>
        <w:rPr>
          <w:rFonts w:hint="eastAsia" w:asciiTheme="minorEastAsia" w:hAnsiTheme="minorEastAsia" w:eastAsiaTheme="minorEastAsia" w:cstheme="minorEastAsia"/>
          <w:color w:val="000000"/>
          <w:szCs w:val="21"/>
          <w:highlight w:val="none"/>
        </w:rPr>
        <w:t>供应商须通过政采云平台的政采云电子交易客户端制作投标文件，电子投标相关操作详见</w:t>
      </w:r>
      <w:r>
        <w:rPr>
          <w:highlight w:val="none"/>
        </w:rPr>
        <w:fldChar w:fldCharType="begin"/>
      </w:r>
      <w:r>
        <w:rPr>
          <w:highlight w:val="none"/>
        </w:rPr>
        <w:instrText xml:space="preserve"> HYPERLINK "https://service.zcygov.cn/#/help/superior" </w:instrText>
      </w:r>
      <w:r>
        <w:rPr>
          <w:highlight w:val="none"/>
        </w:rPr>
        <w:fldChar w:fldCharType="separate"/>
      </w:r>
      <w:r>
        <w:rPr>
          <w:rStyle w:val="33"/>
          <w:rFonts w:hint="eastAsia" w:asciiTheme="minorEastAsia" w:hAnsiTheme="minorEastAsia" w:eastAsiaTheme="minorEastAsia" w:cstheme="minorEastAsia"/>
          <w:color w:val="000000"/>
          <w:szCs w:val="21"/>
          <w:highlight w:val="none"/>
        </w:rPr>
        <w:t>https://service.zcygov.cn/#/help/superior</w:t>
      </w:r>
      <w:r>
        <w:rPr>
          <w:rStyle w:val="33"/>
          <w:rFonts w:hint="eastAsia" w:asciiTheme="minorEastAsia" w:hAnsiTheme="minorEastAsia" w:eastAsiaTheme="minorEastAsia" w:cstheme="minorEastAsia"/>
          <w:color w:val="000000"/>
          <w:szCs w:val="21"/>
          <w:highlight w:val="none"/>
        </w:rPr>
        <w:fldChar w:fldCharType="end"/>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color w:val="000000"/>
          <w:szCs w:val="21"/>
          <w:highlight w:val="none"/>
          <w:lang w:val="zh-CN"/>
        </w:rPr>
        <w:t>在政采云系统平台上传）。</w:t>
      </w:r>
    </w:p>
    <w:p w14:paraId="4C7C4689">
      <w:pPr>
        <w:autoSpaceDE w:val="0"/>
        <w:autoSpaceDN w:val="0"/>
        <w:adjustRightInd w:val="0"/>
        <w:spacing w:line="360" w:lineRule="auto"/>
        <w:ind w:firstLine="420" w:firstLineChars="200"/>
        <w:rPr>
          <w:rFonts w:asciiTheme="minorEastAsia" w:hAnsiTheme="minorEastAsia" w:eastAsiaTheme="minorEastAsia" w:cstheme="minorEastAsia"/>
          <w:color w:val="000000"/>
          <w:szCs w:val="21"/>
          <w:highlight w:val="none"/>
          <w:lang w:val="zh-CN"/>
        </w:rPr>
      </w:pPr>
      <w:r>
        <w:rPr>
          <w:rFonts w:hint="eastAsia" w:asciiTheme="minorEastAsia" w:hAnsiTheme="minorEastAsia" w:eastAsiaTheme="minorEastAsia" w:cstheme="minorEastAsia"/>
          <w:color w:val="000000"/>
          <w:szCs w:val="21"/>
          <w:highlight w:val="none"/>
          <w:lang w:val="zh-CN"/>
        </w:rPr>
        <w:t>2、电子备份标书一份（后缀名为“.bfbs”，以U盘或光盘等形式提供），单独密封包装。</w:t>
      </w:r>
    </w:p>
    <w:p w14:paraId="47461A9E">
      <w:pPr>
        <w:autoSpaceDE w:val="0"/>
        <w:autoSpaceDN w:val="0"/>
        <w:adjustRightInd w:val="0"/>
        <w:spacing w:line="360" w:lineRule="auto"/>
        <w:ind w:firstLine="420" w:firstLineChars="200"/>
        <w:rPr>
          <w:rFonts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color w:val="000000"/>
          <w:szCs w:val="21"/>
          <w:highlight w:val="none"/>
          <w:lang w:val="zh-CN"/>
        </w:rPr>
        <w:t>3、纸质磋商响应文件两份（按磋商响应文件组成部分按顺序编制并装订密封。）</w:t>
      </w:r>
    </w:p>
    <w:p w14:paraId="589B9BC4">
      <w:pPr>
        <w:pStyle w:val="2"/>
        <w:spacing w:line="360" w:lineRule="auto"/>
        <w:ind w:firstLine="422" w:firstLineChars="200"/>
        <w:rPr>
          <w:rFonts w:asciiTheme="minorEastAsia" w:hAnsiTheme="minorEastAsia" w:eastAsiaTheme="minorEastAsia" w:cstheme="minorEastAsia"/>
          <w:b/>
          <w:color w:val="000000"/>
          <w:szCs w:val="21"/>
          <w:highlight w:val="none"/>
          <w:lang w:val="zh-CN"/>
        </w:rPr>
      </w:pPr>
      <w:r>
        <w:rPr>
          <w:rFonts w:hint="eastAsia" w:asciiTheme="minorEastAsia" w:hAnsiTheme="minorEastAsia" w:eastAsiaTheme="minorEastAsia" w:cstheme="minorEastAsia"/>
          <w:b/>
          <w:color w:val="000000"/>
          <w:szCs w:val="21"/>
          <w:highlight w:val="none"/>
        </w:rPr>
        <w:t>注：磋商响应</w:t>
      </w:r>
      <w:r>
        <w:rPr>
          <w:rFonts w:hint="eastAsia" w:asciiTheme="minorEastAsia" w:hAnsiTheme="minorEastAsia" w:eastAsiaTheme="minorEastAsia" w:cstheme="minorEastAsia"/>
          <w:b/>
          <w:color w:val="000000"/>
          <w:szCs w:val="21"/>
          <w:highlight w:val="none"/>
          <w:lang w:val="zh-CN"/>
        </w:rPr>
        <w:t>文件启用顺序和效力：磋商响应文件的启用，按先后顺位分别为电子磋商响应文件、备份磋商响应文件。</w:t>
      </w:r>
    </w:p>
    <w:p w14:paraId="64948E82">
      <w:pPr>
        <w:pStyle w:val="2"/>
        <w:spacing w:line="360" w:lineRule="auto"/>
        <w:ind w:firstLine="422" w:firstLineChars="200"/>
        <w:rPr>
          <w:rFonts w:asciiTheme="minorEastAsia" w:hAnsiTheme="minorEastAsia" w:eastAsiaTheme="minorEastAsia" w:cstheme="minorEastAsia"/>
          <w:b/>
          <w:color w:val="000000"/>
          <w:szCs w:val="21"/>
          <w:highlight w:val="none"/>
          <w:lang w:val="zh-CN"/>
        </w:rPr>
      </w:pPr>
      <w:r>
        <w:rPr>
          <w:rFonts w:hint="eastAsia" w:asciiTheme="minorEastAsia" w:hAnsiTheme="minorEastAsia" w:eastAsiaTheme="minorEastAsia" w:cstheme="minorEastAsia"/>
          <w:b/>
          <w:color w:val="000000"/>
          <w:szCs w:val="21"/>
          <w:highlight w:val="none"/>
          <w:lang w:val="zh-CN"/>
        </w:rPr>
        <w:t>全部投标人的电子磋商响应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磋商响应文件”的，投标无效。</w:t>
      </w:r>
    </w:p>
    <w:p w14:paraId="3CBDDA18">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（二）磋商响应文件的组成</w:t>
      </w:r>
    </w:p>
    <w:p w14:paraId="004A5AB4">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供应商应仔细阅读磋商采购文件的所有内容，按磋商采购文件的要求，详细编制磋商响应文件（包含电子响应文件和纸质备份响应文件）。【特别提示：如有要求提供资料原件的，原件另行包装，并与磋商响应文件一起提交，磋商响应截止时间后所有原件不予接收。资料原件也可以用与原件相符的公证原件替代】</w:t>
      </w:r>
    </w:p>
    <w:p w14:paraId="2781F033">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▲1、资格证明内容的组成：</w:t>
      </w:r>
    </w:p>
    <w:p w14:paraId="781D3322">
      <w:pPr>
        <w:spacing w:line="360" w:lineRule="auto"/>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（1）磋商声明书（附件2）；</w:t>
      </w:r>
    </w:p>
    <w:p w14:paraId="0C7C2ECB">
      <w:pPr>
        <w:spacing w:line="360" w:lineRule="auto"/>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（2）授权委托书（附件3）；</w:t>
      </w:r>
    </w:p>
    <w:p w14:paraId="71A23366">
      <w:pPr>
        <w:spacing w:line="360" w:lineRule="auto"/>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（3）法人或者其他组织的营业执照等证明文件，自然人的身份证明（附件4）；</w:t>
      </w:r>
    </w:p>
    <w:p w14:paraId="72AB37CC">
      <w:pPr>
        <w:spacing w:line="360" w:lineRule="auto"/>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（4）具有良好的商业信誉和健全的财务会计制度的承诺（附件5）；</w:t>
      </w:r>
    </w:p>
    <w:p w14:paraId="73DEBE95">
      <w:pPr>
        <w:spacing w:line="360" w:lineRule="auto"/>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（5）依法缴纳税收和社会保障资金的承诺（附件6）；</w:t>
      </w:r>
    </w:p>
    <w:p w14:paraId="36A343D4">
      <w:pPr>
        <w:spacing w:line="360" w:lineRule="auto"/>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（6）参加政府采购活动前三年内，在经营活动中没有重大违法记录（附件7）；</w:t>
      </w:r>
    </w:p>
    <w:p w14:paraId="0F24B853">
      <w:pPr>
        <w:spacing w:line="360" w:lineRule="auto"/>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（7）中小企业声明函(格式详见附件8)。</w:t>
      </w:r>
    </w:p>
    <w:p w14:paraId="529864FD">
      <w:pPr>
        <w:spacing w:line="360" w:lineRule="auto"/>
        <w:rPr>
          <w:rFonts w:hint="eastAsia" w:asciiTheme="minorEastAsia" w:hAnsiTheme="minorEastAsia" w:eastAsiaTheme="minorEastAsia" w:cstheme="minorEastAsia"/>
          <w:b w:val="0"/>
          <w:bCs w:val="0"/>
          <w:szCs w:val="21"/>
          <w:highlight w:val="none"/>
        </w:rPr>
      </w:pPr>
      <w:r>
        <w:rPr>
          <w:rFonts w:hint="eastAsia" w:asciiTheme="minorEastAsia" w:hAnsiTheme="minorEastAsia" w:eastAsiaTheme="minorEastAsia" w:cstheme="minorEastAsia"/>
          <w:b w:val="0"/>
          <w:bCs w:val="0"/>
          <w:szCs w:val="21"/>
          <w:highlight w:val="none"/>
        </w:rPr>
        <w:t>（8）需要说明的其他资料。</w:t>
      </w:r>
    </w:p>
    <w:p w14:paraId="2CAA8B1E">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2、商务与技术内容的组成：</w:t>
      </w:r>
    </w:p>
    <w:p w14:paraId="278B999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（1）投标人情况介绍。</w:t>
      </w:r>
    </w:p>
    <w:p w14:paraId="09BC5B23">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（2）投标方案描述：</w:t>
      </w:r>
    </w:p>
    <w:p w14:paraId="04CA4AB1">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41F10A3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B.</w:t>
      </w:r>
      <w:r>
        <w:rPr>
          <w:rFonts w:hint="eastAsia" w:ascii="宋体" w:hAnsi="宋体" w:cs="宋体"/>
          <w:color w:val="auto"/>
          <w:sz w:val="21"/>
          <w:szCs w:val="21"/>
          <w:highlight w:val="none"/>
          <w:lang w:eastAsia="zh-CN"/>
        </w:rPr>
        <w:t>服务方案</w:t>
      </w:r>
      <w:r>
        <w:rPr>
          <w:rFonts w:hint="eastAsia" w:ascii="宋体" w:hAnsi="宋体" w:cs="宋体"/>
          <w:color w:val="auto"/>
          <w:sz w:val="21"/>
          <w:szCs w:val="21"/>
          <w:highlight w:val="none"/>
        </w:rPr>
        <w:t>。</w:t>
      </w:r>
    </w:p>
    <w:p w14:paraId="41A6A257">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）近三年来类似项目的成功案例；</w:t>
      </w:r>
    </w:p>
    <w:p w14:paraId="1F3EB477">
      <w:pPr>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）投标人认为需要提供的其他资料（包括可能影响投标人商务与技术文件评分的各类证明材料）；</w:t>
      </w:r>
    </w:p>
    <w:p w14:paraId="44B03750">
      <w:pPr>
        <w:spacing w:line="360" w:lineRule="auto"/>
        <w:ind w:firstLine="422" w:firstLineChars="200"/>
        <w:rPr>
          <w:highlight w:val="none"/>
        </w:rPr>
      </w:pPr>
      <w:r>
        <w:rPr>
          <w:rFonts w:hint="eastAsia" w:ascii="宋体" w:hAnsi="宋体"/>
          <w:b/>
          <w:szCs w:val="21"/>
          <w:highlight w:val="none"/>
          <w:u w:val="single"/>
        </w:rPr>
        <w:t>注：若磋商文件中有专门标注的某关联点，并要求供应商在电子投标系统中作出磋商响应的，如供应商未对关联点进行响应或者在响应文件其它内容进行描述，造成电子评审不能查询的责任由供应商自行承担。</w:t>
      </w:r>
    </w:p>
    <w:p w14:paraId="7D96C9FD">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3、报价内容的组成</w:t>
      </w:r>
    </w:p>
    <w:p w14:paraId="38285358">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（1）报价内容由首次报价一览表，以及供应商认为其他需要说明的内容组成。</w:t>
      </w:r>
    </w:p>
    <w:p w14:paraId="2675E8D2">
      <w:pPr>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（2）此报价为供应商针对本项目报出的唯一的首次报价，包含其它一切所要涉及到的费用，有选择的报价将被拒绝。</w:t>
      </w:r>
    </w:p>
    <w:p w14:paraId="0C39A637">
      <w:pPr>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（3）投标报价为完成本项目的所有费用，包括所有人员工资、</w:t>
      </w:r>
      <w:r>
        <w:rPr>
          <w:rFonts w:hint="eastAsia" w:asciiTheme="minorEastAsia" w:hAnsiTheme="minorEastAsia" w:eastAsiaTheme="minorEastAsia" w:cstheme="minorEastAsia"/>
          <w:szCs w:val="21"/>
          <w:highlight w:val="none"/>
          <w:lang w:eastAsia="zh-CN"/>
        </w:rPr>
        <w:t>服装费、招标代理服务费</w:t>
      </w:r>
      <w:r>
        <w:rPr>
          <w:rFonts w:hint="eastAsia" w:asciiTheme="minorEastAsia" w:hAnsiTheme="minorEastAsia" w:eastAsiaTheme="minorEastAsia" w:cstheme="minorEastAsia"/>
          <w:szCs w:val="21"/>
          <w:highlight w:val="none"/>
        </w:rPr>
        <w:t>、税费、利润、合同包含的所有风险责任等各项费用及不可预见费等所需的全部费用，全部费用已包含在投标报价中。</w:t>
      </w:r>
    </w:p>
    <w:p w14:paraId="5363AC98">
      <w:pPr>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（4）政府采购优惠政策相关资料、产品适用政府采购政策情况表（如有）。</w:t>
      </w:r>
    </w:p>
    <w:p w14:paraId="1CBA4927">
      <w:pPr>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（5）相关报价表需打印或用不退色的墨水填写， 磋商响应报价表不得涂改和增删，如有错漏必须修改，修改处须由同一签署人签字或盖章。由于字迹模糊或表达不清引起的后果由供应商负责。</w:t>
      </w:r>
    </w:p>
    <w:p w14:paraId="419E088A">
      <w:pPr>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（6）报价有关表格应按招标文件中相关附表格式填写。</w:t>
      </w:r>
    </w:p>
    <w:p w14:paraId="2E2E2F42">
      <w:pPr>
        <w:pStyle w:val="40"/>
        <w:spacing w:line="360" w:lineRule="auto"/>
        <w:ind w:firstLine="0" w:firstLineChars="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（7）最后的磋商报价低于首次报价，除磋商内容发生实质性变更，其报价明细表（如有）中各项报价需另行明确以外，各项报价均按比例下调。</w:t>
      </w:r>
    </w:p>
    <w:p w14:paraId="7AF1EF55">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（三）磋商响应文件的制作及递交要求</w:t>
      </w:r>
    </w:p>
    <w:p w14:paraId="2392B534">
      <w:pPr>
        <w:snapToGrid w:val="0"/>
        <w:spacing w:beforeLines="50" w:line="360" w:lineRule="auto"/>
        <w:jc w:val="left"/>
        <w:rPr>
          <w:rFonts w:asciiTheme="minorEastAsia" w:hAnsiTheme="minorEastAsia" w:eastAsiaTheme="minorEastAsia" w:cstheme="minorEastAsia"/>
          <w:b/>
          <w:color w:val="000000"/>
          <w:szCs w:val="21"/>
          <w:highlight w:val="none"/>
        </w:rPr>
      </w:pPr>
      <w:r>
        <w:rPr>
          <w:rFonts w:hint="eastAsia" w:asciiTheme="minorEastAsia" w:hAnsiTheme="minorEastAsia" w:eastAsiaTheme="minorEastAsia" w:cstheme="minorEastAsia"/>
          <w:b/>
          <w:color w:val="000000"/>
          <w:szCs w:val="21"/>
          <w:highlight w:val="none"/>
        </w:rPr>
        <w:t>1、磋商响应文件的签署和份数</w:t>
      </w:r>
    </w:p>
    <w:p w14:paraId="410C5A89">
      <w:pPr>
        <w:snapToGrid w:val="0"/>
        <w:spacing w:line="360" w:lineRule="auto"/>
        <w:ind w:firstLine="411" w:firstLineChars="196"/>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1）电子磋商响应文件：按本项目磋商文件和“政府采购云平台”相关要求编制。电子磋商响应文件中须加盖供应商公章部分均采用CA签章，并根据“政府采购云平台供应商项目采购-电子招投标操作指南”及本磋商文件规定的格式和顺序编制电子磋商响应文件并进行关联定位，以便评标委员会在评标时，点击评分项可直接定位到该评分项内容。如对磋商文件的某项要求，供应商的电子磋商响应文件未能关联定位提供相应的内容与其对应，则评标委员会在评审时如做出对供应商不利的评审由供应商自行承担。</w:t>
      </w:r>
    </w:p>
    <w:p w14:paraId="3C9DC7DF">
      <w:pPr>
        <w:snapToGrid w:val="0"/>
        <w:spacing w:line="360" w:lineRule="auto"/>
        <w:ind w:firstLine="411" w:firstLineChars="196"/>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bCs/>
          <w:szCs w:val="21"/>
          <w:highlight w:val="none"/>
        </w:rPr>
        <w:t>电子磋商响应文件如内容不完整、编排混乱导致磋商响应文件被误读、漏读，或者在按采购文件规定的部位查找不到相关内容的，由供应商自行承担。</w:t>
      </w:r>
    </w:p>
    <w:p w14:paraId="1F9A02F3">
      <w:pPr>
        <w:numPr>
          <w:ilvl w:val="0"/>
          <w:numId w:val="7"/>
        </w:numPr>
        <w:snapToGrid w:val="0"/>
        <w:spacing w:line="360" w:lineRule="auto"/>
        <w:ind w:firstLine="411" w:firstLineChars="196"/>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温馨提醒：</w:t>
      </w:r>
      <w:r>
        <w:rPr>
          <w:rFonts w:hint="eastAsia" w:asciiTheme="minorEastAsia" w:hAnsiTheme="minorEastAsia" w:eastAsiaTheme="minorEastAsia" w:cstheme="minorEastAsia"/>
          <w:szCs w:val="21"/>
          <w:highlight w:val="none"/>
          <w:u w:val="single"/>
        </w:rPr>
        <w:t>CA签章上目前没有法定代表人或授权代表签字信息，需要供应商联系浙江杭州汇信科技有限公司等相应公司进行办理，或在</w:t>
      </w:r>
      <w:r>
        <w:rPr>
          <w:rFonts w:hint="eastAsia" w:asciiTheme="minorEastAsia" w:hAnsiTheme="minorEastAsia" w:eastAsiaTheme="minorEastAsia" w:cstheme="minorEastAsia"/>
          <w:bCs/>
          <w:szCs w:val="21"/>
          <w:highlight w:val="none"/>
          <w:u w:val="single"/>
        </w:rPr>
        <w:t>磋商响应</w:t>
      </w:r>
      <w:r>
        <w:rPr>
          <w:rFonts w:hint="eastAsia" w:asciiTheme="minorEastAsia" w:hAnsiTheme="minorEastAsia" w:eastAsiaTheme="minorEastAsia" w:cstheme="minorEastAsia"/>
          <w:szCs w:val="21"/>
          <w:highlight w:val="none"/>
          <w:u w:val="single"/>
        </w:rPr>
        <w:t>文件中涉及到签字的位置线下签好字然后扫描或者拍照做成PDF的格式亦可。</w:t>
      </w:r>
    </w:p>
    <w:p w14:paraId="29CCFC18">
      <w:pPr>
        <w:pStyle w:val="2"/>
        <w:spacing w:line="360" w:lineRule="auto"/>
        <w:ind w:firstLine="210" w:firstLineChars="1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  （3）现阶段为电子交易试运行阶段，为保证项目顺利开展，本项目需要供应商提供“电子加密磋商响应文件”同时生成的数据电文形式的电子备份标书，（电子备份标书后缀名为“.bfbs”，以U盘、光盘或邮件</w:t>
      </w:r>
      <w:r>
        <w:rPr>
          <w:rFonts w:hint="eastAsia" w:ascii="宋体" w:hAnsi="宋体" w:cs="宋体"/>
          <w:szCs w:val="21"/>
          <w:highlight w:val="none"/>
        </w:rPr>
        <w:t>（发送至451350540@qq.com）</w:t>
      </w:r>
      <w:r>
        <w:rPr>
          <w:rFonts w:hint="eastAsia" w:asciiTheme="minorEastAsia" w:hAnsiTheme="minorEastAsia" w:eastAsiaTheme="minorEastAsia" w:cstheme="minorEastAsia"/>
          <w:szCs w:val="21"/>
          <w:highlight w:val="none"/>
        </w:rPr>
        <w:t>等形式提供），并按要求装袋密封并在磋商截止时间前通过邮寄方式送至</w:t>
      </w:r>
      <w:r>
        <w:rPr>
          <w:rFonts w:hint="eastAsia" w:asciiTheme="minorEastAsia" w:hAnsiTheme="minorEastAsia" w:eastAsiaTheme="minorEastAsia" w:cstheme="minorEastAsia"/>
          <w:szCs w:val="21"/>
          <w:highlight w:val="none"/>
          <w:lang w:eastAsia="zh-CN"/>
        </w:rPr>
        <w:t>台州市建航工程管理有限公司</w:t>
      </w:r>
      <w:r>
        <w:rPr>
          <w:rFonts w:hint="eastAsia" w:asciiTheme="minorEastAsia" w:hAnsiTheme="minorEastAsia" w:eastAsiaTheme="minorEastAsia" w:cstheme="minorEastAsia"/>
          <w:szCs w:val="21"/>
          <w:highlight w:val="none"/>
        </w:rPr>
        <w:t>（地址：浙江省台州市经济开发区天和路95号天和大厦B幢1104），逾期寄达或未按要求密封将被拒收。</w:t>
      </w:r>
    </w:p>
    <w:p w14:paraId="201EA6DE">
      <w:pPr>
        <w:snapToGrid w:val="0"/>
        <w:spacing w:line="360" w:lineRule="auto"/>
        <w:ind w:firstLine="411" w:firstLineChars="196"/>
        <w:jc w:val="left"/>
        <w:rPr>
          <w:rFonts w:asciiTheme="minorEastAsia" w:hAnsiTheme="minorEastAsia" w:eastAsiaTheme="minorEastAsia" w:cstheme="minorEastAsia"/>
          <w:bCs/>
          <w:szCs w:val="21"/>
          <w:highlight w:val="none"/>
        </w:rPr>
      </w:pPr>
      <w:r>
        <w:rPr>
          <w:rFonts w:hint="eastAsia" w:asciiTheme="minorEastAsia" w:hAnsiTheme="minorEastAsia" w:eastAsiaTheme="minorEastAsia" w:cstheme="minorEastAsia"/>
          <w:szCs w:val="21"/>
          <w:highlight w:val="none"/>
        </w:rPr>
        <w:t>（4）</w:t>
      </w:r>
      <w:r>
        <w:rPr>
          <w:rFonts w:hint="eastAsia"/>
          <w:szCs w:val="21"/>
          <w:highlight w:val="none"/>
        </w:rPr>
        <w:t>为方便评审委员会评审，请供应商提供纸质磋商响应文件一份给招标代理机构，纸质磋商响应文件系电子磋商响应文件纸质版，两者内容应一致。</w:t>
      </w:r>
      <w:r>
        <w:rPr>
          <w:rFonts w:hint="eastAsia"/>
          <w:b/>
          <w:bCs/>
          <w:szCs w:val="21"/>
          <w:highlight w:val="none"/>
        </w:rPr>
        <w:t>本项非实质性要求，供应商自愿提供</w:t>
      </w:r>
      <w:r>
        <w:rPr>
          <w:rFonts w:hint="eastAsia"/>
          <w:szCs w:val="21"/>
          <w:highlight w:val="none"/>
        </w:rPr>
        <w:t>。</w:t>
      </w:r>
      <w:r>
        <w:rPr>
          <w:rFonts w:hint="eastAsia" w:asciiTheme="minorEastAsia" w:hAnsiTheme="minorEastAsia" w:eastAsiaTheme="minorEastAsia" w:cstheme="minorEastAsia"/>
          <w:bCs/>
          <w:szCs w:val="21"/>
          <w:highlight w:val="none"/>
        </w:rPr>
        <w:t>在磋商截止时间前送达（以邮寄形式）到指定地点，</w:t>
      </w:r>
      <w:r>
        <w:rPr>
          <w:rFonts w:hint="eastAsia" w:asciiTheme="minorEastAsia" w:hAnsiTheme="minorEastAsia" w:eastAsiaTheme="minorEastAsia" w:cstheme="minorEastAsia"/>
          <w:szCs w:val="21"/>
          <w:highlight w:val="none"/>
        </w:rPr>
        <w:t>逾期寄达或未按要求密封将被拒收。</w:t>
      </w:r>
    </w:p>
    <w:p w14:paraId="61785901">
      <w:pPr>
        <w:snapToGrid w:val="0"/>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（5）纸质备份磋商响应文件须由供应商在规定位置盖章并由法定代表人或授权委托代理人签署或盖章，供应商应写全称。纸质</w:t>
      </w:r>
      <w:r>
        <w:rPr>
          <w:rFonts w:hint="eastAsia" w:asciiTheme="minorEastAsia" w:hAnsiTheme="minorEastAsia" w:eastAsiaTheme="minorEastAsia" w:cstheme="minorEastAsia"/>
          <w:bCs/>
          <w:szCs w:val="21"/>
          <w:highlight w:val="none"/>
        </w:rPr>
        <w:t>磋商响应文件未按照招标文件要求签署、盖章的，其投标无效；</w:t>
      </w:r>
    </w:p>
    <w:p w14:paraId="03E67EF2">
      <w:pPr>
        <w:snapToGrid w:val="0"/>
        <w:spacing w:line="360" w:lineRule="auto"/>
        <w:ind w:firstLine="420" w:firstLineChars="200"/>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（6）磋商响应文件不得涂改，若有修改错漏处，须加盖单位公章或者法定代表人或授权委托人签字或盖章。磋商响应文件因字迹潦草或表达不清所引起的后果由供应商负责。</w:t>
      </w:r>
    </w:p>
    <w:p w14:paraId="437592F3">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2、磋商响应文件的制作要求</w:t>
      </w:r>
    </w:p>
    <w:p w14:paraId="7BC75DC0">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（1）供应商应按照磋商响应文件组成内容及项目磋商需求制作磋商响应文件，不按招标文件要求制作磋商响应文件的将视情处理（拒收、扣分等），由此产生的责任由磋商供应商自行承担。</w:t>
      </w:r>
    </w:p>
    <w:p w14:paraId="413FD60B">
      <w:pPr>
        <w:autoSpaceDE w:val="0"/>
        <w:autoSpaceDN w:val="0"/>
        <w:adjustRightInd w:val="0"/>
        <w:snapToGrid w:val="0"/>
        <w:spacing w:line="360" w:lineRule="auto"/>
        <w:ind w:firstLine="420" w:firstLineChars="200"/>
        <w:textAlignment w:val="bottom"/>
        <w:rPr>
          <w:rFonts w:ascii="宋体" w:hAnsi="宋体"/>
          <w:szCs w:val="21"/>
          <w:highlight w:val="none"/>
        </w:rPr>
      </w:pPr>
      <w:r>
        <w:rPr>
          <w:rFonts w:hint="eastAsia" w:ascii="宋体" w:hAnsi="宋体"/>
          <w:szCs w:val="21"/>
          <w:highlight w:val="none"/>
          <w:lang w:val="zh-CN"/>
        </w:rPr>
        <w:t>响应文件（包含电子响应文件和纸质备份响应文件），其中电子响应文件中所须加盖公章部分均采用CA签章。纸质备份响应文件</w:t>
      </w:r>
      <w:r>
        <w:rPr>
          <w:rFonts w:hint="eastAsia" w:ascii="宋体" w:hAnsi="宋体" w:cs="宋体"/>
          <w:szCs w:val="21"/>
          <w:highlight w:val="none"/>
        </w:rPr>
        <w:t>按统一格式、顺序编写，编目编码并装订成册，否则其响应文件将可能被拒绝。</w:t>
      </w:r>
    </w:p>
    <w:p w14:paraId="316239EE">
      <w:pPr>
        <w:spacing w:line="360" w:lineRule="auto"/>
        <w:ind w:firstLine="420" w:firstLineChars="200"/>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szCs w:val="21"/>
          <w:highlight w:val="none"/>
        </w:rPr>
        <w:t>（2）</w:t>
      </w:r>
      <w:r>
        <w:rPr>
          <w:rFonts w:hint="eastAsia" w:asciiTheme="minorEastAsia" w:hAnsiTheme="minorEastAsia" w:eastAsiaTheme="minorEastAsia" w:cstheme="minorEastAsia"/>
          <w:b/>
          <w:bCs/>
          <w:kern w:val="0"/>
          <w:szCs w:val="21"/>
          <w:highlight w:val="none"/>
        </w:rPr>
        <w:t>▲</w:t>
      </w:r>
      <w:r>
        <w:rPr>
          <w:rFonts w:hint="eastAsia" w:asciiTheme="minorEastAsia" w:hAnsiTheme="minorEastAsia" w:eastAsiaTheme="minorEastAsia" w:cstheme="minorEastAsia"/>
          <w:szCs w:val="21"/>
          <w:highlight w:val="none"/>
        </w:rPr>
        <w:t>供应商应对所提供的全部资料的真实性承担法律责任，</w:t>
      </w:r>
      <w:r>
        <w:rPr>
          <w:rFonts w:hint="eastAsia" w:asciiTheme="minorEastAsia" w:hAnsiTheme="minorEastAsia" w:eastAsiaTheme="minorEastAsia" w:cstheme="minorEastAsia"/>
          <w:b/>
          <w:bCs/>
          <w:szCs w:val="21"/>
          <w:highlight w:val="none"/>
        </w:rPr>
        <w:t>磋商响应文件内容中有要求盖章或签字的地方，必须加盖磋商供应商的公章以及法定代表人或授权委托代理人的盖章或签字，其中电子磋商响应文件中所须加盖公章部分均采用CA签章（此为实质性条款）。</w:t>
      </w:r>
    </w:p>
    <w:p w14:paraId="014A3680">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（3）磋商响应文件以及磋商供应商与采购组织机构就有关磋商事宜的所有来往函电，均应以中文汉语书写。除签字、盖章、专用名称等特殊情形外，以中文汉语以外的文字表述的磋商响应文件视同未提供。</w:t>
      </w:r>
    </w:p>
    <w:p w14:paraId="14425424">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（4）磋商计量单位，磋商采购文件已有明确规定的，使用磋商采购文件规定的计量单位；磋商采购文件没有规定的，应采用中华人民共和国法定计量单位（货币单位：人民币元），否则视同未响应。</w:t>
      </w:r>
    </w:p>
    <w:p w14:paraId="40547010">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（5）若磋商供应商不按采购文件的要求提供资格审查材料，其风险由磋商供应商自行承担。</w:t>
      </w:r>
    </w:p>
    <w:p w14:paraId="703FA565">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（6）与本次磋商无关的内容请不要制作在内，确保磋商响应文件有针对性、简洁明了，同时节约纸张；磋商响应文件统一以A4纸大小双面打印并装订。</w:t>
      </w:r>
    </w:p>
    <w:p w14:paraId="7D3164B9">
      <w:pPr>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3、磋商响应文件的封装要求</w:t>
      </w:r>
    </w:p>
    <w:p w14:paraId="6F9C918B">
      <w:pPr>
        <w:pStyle w:val="61"/>
        <w:spacing w:line="360" w:lineRule="auto"/>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（1）磋商响应文件份数：①电子加密标书（在政采云系统平台上传）。②电子备份标书 1 份（后缀名为“.bfbs”，以U盘或光盘等形式提供），单独密封包装。③纸质磋商响应文件共1份，以纸质形式编制，装订成册：商务与技术文件共一份，封装成一袋。纸质投标文件系电子投标文件纸质版，两者内容应一致。本项非实质性要求，供应商自愿提供。如有不同标项，请按标项号分别装订，密封要求同上。</w:t>
      </w:r>
    </w:p>
    <w:p w14:paraId="19333176">
      <w:pPr>
        <w:pStyle w:val="61"/>
        <w:spacing w:line="360" w:lineRule="auto"/>
        <w:ind w:firstLine="420" w:firstLineChars="200"/>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b/>
          <w:bCs/>
          <w:sz w:val="21"/>
          <w:szCs w:val="21"/>
          <w:highlight w:val="none"/>
        </w:rPr>
        <w:t>成交供应商</w:t>
      </w:r>
      <w:r>
        <w:rPr>
          <w:rFonts w:hint="eastAsia" w:asciiTheme="minorEastAsia" w:hAnsiTheme="minorEastAsia" w:eastAsiaTheme="minorEastAsia" w:cstheme="minorEastAsia"/>
          <w:sz w:val="21"/>
          <w:szCs w:val="21"/>
          <w:highlight w:val="none"/>
        </w:rPr>
        <w:t>中标后需提供纸质磋商响应文件给招标代理机构作为备案存档，纸质磋商响应文件系电子磋商响应文件纸质版，两者内容应一致；纸质磋商响应</w:t>
      </w:r>
      <w:r>
        <w:rPr>
          <w:rFonts w:hint="eastAsia" w:asciiTheme="minorEastAsia" w:hAnsiTheme="minorEastAsia" w:eastAsiaTheme="minorEastAsia" w:cstheme="minorEastAsia"/>
          <w:sz w:val="21"/>
          <w:szCs w:val="21"/>
          <w:highlight w:val="none"/>
          <w:lang w:val="zh-CN"/>
        </w:rPr>
        <w:t>文件共</w:t>
      </w:r>
      <w:r>
        <w:rPr>
          <w:rFonts w:hint="eastAsia" w:asciiTheme="minorEastAsia" w:hAnsiTheme="minorEastAsia" w:eastAsiaTheme="minorEastAsia" w:cstheme="minorEastAsia"/>
          <w:sz w:val="21"/>
          <w:szCs w:val="21"/>
          <w:highlight w:val="none"/>
          <w:u w:val="single"/>
        </w:rPr>
        <w:t>两</w:t>
      </w:r>
      <w:r>
        <w:rPr>
          <w:rFonts w:hint="eastAsia" w:asciiTheme="minorEastAsia" w:hAnsiTheme="minorEastAsia" w:eastAsiaTheme="minorEastAsia" w:cstheme="minorEastAsia"/>
          <w:sz w:val="21"/>
          <w:szCs w:val="21"/>
          <w:highlight w:val="none"/>
          <w:lang w:val="zh-CN"/>
        </w:rPr>
        <w:t>份（</w:t>
      </w:r>
      <w:r>
        <w:rPr>
          <w:rFonts w:hint="eastAsia" w:asciiTheme="minorEastAsia" w:hAnsiTheme="minorEastAsia" w:eastAsiaTheme="minorEastAsia" w:cstheme="minorEastAsia"/>
          <w:sz w:val="21"/>
          <w:szCs w:val="21"/>
          <w:highlight w:val="none"/>
          <w:u w:val="single"/>
          <w:lang w:val="zh-CN"/>
        </w:rPr>
        <w:t>一</w:t>
      </w:r>
      <w:r>
        <w:rPr>
          <w:rFonts w:hint="eastAsia" w:asciiTheme="minorEastAsia" w:hAnsiTheme="minorEastAsia" w:eastAsiaTheme="minorEastAsia" w:cstheme="minorEastAsia"/>
          <w:sz w:val="21"/>
          <w:szCs w:val="21"/>
          <w:highlight w:val="none"/>
          <w:lang w:val="zh-CN"/>
        </w:rPr>
        <w:t>正本</w:t>
      </w:r>
      <w:r>
        <w:rPr>
          <w:rFonts w:hint="eastAsia" w:asciiTheme="minorEastAsia" w:hAnsiTheme="minorEastAsia" w:eastAsiaTheme="minorEastAsia" w:cstheme="minorEastAsia"/>
          <w:sz w:val="21"/>
          <w:szCs w:val="21"/>
          <w:highlight w:val="none"/>
          <w:u w:val="single"/>
        </w:rPr>
        <w:t>两</w:t>
      </w:r>
      <w:r>
        <w:rPr>
          <w:rFonts w:hint="eastAsia" w:asciiTheme="minorEastAsia" w:hAnsiTheme="minorEastAsia" w:eastAsiaTheme="minorEastAsia" w:cstheme="minorEastAsia"/>
          <w:sz w:val="21"/>
          <w:szCs w:val="21"/>
          <w:highlight w:val="none"/>
          <w:lang w:val="zh-CN"/>
        </w:rPr>
        <w:t>副本，封装成一袋）</w:t>
      </w:r>
      <w:r>
        <w:rPr>
          <w:rFonts w:hint="eastAsia" w:asciiTheme="minorEastAsia" w:hAnsiTheme="minorEastAsia" w:eastAsiaTheme="minorEastAsia" w:cstheme="minorEastAsia"/>
          <w:sz w:val="21"/>
          <w:szCs w:val="21"/>
          <w:highlight w:val="none"/>
        </w:rPr>
        <w:t>。投标文件的正本封面必须注明“正本”字样，副本可以采用正本的复印件。除报价文件外其余一律不准出现数字报价。如有不同标项，请按标项号分别装订，密封要求同上。</w:t>
      </w:r>
    </w:p>
    <w:p w14:paraId="345682B4">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所有磋商响应资料按招标文件的组成所列内容及顺序装订成册，并逐页连续标注页码。因磋商响应文件内容不完整、编排混乱导致磋商响应文件被误读、漏读或者查找不到相关内容的责任由供应商自行承担。</w:t>
      </w:r>
    </w:p>
    <w:p w14:paraId="252C536A">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纸质备份磋商响应文件请在密封袋的封口处应有磋商供应商公章或磋商法定代表人或授权委托人(签字或盖章)。封皮上写明项目编号、标段、招标项目名称、供应商名称，并注明“磋商响应文件名称”、“磋商时启封”字样，未按上述要求密封及加写标记，采购组织机构对磋商响应文件的误投和提前启封不负责任。</w:t>
      </w:r>
    </w:p>
    <w:p w14:paraId="51400359">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（5）项目如分标段，各标段磋商响应文件必须分开编制，并按上述份数要求单独密封包装。</w:t>
      </w:r>
    </w:p>
    <w:p w14:paraId="1D386B9B">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（6）因密封不严、标记不明而造成失密、拒收、过早启封等情况，采购组织机构概不负责。</w:t>
      </w:r>
    </w:p>
    <w:p w14:paraId="6A22EE86">
      <w:pPr>
        <w:spacing w:line="360" w:lineRule="auto"/>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b/>
          <w:bCs/>
          <w:szCs w:val="21"/>
          <w:highlight w:val="none"/>
        </w:rPr>
        <w:t>4、磋商响应文件的递交要求</w:t>
      </w:r>
    </w:p>
    <w:p w14:paraId="7CBD137D">
      <w:pPr>
        <w:spacing w:line="360" w:lineRule="auto"/>
        <w:ind w:firstLine="420" w:firstLineChars="200"/>
        <w:rPr>
          <w:rFonts w:asciiTheme="minorEastAsia" w:hAnsiTheme="minorEastAsia" w:eastAsiaTheme="minorEastAsia" w:cstheme="minorEastAsia"/>
          <w:color w:val="000000"/>
          <w:kern w:val="0"/>
          <w:szCs w:val="21"/>
          <w:highlight w:val="none"/>
        </w:rPr>
      </w:pPr>
      <w:r>
        <w:rPr>
          <w:rFonts w:hint="eastAsia" w:asciiTheme="minorEastAsia" w:hAnsiTheme="minorEastAsia" w:eastAsiaTheme="minorEastAsia" w:cstheme="minorEastAsia"/>
          <w:szCs w:val="21"/>
          <w:highlight w:val="none"/>
        </w:rPr>
        <w:t>（1）供应商须按照磋商文件和政采云平台的要求编制并加密投标文件，未按规定加密的磋商响应文件，电子交易平台将被拒收，并在磋商响应文件递交截止时间以前完成电子投标文件的传输递交，</w:t>
      </w:r>
      <w:r>
        <w:rPr>
          <w:rFonts w:hint="eastAsia" w:asciiTheme="minorEastAsia" w:hAnsiTheme="minorEastAsia" w:eastAsiaTheme="minorEastAsia" w:cstheme="minorEastAsia"/>
          <w:color w:val="000000"/>
          <w:kern w:val="0"/>
          <w:szCs w:val="21"/>
          <w:highlight w:val="none"/>
        </w:rPr>
        <w:t>同时应在磋商截止时间前提供电子备份标书（后缀名为“.bfbs”，以U盘或光盘等形式提供）和纸质磋商响应文件，按要求各自装袋密封后邮寄到指定地点，超过磋商截止时间送达的将不予接收</w:t>
      </w:r>
      <w:r>
        <w:rPr>
          <w:rFonts w:hint="eastAsia" w:asciiTheme="minorEastAsia" w:hAnsiTheme="minorEastAsia" w:eastAsiaTheme="minorEastAsia" w:cstheme="minorEastAsia"/>
          <w:b/>
          <w:color w:val="000000"/>
          <w:kern w:val="0"/>
          <w:szCs w:val="21"/>
          <w:highlight w:val="none"/>
        </w:rPr>
        <w:t>。</w:t>
      </w:r>
    </w:p>
    <w:p w14:paraId="3ADAA01D">
      <w:pPr>
        <w:snapToGrid w:val="0"/>
        <w:spacing w:line="440" w:lineRule="exact"/>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若供应商未提交备份磋商响应文件，其后果由供应商自行承担。投标人仅提交备份磋商响应文件，未在磋商截止时间前在电子交易系统中完成电子磋商响应文件上传的，其电子备份标书和纸质备份磋商响应文件也将无效。</w:t>
      </w:r>
    </w:p>
    <w:p w14:paraId="49CEBD0F">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（3）如有特殊情况，采购代理机构延长截止时间和开标时间，采购代理机构和供应商的权利和义务将受到新的截止时间和开标时间的约束。</w:t>
      </w:r>
    </w:p>
    <w:p w14:paraId="272415BB">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5、磋商响应文件的补充、修改和撤回。</w:t>
      </w:r>
    </w:p>
    <w:p w14:paraId="064AD826">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（1）供应商如需对已上传的电子磋商响应文件进行补充或者修改的，应当在政采云平台上先行撤回原文件，补充、修改后重新传输递交。磋商截止时间前未完成传输的，视为撤回投标文件。</w:t>
      </w:r>
    </w:p>
    <w:p w14:paraId="51FDF608">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（2）供应商如需对上交的纸质磋商响应文件进行补充、修改或撤回的，必须在磋商截止时间前将书面的修改文件或撤消通知送达采购代理机构。</w:t>
      </w:r>
    </w:p>
    <w:p w14:paraId="52C4127C">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（3）磋商响应修改文件必须密封，在密封袋上写明项目编号、标段、招标项目名称、供应商名称、并注明“修改文件”、“磋商时启封”字样，其作为磋商响应文件的组成部份。</w:t>
      </w:r>
    </w:p>
    <w:p w14:paraId="27B313BF">
      <w:pPr>
        <w:spacing w:line="360" w:lineRule="auto"/>
        <w:rPr>
          <w:rFonts w:asciiTheme="minorEastAsia" w:hAnsiTheme="minorEastAsia" w:eastAsiaTheme="minorEastAsia" w:cstheme="minorEastAsia"/>
          <w:b/>
          <w:bCs/>
          <w:szCs w:val="21"/>
          <w:highlight w:val="none"/>
        </w:rPr>
      </w:pPr>
      <w:r>
        <w:rPr>
          <w:rFonts w:hint="eastAsia" w:asciiTheme="minorEastAsia" w:hAnsiTheme="minorEastAsia" w:eastAsiaTheme="minorEastAsia" w:cstheme="minorEastAsia"/>
          <w:b/>
          <w:bCs/>
          <w:szCs w:val="21"/>
          <w:highlight w:val="none"/>
        </w:rPr>
        <w:t>（四）磋商响应文件的有效期</w:t>
      </w:r>
    </w:p>
    <w:p w14:paraId="6460EAD5">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1、自磋商响应截止日起90天磋商响应文件应保持有效。有效期不足的磋商响应文件将被拒绝。</w:t>
      </w:r>
    </w:p>
    <w:p w14:paraId="51FC7FAB">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2、在特殊情况下，采购人可与磋商供应商协商延长磋商响应文件的有效期，这种要求和答复均以书面形式进行。</w:t>
      </w:r>
    </w:p>
    <w:p w14:paraId="4A4D1D67">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3、磋商供应商可拒绝接受延期要求。同意延长有效期的磋商供应商不能修改磋商响应文件。 </w:t>
      </w:r>
    </w:p>
    <w:p w14:paraId="3F4A1946">
      <w:pPr>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4.成交供应商的磋商响应文件自磋商之日起至合同履行完毕均应保持有效。</w:t>
      </w:r>
    </w:p>
    <w:p w14:paraId="74B96943">
      <w:pPr>
        <w:tabs>
          <w:tab w:val="left" w:pos="1418"/>
        </w:tabs>
        <w:autoSpaceDE w:val="0"/>
        <w:autoSpaceDN w:val="0"/>
        <w:adjustRightInd w:val="0"/>
        <w:spacing w:line="360" w:lineRule="auto"/>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bCs/>
          <w:szCs w:val="21"/>
          <w:highlight w:val="none"/>
        </w:rPr>
        <w:t>三、磋商</w:t>
      </w:r>
    </w:p>
    <w:p w14:paraId="77418D29">
      <w:pPr>
        <w:tabs>
          <w:tab w:val="left" w:pos="1418"/>
        </w:tabs>
        <w:autoSpaceDE w:val="0"/>
        <w:autoSpaceDN w:val="0"/>
        <w:adjustRightInd w:val="0"/>
        <w:spacing w:line="360" w:lineRule="auto"/>
        <w:rPr>
          <w:rFonts w:ascii="宋体" w:hAnsi="宋体"/>
          <w:b/>
          <w:bCs/>
          <w:szCs w:val="21"/>
          <w:highlight w:val="none"/>
        </w:rPr>
      </w:pPr>
      <w:r>
        <w:rPr>
          <w:rFonts w:hint="eastAsia" w:asciiTheme="minorEastAsia" w:hAnsiTheme="minorEastAsia" w:eastAsiaTheme="minorEastAsia" w:cstheme="minorEastAsia"/>
          <w:b/>
          <w:color w:val="000000"/>
          <w:szCs w:val="21"/>
          <w:highlight w:val="none"/>
        </w:rPr>
        <w:t>（一）磋商</w:t>
      </w:r>
      <w:r>
        <w:rPr>
          <w:rFonts w:hint="eastAsia" w:ascii="宋体" w:hAnsi="宋体"/>
          <w:b/>
          <w:bCs/>
          <w:szCs w:val="21"/>
          <w:highlight w:val="none"/>
        </w:rPr>
        <w:t>事项：</w:t>
      </w:r>
    </w:p>
    <w:p w14:paraId="52CE0854">
      <w:pPr>
        <w:tabs>
          <w:tab w:val="left" w:pos="1418"/>
        </w:tabs>
        <w:autoSpaceDE w:val="0"/>
        <w:autoSpaceDN w:val="0"/>
        <w:adjustRightInd w:val="0"/>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color w:val="000000"/>
          <w:kern w:val="0"/>
          <w:szCs w:val="21"/>
          <w:highlight w:val="none"/>
        </w:rPr>
        <w:t>采购组织机构在“竞争性磋商公告”规定的时间和地点公开磋商，</w:t>
      </w:r>
      <w:r>
        <w:rPr>
          <w:rFonts w:hint="eastAsia" w:asciiTheme="minorEastAsia" w:hAnsiTheme="minorEastAsia" w:eastAsiaTheme="minorEastAsia" w:cstheme="minorEastAsia"/>
          <w:color w:val="000000"/>
          <w:szCs w:val="21"/>
          <w:highlight w:val="none"/>
        </w:rPr>
        <w:t>本项目采用政采云平台线上磋商，</w:t>
      </w:r>
      <w:r>
        <w:rPr>
          <w:rFonts w:hint="eastAsia" w:asciiTheme="minorEastAsia" w:hAnsiTheme="minorEastAsia" w:eastAsiaTheme="minorEastAsia" w:cstheme="minorEastAsia"/>
          <w:b/>
          <w:bCs/>
          <w:color w:val="000000"/>
          <w:szCs w:val="21"/>
          <w:highlight w:val="none"/>
          <w:u w:val="single"/>
        </w:rPr>
        <w:t>所有磋商供应商均应当准时在线参加。</w:t>
      </w:r>
      <w:r>
        <w:rPr>
          <w:rFonts w:hint="eastAsia" w:asciiTheme="minorEastAsia" w:hAnsiTheme="minorEastAsia" w:eastAsiaTheme="minorEastAsia" w:cstheme="minorEastAsia"/>
          <w:color w:val="000000"/>
          <w:szCs w:val="21"/>
          <w:highlight w:val="none"/>
        </w:rPr>
        <w:t>（</w:t>
      </w:r>
      <w:r>
        <w:rPr>
          <w:rFonts w:hint="eastAsia" w:asciiTheme="minorEastAsia" w:hAnsiTheme="minorEastAsia" w:eastAsiaTheme="minorEastAsia" w:cstheme="minorEastAsia"/>
          <w:szCs w:val="21"/>
          <w:highlight w:val="none"/>
        </w:rPr>
        <w:t>根据</w:t>
      </w:r>
      <w:r>
        <w:rPr>
          <w:rFonts w:hint="eastAsia" w:asciiTheme="minorEastAsia" w:hAnsiTheme="minorEastAsia" w:eastAsiaTheme="minorEastAsia" w:cstheme="minorEastAsia"/>
          <w:color w:val="000000"/>
          <w:szCs w:val="21"/>
          <w:highlight w:val="none"/>
        </w:rPr>
        <w:t>新冠肺炎疫情防控需要，</w:t>
      </w:r>
      <w:r>
        <w:rPr>
          <w:rFonts w:hint="eastAsia" w:asciiTheme="minorEastAsia" w:hAnsiTheme="minorEastAsia" w:eastAsiaTheme="minorEastAsia" w:cstheme="minorEastAsia"/>
          <w:szCs w:val="21"/>
          <w:highlight w:val="none"/>
        </w:rPr>
        <w:t>投标人的法定代表人或其授权代表无需现场参加磋商</w:t>
      </w:r>
      <w:r>
        <w:rPr>
          <w:rFonts w:hint="eastAsia" w:asciiTheme="minorEastAsia" w:hAnsiTheme="minorEastAsia" w:eastAsiaTheme="minorEastAsia" w:cstheme="minorEastAsia"/>
          <w:color w:val="000000"/>
          <w:szCs w:val="21"/>
          <w:highlight w:val="none"/>
        </w:rPr>
        <w:t>活动。）未准时参加线上磋商的供应商视同放弃磋商监督权利、认可磋商结果，事后不得对采购相关人员、项目磋商过程和评审结果提出异议。</w:t>
      </w:r>
      <w:r>
        <w:rPr>
          <w:rFonts w:hint="eastAsia" w:asciiTheme="minorEastAsia" w:hAnsiTheme="minorEastAsia" w:eastAsiaTheme="minorEastAsia" w:cstheme="minorEastAsia"/>
          <w:szCs w:val="21"/>
          <w:highlight w:val="none"/>
        </w:rPr>
        <w:t>（本次磋商采用先评审商务资格和技术服务方案，后公开并评审报价的办法实施）。</w:t>
      </w:r>
    </w:p>
    <w:p w14:paraId="5FB4C6D6">
      <w:pPr>
        <w:tabs>
          <w:tab w:val="left" w:pos="1418"/>
        </w:tabs>
        <w:autoSpaceDE w:val="0"/>
        <w:autoSpaceDN w:val="0"/>
        <w:adjustRightInd w:val="0"/>
        <w:spacing w:line="360" w:lineRule="auto"/>
        <w:ind w:firstLine="420" w:firstLineChars="200"/>
        <w:rPr>
          <w:rFonts w:ascii="宋体" w:hAnsi="宋体"/>
          <w:szCs w:val="21"/>
          <w:highlight w:val="none"/>
        </w:rPr>
      </w:pPr>
      <w:r>
        <w:rPr>
          <w:rFonts w:hint="eastAsia" w:ascii="宋体" w:hAnsi="宋体"/>
          <w:szCs w:val="21"/>
          <w:highlight w:val="none"/>
        </w:rPr>
        <w:t>磋商时，电子交易平台自动提取所有响应文件，提示采购组织机构和供应商按采购文件规定的方式和时间在线解密。</w:t>
      </w:r>
      <w:r>
        <w:rPr>
          <w:rFonts w:hint="eastAsia" w:ascii="宋体" w:hAnsi="宋体"/>
          <w:b/>
          <w:bCs/>
          <w:szCs w:val="21"/>
          <w:highlight w:val="none"/>
        </w:rPr>
        <w:t>给予供应商在线解密的时间为截止磋商后30分钟。</w:t>
      </w:r>
    </w:p>
    <w:p w14:paraId="3717156E">
      <w:pPr>
        <w:tabs>
          <w:tab w:val="left" w:pos="1418"/>
        </w:tabs>
        <w:autoSpaceDE w:val="0"/>
        <w:autoSpaceDN w:val="0"/>
        <w:adjustRightInd w:val="0"/>
        <w:spacing w:line="360" w:lineRule="auto"/>
        <w:ind w:firstLine="420" w:firstLineChars="200"/>
        <w:rPr>
          <w:highlight w:val="none"/>
        </w:rPr>
      </w:pPr>
      <w:r>
        <w:rPr>
          <w:rFonts w:hint="eastAsia" w:ascii="宋体" w:hAnsi="宋体"/>
          <w:szCs w:val="21"/>
          <w:highlight w:val="none"/>
        </w:rPr>
        <w:t>响应文件均未按时解密，供应商提供了纸质磋商响应文件的，以纸质磋商响应文件作为依据，否则视为磋商响应文件撤回。磋商响应文件已按时解密的，纸质磋商响应文件不再拆封。</w:t>
      </w:r>
    </w:p>
    <w:p w14:paraId="7B4511FD">
      <w:pPr>
        <w:numPr>
          <w:ilvl w:val="0"/>
          <w:numId w:val="8"/>
        </w:numPr>
        <w:autoSpaceDE w:val="0"/>
        <w:autoSpaceDN w:val="0"/>
        <w:adjustRightInd w:val="0"/>
        <w:spacing w:line="360" w:lineRule="auto"/>
        <w:rPr>
          <w:rFonts w:ascii="宋体" w:hAnsi="宋体"/>
          <w:b/>
          <w:szCs w:val="21"/>
          <w:highlight w:val="none"/>
        </w:rPr>
      </w:pPr>
      <w:r>
        <w:rPr>
          <w:rFonts w:hint="eastAsia" w:ascii="宋体" w:hAnsi="宋体"/>
          <w:b/>
          <w:color w:val="000000"/>
          <w:szCs w:val="21"/>
          <w:highlight w:val="none"/>
        </w:rPr>
        <w:t>磋商委员</w:t>
      </w:r>
      <w:r>
        <w:rPr>
          <w:rFonts w:hint="eastAsia" w:ascii="宋体" w:hAnsi="宋体"/>
          <w:b/>
          <w:szCs w:val="21"/>
          <w:highlight w:val="none"/>
        </w:rPr>
        <w:t>会或磋商小组</w:t>
      </w:r>
    </w:p>
    <w:p w14:paraId="59B282FA">
      <w:pPr>
        <w:autoSpaceDE w:val="0"/>
        <w:autoSpaceDN w:val="0"/>
        <w:adjustRightInd w:val="0"/>
        <w:spacing w:line="360" w:lineRule="auto"/>
        <w:ind w:firstLine="420" w:firstLineChars="200"/>
        <w:rPr>
          <w:rFonts w:ascii="宋体" w:hAnsi="宋体"/>
          <w:bCs/>
          <w:szCs w:val="21"/>
          <w:highlight w:val="none"/>
        </w:rPr>
      </w:pPr>
      <w:r>
        <w:rPr>
          <w:rFonts w:hint="eastAsia" w:ascii="宋体" w:hAnsi="宋体"/>
          <w:bCs/>
          <w:szCs w:val="21"/>
          <w:highlight w:val="none"/>
        </w:rPr>
        <w:t xml:space="preserve">磋商委员会或磋商小组（以下简称磋商委员会）成员由政府采购管理部门负责组织，对具备实质性响应的投标文件进行评估和比较。磋商委员会由招标人的代表、专家和其他有关方面的代表组成。 </w:t>
      </w:r>
    </w:p>
    <w:p w14:paraId="23B84815">
      <w:pPr>
        <w:autoSpaceDE w:val="0"/>
        <w:autoSpaceDN w:val="0"/>
        <w:adjustRightInd w:val="0"/>
        <w:spacing w:line="360" w:lineRule="auto"/>
        <w:ind w:firstLine="420" w:firstLineChars="200"/>
        <w:rPr>
          <w:rFonts w:ascii="宋体" w:hAnsi="宋体"/>
          <w:bCs/>
          <w:szCs w:val="21"/>
          <w:highlight w:val="none"/>
        </w:rPr>
      </w:pPr>
      <w:r>
        <w:rPr>
          <w:rFonts w:hint="eastAsia" w:ascii="宋体" w:hAnsi="宋体"/>
          <w:bCs/>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32A13F80">
      <w:pPr>
        <w:autoSpaceDE w:val="0"/>
        <w:autoSpaceDN w:val="0"/>
        <w:adjustRightInd w:val="0"/>
        <w:spacing w:line="360" w:lineRule="auto"/>
        <w:rPr>
          <w:rFonts w:ascii="宋体" w:hAnsi="宋体"/>
          <w:kern w:val="0"/>
          <w:szCs w:val="21"/>
          <w:highlight w:val="none"/>
        </w:rPr>
      </w:pPr>
      <w:r>
        <w:rPr>
          <w:rFonts w:hint="eastAsia" w:ascii="宋体" w:hAnsi="宋体"/>
          <w:b/>
          <w:szCs w:val="21"/>
          <w:highlight w:val="none"/>
        </w:rPr>
        <w:t>（三）磋商程序</w:t>
      </w:r>
    </w:p>
    <w:p w14:paraId="105017E9">
      <w:pPr>
        <w:spacing w:line="360" w:lineRule="auto"/>
        <w:ind w:firstLine="420" w:firstLineChars="200"/>
        <w:rPr>
          <w:rFonts w:ascii="宋体" w:hAnsi="宋体"/>
          <w:szCs w:val="21"/>
          <w:highlight w:val="none"/>
        </w:rPr>
      </w:pPr>
      <w:r>
        <w:rPr>
          <w:rFonts w:hint="eastAsia" w:ascii="宋体" w:hAnsi="宋体"/>
          <w:szCs w:val="21"/>
          <w:highlight w:val="none"/>
        </w:rPr>
        <w:t>1、本次磋商采用先评审商务资格和技术服务方案，后公开并评审报价的方式进行。</w:t>
      </w:r>
    </w:p>
    <w:p w14:paraId="5A27EE6D">
      <w:pPr>
        <w:spacing w:line="360" w:lineRule="auto"/>
        <w:ind w:firstLine="420" w:firstLineChars="200"/>
        <w:rPr>
          <w:rFonts w:ascii="宋体" w:hAnsi="宋体"/>
          <w:szCs w:val="21"/>
          <w:highlight w:val="none"/>
        </w:rPr>
      </w:pPr>
      <w:r>
        <w:rPr>
          <w:rFonts w:hint="eastAsia" w:ascii="宋体" w:hAnsi="宋体"/>
          <w:szCs w:val="21"/>
          <w:highlight w:val="none"/>
        </w:rPr>
        <w:t>2、项目到达磋商时间，在采购代理机构开启解密磋商响应文件的指令后，各供应商须在30分钟内自行在政采云平台上完成在线解密加密磋商响应文件，若有供应商发生解密异常时，可以申请由采购代理机构使用电子备份磋商响应文件上传处理。供应商的解密磋商响应文件和电子备份磋商响应文件解密均失败或逾期解密的，响应文件将作无效标处理。</w:t>
      </w:r>
    </w:p>
    <w:p w14:paraId="2DC1FCF7">
      <w:pPr>
        <w:spacing w:line="360" w:lineRule="auto"/>
        <w:ind w:firstLine="420" w:firstLineChars="200"/>
        <w:rPr>
          <w:rFonts w:ascii="宋体" w:hAnsi="宋体"/>
          <w:szCs w:val="21"/>
          <w:highlight w:val="none"/>
        </w:rPr>
      </w:pPr>
      <w:r>
        <w:rPr>
          <w:rFonts w:hint="eastAsia" w:ascii="宋体" w:hAnsi="宋体"/>
          <w:szCs w:val="21"/>
          <w:highlight w:val="none"/>
        </w:rPr>
        <w:t xml:space="preserve">3、磋商小组必须按照客观、公正、审慎的原则，根据磋商文件规定的评审程序、评审方法和评审标准进行独立评审。未实质性响应磋商文件的响应文件按无效响应处理，磋商小组应当告知提交响应文件的供应商。 </w:t>
      </w:r>
    </w:p>
    <w:p w14:paraId="13353626">
      <w:pPr>
        <w:spacing w:line="360" w:lineRule="auto"/>
        <w:ind w:firstLine="420" w:firstLineChars="200"/>
        <w:rPr>
          <w:rFonts w:ascii="宋体" w:hAnsi="宋体"/>
          <w:szCs w:val="21"/>
          <w:highlight w:val="none"/>
        </w:rPr>
      </w:pPr>
      <w:r>
        <w:rPr>
          <w:rFonts w:hint="eastAsia" w:ascii="宋体" w:hAnsi="宋体"/>
          <w:szCs w:val="21"/>
          <w:highlight w:val="none"/>
        </w:rPr>
        <w:t xml:space="preserve"> 3.1.对响应文件的初审</w:t>
      </w:r>
    </w:p>
    <w:p w14:paraId="2D741D5A">
      <w:pPr>
        <w:spacing w:line="360" w:lineRule="auto"/>
        <w:ind w:firstLine="420" w:firstLineChars="200"/>
        <w:rPr>
          <w:rFonts w:ascii="宋体" w:hAnsi="宋体"/>
          <w:szCs w:val="21"/>
          <w:highlight w:val="none"/>
        </w:rPr>
      </w:pPr>
      <w:r>
        <w:rPr>
          <w:rFonts w:hint="eastAsia" w:ascii="宋体" w:hAnsi="宋体"/>
          <w:szCs w:val="21"/>
          <w:highlight w:val="none"/>
        </w:rPr>
        <w:t xml:space="preserve">    （1）符合性检查：详细评标之前，磋商小组依据磋商文件的规定，对响应文件的完整性、有效性及响应程度进行审查，以确定响应文件是否有效。磋商小组决定响应文件的有效性只根据响应文件本身的内容，而不寻求外部证据。</w:t>
      </w:r>
    </w:p>
    <w:p w14:paraId="085B205D">
      <w:pPr>
        <w:spacing w:line="360" w:lineRule="auto"/>
        <w:ind w:firstLine="420" w:firstLineChars="200"/>
        <w:rPr>
          <w:rFonts w:ascii="宋体" w:hAnsi="宋体"/>
          <w:szCs w:val="21"/>
          <w:highlight w:val="none"/>
        </w:rPr>
      </w:pPr>
      <w:r>
        <w:rPr>
          <w:rFonts w:hint="eastAsia" w:ascii="宋体" w:hAnsi="宋体"/>
          <w:szCs w:val="21"/>
          <w:highlight w:val="none"/>
        </w:rPr>
        <w:t xml:space="preserve">   （2）资格性检查：依据法律法规和磋商文件的规定，对响应文件中的资格条件进行审查，以确定磋商供应商是否具备投标资格。</w:t>
      </w:r>
    </w:p>
    <w:p w14:paraId="50A8689E">
      <w:pPr>
        <w:spacing w:line="360" w:lineRule="auto"/>
        <w:ind w:firstLine="420" w:firstLineChars="200"/>
        <w:rPr>
          <w:rFonts w:ascii="宋体" w:hAnsi="宋体"/>
          <w:szCs w:val="21"/>
          <w:highlight w:val="none"/>
        </w:rPr>
      </w:pPr>
      <w:r>
        <w:rPr>
          <w:rFonts w:hint="eastAsia" w:ascii="宋体" w:hAnsi="宋体"/>
          <w:szCs w:val="21"/>
          <w:highlight w:val="none"/>
        </w:rPr>
        <w:t>4、初审合格的供应商进入下一步的磋商活动。</w:t>
      </w:r>
    </w:p>
    <w:p w14:paraId="30BF7C9C">
      <w:pPr>
        <w:spacing w:line="360" w:lineRule="auto"/>
        <w:ind w:firstLine="420" w:firstLineChars="200"/>
        <w:rPr>
          <w:rFonts w:ascii="宋体" w:hAnsi="宋体" w:cs="宋体"/>
          <w:szCs w:val="21"/>
          <w:highlight w:val="none"/>
        </w:rPr>
      </w:pPr>
      <w:r>
        <w:rPr>
          <w:rFonts w:hint="eastAsia" w:ascii="宋体" w:hAnsi="宋体" w:cs="宋体"/>
          <w:szCs w:val="21"/>
          <w:highlight w:val="none"/>
        </w:rPr>
        <w:t>5、初审合格的供应商进入下一步的磋商活动。</w:t>
      </w:r>
    </w:p>
    <w:p w14:paraId="675B1F54">
      <w:pPr>
        <w:spacing w:line="360" w:lineRule="auto"/>
        <w:ind w:firstLine="420" w:firstLineChars="200"/>
        <w:rPr>
          <w:rFonts w:ascii="宋体" w:hAnsi="宋体" w:cs="宋体"/>
          <w:szCs w:val="21"/>
          <w:highlight w:val="none"/>
        </w:rPr>
      </w:pPr>
      <w:r>
        <w:rPr>
          <w:rFonts w:hint="eastAsia" w:ascii="宋体" w:hAnsi="宋体" w:cs="宋体"/>
          <w:szCs w:val="21"/>
          <w:highlight w:val="none"/>
        </w:rPr>
        <w:t>6、磋商小组所有成员集中与单一供应商分别进行磋商，并给予所有参加磋商的供应商平等的磋商机会。</w:t>
      </w:r>
    </w:p>
    <w:p w14:paraId="5BF6E40A">
      <w:pPr>
        <w:spacing w:line="360" w:lineRule="auto"/>
        <w:ind w:firstLine="420" w:firstLineChars="200"/>
        <w:rPr>
          <w:rFonts w:ascii="宋体" w:hAnsi="宋体" w:cs="宋体"/>
          <w:szCs w:val="21"/>
          <w:highlight w:val="none"/>
        </w:rPr>
      </w:pPr>
      <w:r>
        <w:rPr>
          <w:rFonts w:hint="eastAsia" w:ascii="宋体" w:hAnsi="宋体" w:cs="宋体"/>
          <w:szCs w:val="21"/>
          <w:highlight w:val="none"/>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62753F6B">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8、磋商文件能够详细列明采购标的的技术、服务要求的，磋商结束后，磋商小组将要求所有实质性响应的供应商在规定时间内提交最后报价，最终报价不得高于首次报价。最后报价是供应商响应文件的有效组成部分。 </w:t>
      </w:r>
    </w:p>
    <w:p w14:paraId="5A047935">
      <w:pPr>
        <w:spacing w:line="360" w:lineRule="auto"/>
        <w:ind w:firstLine="420" w:firstLineChars="200"/>
        <w:rPr>
          <w:rFonts w:ascii="宋体" w:hAnsi="宋体" w:cs="宋体"/>
          <w:szCs w:val="21"/>
          <w:highlight w:val="none"/>
        </w:rPr>
      </w:pPr>
      <w:r>
        <w:rPr>
          <w:rFonts w:hint="eastAsia" w:ascii="宋体" w:hAnsi="宋体" w:cs="宋体"/>
          <w:szCs w:val="21"/>
          <w:highlight w:val="none"/>
        </w:rPr>
        <w:t>9、经磋商确定最终采购需求和提交最后报价的供应商后，由磋商小组采用综合评分法对提交最后报价的供应商的响应文件和最后报价进行综合评分。</w:t>
      </w:r>
    </w:p>
    <w:p w14:paraId="4ED3F178">
      <w:pPr>
        <w:pStyle w:val="11"/>
        <w:snapToGrid w:val="0"/>
        <w:spacing w:line="360" w:lineRule="auto"/>
        <w:ind w:firstLine="420" w:firstLineChars="200"/>
        <w:rPr>
          <w:rFonts w:hAnsi="宋体" w:cs="宋体"/>
          <w:szCs w:val="21"/>
          <w:highlight w:val="none"/>
        </w:rPr>
      </w:pPr>
      <w:r>
        <w:rPr>
          <w:rFonts w:hint="eastAsia" w:hAnsi="宋体" w:cs="宋体"/>
          <w:szCs w:val="21"/>
          <w:highlight w:val="none"/>
        </w:rPr>
        <w:t>10、磋商小组</w:t>
      </w:r>
      <w:r>
        <w:rPr>
          <w:rFonts w:hAnsi="宋体" w:cs="宋体"/>
          <w:szCs w:val="21"/>
          <w:highlight w:val="none"/>
        </w:rPr>
        <w:t>根据综合评分情况，按照评审得分由高到低顺序</w:t>
      </w:r>
      <w:r>
        <w:rPr>
          <w:rFonts w:hint="eastAsia" w:hAnsi="宋体" w:cs="宋体"/>
          <w:szCs w:val="21"/>
          <w:highlight w:val="none"/>
        </w:rPr>
        <w:t>确定预成交供应商，编写评审报告。</w:t>
      </w:r>
    </w:p>
    <w:p w14:paraId="71C8B958">
      <w:pPr>
        <w:pStyle w:val="11"/>
        <w:snapToGrid w:val="0"/>
        <w:spacing w:line="360" w:lineRule="auto"/>
        <w:ind w:firstLine="420" w:firstLineChars="200"/>
        <w:rPr>
          <w:rFonts w:hAnsi="宋体" w:cs="宋体"/>
          <w:szCs w:val="21"/>
          <w:highlight w:val="none"/>
        </w:rPr>
      </w:pPr>
      <w:r>
        <w:rPr>
          <w:rFonts w:hint="eastAsia" w:hAnsi="宋体" w:cs="宋体"/>
          <w:szCs w:val="21"/>
          <w:highlight w:val="none"/>
        </w:rPr>
        <w:t>11、采购组织机构对磋商小组专家成员进行评价；</w:t>
      </w:r>
    </w:p>
    <w:p w14:paraId="598616F0">
      <w:pPr>
        <w:pStyle w:val="11"/>
        <w:snapToGrid w:val="0"/>
        <w:spacing w:line="360" w:lineRule="auto"/>
        <w:ind w:left="689" w:leftChars="228" w:hanging="210" w:hangingChars="100"/>
        <w:rPr>
          <w:rFonts w:hAnsi="宋体"/>
          <w:szCs w:val="21"/>
          <w:highlight w:val="none"/>
        </w:rPr>
      </w:pPr>
      <w:r>
        <w:rPr>
          <w:rFonts w:hint="eastAsia" w:hAnsi="宋体"/>
          <w:szCs w:val="21"/>
          <w:highlight w:val="none"/>
        </w:rPr>
        <w:t>12、</w:t>
      </w:r>
      <w:r>
        <w:rPr>
          <w:rFonts w:hint="eastAsia" w:hAnsi="宋体" w:cs="宋体"/>
          <w:szCs w:val="21"/>
          <w:highlight w:val="none"/>
        </w:rPr>
        <w:t>公布磋商结果（含技术得分、最后报价、报价得分、总得分及成交候选人排序名单），磋商采购会议结束。</w:t>
      </w:r>
    </w:p>
    <w:p w14:paraId="32B1CD8D">
      <w:pPr>
        <w:pStyle w:val="11"/>
        <w:snapToGrid w:val="0"/>
        <w:spacing w:line="360" w:lineRule="auto"/>
        <w:rPr>
          <w:rFonts w:hAnsi="宋体"/>
          <w:szCs w:val="21"/>
          <w:highlight w:val="none"/>
        </w:rPr>
      </w:pPr>
      <w:r>
        <w:rPr>
          <w:rFonts w:hint="eastAsia" w:hAnsi="宋体"/>
          <w:b/>
          <w:color w:val="000000"/>
          <w:szCs w:val="21"/>
          <w:highlight w:val="none"/>
        </w:rPr>
        <w:t>（四）澄清问题的形式</w:t>
      </w:r>
    </w:p>
    <w:p w14:paraId="0397BCD6">
      <w:pPr>
        <w:snapToGrid w:val="0"/>
        <w:spacing w:line="360" w:lineRule="auto"/>
        <w:ind w:firstLine="420" w:firstLineChars="200"/>
        <w:rPr>
          <w:rFonts w:ascii="宋体" w:hAnsi="宋体"/>
          <w:color w:val="000000"/>
          <w:szCs w:val="21"/>
          <w:highlight w:val="none"/>
        </w:rPr>
      </w:pPr>
      <w:r>
        <w:rPr>
          <w:rFonts w:hint="eastAsia" w:ascii="宋体" w:hAnsi="宋体"/>
          <w:color w:val="000000"/>
          <w:szCs w:val="21"/>
          <w:highlight w:val="none"/>
        </w:rPr>
        <w:t>评审过程中若需要供应商对磋商响应文件作出澄清、说明或者补正的，磋商小组可要求供应商在合理期限内通过线上询标澄清方式作出，并不得超出磋商响应文件的范围或者改变磋商响应文件的实质性内容。磋商小组给予供应商提交澄清、说明或补正的时间为30分钟或明确在线询标澄清的截止时间，供应商已经明确表示澄清、说明或补正完毕的除外。请磋商供应商在磋商期间保持电话畅通，如未及时接听电话或超出澄清、说明或补正时间的，视为放弃澄清、说明或补正的权利。</w:t>
      </w:r>
    </w:p>
    <w:p w14:paraId="13C125E9">
      <w:pPr>
        <w:snapToGrid w:val="0"/>
        <w:spacing w:line="360" w:lineRule="auto"/>
        <w:rPr>
          <w:rFonts w:ascii="宋体" w:hAnsi="宋体"/>
          <w:color w:val="000000"/>
          <w:szCs w:val="21"/>
          <w:highlight w:val="none"/>
        </w:rPr>
      </w:pPr>
      <w:r>
        <w:rPr>
          <w:rFonts w:hint="eastAsia" w:hAnsi="宋体"/>
          <w:b/>
          <w:color w:val="000000"/>
          <w:szCs w:val="21"/>
          <w:highlight w:val="none"/>
        </w:rPr>
        <w:t>（五）错误修正</w:t>
      </w:r>
    </w:p>
    <w:p w14:paraId="6BE66792">
      <w:pPr>
        <w:pStyle w:val="26"/>
        <w:spacing w:before="0" w:beforeAutospacing="0" w:after="0" w:afterAutospacing="0" w:line="360" w:lineRule="auto"/>
        <w:ind w:firstLine="420" w:firstLineChars="200"/>
        <w:jc w:val="both"/>
        <w:rPr>
          <w:color w:val="000000"/>
          <w:sz w:val="21"/>
          <w:szCs w:val="21"/>
          <w:highlight w:val="none"/>
        </w:rPr>
      </w:pPr>
      <w:r>
        <w:rPr>
          <w:color w:val="000000"/>
          <w:sz w:val="21"/>
          <w:szCs w:val="21"/>
          <w:highlight w:val="none"/>
        </w:rPr>
        <w:t>磋商响应文件报价出现前后不一致的，除</w:t>
      </w:r>
      <w:r>
        <w:rPr>
          <w:rFonts w:hint="eastAsia"/>
          <w:bCs/>
          <w:sz w:val="21"/>
          <w:szCs w:val="21"/>
          <w:highlight w:val="none"/>
        </w:rPr>
        <w:t>招标</w:t>
      </w:r>
      <w:r>
        <w:rPr>
          <w:bCs/>
          <w:sz w:val="21"/>
          <w:szCs w:val="21"/>
          <w:highlight w:val="none"/>
        </w:rPr>
        <w:t>文件</w:t>
      </w:r>
      <w:r>
        <w:rPr>
          <w:color w:val="000000"/>
          <w:sz w:val="21"/>
          <w:szCs w:val="21"/>
          <w:highlight w:val="none"/>
        </w:rPr>
        <w:t>另有规定外，按照下列规定修正：</w:t>
      </w:r>
    </w:p>
    <w:p w14:paraId="026F3E9E">
      <w:pPr>
        <w:pStyle w:val="26"/>
        <w:spacing w:before="0" w:beforeAutospacing="0" w:after="0" w:afterAutospacing="0" w:line="360" w:lineRule="auto"/>
        <w:jc w:val="both"/>
        <w:rPr>
          <w:color w:val="000000"/>
          <w:sz w:val="21"/>
          <w:szCs w:val="21"/>
          <w:highlight w:val="none"/>
        </w:rPr>
      </w:pPr>
      <w:r>
        <w:rPr>
          <w:color w:val="000000"/>
          <w:sz w:val="21"/>
          <w:szCs w:val="21"/>
          <w:highlight w:val="none"/>
        </w:rPr>
        <w:t>　　1、磋商响应文件中首次报价一览表内容与磋商响应文件中相应内容不一致的，以首次报价一览表为准；</w:t>
      </w:r>
    </w:p>
    <w:p w14:paraId="032E4FBA">
      <w:pPr>
        <w:pStyle w:val="26"/>
        <w:spacing w:before="0" w:beforeAutospacing="0" w:after="0" w:afterAutospacing="0" w:line="360" w:lineRule="auto"/>
        <w:jc w:val="both"/>
        <w:rPr>
          <w:color w:val="000000"/>
          <w:sz w:val="21"/>
          <w:szCs w:val="21"/>
          <w:highlight w:val="none"/>
        </w:rPr>
      </w:pPr>
      <w:r>
        <w:rPr>
          <w:color w:val="000000"/>
          <w:sz w:val="21"/>
          <w:szCs w:val="21"/>
          <w:highlight w:val="none"/>
        </w:rPr>
        <w:t>　　2、大写金额和小写金额不一致的，以大写金额为准；</w:t>
      </w:r>
    </w:p>
    <w:p w14:paraId="11F96114">
      <w:pPr>
        <w:pStyle w:val="26"/>
        <w:spacing w:before="0" w:beforeAutospacing="0" w:after="0" w:afterAutospacing="0" w:line="360" w:lineRule="auto"/>
        <w:jc w:val="both"/>
        <w:rPr>
          <w:color w:val="000000"/>
          <w:sz w:val="21"/>
          <w:szCs w:val="21"/>
          <w:highlight w:val="none"/>
        </w:rPr>
      </w:pPr>
      <w:r>
        <w:rPr>
          <w:color w:val="000000"/>
          <w:sz w:val="21"/>
          <w:szCs w:val="21"/>
          <w:highlight w:val="none"/>
        </w:rPr>
        <w:t>　　3、单价金额小数点或者百分比有明显错位的，以首次报价一览表的总价为准，并修改单价；</w:t>
      </w:r>
    </w:p>
    <w:p w14:paraId="0619B23B">
      <w:pPr>
        <w:pStyle w:val="26"/>
        <w:spacing w:before="0" w:beforeAutospacing="0" w:after="0" w:afterAutospacing="0" w:line="360" w:lineRule="auto"/>
        <w:jc w:val="both"/>
        <w:rPr>
          <w:color w:val="000000"/>
          <w:sz w:val="21"/>
          <w:szCs w:val="21"/>
          <w:highlight w:val="none"/>
        </w:rPr>
      </w:pPr>
      <w:r>
        <w:rPr>
          <w:color w:val="000000"/>
          <w:sz w:val="21"/>
          <w:szCs w:val="21"/>
          <w:highlight w:val="none"/>
        </w:rPr>
        <w:t>　　4、总价金额与按单价汇总金额不一致的，以单价金额计算结果为准。</w:t>
      </w:r>
    </w:p>
    <w:p w14:paraId="7FC7C4B6">
      <w:pPr>
        <w:pStyle w:val="26"/>
        <w:spacing w:before="0" w:beforeAutospacing="0" w:after="0" w:afterAutospacing="0" w:line="360" w:lineRule="auto"/>
        <w:ind w:firstLine="480"/>
        <w:jc w:val="both"/>
        <w:rPr>
          <w:color w:val="000000"/>
          <w:sz w:val="21"/>
          <w:szCs w:val="21"/>
          <w:highlight w:val="none"/>
        </w:rPr>
      </w:pPr>
      <w:r>
        <w:rPr>
          <w:color w:val="000000"/>
          <w:sz w:val="21"/>
          <w:szCs w:val="21"/>
          <w:highlight w:val="none"/>
        </w:rPr>
        <w:t>同时出现两种以上不一致的，按照前款规定的顺序修正。修正应当采用书面形式，并加盖公章，或者由法定代表人或其授权的代表签字。修正后的报价经磋商供应商确认后产生约束力，磋商供应商不确认的，将终止磋商。</w:t>
      </w:r>
    </w:p>
    <w:p w14:paraId="74387267">
      <w:pPr>
        <w:pStyle w:val="26"/>
        <w:spacing w:before="0" w:beforeAutospacing="0" w:after="0" w:afterAutospacing="0" w:line="360" w:lineRule="auto"/>
        <w:rPr>
          <w:sz w:val="21"/>
          <w:szCs w:val="21"/>
          <w:highlight w:val="none"/>
        </w:rPr>
      </w:pPr>
      <w:r>
        <w:rPr>
          <w:b/>
          <w:bCs/>
          <w:color w:val="000000"/>
          <w:sz w:val="21"/>
          <w:szCs w:val="21"/>
          <w:highlight w:val="none"/>
        </w:rPr>
        <w:t>（</w:t>
      </w:r>
      <w:r>
        <w:rPr>
          <w:rFonts w:hint="eastAsia"/>
          <w:b/>
          <w:bCs/>
          <w:color w:val="000000"/>
          <w:sz w:val="21"/>
          <w:szCs w:val="21"/>
          <w:highlight w:val="none"/>
        </w:rPr>
        <w:t>六</w:t>
      </w:r>
      <w:r>
        <w:rPr>
          <w:b/>
          <w:bCs/>
          <w:color w:val="000000"/>
          <w:sz w:val="21"/>
          <w:szCs w:val="21"/>
          <w:highlight w:val="none"/>
        </w:rPr>
        <w:t>）</w:t>
      </w:r>
      <w:r>
        <w:rPr>
          <w:b/>
          <w:color w:val="000000"/>
          <w:sz w:val="21"/>
          <w:szCs w:val="21"/>
          <w:highlight w:val="none"/>
        </w:rPr>
        <w:t>磋商供应商存在下列情况之一的，响应无效，终止磋商</w:t>
      </w:r>
    </w:p>
    <w:p w14:paraId="5E7026A3">
      <w:pPr>
        <w:adjustRightInd w:val="0"/>
        <w:snapToGrid w:val="0"/>
        <w:spacing w:line="360" w:lineRule="auto"/>
        <w:ind w:firstLine="420" w:firstLineChars="200"/>
        <w:jc w:val="left"/>
        <w:rPr>
          <w:rFonts w:ascii="宋体" w:hAnsi="宋体"/>
          <w:b/>
          <w:bCs/>
          <w:szCs w:val="21"/>
          <w:highlight w:val="none"/>
        </w:rPr>
      </w:pPr>
      <w:r>
        <w:rPr>
          <w:rFonts w:hint="eastAsia" w:ascii="宋体" w:hAnsi="宋体"/>
          <w:kern w:val="0"/>
          <w:szCs w:val="21"/>
          <w:highlight w:val="none"/>
        </w:rPr>
        <w:t>1、磋商响应文件中的报价货物跟商务与技术内容中的</w:t>
      </w:r>
      <w:r>
        <w:rPr>
          <w:rFonts w:hint="eastAsia" w:ascii="宋体" w:hAnsi="宋体"/>
          <w:color w:val="000000"/>
          <w:kern w:val="0"/>
          <w:szCs w:val="21"/>
          <w:highlight w:val="none"/>
        </w:rPr>
        <w:t>供应货物</w:t>
      </w:r>
      <w:r>
        <w:rPr>
          <w:rFonts w:hint="eastAsia" w:ascii="宋体" w:hAnsi="宋体"/>
          <w:kern w:val="0"/>
          <w:szCs w:val="21"/>
          <w:highlight w:val="none"/>
        </w:rPr>
        <w:t>出现重大偏差的；</w:t>
      </w:r>
    </w:p>
    <w:p w14:paraId="5F8C8DA8">
      <w:pPr>
        <w:pStyle w:val="26"/>
        <w:tabs>
          <w:tab w:val="left" w:pos="7380"/>
        </w:tabs>
        <w:adjustRightInd w:val="0"/>
        <w:snapToGrid w:val="0"/>
        <w:spacing w:before="0" w:beforeAutospacing="0" w:after="0" w:afterAutospacing="0" w:line="360" w:lineRule="auto"/>
        <w:ind w:firstLine="420" w:firstLineChars="200"/>
        <w:rPr>
          <w:sz w:val="21"/>
          <w:szCs w:val="21"/>
          <w:highlight w:val="none"/>
        </w:rPr>
      </w:pPr>
      <w:r>
        <w:rPr>
          <w:rFonts w:hint="eastAsia"/>
          <w:sz w:val="21"/>
          <w:szCs w:val="21"/>
          <w:highlight w:val="none"/>
        </w:rPr>
        <w:t>2</w:t>
      </w:r>
      <w:r>
        <w:rPr>
          <w:sz w:val="21"/>
          <w:szCs w:val="21"/>
          <w:highlight w:val="none"/>
        </w:rPr>
        <w:t>、不具备</w:t>
      </w:r>
      <w:r>
        <w:rPr>
          <w:rFonts w:hint="eastAsia"/>
          <w:sz w:val="21"/>
          <w:szCs w:val="21"/>
          <w:highlight w:val="none"/>
        </w:rPr>
        <w:t>招标</w:t>
      </w:r>
      <w:r>
        <w:rPr>
          <w:sz w:val="21"/>
          <w:szCs w:val="21"/>
          <w:highlight w:val="none"/>
        </w:rPr>
        <w:t>文件中规定的资格要求的。</w:t>
      </w:r>
    </w:p>
    <w:p w14:paraId="5D1622BA">
      <w:pPr>
        <w:pStyle w:val="26"/>
        <w:adjustRightInd w:val="0"/>
        <w:snapToGrid w:val="0"/>
        <w:spacing w:before="0" w:beforeAutospacing="0" w:after="0" w:afterAutospacing="0" w:line="360" w:lineRule="auto"/>
        <w:ind w:firstLine="420" w:firstLineChars="200"/>
        <w:rPr>
          <w:sz w:val="21"/>
          <w:szCs w:val="21"/>
          <w:highlight w:val="none"/>
        </w:rPr>
      </w:pPr>
      <w:r>
        <w:rPr>
          <w:rFonts w:hint="eastAsia"/>
          <w:sz w:val="21"/>
          <w:szCs w:val="21"/>
          <w:highlight w:val="none"/>
        </w:rPr>
        <w:t>3</w:t>
      </w:r>
      <w:r>
        <w:rPr>
          <w:sz w:val="21"/>
          <w:szCs w:val="21"/>
          <w:highlight w:val="none"/>
        </w:rPr>
        <w:t>、磋商响应文件含有采购人不能接受的附加条件的。</w:t>
      </w:r>
    </w:p>
    <w:p w14:paraId="3D96A63B">
      <w:pPr>
        <w:adjustRightInd w:val="0"/>
        <w:snapToGrid w:val="0"/>
        <w:spacing w:line="360" w:lineRule="auto"/>
        <w:ind w:firstLine="420" w:firstLineChars="200"/>
        <w:jc w:val="left"/>
        <w:rPr>
          <w:rFonts w:ascii="宋体" w:hAnsi="宋体"/>
          <w:bCs/>
          <w:kern w:val="0"/>
          <w:szCs w:val="21"/>
          <w:highlight w:val="none"/>
        </w:rPr>
      </w:pPr>
      <w:r>
        <w:rPr>
          <w:rFonts w:hint="eastAsia" w:ascii="宋体" w:hAnsi="宋体"/>
          <w:szCs w:val="21"/>
          <w:highlight w:val="none"/>
        </w:rPr>
        <w:t>4、供应商代表人未能出具身份证明或与法定代表人授权委托人身份不符的（受疫情期间影响供应商代表人无需现场参加磋商会议）；</w:t>
      </w:r>
    </w:p>
    <w:p w14:paraId="33401096">
      <w:pPr>
        <w:pStyle w:val="26"/>
        <w:adjustRightInd w:val="0"/>
        <w:snapToGrid w:val="0"/>
        <w:spacing w:before="0" w:beforeAutospacing="0" w:after="0" w:afterAutospacing="0" w:line="360" w:lineRule="auto"/>
        <w:ind w:firstLine="420" w:firstLineChars="200"/>
        <w:rPr>
          <w:sz w:val="21"/>
          <w:szCs w:val="21"/>
          <w:highlight w:val="none"/>
        </w:rPr>
      </w:pPr>
      <w:r>
        <w:rPr>
          <w:rFonts w:hint="eastAsia"/>
          <w:sz w:val="21"/>
          <w:szCs w:val="21"/>
          <w:highlight w:val="none"/>
        </w:rPr>
        <w:t>5</w:t>
      </w:r>
      <w:r>
        <w:rPr>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2DC7DA63">
      <w:pPr>
        <w:pStyle w:val="26"/>
        <w:adjustRightInd w:val="0"/>
        <w:snapToGrid w:val="0"/>
        <w:spacing w:before="0" w:beforeAutospacing="0" w:after="0" w:afterAutospacing="0" w:line="360" w:lineRule="auto"/>
        <w:ind w:firstLine="420" w:firstLineChars="200"/>
        <w:rPr>
          <w:sz w:val="21"/>
          <w:szCs w:val="21"/>
          <w:highlight w:val="none"/>
        </w:rPr>
      </w:pPr>
      <w:r>
        <w:rPr>
          <w:rFonts w:hint="eastAsia"/>
          <w:sz w:val="21"/>
          <w:szCs w:val="21"/>
          <w:highlight w:val="none"/>
        </w:rPr>
        <w:t>6</w:t>
      </w:r>
      <w:r>
        <w:rPr>
          <w:sz w:val="21"/>
          <w:szCs w:val="21"/>
          <w:highlight w:val="none"/>
        </w:rPr>
        <w:t>、报价超过</w:t>
      </w:r>
      <w:r>
        <w:rPr>
          <w:rFonts w:hint="eastAsia"/>
          <w:sz w:val="21"/>
          <w:szCs w:val="21"/>
          <w:highlight w:val="none"/>
        </w:rPr>
        <w:t>招标</w:t>
      </w:r>
      <w:r>
        <w:rPr>
          <w:sz w:val="21"/>
          <w:szCs w:val="21"/>
          <w:highlight w:val="none"/>
        </w:rPr>
        <w:t>文件中规定的预算金额/最高限价。</w:t>
      </w:r>
    </w:p>
    <w:p w14:paraId="09F97839">
      <w:pPr>
        <w:pStyle w:val="26"/>
        <w:adjustRightInd w:val="0"/>
        <w:snapToGrid w:val="0"/>
        <w:spacing w:before="0" w:beforeAutospacing="0" w:after="0" w:afterAutospacing="0" w:line="360" w:lineRule="auto"/>
        <w:ind w:firstLine="420" w:firstLineChars="200"/>
        <w:rPr>
          <w:sz w:val="21"/>
          <w:szCs w:val="21"/>
          <w:highlight w:val="none"/>
        </w:rPr>
      </w:pPr>
      <w:r>
        <w:rPr>
          <w:rFonts w:hint="eastAsia"/>
          <w:sz w:val="21"/>
          <w:szCs w:val="21"/>
          <w:highlight w:val="none"/>
        </w:rPr>
        <w:t>7</w:t>
      </w:r>
      <w:r>
        <w:rPr>
          <w:sz w:val="21"/>
          <w:szCs w:val="21"/>
          <w:highlight w:val="none"/>
        </w:rPr>
        <w:t>、主要性能参数指标负偏离项（含）</w:t>
      </w:r>
      <w:r>
        <w:rPr>
          <w:rFonts w:hint="eastAsia"/>
          <w:bCs/>
          <w:sz w:val="21"/>
          <w:szCs w:val="21"/>
          <w:highlight w:val="none"/>
          <w:u w:val="single"/>
        </w:rPr>
        <w:t>/</w:t>
      </w:r>
      <w:r>
        <w:rPr>
          <w:sz w:val="21"/>
          <w:szCs w:val="21"/>
          <w:highlight w:val="none"/>
        </w:rPr>
        <w:t xml:space="preserve"> 以上的。</w:t>
      </w:r>
    </w:p>
    <w:p w14:paraId="499AB35A">
      <w:pPr>
        <w:tabs>
          <w:tab w:val="left" w:pos="1898"/>
        </w:tabs>
        <w:autoSpaceDE w:val="0"/>
        <w:autoSpaceDN w:val="0"/>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8、磋商参数未如实填写，完全复制粘贴招标参数的。</w:t>
      </w:r>
    </w:p>
    <w:p w14:paraId="08DE021A">
      <w:pPr>
        <w:tabs>
          <w:tab w:val="left" w:pos="1898"/>
        </w:tabs>
        <w:autoSpaceDE w:val="0"/>
        <w:autoSpaceDN w:val="0"/>
        <w:adjustRightInd w:val="0"/>
        <w:snapToGri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9、磋商响应文件提供虚假材料的。</w:t>
      </w:r>
    </w:p>
    <w:p w14:paraId="5636A629">
      <w:pPr>
        <w:tabs>
          <w:tab w:val="left" w:pos="1898"/>
        </w:tabs>
        <w:autoSpaceDE w:val="0"/>
        <w:autoSpaceDN w:val="0"/>
        <w:adjustRightInd w:val="0"/>
        <w:snapToGrid w:val="0"/>
        <w:spacing w:line="360" w:lineRule="auto"/>
        <w:ind w:firstLine="420" w:firstLineChars="200"/>
        <w:jc w:val="left"/>
        <w:rPr>
          <w:rFonts w:ascii="宋体" w:hAnsi="宋体"/>
          <w:szCs w:val="21"/>
          <w:highlight w:val="none"/>
        </w:rPr>
      </w:pPr>
      <w:r>
        <w:rPr>
          <w:rFonts w:hint="eastAsia" w:ascii="宋体" w:hAnsi="宋体"/>
          <w:kern w:val="0"/>
          <w:szCs w:val="21"/>
          <w:highlight w:val="none"/>
        </w:rPr>
        <w:t>10</w:t>
      </w:r>
      <w:r>
        <w:rPr>
          <w:rFonts w:ascii="宋体" w:hAnsi="宋体"/>
          <w:kern w:val="0"/>
          <w:szCs w:val="21"/>
          <w:highlight w:val="none"/>
        </w:rPr>
        <w:t>、</w:t>
      </w:r>
      <w:r>
        <w:rPr>
          <w:rFonts w:ascii="宋体" w:hAnsi="宋体"/>
          <w:szCs w:val="21"/>
          <w:highlight w:val="none"/>
        </w:rPr>
        <w:t>不同</w:t>
      </w:r>
      <w:r>
        <w:rPr>
          <w:rFonts w:hint="eastAsia" w:ascii="宋体" w:hAnsi="宋体"/>
          <w:szCs w:val="21"/>
          <w:highlight w:val="none"/>
        </w:rPr>
        <w:t>供应商</w:t>
      </w:r>
      <w:r>
        <w:rPr>
          <w:rFonts w:ascii="宋体" w:hAnsi="宋体"/>
          <w:szCs w:val="21"/>
          <w:highlight w:val="none"/>
        </w:rPr>
        <w:t>的</w:t>
      </w:r>
      <w:r>
        <w:rPr>
          <w:rFonts w:hint="eastAsia" w:ascii="宋体" w:hAnsi="宋体"/>
          <w:szCs w:val="21"/>
          <w:highlight w:val="none"/>
        </w:rPr>
        <w:t>磋商响应</w:t>
      </w:r>
      <w:r>
        <w:rPr>
          <w:rFonts w:ascii="宋体" w:hAnsi="宋体"/>
          <w:szCs w:val="21"/>
          <w:highlight w:val="none"/>
        </w:rPr>
        <w:t>文件由同一单位或者个人编制；</w:t>
      </w:r>
    </w:p>
    <w:p w14:paraId="2E535398">
      <w:pPr>
        <w:pStyle w:val="26"/>
        <w:spacing w:before="0" w:beforeAutospacing="0" w:after="0" w:afterAutospacing="0" w:line="360" w:lineRule="auto"/>
        <w:ind w:firstLine="420" w:firstLineChars="200"/>
        <w:rPr>
          <w:sz w:val="21"/>
          <w:szCs w:val="21"/>
          <w:highlight w:val="none"/>
        </w:rPr>
      </w:pPr>
      <w:r>
        <w:rPr>
          <w:sz w:val="21"/>
          <w:szCs w:val="21"/>
          <w:highlight w:val="none"/>
        </w:rPr>
        <w:t>1</w:t>
      </w:r>
      <w:r>
        <w:rPr>
          <w:rFonts w:hint="eastAsia"/>
          <w:sz w:val="21"/>
          <w:szCs w:val="21"/>
          <w:highlight w:val="none"/>
        </w:rPr>
        <w:t>1</w:t>
      </w:r>
      <w:r>
        <w:rPr>
          <w:sz w:val="21"/>
          <w:szCs w:val="21"/>
          <w:highlight w:val="none"/>
        </w:rPr>
        <w:t>、不同供应商委托同一单位或者个人办理磋商事宜；</w:t>
      </w:r>
    </w:p>
    <w:p w14:paraId="045167E0">
      <w:pPr>
        <w:pStyle w:val="26"/>
        <w:spacing w:before="0" w:beforeAutospacing="0" w:after="0" w:afterAutospacing="0" w:line="360" w:lineRule="auto"/>
        <w:ind w:firstLine="420" w:firstLineChars="200"/>
        <w:rPr>
          <w:sz w:val="21"/>
          <w:szCs w:val="21"/>
          <w:highlight w:val="none"/>
        </w:rPr>
      </w:pPr>
      <w:r>
        <w:rPr>
          <w:sz w:val="21"/>
          <w:szCs w:val="21"/>
          <w:highlight w:val="none"/>
        </w:rPr>
        <w:t>1</w:t>
      </w:r>
      <w:r>
        <w:rPr>
          <w:rFonts w:hint="eastAsia"/>
          <w:sz w:val="21"/>
          <w:szCs w:val="21"/>
          <w:highlight w:val="none"/>
        </w:rPr>
        <w:t>2</w:t>
      </w:r>
      <w:r>
        <w:rPr>
          <w:sz w:val="21"/>
          <w:szCs w:val="21"/>
          <w:highlight w:val="none"/>
        </w:rPr>
        <w:t>、不同供应商的磋商响应文件载明的项目管理成员或者联系人员为同一人；</w:t>
      </w:r>
    </w:p>
    <w:p w14:paraId="15029033">
      <w:pPr>
        <w:pStyle w:val="26"/>
        <w:spacing w:before="0" w:beforeAutospacing="0" w:after="0" w:afterAutospacing="0" w:line="360" w:lineRule="auto"/>
        <w:ind w:firstLine="420" w:firstLineChars="200"/>
        <w:rPr>
          <w:sz w:val="21"/>
          <w:szCs w:val="21"/>
          <w:highlight w:val="none"/>
        </w:rPr>
      </w:pPr>
      <w:r>
        <w:rPr>
          <w:sz w:val="21"/>
          <w:szCs w:val="21"/>
          <w:highlight w:val="none"/>
        </w:rPr>
        <w:t>1</w:t>
      </w:r>
      <w:r>
        <w:rPr>
          <w:rFonts w:hint="eastAsia"/>
          <w:sz w:val="21"/>
          <w:szCs w:val="21"/>
          <w:highlight w:val="none"/>
        </w:rPr>
        <w:t>3</w:t>
      </w:r>
      <w:r>
        <w:rPr>
          <w:sz w:val="21"/>
          <w:szCs w:val="21"/>
          <w:highlight w:val="none"/>
        </w:rPr>
        <w:t>、不同供应商的磋商响应文件异常一致或者报价呈规律性差异；</w:t>
      </w:r>
    </w:p>
    <w:p w14:paraId="18316C23">
      <w:pPr>
        <w:pStyle w:val="26"/>
        <w:spacing w:before="0" w:beforeAutospacing="0" w:after="0" w:afterAutospacing="0" w:line="360" w:lineRule="auto"/>
        <w:ind w:firstLine="420" w:firstLineChars="200"/>
        <w:rPr>
          <w:sz w:val="21"/>
          <w:szCs w:val="21"/>
          <w:highlight w:val="none"/>
        </w:rPr>
      </w:pPr>
      <w:r>
        <w:rPr>
          <w:sz w:val="21"/>
          <w:szCs w:val="21"/>
          <w:highlight w:val="none"/>
        </w:rPr>
        <w:t>1</w:t>
      </w:r>
      <w:r>
        <w:rPr>
          <w:rFonts w:hint="eastAsia"/>
          <w:sz w:val="21"/>
          <w:szCs w:val="21"/>
          <w:highlight w:val="none"/>
        </w:rPr>
        <w:t>4</w:t>
      </w:r>
      <w:r>
        <w:rPr>
          <w:sz w:val="21"/>
          <w:szCs w:val="21"/>
          <w:highlight w:val="none"/>
        </w:rPr>
        <w:t>、不同供应商的磋商响应文件相互混装；</w:t>
      </w:r>
    </w:p>
    <w:p w14:paraId="7E0C77DD">
      <w:pPr>
        <w:autoSpaceDE w:val="0"/>
        <w:autoSpaceDN w:val="0"/>
        <w:adjustRightInd w:val="0"/>
        <w:spacing w:line="360" w:lineRule="auto"/>
        <w:ind w:firstLine="420" w:firstLineChars="200"/>
        <w:jc w:val="left"/>
        <w:rPr>
          <w:rFonts w:ascii="宋体" w:hAnsi="宋体"/>
          <w:kern w:val="0"/>
          <w:szCs w:val="21"/>
          <w:highlight w:val="none"/>
        </w:rPr>
      </w:pPr>
      <w:r>
        <w:rPr>
          <w:rFonts w:hint="eastAsia" w:ascii="宋体" w:hAnsi="宋体"/>
          <w:kern w:val="0"/>
          <w:szCs w:val="21"/>
          <w:highlight w:val="none"/>
        </w:rPr>
        <w:t>15、不符合法律、法规和招标文件中规定的其他实质性要求的（招标文件中打“▲”内容及被拒绝的条款）。</w:t>
      </w:r>
    </w:p>
    <w:p w14:paraId="2E97D3A1">
      <w:pPr>
        <w:pStyle w:val="26"/>
        <w:spacing w:before="0" w:beforeAutospacing="0" w:after="0" w:afterAutospacing="0" w:line="360" w:lineRule="auto"/>
        <w:ind w:firstLine="420" w:firstLineChars="200"/>
        <w:jc w:val="both"/>
        <w:rPr>
          <w:kern w:val="2"/>
          <w:sz w:val="21"/>
          <w:szCs w:val="21"/>
          <w:highlight w:val="none"/>
        </w:rPr>
      </w:pPr>
      <w:r>
        <w:rPr>
          <w:rFonts w:hint="eastAsia"/>
          <w:kern w:val="2"/>
          <w:sz w:val="21"/>
          <w:szCs w:val="21"/>
          <w:highlight w:val="none"/>
        </w:rPr>
        <w:t>16、投标人的电子投标文件无法按时解密且本项目未达到启动纸质备份文件条件的。</w:t>
      </w:r>
    </w:p>
    <w:p w14:paraId="5D1601D3">
      <w:pPr>
        <w:pStyle w:val="26"/>
        <w:spacing w:before="0" w:beforeAutospacing="0" w:after="0" w:afterAutospacing="0" w:line="360" w:lineRule="auto"/>
        <w:ind w:firstLine="420" w:firstLineChars="200"/>
        <w:jc w:val="both"/>
        <w:rPr>
          <w:kern w:val="2"/>
          <w:sz w:val="21"/>
          <w:szCs w:val="21"/>
          <w:highlight w:val="none"/>
        </w:rPr>
      </w:pPr>
      <w:r>
        <w:rPr>
          <w:rFonts w:hint="eastAsia"/>
          <w:kern w:val="2"/>
          <w:sz w:val="21"/>
          <w:szCs w:val="21"/>
          <w:highlight w:val="none"/>
        </w:rPr>
        <w:t>17、电子响应文件解密失败的，且未在规定时间内提交纸质备份响应文件的；</w:t>
      </w:r>
    </w:p>
    <w:p w14:paraId="42E235A0">
      <w:pPr>
        <w:pStyle w:val="2"/>
        <w:spacing w:line="360" w:lineRule="auto"/>
        <w:ind w:firstLine="420" w:firstLineChars="200"/>
        <w:rPr>
          <w:highlight w:val="none"/>
        </w:rPr>
      </w:pPr>
      <w:r>
        <w:rPr>
          <w:rFonts w:hint="eastAsia" w:ascii="宋体" w:hAnsi="宋体"/>
          <w:szCs w:val="21"/>
          <w:highlight w:val="none"/>
        </w:rPr>
        <w:t>18、电子</w:t>
      </w:r>
      <w:r>
        <w:rPr>
          <w:rFonts w:hint="eastAsia"/>
          <w:szCs w:val="21"/>
          <w:highlight w:val="none"/>
        </w:rPr>
        <w:t>响应文件</w:t>
      </w:r>
      <w:r>
        <w:rPr>
          <w:rFonts w:hint="eastAsia" w:ascii="宋体" w:hAnsi="宋体"/>
          <w:szCs w:val="21"/>
          <w:highlight w:val="none"/>
        </w:rPr>
        <w:t>未按规定要求提供电子签章的。</w:t>
      </w:r>
    </w:p>
    <w:p w14:paraId="1969ED50">
      <w:pPr>
        <w:autoSpaceDE w:val="0"/>
        <w:autoSpaceDN w:val="0"/>
        <w:adjustRightInd w:val="0"/>
        <w:spacing w:line="360" w:lineRule="auto"/>
        <w:jc w:val="left"/>
        <w:rPr>
          <w:rFonts w:ascii="宋体" w:hAnsi="宋体"/>
          <w:kern w:val="0"/>
          <w:szCs w:val="21"/>
          <w:highlight w:val="none"/>
        </w:rPr>
      </w:pPr>
      <w:r>
        <w:rPr>
          <w:rFonts w:hint="eastAsia" w:ascii="宋体" w:hAnsi="宋体"/>
          <w:b/>
          <w:kern w:val="0"/>
          <w:szCs w:val="21"/>
          <w:highlight w:val="none"/>
        </w:rPr>
        <w:t>（七）有下列情况之一的，本次磋商终止</w:t>
      </w:r>
    </w:p>
    <w:p w14:paraId="473BE125">
      <w:pPr>
        <w:pStyle w:val="26"/>
        <w:spacing w:before="0" w:beforeAutospacing="0" w:after="0" w:afterAutospacing="0" w:line="360" w:lineRule="auto"/>
        <w:ind w:firstLine="525" w:firstLineChars="250"/>
        <w:jc w:val="both"/>
        <w:rPr>
          <w:sz w:val="21"/>
          <w:szCs w:val="21"/>
          <w:highlight w:val="none"/>
        </w:rPr>
      </w:pPr>
      <w:r>
        <w:rPr>
          <w:sz w:val="21"/>
          <w:szCs w:val="21"/>
          <w:highlight w:val="none"/>
        </w:rPr>
        <w:t>1、出现影响采购公正的违法、违规行为的；</w:t>
      </w:r>
    </w:p>
    <w:p w14:paraId="05945561">
      <w:pPr>
        <w:pStyle w:val="26"/>
        <w:spacing w:before="0" w:beforeAutospacing="0" w:after="0" w:afterAutospacing="0" w:line="360" w:lineRule="auto"/>
        <w:ind w:firstLine="525" w:firstLineChars="250"/>
        <w:jc w:val="both"/>
        <w:rPr>
          <w:sz w:val="21"/>
          <w:szCs w:val="21"/>
          <w:highlight w:val="none"/>
        </w:rPr>
      </w:pPr>
      <w:r>
        <w:rPr>
          <w:sz w:val="21"/>
          <w:szCs w:val="21"/>
          <w:highlight w:val="none"/>
        </w:rPr>
        <w:t xml:space="preserve">2、磋商小组发现磋商文件存在歧义、重大缺陷导致评审工作无法进行，或者磋商文件内容违反国家有关强制性规定的； </w:t>
      </w:r>
    </w:p>
    <w:p w14:paraId="78810C57">
      <w:pPr>
        <w:pStyle w:val="26"/>
        <w:spacing w:before="0" w:beforeAutospacing="0" w:after="0" w:afterAutospacing="0" w:line="360" w:lineRule="auto"/>
        <w:ind w:firstLine="525" w:firstLineChars="250"/>
        <w:jc w:val="both"/>
        <w:rPr>
          <w:sz w:val="21"/>
          <w:szCs w:val="21"/>
          <w:highlight w:val="none"/>
        </w:rPr>
      </w:pPr>
      <w:r>
        <w:rPr>
          <w:sz w:val="21"/>
          <w:szCs w:val="21"/>
          <w:highlight w:val="none"/>
        </w:rPr>
        <w:t>3、因重大变故，采购任务取消的；</w:t>
      </w:r>
    </w:p>
    <w:p w14:paraId="5F6B43F6">
      <w:pPr>
        <w:pStyle w:val="26"/>
        <w:spacing w:before="0" w:beforeAutospacing="0" w:after="0" w:afterAutospacing="0" w:line="360" w:lineRule="auto"/>
        <w:ind w:firstLine="525" w:firstLineChars="250"/>
        <w:jc w:val="both"/>
        <w:rPr>
          <w:sz w:val="21"/>
          <w:szCs w:val="21"/>
          <w:highlight w:val="none"/>
        </w:rPr>
      </w:pPr>
      <w:r>
        <w:rPr>
          <w:sz w:val="21"/>
          <w:szCs w:val="21"/>
          <w:highlight w:val="none"/>
        </w:rPr>
        <w:t>4、法律、法规和磋商文件规定的其他导致评审结果无效的。</w:t>
      </w:r>
    </w:p>
    <w:p w14:paraId="1B9854EC">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5"/>
        <w:jc w:val="left"/>
        <w:rPr>
          <w:rFonts w:ascii="宋体"/>
          <w:b/>
          <w:kern w:val="0"/>
          <w:szCs w:val="21"/>
          <w:highlight w:val="none"/>
        </w:rPr>
      </w:pPr>
      <w:r>
        <w:rPr>
          <w:rFonts w:hint="eastAsia" w:ascii="宋体"/>
          <w:b/>
          <w:kern w:val="0"/>
          <w:szCs w:val="21"/>
          <w:highlight w:val="none"/>
        </w:rPr>
        <w:t>（八）磋商原则和方法</w:t>
      </w:r>
    </w:p>
    <w:p w14:paraId="5647D165">
      <w:pPr>
        <w:pStyle w:val="11"/>
        <w:snapToGrid w:val="0"/>
        <w:spacing w:line="360" w:lineRule="auto"/>
        <w:ind w:firstLine="525" w:firstLineChars="250"/>
        <w:rPr>
          <w:rFonts w:hAnsi="宋体"/>
          <w:szCs w:val="21"/>
          <w:highlight w:val="none"/>
        </w:rPr>
      </w:pPr>
      <w:r>
        <w:rPr>
          <w:rFonts w:hAnsi="宋体"/>
          <w:szCs w:val="21"/>
          <w:highlight w:val="none"/>
        </w:rPr>
        <w:t>1</w:t>
      </w:r>
      <w:r>
        <w:rPr>
          <w:rFonts w:hint="eastAsia" w:hAnsi="宋体"/>
          <w:szCs w:val="21"/>
          <w:highlight w:val="none"/>
        </w:rPr>
        <w:t>、磋商</w:t>
      </w:r>
      <w:r>
        <w:rPr>
          <w:rFonts w:hAnsi="宋体"/>
          <w:szCs w:val="21"/>
          <w:highlight w:val="none"/>
        </w:rPr>
        <w:t>原则。磋商小组必须公平、公正、客观，不带任何倾向性和启发性；不得向外界透露任何与评</w:t>
      </w:r>
      <w:r>
        <w:rPr>
          <w:szCs w:val="21"/>
          <w:highlight w:val="none"/>
        </w:rPr>
        <w:t>审</w:t>
      </w:r>
      <w:r>
        <w:rPr>
          <w:rFonts w:hAnsi="宋体"/>
          <w:szCs w:val="21"/>
          <w:highlight w:val="none"/>
        </w:rPr>
        <w:t>有关的内容；任何单位和个人不得干扰、影响评</w:t>
      </w:r>
      <w:r>
        <w:rPr>
          <w:szCs w:val="21"/>
          <w:highlight w:val="none"/>
        </w:rPr>
        <w:t>审</w:t>
      </w:r>
      <w:r>
        <w:rPr>
          <w:rFonts w:hAnsi="宋体"/>
          <w:szCs w:val="21"/>
          <w:highlight w:val="none"/>
        </w:rPr>
        <w:t>的正常进行；磋商小组及有关工作人员不得私下与</w:t>
      </w:r>
      <w:r>
        <w:rPr>
          <w:rFonts w:hint="eastAsia" w:hAnsi="宋体"/>
          <w:szCs w:val="21"/>
          <w:highlight w:val="none"/>
        </w:rPr>
        <w:t>磋商供应商</w:t>
      </w:r>
      <w:r>
        <w:rPr>
          <w:rFonts w:hAnsi="宋体"/>
          <w:szCs w:val="21"/>
          <w:highlight w:val="none"/>
        </w:rPr>
        <w:t>接触。</w:t>
      </w:r>
    </w:p>
    <w:p w14:paraId="4359C570">
      <w:pPr>
        <w:pStyle w:val="11"/>
        <w:snapToGrid w:val="0"/>
        <w:spacing w:line="360" w:lineRule="auto"/>
        <w:ind w:firstLine="525" w:firstLineChars="250"/>
        <w:rPr>
          <w:szCs w:val="21"/>
          <w:highlight w:val="none"/>
        </w:rPr>
      </w:pPr>
      <w:r>
        <w:rPr>
          <w:rFonts w:hAnsi="宋体"/>
          <w:szCs w:val="21"/>
          <w:highlight w:val="none"/>
        </w:rPr>
        <w:t>2</w:t>
      </w:r>
      <w:r>
        <w:rPr>
          <w:rFonts w:hint="eastAsia" w:hAnsi="宋体"/>
          <w:szCs w:val="21"/>
          <w:highlight w:val="none"/>
        </w:rPr>
        <w:t>、磋商</w:t>
      </w:r>
      <w:r>
        <w:rPr>
          <w:rFonts w:hAnsi="宋体"/>
          <w:szCs w:val="21"/>
          <w:highlight w:val="none"/>
        </w:rPr>
        <w:t>办法。具体</w:t>
      </w:r>
      <w:r>
        <w:rPr>
          <w:rFonts w:hint="eastAsia" w:hAnsi="宋体"/>
          <w:szCs w:val="21"/>
          <w:highlight w:val="none"/>
        </w:rPr>
        <w:t>磋商</w:t>
      </w:r>
      <w:r>
        <w:rPr>
          <w:rFonts w:hAnsi="宋体"/>
          <w:szCs w:val="21"/>
          <w:highlight w:val="none"/>
        </w:rPr>
        <w:t>内容及评分标准等详见《第</w:t>
      </w:r>
      <w:r>
        <w:rPr>
          <w:rFonts w:hint="eastAsia" w:hAnsi="宋体"/>
          <w:szCs w:val="21"/>
          <w:highlight w:val="none"/>
        </w:rPr>
        <w:t>三章</w:t>
      </w:r>
      <w:r>
        <w:rPr>
          <w:rFonts w:hAnsi="宋体"/>
          <w:szCs w:val="21"/>
          <w:highlight w:val="none"/>
        </w:rPr>
        <w:t>：评</w:t>
      </w:r>
      <w:r>
        <w:rPr>
          <w:szCs w:val="21"/>
          <w:highlight w:val="none"/>
        </w:rPr>
        <w:t>审</w:t>
      </w:r>
      <w:r>
        <w:rPr>
          <w:rFonts w:hint="eastAsia" w:hAnsi="宋体"/>
          <w:szCs w:val="21"/>
          <w:highlight w:val="none"/>
        </w:rPr>
        <w:t>方</w:t>
      </w:r>
      <w:r>
        <w:rPr>
          <w:rFonts w:hAnsi="宋体"/>
          <w:szCs w:val="21"/>
          <w:highlight w:val="none"/>
        </w:rPr>
        <w:t>法及评分标准》。</w:t>
      </w:r>
    </w:p>
    <w:p w14:paraId="0F35A74A">
      <w:pPr>
        <w:pStyle w:val="11"/>
        <w:snapToGrid w:val="0"/>
        <w:spacing w:line="360" w:lineRule="auto"/>
        <w:rPr>
          <w:rFonts w:hAnsi="宋体"/>
          <w:szCs w:val="21"/>
          <w:highlight w:val="none"/>
        </w:rPr>
      </w:pPr>
      <w:r>
        <w:rPr>
          <w:rFonts w:hAnsi="宋体"/>
          <w:b/>
          <w:szCs w:val="21"/>
          <w:highlight w:val="none"/>
        </w:rPr>
        <w:t>（</w:t>
      </w:r>
      <w:r>
        <w:rPr>
          <w:rFonts w:hint="eastAsia" w:hAnsi="宋体"/>
          <w:b/>
          <w:szCs w:val="21"/>
          <w:highlight w:val="none"/>
        </w:rPr>
        <w:t>九</w:t>
      </w:r>
      <w:r>
        <w:rPr>
          <w:rFonts w:hAnsi="宋体"/>
          <w:b/>
          <w:szCs w:val="21"/>
          <w:highlight w:val="none"/>
        </w:rPr>
        <w:t>）评审过程的监控</w:t>
      </w:r>
    </w:p>
    <w:p w14:paraId="1BCE3EFA">
      <w:pPr>
        <w:pStyle w:val="26"/>
        <w:spacing w:before="0" w:beforeAutospacing="0" w:after="0" w:afterAutospacing="0" w:line="360" w:lineRule="auto"/>
        <w:ind w:firstLine="420" w:firstLineChars="200"/>
        <w:jc w:val="both"/>
        <w:rPr>
          <w:sz w:val="21"/>
          <w:szCs w:val="21"/>
          <w:highlight w:val="none"/>
        </w:rPr>
      </w:pPr>
      <w:r>
        <w:rPr>
          <w:sz w:val="21"/>
          <w:szCs w:val="21"/>
          <w:highlight w:val="none"/>
        </w:rPr>
        <w:t>本项目评审过程实行全程录音、录像监控，政府采购监管部门</w:t>
      </w:r>
      <w:r>
        <w:rPr>
          <w:rFonts w:hint="eastAsia"/>
          <w:sz w:val="21"/>
          <w:szCs w:val="21"/>
          <w:highlight w:val="none"/>
        </w:rPr>
        <w:t>视情</w:t>
      </w:r>
      <w:r>
        <w:rPr>
          <w:sz w:val="21"/>
          <w:szCs w:val="21"/>
          <w:highlight w:val="none"/>
        </w:rPr>
        <w:t>进行现场监督，供应商在评审过程中所进行的试图影响评审结果的不公正活动，可能导致其被拒绝磋商。</w:t>
      </w:r>
    </w:p>
    <w:p w14:paraId="0CF10DF1">
      <w:pPr>
        <w:adjustRightInd w:val="0"/>
        <w:snapToGrid w:val="0"/>
        <w:spacing w:line="360" w:lineRule="auto"/>
        <w:jc w:val="left"/>
        <w:rPr>
          <w:rFonts w:ascii="宋体" w:hAnsi="宋体"/>
          <w:b/>
          <w:szCs w:val="21"/>
          <w:highlight w:val="none"/>
        </w:rPr>
      </w:pPr>
      <w:r>
        <w:rPr>
          <w:rFonts w:hint="eastAsia" w:ascii="宋体" w:hAnsi="宋体"/>
          <w:b/>
          <w:szCs w:val="21"/>
          <w:highlight w:val="none"/>
        </w:rPr>
        <w:t>（十）电子交易异常情形处理</w:t>
      </w:r>
    </w:p>
    <w:p w14:paraId="325AA7D9">
      <w:pPr>
        <w:adjustRightInd w:val="0"/>
        <w:snapToGrid w:val="0"/>
        <w:spacing w:line="360" w:lineRule="auto"/>
        <w:ind w:left="-481" w:leftChars="-229" w:firstLine="625" w:firstLineChars="298"/>
        <w:jc w:val="left"/>
        <w:rPr>
          <w:rFonts w:ascii="宋体" w:hAnsi="宋体"/>
          <w:bCs/>
          <w:szCs w:val="21"/>
          <w:highlight w:val="none"/>
        </w:rPr>
      </w:pPr>
      <w:r>
        <w:rPr>
          <w:rFonts w:hint="eastAsia" w:ascii="宋体" w:hAnsi="宋体"/>
          <w:bCs/>
          <w:szCs w:val="21"/>
          <w:highlight w:val="none"/>
        </w:rPr>
        <w:t>采购过程中出现以下情形，导致电子交易平台无法正常运行，或者无法保证电子交易的公平、公正和安全时，采购组织机构可中止电子交易活动：</w:t>
      </w:r>
    </w:p>
    <w:p w14:paraId="29ABC568">
      <w:pPr>
        <w:adjustRightInd w:val="0"/>
        <w:snapToGrid w:val="0"/>
        <w:spacing w:line="360" w:lineRule="auto"/>
        <w:ind w:left="-481" w:leftChars="-229" w:firstLine="625" w:firstLineChars="298"/>
        <w:jc w:val="left"/>
        <w:rPr>
          <w:rFonts w:ascii="宋体" w:hAnsi="宋体"/>
          <w:bCs/>
          <w:szCs w:val="21"/>
          <w:highlight w:val="none"/>
        </w:rPr>
      </w:pPr>
      <w:r>
        <w:rPr>
          <w:rFonts w:hint="eastAsia" w:ascii="宋体" w:hAnsi="宋体"/>
          <w:bCs/>
          <w:szCs w:val="21"/>
          <w:highlight w:val="none"/>
        </w:rPr>
        <w:t>（一）电子交易平台发生故障而无法登录访问的；</w:t>
      </w:r>
    </w:p>
    <w:p w14:paraId="7B7B54E5">
      <w:pPr>
        <w:adjustRightInd w:val="0"/>
        <w:snapToGrid w:val="0"/>
        <w:spacing w:line="360" w:lineRule="auto"/>
        <w:ind w:left="-481" w:leftChars="-229" w:firstLine="625" w:firstLineChars="298"/>
        <w:jc w:val="left"/>
        <w:rPr>
          <w:rFonts w:ascii="宋体" w:hAnsi="宋体"/>
          <w:bCs/>
          <w:szCs w:val="21"/>
          <w:highlight w:val="none"/>
        </w:rPr>
      </w:pPr>
      <w:r>
        <w:rPr>
          <w:rFonts w:hint="eastAsia" w:ascii="宋体" w:hAnsi="宋体"/>
          <w:bCs/>
          <w:szCs w:val="21"/>
          <w:highlight w:val="none"/>
        </w:rPr>
        <w:t>（二）电子交易平台应用或数据库出现错误，不能进行正常操作的；</w:t>
      </w:r>
    </w:p>
    <w:p w14:paraId="48BD394D">
      <w:pPr>
        <w:adjustRightInd w:val="0"/>
        <w:snapToGrid w:val="0"/>
        <w:spacing w:line="360" w:lineRule="auto"/>
        <w:ind w:left="-481" w:leftChars="-229" w:firstLine="625" w:firstLineChars="298"/>
        <w:jc w:val="left"/>
        <w:rPr>
          <w:rFonts w:ascii="宋体" w:hAnsi="宋体"/>
          <w:bCs/>
          <w:szCs w:val="21"/>
          <w:highlight w:val="none"/>
        </w:rPr>
      </w:pPr>
      <w:r>
        <w:rPr>
          <w:rFonts w:hint="eastAsia" w:ascii="宋体" w:hAnsi="宋体"/>
          <w:bCs/>
          <w:szCs w:val="21"/>
          <w:highlight w:val="none"/>
        </w:rPr>
        <w:t>（三）电子交易平台发现严重安全漏洞，有潜在泄密危险的；</w:t>
      </w:r>
    </w:p>
    <w:p w14:paraId="7B869A7C">
      <w:pPr>
        <w:adjustRightInd w:val="0"/>
        <w:snapToGrid w:val="0"/>
        <w:spacing w:line="360" w:lineRule="auto"/>
        <w:ind w:left="-481" w:leftChars="-229" w:firstLine="625" w:firstLineChars="298"/>
        <w:jc w:val="left"/>
        <w:rPr>
          <w:rFonts w:ascii="宋体" w:hAnsi="宋体"/>
          <w:bCs/>
          <w:szCs w:val="21"/>
          <w:highlight w:val="none"/>
        </w:rPr>
      </w:pPr>
      <w:r>
        <w:rPr>
          <w:rFonts w:hint="eastAsia" w:ascii="宋体" w:hAnsi="宋体"/>
          <w:bCs/>
          <w:szCs w:val="21"/>
          <w:highlight w:val="none"/>
        </w:rPr>
        <w:t>（四）病毒发作导致不能进行正常操作的；</w:t>
      </w:r>
    </w:p>
    <w:p w14:paraId="610D0CA9">
      <w:pPr>
        <w:adjustRightInd w:val="0"/>
        <w:snapToGrid w:val="0"/>
        <w:spacing w:line="360" w:lineRule="auto"/>
        <w:ind w:left="-481" w:leftChars="-229" w:firstLine="625" w:firstLineChars="298"/>
        <w:jc w:val="left"/>
        <w:rPr>
          <w:rFonts w:ascii="宋体" w:hAnsi="宋体"/>
          <w:bCs/>
          <w:szCs w:val="21"/>
          <w:highlight w:val="none"/>
        </w:rPr>
      </w:pPr>
      <w:r>
        <w:rPr>
          <w:rFonts w:hint="eastAsia" w:ascii="宋体" w:hAnsi="宋体"/>
          <w:bCs/>
          <w:szCs w:val="21"/>
          <w:highlight w:val="none"/>
        </w:rPr>
        <w:t>（五）其他无法保证电子交易的公平、公正和安全的情况。</w:t>
      </w:r>
    </w:p>
    <w:p w14:paraId="3C781D96">
      <w:pPr>
        <w:adjustRightInd w:val="0"/>
        <w:snapToGrid w:val="0"/>
        <w:spacing w:line="360" w:lineRule="auto"/>
        <w:ind w:left="-481" w:leftChars="-229" w:firstLine="625" w:firstLineChars="298"/>
        <w:jc w:val="left"/>
        <w:rPr>
          <w:rFonts w:ascii="宋体" w:hAnsi="宋体"/>
          <w:bCs/>
          <w:szCs w:val="21"/>
          <w:highlight w:val="none"/>
        </w:rPr>
      </w:pPr>
      <w:r>
        <w:rPr>
          <w:rFonts w:hint="eastAsia" w:ascii="宋体" w:hAnsi="宋体"/>
          <w:bCs/>
          <w:szCs w:val="21"/>
          <w:highlight w:val="none"/>
        </w:rPr>
        <w:t>出现以上规定情形，不影响采购公平、公正性的，采购组织机构可以待上述情形消除后继续组织电子交易活动，也可以决定某些环节以纸质形式进行；影响或可能影响采购公平、公正性的，应当重新采购。</w:t>
      </w:r>
    </w:p>
    <w:p w14:paraId="4D733B24">
      <w:pPr>
        <w:adjustRightInd w:val="0"/>
        <w:snapToGrid w:val="0"/>
        <w:spacing w:line="360" w:lineRule="auto"/>
        <w:jc w:val="left"/>
        <w:rPr>
          <w:szCs w:val="21"/>
          <w:highlight w:val="none"/>
        </w:rPr>
      </w:pPr>
      <w:r>
        <w:rPr>
          <w:rFonts w:hint="eastAsia"/>
          <w:b/>
          <w:szCs w:val="21"/>
          <w:highlight w:val="none"/>
        </w:rPr>
        <w:t>四</w:t>
      </w:r>
      <w:r>
        <w:rPr>
          <w:b/>
          <w:szCs w:val="21"/>
          <w:highlight w:val="none"/>
        </w:rPr>
        <w:t>、磋商结果确定</w:t>
      </w:r>
    </w:p>
    <w:p w14:paraId="34430CA8">
      <w:pPr>
        <w:spacing w:line="360" w:lineRule="auto"/>
        <w:ind w:firstLine="420" w:firstLineChars="200"/>
        <w:rPr>
          <w:szCs w:val="21"/>
          <w:highlight w:val="none"/>
        </w:rPr>
      </w:pPr>
      <w:r>
        <w:rPr>
          <w:rFonts w:hint="eastAsia"/>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3D7B2244">
      <w:pPr>
        <w:spacing w:line="360" w:lineRule="auto"/>
        <w:ind w:firstLine="420" w:firstLineChars="200"/>
        <w:rPr>
          <w:szCs w:val="21"/>
          <w:highlight w:val="none"/>
        </w:rPr>
      </w:pPr>
      <w:r>
        <w:rPr>
          <w:rFonts w:hint="eastAsia"/>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10E8BFA7">
      <w:pPr>
        <w:spacing w:line="360" w:lineRule="auto"/>
        <w:ind w:firstLine="420" w:firstLineChars="200"/>
        <w:rPr>
          <w:rFonts w:ascii="宋体" w:hAnsi="宋体"/>
          <w:kern w:val="0"/>
          <w:szCs w:val="21"/>
          <w:highlight w:val="none"/>
        </w:rPr>
      </w:pPr>
      <w:r>
        <w:rPr>
          <w:rFonts w:hint="eastAsia"/>
          <w:szCs w:val="21"/>
          <w:highlight w:val="none"/>
        </w:rPr>
        <w:t>3、发出成交通知书。采购组织机构在发布成交结果同时，向成交供应商发出成交通知书。</w:t>
      </w:r>
    </w:p>
    <w:p w14:paraId="533F2D45">
      <w:pPr>
        <w:spacing w:line="360" w:lineRule="auto"/>
        <w:rPr>
          <w:rFonts w:asciiTheme="minorEastAsia" w:hAnsiTheme="minorEastAsia" w:eastAsiaTheme="minorEastAsia" w:cstheme="minorEastAsia"/>
          <w:b/>
          <w:kern w:val="0"/>
          <w:szCs w:val="21"/>
          <w:highlight w:val="none"/>
        </w:rPr>
      </w:pPr>
      <w:r>
        <w:rPr>
          <w:rFonts w:hint="eastAsia" w:asciiTheme="minorEastAsia" w:hAnsiTheme="minorEastAsia" w:eastAsiaTheme="minorEastAsia" w:cstheme="minorEastAsia"/>
          <w:b/>
          <w:kern w:val="0"/>
          <w:szCs w:val="21"/>
          <w:highlight w:val="none"/>
        </w:rPr>
        <w:t>五、合同签订及公告</w:t>
      </w:r>
    </w:p>
    <w:p w14:paraId="0B057BC4">
      <w:pPr>
        <w:pStyle w:val="10"/>
        <w:tabs>
          <w:tab w:val="left" w:pos="720"/>
          <w:tab w:val="left" w:pos="1260"/>
          <w:tab w:val="left" w:pos="2160"/>
          <w:tab w:val="left" w:pos="2880"/>
          <w:tab w:val="left" w:pos="3600"/>
          <w:tab w:val="left" w:pos="4320"/>
          <w:tab w:val="left" w:pos="5040"/>
          <w:tab w:val="left" w:pos="5760"/>
        </w:tabs>
        <w:spacing w:line="360" w:lineRule="auto"/>
        <w:ind w:left="0" w:leftChars="0"/>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（一）签订合同</w:t>
      </w:r>
    </w:p>
    <w:p w14:paraId="15E4D028">
      <w:pPr>
        <w:pStyle w:val="26"/>
        <w:spacing w:before="0" w:beforeAutospacing="0" w:after="0" w:afterAutospacing="0" w:line="360" w:lineRule="auto"/>
        <w:ind w:firstLine="420" w:firstLineChars="20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1、采购人应当自成交通知书发出之日起10个工作日内，按照磋商采购文件确定的合同文本以及采购标的、规格型号、采购金额、采购数量和服务要求等事项签订政府采购合同。</w:t>
      </w:r>
    </w:p>
    <w:p w14:paraId="5D9D5AD6">
      <w:pPr>
        <w:pStyle w:val="26"/>
        <w:spacing w:before="0" w:beforeAutospacing="0" w:after="0" w:afterAutospacing="0" w:line="360" w:lineRule="auto"/>
        <w:ind w:firstLine="420" w:firstLineChars="20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455444EC">
      <w:pPr>
        <w:pStyle w:val="26"/>
        <w:spacing w:before="0" w:beforeAutospacing="0" w:after="0" w:afterAutospacing="0" w:line="360" w:lineRule="auto"/>
        <w:ind w:firstLine="420" w:firstLineChars="20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3、成交供应商无故拖延、拒签合同的,取消成交资格。</w:t>
      </w:r>
    </w:p>
    <w:p w14:paraId="6442434A">
      <w:pPr>
        <w:pStyle w:val="26"/>
        <w:spacing w:before="0" w:beforeAutospacing="0" w:after="0" w:afterAutospacing="0" w:line="360" w:lineRule="auto"/>
        <w:ind w:firstLine="420" w:firstLineChars="20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15372FDC">
      <w:pPr>
        <w:pStyle w:val="26"/>
        <w:spacing w:before="0" w:beforeAutospacing="0" w:after="0" w:afterAutospacing="0" w:line="360" w:lineRule="auto"/>
        <w:ind w:firstLine="420" w:firstLineChars="200"/>
        <w:jc w:val="both"/>
        <w:rPr>
          <w:rFonts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5、询问或者质疑事项可能影响成交结果的，采购人应当暂停签订合同，已经签订合同的，应当中止履行合同（成交结果的质疑期为成交结果公告期限届满之日起七个工作日）。</w:t>
      </w:r>
    </w:p>
    <w:p w14:paraId="3EC0935A">
      <w:pPr>
        <w:pStyle w:val="26"/>
        <w:spacing w:before="0" w:beforeAutospacing="0" w:after="0" w:afterAutospacing="0" w:line="360" w:lineRule="auto"/>
        <w:jc w:val="both"/>
        <w:rPr>
          <w:rFonts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（二）合同公告及备案</w:t>
      </w:r>
    </w:p>
    <w:p w14:paraId="09154768">
      <w:pPr>
        <w:pStyle w:val="2"/>
        <w:spacing w:line="360" w:lineRule="auto"/>
        <w:ind w:firstLine="420" w:firstLineChars="200"/>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1、采购人应当自政府采购合同签订之日起2个工作日内，在省级以上财政部门指定的政府采购信息发布媒体及相关网站上公告。</w:t>
      </w:r>
    </w:p>
    <w:p w14:paraId="4F2CF1CD">
      <w:pPr>
        <w:pStyle w:val="2"/>
        <w:spacing w:line="360" w:lineRule="auto"/>
        <w:ind w:firstLine="420" w:firstLineChars="200"/>
        <w:rPr>
          <w:rFonts w:ascii="宋体" w:hAnsi="宋体"/>
          <w:b/>
          <w:sz w:val="36"/>
          <w:szCs w:val="36"/>
          <w:highlight w:val="none"/>
        </w:rPr>
      </w:pPr>
      <w:r>
        <w:rPr>
          <w:rFonts w:hint="eastAsia" w:asciiTheme="minorEastAsia" w:hAnsiTheme="minorEastAsia" w:eastAsiaTheme="minorEastAsia" w:cstheme="minorEastAsia"/>
          <w:szCs w:val="21"/>
          <w:highlight w:val="none"/>
        </w:rPr>
        <w:t>2、采购人应当自政府采购合同签订之日起7个工作日内，将政府采购合同副本报同级人民政府财政部门备案以及采购组织机构存档。</w:t>
      </w:r>
    </w:p>
    <w:p w14:paraId="6D89715C">
      <w:pPr>
        <w:spacing w:line="360" w:lineRule="auto"/>
        <w:jc w:val="center"/>
        <w:rPr>
          <w:rFonts w:ascii="宋体" w:hAnsi="宋体"/>
          <w:b/>
          <w:sz w:val="36"/>
          <w:szCs w:val="36"/>
          <w:highlight w:val="none"/>
        </w:rPr>
      </w:pPr>
    </w:p>
    <w:p w14:paraId="2C2807A7">
      <w:pPr>
        <w:pStyle w:val="9"/>
        <w:rPr>
          <w:rFonts w:ascii="宋体" w:hAnsi="宋体"/>
          <w:b/>
          <w:sz w:val="36"/>
          <w:szCs w:val="36"/>
          <w:highlight w:val="none"/>
        </w:rPr>
      </w:pPr>
    </w:p>
    <w:p w14:paraId="51EF61FB">
      <w:pPr>
        <w:rPr>
          <w:rFonts w:ascii="宋体" w:hAnsi="宋体"/>
          <w:b/>
          <w:sz w:val="36"/>
          <w:szCs w:val="36"/>
          <w:highlight w:val="none"/>
        </w:rPr>
      </w:pPr>
    </w:p>
    <w:p w14:paraId="429C3485">
      <w:pPr>
        <w:pStyle w:val="9"/>
        <w:rPr>
          <w:rFonts w:ascii="宋体" w:hAnsi="宋体"/>
          <w:b/>
          <w:sz w:val="36"/>
          <w:szCs w:val="36"/>
          <w:highlight w:val="none"/>
        </w:rPr>
      </w:pPr>
    </w:p>
    <w:p w14:paraId="500D727B">
      <w:pPr>
        <w:rPr>
          <w:rFonts w:ascii="宋体" w:hAnsi="宋体"/>
          <w:b/>
          <w:sz w:val="36"/>
          <w:szCs w:val="36"/>
          <w:highlight w:val="none"/>
        </w:rPr>
      </w:pPr>
    </w:p>
    <w:p w14:paraId="480625D3">
      <w:pPr>
        <w:pStyle w:val="9"/>
        <w:rPr>
          <w:rFonts w:ascii="宋体" w:hAnsi="宋体"/>
          <w:b/>
          <w:sz w:val="36"/>
          <w:szCs w:val="36"/>
          <w:highlight w:val="none"/>
        </w:rPr>
      </w:pPr>
    </w:p>
    <w:p w14:paraId="341E6A7E">
      <w:pPr>
        <w:rPr>
          <w:rFonts w:ascii="宋体" w:hAnsi="宋体"/>
          <w:b/>
          <w:sz w:val="36"/>
          <w:szCs w:val="36"/>
          <w:highlight w:val="none"/>
        </w:rPr>
      </w:pPr>
    </w:p>
    <w:p w14:paraId="3F78F0B0">
      <w:pPr>
        <w:spacing w:line="360" w:lineRule="auto"/>
        <w:jc w:val="center"/>
        <w:rPr>
          <w:rFonts w:ascii="宋体"/>
          <w:b/>
          <w:sz w:val="36"/>
          <w:szCs w:val="36"/>
          <w:highlight w:val="none"/>
        </w:rPr>
      </w:pPr>
      <w:r>
        <w:rPr>
          <w:rFonts w:hint="eastAsia" w:ascii="宋体" w:hAnsi="宋体"/>
          <w:b/>
          <w:sz w:val="36"/>
          <w:szCs w:val="36"/>
          <w:highlight w:val="none"/>
        </w:rPr>
        <w:t>第三章 评审办法及评审标准</w:t>
      </w:r>
    </w:p>
    <w:p w14:paraId="67D7DA0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 xml:space="preserve">一、采购组织机构将组织磋商小组，磋商小组由3人以上单数组成，对供应商提供的磋商响应文件进行综合评审。   </w:t>
      </w:r>
    </w:p>
    <w:p w14:paraId="54469755">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二、本次磋商项目的评审方法为</w:t>
      </w:r>
      <w:r>
        <w:rPr>
          <w:rFonts w:hint="eastAsia" w:ascii="宋体" w:hAnsi="宋体" w:cs="宋体"/>
          <w:b/>
          <w:bCs/>
          <w:color w:val="auto"/>
          <w:sz w:val="24"/>
          <w:szCs w:val="32"/>
          <w:highlight w:val="none"/>
        </w:rPr>
        <w:t>综合评分法</w:t>
      </w:r>
      <w:r>
        <w:rPr>
          <w:rFonts w:hint="eastAsia" w:ascii="宋体" w:hAnsi="宋体" w:cs="宋体"/>
          <w:color w:val="auto"/>
          <w:sz w:val="24"/>
          <w:szCs w:val="32"/>
          <w:highlight w:val="none"/>
        </w:rPr>
        <w:t>，总计100分。</w:t>
      </w:r>
    </w:p>
    <w:p w14:paraId="5F9451CD">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（一）</w:t>
      </w:r>
      <w:r>
        <w:rPr>
          <w:rFonts w:hint="eastAsia" w:ascii="宋体" w:hAnsi="宋体" w:cs="宋体"/>
          <w:color w:val="auto"/>
          <w:sz w:val="24"/>
          <w:szCs w:val="32"/>
          <w:highlight w:val="none"/>
          <w:lang w:val="en-US" w:eastAsia="zh-CN"/>
        </w:rPr>
        <w:t>评审小组成员独立打分</w:t>
      </w:r>
      <w:r>
        <w:rPr>
          <w:rFonts w:hint="eastAsia" w:ascii="宋体" w:hAnsi="宋体" w:cs="宋体"/>
          <w:color w:val="auto"/>
          <w:sz w:val="24"/>
          <w:szCs w:val="32"/>
          <w:highlight w:val="none"/>
        </w:rPr>
        <w:t>。</w:t>
      </w:r>
    </w:p>
    <w:p w14:paraId="1D31D704">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（二）各磋商供应商商务与技术文件得分按照磋商小组成员的独立评分结果汇总后的算术平均分计算，计算公式为：</w:t>
      </w:r>
    </w:p>
    <w:p w14:paraId="40485E6C">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商务与技术文件得分=磋商小组所有成员评分合计数/磋商小组组成人员数。</w:t>
      </w:r>
    </w:p>
    <w:p w14:paraId="56C7E2DA">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（三）综合评分法中的价格分统一采用低价优先法计算，即满足磋商文件要求通过一轮磋商且最后报价最低的供应商的价格作为磋商基准价，其报价得满分。其他供应商的价格分统一按照下列公式计算：</w:t>
      </w:r>
    </w:p>
    <w:p w14:paraId="1789B06F">
      <w:pPr>
        <w:shd w:val="clear"/>
        <w:spacing w:line="360" w:lineRule="auto"/>
        <w:ind w:firstLine="482" w:firstLineChars="200"/>
        <w:rPr>
          <w:rFonts w:ascii="宋体" w:hAnsi="宋体" w:cs="宋体"/>
          <w:b/>
          <w:bCs/>
          <w:color w:val="auto"/>
          <w:sz w:val="24"/>
          <w:szCs w:val="32"/>
          <w:highlight w:val="none"/>
          <w:u w:val="single"/>
        </w:rPr>
      </w:pPr>
      <w:r>
        <w:rPr>
          <w:rFonts w:hint="eastAsia" w:ascii="宋体" w:hAnsi="宋体" w:cs="宋体"/>
          <w:b/>
          <w:bCs/>
          <w:color w:val="auto"/>
          <w:sz w:val="24"/>
          <w:szCs w:val="32"/>
          <w:highlight w:val="none"/>
          <w:u w:val="single"/>
        </w:rPr>
        <w:t>投标报价得分＝（评标基准价</w:t>
      </w:r>
      <w:r>
        <w:rPr>
          <w:rFonts w:ascii="宋体" w:hAnsi="宋体" w:cs="宋体"/>
          <w:b/>
          <w:bCs/>
          <w:color w:val="auto"/>
          <w:sz w:val="24"/>
          <w:szCs w:val="32"/>
          <w:highlight w:val="none"/>
          <w:u w:val="single"/>
        </w:rPr>
        <w:t>/投标报价）×</w:t>
      </w:r>
      <w:r>
        <w:rPr>
          <w:rFonts w:hint="eastAsia" w:ascii="宋体" w:hAnsi="宋体" w:cs="宋体"/>
          <w:b/>
          <w:bCs/>
          <w:color w:val="auto"/>
          <w:sz w:val="24"/>
          <w:szCs w:val="32"/>
          <w:highlight w:val="none"/>
          <w:u w:val="single"/>
          <w:lang w:val="en-US" w:eastAsia="zh-CN"/>
        </w:rPr>
        <w:t>10</w:t>
      </w:r>
      <w:r>
        <w:rPr>
          <w:rFonts w:ascii="宋体" w:hAnsi="宋体" w:cs="宋体"/>
          <w:b/>
          <w:bCs/>
          <w:color w:val="auto"/>
          <w:sz w:val="24"/>
          <w:szCs w:val="32"/>
          <w:highlight w:val="none"/>
          <w:u w:val="single"/>
        </w:rPr>
        <w:t>%×100。（小数点后保留2位小数）</w:t>
      </w:r>
    </w:p>
    <w:p w14:paraId="36563F5B">
      <w:pPr>
        <w:shd w:val="clear"/>
        <w:autoSpaceDE w:val="0"/>
        <w:autoSpaceDN w:val="0"/>
        <w:adjustRightInd w:val="0"/>
        <w:spacing w:line="360" w:lineRule="auto"/>
        <w:ind w:firstLine="472"/>
        <w:rPr>
          <w:rFonts w:hint="eastAsia" w:ascii="宋体" w:hAnsi="宋体" w:cs="宋体"/>
          <w:color w:val="auto"/>
          <w:sz w:val="24"/>
          <w:highlight w:val="none"/>
          <w:lang w:val="zh-CN"/>
        </w:rPr>
      </w:pPr>
      <w:r>
        <w:rPr>
          <w:rFonts w:hint="eastAsia" w:ascii="宋体" w:hAnsi="宋体" w:cs="宋体"/>
          <w:color w:val="auto"/>
          <w:sz w:val="24"/>
          <w:highlight w:val="none"/>
          <w:lang w:val="zh-CN"/>
        </w:rPr>
        <w:t>三、中小企业政策：</w:t>
      </w:r>
    </w:p>
    <w:p w14:paraId="7990E069">
      <w:pPr>
        <w:shd w:val="clear"/>
        <w:autoSpaceDE w:val="0"/>
        <w:autoSpaceDN w:val="0"/>
        <w:adjustRightInd w:val="0"/>
        <w:spacing w:line="360" w:lineRule="auto"/>
        <w:ind w:firstLine="472"/>
        <w:rPr>
          <w:rFonts w:hint="eastAsia" w:ascii="宋体" w:hAnsi="宋体" w:cs="宋体"/>
          <w:color w:val="auto"/>
          <w:sz w:val="24"/>
          <w:highlight w:val="none"/>
          <w:lang w:val="en-US" w:eastAsia="zh-CN"/>
        </w:rPr>
      </w:pPr>
      <w:r>
        <w:rPr>
          <w:rFonts w:hint="eastAsia" w:ascii="宋体" w:hAnsi="宋体" w:cs="宋体"/>
          <w:color w:val="auto"/>
          <w:sz w:val="24"/>
          <w:highlight w:val="none"/>
          <w:lang w:val="zh-CN"/>
        </w:rPr>
        <w:t xml:space="preserve"> 1．关于中型、小型、微型企业（简称中小企业）：中小企业是指符合《中小企业划型标准规定》（工信部联企业〔2011〕300号）和《政府采购促进中小企业发展管理办法》（财库〔2020〕46号）的中小企业。中小企业参加政府采购活动必须提供《中小企业声明函》（供应商提供声明函内容不实的，属于提供虚假材料谋取中标、成交，依照《中华人民 共和国政府采购法》等国家有关规定追究相应责任。）；</w:t>
      </w:r>
      <w:r>
        <w:rPr>
          <w:rFonts w:hint="eastAsia" w:ascii="宋体" w:hAnsi="宋体" w:cs="宋体"/>
          <w:color w:val="auto"/>
          <w:sz w:val="24"/>
          <w:highlight w:val="none"/>
          <w:lang w:val="en-US" w:eastAsia="zh-CN"/>
        </w:rPr>
        <w:t xml:space="preserve">         </w:t>
      </w:r>
    </w:p>
    <w:p w14:paraId="71578638">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2．监狱企业参加政府采购活动时，应当提供由省级以上监狱管理局、戒毒管理局（含新疆生产建设兵团）出具的属于监狱企业的证明文件，视同中小企业，享受中小企业政府采购政策；</w:t>
      </w:r>
    </w:p>
    <w:p w14:paraId="12EFFBBC">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3．残疾人福利性单位在参加政府采购活动时，应提供《残疾人福利性单位声明函》，视同中小企业，享受中小企业政府采购政策。享受政府采购支持政策的残疾人福利性单位应当同时满足以下条件：</w:t>
      </w:r>
    </w:p>
    <w:p w14:paraId="6FD75539">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①　安置的残疾人占本单位在职职工人数的比例不低于25%（含25%），并且安置的残疾人人数不少于10人（含10人）；</w:t>
      </w:r>
    </w:p>
    <w:p w14:paraId="3ECB78A6">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②　依法与安置的每位残疾人签订了一年以上（含一年）的劳动合同或服务协议；</w:t>
      </w:r>
    </w:p>
    <w:p w14:paraId="403188D9">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③　为安置的每位残疾人按月足额缴纳了基本养老保险、基本医疗保险、失业保险、工伤保险和生育保险等社会保险费；</w:t>
      </w:r>
    </w:p>
    <w:p w14:paraId="7C8D78FE">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④　通过银行等金融机构向安置的每位残疾人，按月支付了不低于单位所在区县适用的经省级人民政府批准的月最低工资标准的工资；</w:t>
      </w:r>
    </w:p>
    <w:p w14:paraId="1251BB4F">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⑤　提供本单位制造的货物、承担的工程或者服务（以下简称产品），或者提供其他残疾人福利性单位制造的货物（不包括使用非残疾人福利性单位注册商标的货物）。</w:t>
      </w:r>
    </w:p>
    <w:p w14:paraId="46441E09">
      <w:pPr>
        <w:shd w:val="clear"/>
        <w:spacing w:line="360" w:lineRule="auto"/>
        <w:ind w:firstLine="480" w:firstLineChars="200"/>
        <w:rPr>
          <w:rFonts w:hint="eastAsia" w:ascii="宋体" w:hAnsi="宋体" w:cs="宋体"/>
          <w:color w:val="auto"/>
          <w:sz w:val="24"/>
          <w:szCs w:val="32"/>
          <w:highlight w:val="none"/>
          <w:lang w:val="zh-CN" w:eastAsia="zh-CN"/>
        </w:rPr>
      </w:pPr>
      <w:r>
        <w:rPr>
          <w:rFonts w:hint="eastAsia" w:ascii="宋体" w:hAnsi="宋体" w:cs="宋体"/>
          <w:color w:val="auto"/>
          <w:sz w:val="24"/>
          <w:szCs w:val="32"/>
          <w:highlight w:val="none"/>
          <w:lang w:val="zh-CN"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9D41FC0">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eastAsia="zh-CN"/>
        </w:rPr>
        <w:t>四</w:t>
      </w:r>
      <w:r>
        <w:rPr>
          <w:rFonts w:hint="eastAsia" w:ascii="宋体" w:hAnsi="宋体" w:cs="宋体"/>
          <w:color w:val="auto"/>
          <w:sz w:val="24"/>
          <w:szCs w:val="32"/>
          <w:highlight w:val="none"/>
        </w:rPr>
        <w:t>、在最大限度地满足磋商文件实质性要求前提下，磋商小组按照磋商文件中规定的各项因素进行综合评审后，以评审总得分最高的供应商为成交候选供应商。</w:t>
      </w:r>
    </w:p>
    <w:p w14:paraId="540E7562">
      <w:pPr>
        <w:shd w:val="clea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eastAsia="zh-CN"/>
        </w:rPr>
        <w:t>五</w:t>
      </w:r>
      <w:r>
        <w:rPr>
          <w:rFonts w:hint="eastAsia" w:ascii="宋体" w:hAnsi="宋体" w:cs="宋体"/>
          <w:color w:val="auto"/>
          <w:sz w:val="24"/>
          <w:szCs w:val="32"/>
          <w:highlight w:val="none"/>
        </w:rPr>
        <w:t>、如综合得分相同，最后报价低者为先；如综合得分且最后报价相同的，服务类采购项目以实力信誉及业绩得分较高者为先。</w:t>
      </w:r>
    </w:p>
    <w:p w14:paraId="51C4773E">
      <w:pPr>
        <w:shd w:val="clear"/>
        <w:spacing w:line="360" w:lineRule="auto"/>
        <w:ind w:firstLine="480" w:firstLineChars="200"/>
        <w:rPr>
          <w:rFonts w:hint="eastAsia" w:ascii="宋体" w:hAnsi="宋体" w:cs="宋体"/>
          <w:color w:val="auto"/>
          <w:sz w:val="24"/>
          <w:szCs w:val="32"/>
          <w:highlight w:val="none"/>
          <w:lang w:val="zh-CN"/>
        </w:rPr>
      </w:pPr>
      <w:r>
        <w:rPr>
          <w:rFonts w:hint="eastAsia" w:ascii="宋体" w:hAnsi="宋体" w:cs="宋体"/>
          <w:color w:val="auto"/>
          <w:sz w:val="24"/>
          <w:szCs w:val="32"/>
          <w:highlight w:val="none"/>
          <w:lang w:eastAsia="zh-CN"/>
        </w:rPr>
        <w:t>六</w:t>
      </w:r>
      <w:r>
        <w:rPr>
          <w:rFonts w:hint="eastAsia" w:ascii="宋体" w:hAnsi="宋体" w:cs="宋体"/>
          <w:color w:val="auto"/>
          <w:sz w:val="24"/>
          <w:szCs w:val="32"/>
          <w:highlight w:val="none"/>
        </w:rPr>
        <w:t>、本次评分具体分值细化条款如下表</w:t>
      </w:r>
      <w:r>
        <w:rPr>
          <w:rFonts w:hint="eastAsia" w:ascii="宋体" w:hAnsi="宋体" w:cs="宋体"/>
          <w:color w:val="auto"/>
          <w:sz w:val="24"/>
          <w:szCs w:val="32"/>
          <w:highlight w:val="none"/>
          <w:lang w:val="zh-CN"/>
        </w:rPr>
        <w:t>：</w:t>
      </w:r>
    </w:p>
    <w:p w14:paraId="53210800">
      <w:pPr>
        <w:spacing w:line="300" w:lineRule="exact"/>
        <w:ind w:firstLine="422" w:firstLineChars="200"/>
        <w:jc w:val="center"/>
        <w:rPr>
          <w:rFonts w:ascii="宋体" w:hAnsi="宋体" w:cs="宋体"/>
          <w:b/>
          <w:szCs w:val="21"/>
          <w:highlight w:val="none"/>
        </w:rPr>
      </w:pPr>
      <w:r>
        <w:rPr>
          <w:rFonts w:hint="eastAsia" w:ascii="宋体" w:hAnsi="宋体" w:cs="宋体"/>
          <w:b/>
          <w:szCs w:val="21"/>
          <w:highlight w:val="none"/>
        </w:rPr>
        <w:t>评标打分标准</w:t>
      </w:r>
    </w:p>
    <w:tbl>
      <w:tblPr>
        <w:tblStyle w:val="28"/>
        <w:tblpPr w:leftFromText="180" w:rightFromText="180" w:vertAnchor="text" w:horzAnchor="page" w:tblpXSpec="center" w:tblpY="153"/>
        <w:tblOverlap w:val="never"/>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0"/>
        <w:gridCol w:w="6843"/>
        <w:gridCol w:w="817"/>
      </w:tblGrid>
      <w:tr w14:paraId="00B4B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34" w:type="dxa"/>
            <w:shd w:val="clear" w:color="auto" w:fill="FFFFFF"/>
            <w:vAlign w:val="center"/>
          </w:tcPr>
          <w:p w14:paraId="14C9A4EC">
            <w:pPr>
              <w:spacing w:line="360" w:lineRule="auto"/>
              <w:jc w:val="center"/>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cs="宋体"/>
                <w:b/>
                <w:bCs/>
                <w:color w:val="000000" w:themeColor="text1"/>
                <w:sz w:val="22"/>
                <w:szCs w:val="22"/>
                <w:highlight w:val="none"/>
                <w:lang w:eastAsia="zh-CN"/>
                <w14:textFill>
                  <w14:solidFill>
                    <w14:schemeClr w14:val="tx1"/>
                  </w14:solidFill>
                </w14:textFill>
              </w:rPr>
              <w:t>序号</w:t>
            </w:r>
          </w:p>
        </w:tc>
        <w:tc>
          <w:tcPr>
            <w:tcW w:w="1270" w:type="dxa"/>
            <w:shd w:val="clear" w:color="auto" w:fill="FFFFFF"/>
            <w:vAlign w:val="center"/>
          </w:tcPr>
          <w:p w14:paraId="3BAD09C4">
            <w:pPr>
              <w:spacing w:line="360" w:lineRule="auto"/>
              <w:jc w:val="center"/>
              <w:rPr>
                <w:rFonts w:hint="eastAsia"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评审项目</w:t>
            </w:r>
          </w:p>
        </w:tc>
        <w:tc>
          <w:tcPr>
            <w:tcW w:w="6843" w:type="dxa"/>
            <w:shd w:val="clear" w:color="auto" w:fill="FFFFFF"/>
            <w:vAlign w:val="center"/>
          </w:tcPr>
          <w:p w14:paraId="68D112DC">
            <w:pPr>
              <w:spacing w:line="360" w:lineRule="auto"/>
              <w:jc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评审标准</w:t>
            </w:r>
          </w:p>
        </w:tc>
        <w:tc>
          <w:tcPr>
            <w:tcW w:w="817" w:type="dxa"/>
            <w:shd w:val="clear" w:color="auto" w:fill="FFFFFF"/>
            <w:vAlign w:val="center"/>
          </w:tcPr>
          <w:p w14:paraId="5014F50B">
            <w:pPr>
              <w:spacing w:line="360" w:lineRule="auto"/>
              <w:jc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分值</w:t>
            </w:r>
          </w:p>
        </w:tc>
      </w:tr>
      <w:tr w14:paraId="0DB6E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shd w:val="clear" w:color="auto" w:fill="FFFFFF"/>
            <w:vAlign w:val="center"/>
          </w:tcPr>
          <w:p w14:paraId="46B7C2B7">
            <w:pPr>
              <w:spacing w:line="360" w:lineRule="auto"/>
              <w:jc w:val="center"/>
              <w:rPr>
                <w:rFonts w:hint="eastAsia" w:ascii="宋体" w:hAnsi="宋体" w:eastAsia="宋体" w:cs="宋体"/>
                <w:b w:val="0"/>
                <w:bCs w:val="0"/>
                <w:color w:val="000000" w:themeColor="text1"/>
                <w:kern w:val="0"/>
                <w:sz w:val="22"/>
                <w:szCs w:val="22"/>
                <w:highlight w:val="none"/>
                <w:lang w:val="en-US" w:eastAsia="zh-CN"/>
                <w14:textFill>
                  <w14:solidFill>
                    <w14:schemeClr w14:val="tx1"/>
                  </w14:solidFill>
                </w14:textFill>
              </w:rPr>
            </w:pPr>
            <w:r>
              <w:rPr>
                <w:rFonts w:hint="eastAsia" w:ascii="宋体" w:hAnsi="宋体" w:cs="宋体"/>
                <w:b w:val="0"/>
                <w:bCs w:val="0"/>
                <w:color w:val="000000" w:themeColor="text1"/>
                <w:kern w:val="0"/>
                <w:sz w:val="22"/>
                <w:szCs w:val="22"/>
                <w:highlight w:val="none"/>
                <w:lang w:val="en-US" w:eastAsia="zh-CN"/>
                <w14:textFill>
                  <w14:solidFill>
                    <w14:schemeClr w14:val="tx1"/>
                  </w14:solidFill>
                </w14:textFill>
              </w:rPr>
              <w:t>1</w:t>
            </w:r>
          </w:p>
        </w:tc>
        <w:tc>
          <w:tcPr>
            <w:tcW w:w="1270" w:type="dxa"/>
            <w:shd w:val="clear" w:color="auto" w:fill="FFFFFF"/>
            <w:vAlign w:val="center"/>
          </w:tcPr>
          <w:p w14:paraId="2B61BC49">
            <w:pPr>
              <w:spacing w:line="360" w:lineRule="auto"/>
              <w:jc w:val="center"/>
              <w:rPr>
                <w:rFonts w:hint="eastAsia" w:eastAsia="宋体"/>
                <w:szCs w:val="20"/>
                <w:highlight w:val="none"/>
                <w:lang w:eastAsia="zh-CN"/>
              </w:rPr>
            </w:pPr>
            <w:r>
              <w:rPr>
                <w:rFonts w:hint="eastAsia"/>
                <w:szCs w:val="20"/>
                <w:highlight w:val="none"/>
                <w:lang w:eastAsia="zh-CN"/>
              </w:rPr>
              <w:t>业绩</w:t>
            </w:r>
          </w:p>
        </w:tc>
        <w:tc>
          <w:tcPr>
            <w:tcW w:w="6843" w:type="dxa"/>
            <w:shd w:val="clear" w:color="auto" w:fill="auto"/>
            <w:vAlign w:val="center"/>
          </w:tcPr>
          <w:p w14:paraId="1D81AAD2">
            <w:pPr>
              <w:widowControl/>
              <w:spacing w:line="360" w:lineRule="auto"/>
              <w:jc w:val="left"/>
              <w:textAlignment w:val="center"/>
              <w:rPr>
                <w:rFonts w:hint="eastAsia"/>
                <w:highlight w:val="none"/>
              </w:rPr>
            </w:pPr>
            <w:r>
              <w:rPr>
                <w:rFonts w:hint="eastAsia"/>
                <w:highlight w:val="none"/>
                <w:lang w:eastAsia="zh-CN"/>
              </w:rPr>
              <w:t>供应商</w:t>
            </w:r>
            <w:r>
              <w:rPr>
                <w:rFonts w:hint="eastAsia"/>
                <w:highlight w:val="none"/>
              </w:rPr>
              <w:t>提供自20</w:t>
            </w:r>
            <w:r>
              <w:rPr>
                <w:rFonts w:hint="eastAsia"/>
                <w:highlight w:val="none"/>
                <w:lang w:val="en-US" w:eastAsia="zh-CN"/>
              </w:rPr>
              <w:t>22</w:t>
            </w:r>
            <w:r>
              <w:rPr>
                <w:rFonts w:hint="eastAsia"/>
                <w:highlight w:val="none"/>
              </w:rPr>
              <w:t>年1月1日至今</w:t>
            </w:r>
            <w:r>
              <w:rPr>
                <w:rFonts w:hint="eastAsia"/>
                <w:highlight w:val="none"/>
                <w:lang w:eastAsia="zh-CN"/>
              </w:rPr>
              <w:t>（以合同签订时间为准）承接</w:t>
            </w:r>
            <w:r>
              <w:rPr>
                <w:rFonts w:hint="eastAsia"/>
                <w:highlight w:val="none"/>
              </w:rPr>
              <w:t>同类项目业绩，每提供一个业绩得</w:t>
            </w:r>
            <w:r>
              <w:rPr>
                <w:rFonts w:hint="eastAsia"/>
                <w:highlight w:val="none"/>
                <w:lang w:val="en-US" w:eastAsia="zh-CN"/>
              </w:rPr>
              <w:t>0.2</w:t>
            </w:r>
            <w:r>
              <w:rPr>
                <w:rFonts w:hint="eastAsia"/>
                <w:highlight w:val="none"/>
              </w:rPr>
              <w:t>分，最高得</w:t>
            </w:r>
            <w:r>
              <w:rPr>
                <w:rFonts w:hint="eastAsia"/>
                <w:highlight w:val="none"/>
                <w:lang w:val="en-US" w:eastAsia="zh-CN"/>
              </w:rPr>
              <w:t>1</w:t>
            </w:r>
            <w:r>
              <w:rPr>
                <w:rFonts w:hint="eastAsia"/>
                <w:highlight w:val="none"/>
              </w:rPr>
              <w:t>分。</w:t>
            </w:r>
          </w:p>
          <w:p w14:paraId="7910E444">
            <w:pPr>
              <w:pStyle w:val="9"/>
              <w:spacing w:line="360" w:lineRule="auto"/>
              <w:ind w:left="0" w:leftChars="0" w:firstLine="0" w:firstLineChars="0"/>
              <w:rPr>
                <w:rFonts w:hint="eastAsia" w:eastAsia="宋体"/>
                <w:highlight w:val="none"/>
                <w:lang w:eastAsia="zh-CN"/>
              </w:rPr>
            </w:pPr>
            <w:r>
              <w:rPr>
                <w:rFonts w:hint="eastAsia"/>
                <w:b/>
                <w:bCs/>
                <w:szCs w:val="20"/>
                <w:highlight w:val="none"/>
                <w:lang w:eastAsia="zh-CN"/>
              </w:rPr>
              <w:t>合同及相关发票影印件制作在投标文件中，未同时提供不得分。</w:t>
            </w:r>
          </w:p>
        </w:tc>
        <w:tc>
          <w:tcPr>
            <w:tcW w:w="817" w:type="dxa"/>
            <w:shd w:val="clear" w:color="auto" w:fill="FFFFFF"/>
            <w:vAlign w:val="center"/>
          </w:tcPr>
          <w:p w14:paraId="0BBF4A4F">
            <w:pPr>
              <w:widowControl/>
              <w:spacing w:line="360" w:lineRule="auto"/>
              <w:jc w:val="center"/>
              <w:textAlignment w:val="center"/>
              <w:rPr>
                <w:rFonts w:hint="eastAsia" w:ascii="宋体" w:hAnsi="宋体" w:eastAsia="宋体" w:cs="宋体"/>
                <w:sz w:val="22"/>
                <w:szCs w:val="22"/>
                <w:highlight w:val="none"/>
                <w:lang w:eastAsia="zh-CN"/>
              </w:rPr>
            </w:pPr>
            <w:r>
              <w:rPr>
                <w:rFonts w:hint="eastAsia" w:ascii="宋体" w:hAnsi="宋体" w:cs="宋体"/>
                <w:sz w:val="22"/>
                <w:szCs w:val="22"/>
                <w:highlight w:val="none"/>
                <w:lang w:val="en-US" w:eastAsia="zh-CN"/>
              </w:rPr>
              <w:t>1</w:t>
            </w:r>
          </w:p>
        </w:tc>
      </w:tr>
      <w:tr w14:paraId="18E9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34" w:type="dxa"/>
            <w:shd w:val="clear" w:color="auto" w:fill="auto"/>
            <w:vAlign w:val="center"/>
          </w:tcPr>
          <w:p w14:paraId="4C233D65">
            <w:pPr>
              <w:widowControl/>
              <w:spacing w:line="360" w:lineRule="auto"/>
              <w:jc w:val="center"/>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2</w:t>
            </w:r>
          </w:p>
        </w:tc>
        <w:tc>
          <w:tcPr>
            <w:tcW w:w="1270" w:type="dxa"/>
            <w:shd w:val="clear" w:color="auto" w:fill="auto"/>
            <w:vAlign w:val="center"/>
          </w:tcPr>
          <w:p w14:paraId="7B53F639">
            <w:pPr>
              <w:spacing w:line="360"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项目的理解</w:t>
            </w:r>
          </w:p>
        </w:tc>
        <w:tc>
          <w:tcPr>
            <w:tcW w:w="6843" w:type="dxa"/>
            <w:shd w:val="clear" w:color="auto" w:fill="FFFFFF"/>
          </w:tcPr>
          <w:p w14:paraId="1A92D9F5">
            <w:pPr>
              <w:numPr>
                <w:ilvl w:val="0"/>
                <w:numId w:val="0"/>
              </w:numPr>
              <w:spacing w:line="360" w:lineRule="auto"/>
              <w:ind w:leftChars="0"/>
              <w:rPr>
                <w:rFonts w:hint="eastAsia"/>
                <w:highlight w:val="none"/>
              </w:rPr>
            </w:pPr>
            <w:r>
              <w:rPr>
                <w:rFonts w:hint="eastAsia"/>
                <w:highlight w:val="none"/>
                <w:lang w:val="en-US" w:eastAsia="zh-CN"/>
              </w:rPr>
              <w:t>1、</w:t>
            </w:r>
            <w:r>
              <w:rPr>
                <w:rFonts w:hint="eastAsia"/>
                <w:highlight w:val="none"/>
              </w:rPr>
              <w:t>供应商对本项目熟悉程度、理解及项目重点和难点的分析所采取的措施等进行综合评审：</w:t>
            </w:r>
          </w:p>
          <w:p w14:paraId="580293C1">
            <w:pPr>
              <w:numPr>
                <w:ilvl w:val="0"/>
                <w:numId w:val="9"/>
              </w:numPr>
              <w:spacing w:line="360" w:lineRule="auto"/>
              <w:ind w:left="0" w:leftChars="0" w:firstLineChars="0"/>
              <w:rPr>
                <w:rFonts w:hint="eastAsia"/>
                <w:highlight w:val="none"/>
              </w:rPr>
            </w:pPr>
            <w:r>
              <w:rPr>
                <w:rFonts w:hint="eastAsia"/>
                <w:highlight w:val="none"/>
              </w:rPr>
              <w:t>熟悉程度深入，重点和难点分析合理</w:t>
            </w:r>
            <w:r>
              <w:rPr>
                <w:rFonts w:hint="eastAsia"/>
                <w:highlight w:val="none"/>
                <w:lang w:eastAsia="zh-CN"/>
              </w:rPr>
              <w:t>，</w:t>
            </w:r>
            <w:r>
              <w:rPr>
                <w:rFonts w:hint="eastAsia"/>
                <w:highlight w:val="none"/>
              </w:rPr>
              <w:t>得</w:t>
            </w:r>
            <w:r>
              <w:rPr>
                <w:rFonts w:hint="eastAsia"/>
                <w:highlight w:val="none"/>
                <w:lang w:val="en-US" w:eastAsia="zh-CN"/>
              </w:rPr>
              <w:t>6</w:t>
            </w:r>
            <w:r>
              <w:rPr>
                <w:rFonts w:hint="eastAsia"/>
                <w:highlight w:val="none"/>
              </w:rPr>
              <w:t>分</w:t>
            </w:r>
            <w:r>
              <w:rPr>
                <w:rFonts w:hint="eastAsia"/>
                <w:highlight w:val="none"/>
                <w:lang w:eastAsia="zh-CN"/>
              </w:rPr>
              <w:t>；</w:t>
            </w:r>
          </w:p>
          <w:p w14:paraId="1B8CB509">
            <w:pPr>
              <w:numPr>
                <w:ilvl w:val="0"/>
                <w:numId w:val="9"/>
              </w:numPr>
              <w:spacing w:line="360" w:lineRule="auto"/>
              <w:ind w:left="0" w:leftChars="0" w:firstLineChars="0"/>
              <w:rPr>
                <w:rFonts w:hint="eastAsia"/>
                <w:highlight w:val="none"/>
              </w:rPr>
            </w:pPr>
            <w:r>
              <w:rPr>
                <w:rFonts w:hint="eastAsia"/>
                <w:highlight w:val="none"/>
              </w:rPr>
              <w:t>熟悉程度较深入，重点和难点分析比较合理</w:t>
            </w:r>
            <w:r>
              <w:rPr>
                <w:rFonts w:hint="eastAsia"/>
                <w:highlight w:val="none"/>
                <w:lang w:eastAsia="zh-CN"/>
              </w:rPr>
              <w:t>，</w:t>
            </w:r>
            <w:r>
              <w:rPr>
                <w:rFonts w:hint="eastAsia"/>
                <w:highlight w:val="none"/>
              </w:rPr>
              <w:t>得</w:t>
            </w:r>
            <w:r>
              <w:rPr>
                <w:rFonts w:hint="eastAsia"/>
                <w:highlight w:val="none"/>
                <w:lang w:val="en-US" w:eastAsia="zh-CN"/>
              </w:rPr>
              <w:t>4.5</w:t>
            </w:r>
            <w:r>
              <w:rPr>
                <w:rFonts w:hint="eastAsia"/>
                <w:highlight w:val="none"/>
              </w:rPr>
              <w:t>分；</w:t>
            </w:r>
          </w:p>
          <w:p w14:paraId="78136981">
            <w:pPr>
              <w:numPr>
                <w:ilvl w:val="0"/>
                <w:numId w:val="9"/>
              </w:numPr>
              <w:spacing w:line="360" w:lineRule="auto"/>
              <w:ind w:left="0" w:leftChars="0" w:firstLineChars="0"/>
              <w:rPr>
                <w:rFonts w:hint="eastAsia"/>
                <w:highlight w:val="none"/>
              </w:rPr>
            </w:pPr>
            <w:r>
              <w:rPr>
                <w:rFonts w:hint="eastAsia"/>
                <w:highlight w:val="none"/>
              </w:rPr>
              <w:t>熟悉程度深入性一般，重点和难点分析基本合理</w:t>
            </w:r>
            <w:r>
              <w:rPr>
                <w:rFonts w:hint="eastAsia"/>
                <w:highlight w:val="none"/>
                <w:lang w:eastAsia="zh-CN"/>
              </w:rPr>
              <w:t>，</w:t>
            </w:r>
            <w:r>
              <w:rPr>
                <w:rFonts w:hint="eastAsia"/>
                <w:highlight w:val="none"/>
              </w:rPr>
              <w:t>得</w:t>
            </w:r>
            <w:r>
              <w:rPr>
                <w:rFonts w:hint="eastAsia"/>
                <w:highlight w:val="none"/>
                <w:lang w:val="en-US" w:eastAsia="zh-CN"/>
              </w:rPr>
              <w:t>3</w:t>
            </w:r>
            <w:r>
              <w:rPr>
                <w:rFonts w:hint="eastAsia"/>
                <w:highlight w:val="none"/>
              </w:rPr>
              <w:t>分；</w:t>
            </w:r>
          </w:p>
          <w:p w14:paraId="1979408E">
            <w:pPr>
              <w:numPr>
                <w:ilvl w:val="0"/>
                <w:numId w:val="9"/>
              </w:numPr>
              <w:spacing w:line="360" w:lineRule="auto"/>
              <w:ind w:left="0" w:leftChars="0" w:firstLineChars="0"/>
              <w:rPr>
                <w:rFonts w:hint="eastAsia"/>
                <w:highlight w:val="none"/>
              </w:rPr>
            </w:pPr>
            <w:r>
              <w:rPr>
                <w:rFonts w:hint="eastAsia"/>
                <w:highlight w:val="none"/>
              </w:rPr>
              <w:t>熟悉程度不够深入，重点和难点分析不够完整</w:t>
            </w:r>
            <w:r>
              <w:rPr>
                <w:rFonts w:hint="eastAsia"/>
                <w:highlight w:val="none"/>
                <w:lang w:eastAsia="zh-CN"/>
              </w:rPr>
              <w:t>，</w:t>
            </w:r>
            <w:r>
              <w:rPr>
                <w:rFonts w:hint="eastAsia"/>
                <w:highlight w:val="none"/>
              </w:rPr>
              <w:t>得</w:t>
            </w:r>
            <w:r>
              <w:rPr>
                <w:rFonts w:hint="eastAsia"/>
                <w:highlight w:val="none"/>
                <w:lang w:val="en-US" w:eastAsia="zh-CN"/>
              </w:rPr>
              <w:t>1.5</w:t>
            </w:r>
            <w:r>
              <w:rPr>
                <w:rFonts w:hint="eastAsia"/>
                <w:highlight w:val="none"/>
              </w:rPr>
              <w:t>分</w:t>
            </w:r>
            <w:r>
              <w:rPr>
                <w:rFonts w:hint="eastAsia" w:ascii="Times New Roman" w:hAnsi="Times New Roman" w:eastAsia="宋体" w:cs="Times New Roman"/>
                <w:highlight w:val="none"/>
              </w:rPr>
              <w:t>。</w:t>
            </w:r>
            <w:r>
              <w:rPr>
                <w:rFonts w:hint="eastAsia"/>
                <w:highlight w:val="none"/>
              </w:rPr>
              <w:t>（未提供对应方案不得分）</w:t>
            </w:r>
          </w:p>
          <w:p w14:paraId="435D9E30">
            <w:pPr>
              <w:numPr>
                <w:ilvl w:val="0"/>
                <w:numId w:val="0"/>
              </w:numPr>
              <w:spacing w:line="360" w:lineRule="auto"/>
              <w:ind w:leftChars="0"/>
              <w:rPr>
                <w:rFonts w:hint="eastAsia" w:ascii="Times New Roman" w:hAnsi="Times New Roman" w:eastAsia="宋体" w:cs="Times New Roman"/>
                <w:highlight w:val="none"/>
              </w:rPr>
            </w:pPr>
            <w:r>
              <w:rPr>
                <w:rFonts w:hint="eastAsia"/>
                <w:highlight w:val="none"/>
                <w:lang w:val="en-US" w:eastAsia="zh-CN"/>
              </w:rPr>
              <w:t>2</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rPr>
              <w:t>供应商对本项目重点和难点所采取的措施等进行综合评审：</w:t>
            </w:r>
          </w:p>
          <w:p w14:paraId="496DFCB7">
            <w:pPr>
              <w:numPr>
                <w:ilvl w:val="0"/>
                <w:numId w:val="0"/>
              </w:numPr>
              <w:spacing w:line="360" w:lineRule="auto"/>
              <w:ind w:leftChars="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rPr>
              <w:t>采取的计划和措施可行性强，得</w:t>
            </w:r>
            <w:r>
              <w:rPr>
                <w:rFonts w:hint="eastAsia" w:cs="Times New Roman"/>
                <w:highlight w:val="none"/>
                <w:lang w:val="en-US" w:eastAsia="zh-CN"/>
              </w:rPr>
              <w:t>6</w:t>
            </w:r>
            <w:r>
              <w:rPr>
                <w:rFonts w:hint="eastAsia" w:ascii="Times New Roman" w:hAnsi="Times New Roman" w:eastAsia="宋体" w:cs="Times New Roman"/>
                <w:highlight w:val="none"/>
              </w:rPr>
              <w:t>分</w:t>
            </w:r>
            <w:r>
              <w:rPr>
                <w:rFonts w:hint="eastAsia" w:ascii="Times New Roman" w:hAnsi="Times New Roman" w:eastAsia="宋体" w:cs="Times New Roman"/>
                <w:highlight w:val="none"/>
                <w:lang w:eastAsia="zh-CN"/>
              </w:rPr>
              <w:t>；</w:t>
            </w:r>
          </w:p>
          <w:p w14:paraId="4E303521">
            <w:pPr>
              <w:numPr>
                <w:ilvl w:val="0"/>
                <w:numId w:val="0"/>
              </w:numPr>
              <w:spacing w:line="360" w:lineRule="auto"/>
              <w:ind w:leftChars="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rPr>
              <w:t>采取的计划和措施可行 性比较强，得</w:t>
            </w:r>
            <w:r>
              <w:rPr>
                <w:rFonts w:hint="eastAsia" w:cs="Times New Roman"/>
                <w:highlight w:val="none"/>
                <w:lang w:val="en-US" w:eastAsia="zh-CN"/>
              </w:rPr>
              <w:t>4.5</w:t>
            </w:r>
            <w:r>
              <w:rPr>
                <w:rFonts w:hint="eastAsia" w:ascii="Times New Roman" w:hAnsi="Times New Roman" w:eastAsia="宋体" w:cs="Times New Roman"/>
                <w:highlight w:val="none"/>
              </w:rPr>
              <w:t>分；</w:t>
            </w:r>
          </w:p>
          <w:p w14:paraId="5F7D22A0">
            <w:pPr>
              <w:numPr>
                <w:ilvl w:val="0"/>
                <w:numId w:val="0"/>
              </w:numPr>
              <w:spacing w:line="360" w:lineRule="auto"/>
              <w:ind w:leftChars="0"/>
              <w:rPr>
                <w:rFonts w:hint="eastAsia" w:ascii="Times New Roman" w:hAnsi="Times New Roman" w:eastAsia="宋体" w:cs="Times New Roman"/>
                <w:highlight w:val="none"/>
              </w:rPr>
            </w:pPr>
            <w:r>
              <w:rPr>
                <w:rFonts w:hint="eastAsia" w:ascii="Times New Roman" w:hAnsi="Times New Roman" w:eastAsia="宋体" w:cs="Times New Roman"/>
                <w:highlight w:val="none"/>
                <w:lang w:val="en-US" w:eastAsia="zh-CN"/>
              </w:rPr>
              <w:t>（3）</w:t>
            </w:r>
            <w:r>
              <w:rPr>
                <w:rFonts w:hint="eastAsia" w:ascii="Times New Roman" w:hAnsi="Times New Roman" w:eastAsia="宋体" w:cs="Times New Roman"/>
                <w:highlight w:val="none"/>
              </w:rPr>
              <w:t>采取的计划和措施具有可行性，得</w:t>
            </w:r>
            <w:r>
              <w:rPr>
                <w:rFonts w:hint="eastAsia" w:cs="Times New Roman"/>
                <w:highlight w:val="none"/>
                <w:lang w:val="en-US" w:eastAsia="zh-CN"/>
              </w:rPr>
              <w:t>3</w:t>
            </w:r>
            <w:r>
              <w:rPr>
                <w:rFonts w:hint="eastAsia" w:ascii="Times New Roman" w:hAnsi="Times New Roman" w:eastAsia="宋体" w:cs="Times New Roman"/>
                <w:highlight w:val="none"/>
              </w:rPr>
              <w:t>分；</w:t>
            </w:r>
          </w:p>
          <w:p w14:paraId="2D47B827">
            <w:pPr>
              <w:numPr>
                <w:ilvl w:val="0"/>
                <w:numId w:val="0"/>
              </w:numPr>
              <w:spacing w:line="360" w:lineRule="auto"/>
              <w:ind w:leftChars="0"/>
              <w:rPr>
                <w:highlight w:val="none"/>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4）</w:t>
            </w:r>
            <w:r>
              <w:rPr>
                <w:rFonts w:hint="eastAsia" w:ascii="Times New Roman" w:hAnsi="Times New Roman" w:eastAsia="宋体" w:cs="Times New Roman"/>
                <w:highlight w:val="none"/>
              </w:rPr>
              <w:t>采取的计划和措施 可行性一般，得</w:t>
            </w:r>
            <w:r>
              <w:rPr>
                <w:rFonts w:hint="eastAsia" w:cs="Times New Roman"/>
                <w:highlight w:val="none"/>
                <w:lang w:val="en-US" w:eastAsia="zh-CN"/>
              </w:rPr>
              <w:t>1.5</w:t>
            </w:r>
            <w:r>
              <w:rPr>
                <w:rFonts w:hint="eastAsia" w:ascii="Times New Roman" w:hAnsi="Times New Roman" w:eastAsia="宋体" w:cs="Times New Roman"/>
                <w:highlight w:val="none"/>
              </w:rPr>
              <w:t>分。</w:t>
            </w:r>
            <w:r>
              <w:rPr>
                <w:rFonts w:hint="eastAsia"/>
                <w:highlight w:val="none"/>
              </w:rPr>
              <w:t>（未提供对应方案不得分）</w:t>
            </w:r>
          </w:p>
        </w:tc>
        <w:tc>
          <w:tcPr>
            <w:tcW w:w="817" w:type="dxa"/>
            <w:shd w:val="clear" w:color="auto" w:fill="FFFFFF"/>
            <w:vAlign w:val="center"/>
          </w:tcPr>
          <w:p w14:paraId="320C17CA">
            <w:pPr>
              <w:spacing w:line="360" w:lineRule="auto"/>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12</w:t>
            </w:r>
          </w:p>
        </w:tc>
      </w:tr>
      <w:tr w14:paraId="15AFE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shd w:val="clear" w:color="auto" w:fill="auto"/>
            <w:vAlign w:val="center"/>
          </w:tcPr>
          <w:p w14:paraId="40F7FAE0">
            <w:pPr>
              <w:widowControl/>
              <w:spacing w:line="360" w:lineRule="auto"/>
              <w:jc w:val="center"/>
              <w:rPr>
                <w:rFonts w:hint="eastAsia"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3</w:t>
            </w:r>
          </w:p>
        </w:tc>
        <w:tc>
          <w:tcPr>
            <w:tcW w:w="1270" w:type="dxa"/>
            <w:shd w:val="clear" w:color="auto" w:fill="auto"/>
            <w:vAlign w:val="center"/>
          </w:tcPr>
          <w:p w14:paraId="6A5936AE">
            <w:pPr>
              <w:spacing w:line="360" w:lineRule="auto"/>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服务方案</w:t>
            </w:r>
          </w:p>
        </w:tc>
        <w:tc>
          <w:tcPr>
            <w:tcW w:w="6843" w:type="dxa"/>
            <w:shd w:val="clear" w:color="auto" w:fill="FFFFFF"/>
          </w:tcPr>
          <w:p w14:paraId="74E4F53D">
            <w:pPr>
              <w:numPr>
                <w:ilvl w:val="0"/>
                <w:numId w:val="0"/>
              </w:numPr>
              <w:spacing w:line="360" w:lineRule="auto"/>
              <w:ind w:leftChars="0"/>
              <w:rPr>
                <w:rFonts w:hint="eastAsia"/>
                <w:b w:val="0"/>
                <w:bCs w:val="0"/>
                <w:highlight w:val="none"/>
              </w:rPr>
            </w:pPr>
            <w:r>
              <w:rPr>
                <w:rFonts w:hint="eastAsia"/>
                <w:b w:val="0"/>
                <w:bCs w:val="0"/>
                <w:highlight w:val="none"/>
                <w:lang w:val="en-US" w:eastAsia="zh-CN"/>
              </w:rPr>
              <w:t xml:space="preserve">针对供应商对本项目提供的服务内容、服务流程、管理服务架构、方法等方案是否合理、可行、适用、易于实施等方面进行评审： </w:t>
            </w:r>
          </w:p>
          <w:p w14:paraId="46B3CA33">
            <w:pPr>
              <w:numPr>
                <w:ilvl w:val="0"/>
                <w:numId w:val="0"/>
              </w:numPr>
              <w:spacing w:line="360" w:lineRule="auto"/>
              <w:ind w:leftChars="0"/>
              <w:rPr>
                <w:rFonts w:hint="eastAsia"/>
                <w:b w:val="0"/>
                <w:bCs w:val="0"/>
                <w:highlight w:val="none"/>
              </w:rPr>
            </w:pPr>
            <w:r>
              <w:rPr>
                <w:rFonts w:hint="eastAsia"/>
                <w:b w:val="0"/>
                <w:bCs w:val="0"/>
                <w:highlight w:val="none"/>
                <w:lang w:val="en-US" w:eastAsia="zh-CN"/>
              </w:rPr>
              <w:t xml:space="preserve">（1）服务方案内容全面、制定内容详细、合理，考虑周全且易于实施得8分； </w:t>
            </w:r>
          </w:p>
          <w:p w14:paraId="74BF01D0">
            <w:pPr>
              <w:numPr>
                <w:ilvl w:val="0"/>
                <w:numId w:val="0"/>
              </w:numPr>
              <w:spacing w:line="360" w:lineRule="auto"/>
              <w:ind w:leftChars="0"/>
              <w:rPr>
                <w:rFonts w:hint="eastAsia"/>
                <w:b w:val="0"/>
                <w:bCs w:val="0"/>
                <w:highlight w:val="none"/>
              </w:rPr>
            </w:pPr>
            <w:r>
              <w:rPr>
                <w:rFonts w:hint="eastAsia"/>
                <w:b w:val="0"/>
                <w:bCs w:val="0"/>
                <w:highlight w:val="none"/>
                <w:lang w:val="en-US" w:eastAsia="zh-CN"/>
              </w:rPr>
              <w:t xml:space="preserve">（2）服务方案内容全面、制定内容较详细、合理，考虑较为周全、有可操作性，得6分； </w:t>
            </w:r>
          </w:p>
          <w:p w14:paraId="1EF70058">
            <w:pPr>
              <w:numPr>
                <w:ilvl w:val="0"/>
                <w:numId w:val="0"/>
              </w:numPr>
              <w:spacing w:line="360" w:lineRule="auto"/>
              <w:ind w:leftChars="0"/>
              <w:rPr>
                <w:rFonts w:hint="eastAsia"/>
                <w:b w:val="0"/>
                <w:bCs w:val="0"/>
                <w:highlight w:val="none"/>
              </w:rPr>
            </w:pPr>
            <w:r>
              <w:rPr>
                <w:rFonts w:hint="eastAsia"/>
                <w:b w:val="0"/>
                <w:bCs w:val="0"/>
                <w:highlight w:val="none"/>
                <w:lang w:val="en-US" w:eastAsia="zh-CN"/>
              </w:rPr>
              <w:t>（3）服务方案全面性一般、制定内容详细、合理性一般，周全、可操作性一般，得4分。（未提供对应方案不得分）</w:t>
            </w:r>
          </w:p>
        </w:tc>
        <w:tc>
          <w:tcPr>
            <w:tcW w:w="817" w:type="dxa"/>
            <w:shd w:val="clear" w:color="auto" w:fill="FFFFFF"/>
            <w:vAlign w:val="center"/>
          </w:tcPr>
          <w:p w14:paraId="238D8F4C">
            <w:pPr>
              <w:spacing w:line="360" w:lineRule="auto"/>
              <w:jc w:val="center"/>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8</w:t>
            </w:r>
          </w:p>
        </w:tc>
      </w:tr>
      <w:tr w14:paraId="59845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shd w:val="clear" w:color="auto" w:fill="auto"/>
            <w:vAlign w:val="center"/>
          </w:tcPr>
          <w:p w14:paraId="6F8A0049">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4</w:t>
            </w:r>
          </w:p>
        </w:tc>
        <w:tc>
          <w:tcPr>
            <w:tcW w:w="1270" w:type="dxa"/>
            <w:shd w:val="clear" w:color="auto" w:fill="auto"/>
            <w:vAlign w:val="center"/>
          </w:tcPr>
          <w:p w14:paraId="795D4684">
            <w:pPr>
              <w:numPr>
                <w:ilvl w:val="0"/>
                <w:numId w:val="0"/>
              </w:numPr>
              <w:spacing w:line="360" w:lineRule="auto"/>
              <w:ind w:left="0" w:leftChars="0" w:firstLine="0" w:firstLineChars="0"/>
              <w:jc w:val="center"/>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szCs w:val="21"/>
                <w:highlight w:val="none"/>
                <w:lang w:eastAsia="zh-CN"/>
              </w:rPr>
              <w:t>高层建筑消防安全隐患整治方案</w:t>
            </w:r>
          </w:p>
        </w:tc>
        <w:tc>
          <w:tcPr>
            <w:tcW w:w="6843" w:type="dxa"/>
            <w:shd w:val="clear" w:color="auto" w:fill="FFFFFF"/>
            <w:vAlign w:val="center"/>
          </w:tcPr>
          <w:p w14:paraId="18D3FB87">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根据供应商制定的高层建筑消防安全隐患整治方案进行评审：</w:t>
            </w:r>
          </w:p>
          <w:p w14:paraId="23470407">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方案健全，完善合理有效，得</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p>
          <w:p w14:paraId="11192A32">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方案基本可行，得</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w:t>
            </w:r>
          </w:p>
          <w:p w14:paraId="0D2EB15A">
            <w:pPr>
              <w:spacing w:line="360" w:lineRule="auto"/>
              <w:jc w:val="left"/>
              <w:rPr>
                <w:rFonts w:hint="eastAsia"/>
                <w:b w:val="0"/>
                <w:bCs w:val="0"/>
                <w:highlight w:val="none"/>
                <w:lang w:val="en-US"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方案不够完整，得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r>
              <w:rPr>
                <w:rFonts w:hint="eastAsia"/>
                <w:b w:val="0"/>
                <w:bCs w:val="0"/>
                <w:highlight w:val="none"/>
                <w:lang w:val="en-US" w:eastAsia="zh-CN"/>
              </w:rPr>
              <w:t>（未提供对应方案不得分）</w:t>
            </w:r>
          </w:p>
        </w:tc>
        <w:tc>
          <w:tcPr>
            <w:tcW w:w="817" w:type="dxa"/>
            <w:shd w:val="clear" w:color="auto" w:fill="FFFFFF"/>
            <w:vAlign w:val="center"/>
          </w:tcPr>
          <w:p w14:paraId="00EAFCF8">
            <w:pPr>
              <w:spacing w:line="360" w:lineRule="auto"/>
              <w:jc w:val="center"/>
              <w:rPr>
                <w:rFonts w:hint="default"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w:t>
            </w:r>
          </w:p>
        </w:tc>
      </w:tr>
      <w:tr w14:paraId="69896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shd w:val="clear" w:color="auto" w:fill="auto"/>
            <w:vAlign w:val="center"/>
          </w:tcPr>
          <w:p w14:paraId="3944AB74">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5</w:t>
            </w:r>
          </w:p>
        </w:tc>
        <w:tc>
          <w:tcPr>
            <w:tcW w:w="1270" w:type="dxa"/>
            <w:shd w:val="clear" w:color="auto" w:fill="auto"/>
            <w:vAlign w:val="center"/>
          </w:tcPr>
          <w:p w14:paraId="27B43497">
            <w:pPr>
              <w:numPr>
                <w:ilvl w:val="0"/>
                <w:numId w:val="0"/>
              </w:numPr>
              <w:spacing w:line="360" w:lineRule="auto"/>
              <w:ind w:left="0" w:leftChars="0" w:firstLine="0" w:firstLineChars="0"/>
              <w:jc w:val="center"/>
              <w:rPr>
                <w:rFonts w:hint="eastAsia" w:ascii="宋体" w:hAnsi="宋体" w:cs="宋体"/>
                <w:color w:val="000000" w:themeColor="text1"/>
                <w:sz w:val="22"/>
                <w:szCs w:val="22"/>
                <w:highlight w:val="none"/>
                <w14:textFill>
                  <w14:solidFill>
                    <w14:schemeClr w14:val="tx1"/>
                  </w14:solidFill>
                </w14:textFill>
              </w:rPr>
            </w:pPr>
            <w:r>
              <w:rPr>
                <w:rFonts w:hint="eastAsia"/>
                <w:b w:val="0"/>
                <w:bCs w:val="0"/>
                <w:highlight w:val="none"/>
                <w:lang w:val="en-US" w:eastAsia="zh-CN"/>
              </w:rPr>
              <w:t>居住出租房消防安全检查方案</w:t>
            </w:r>
          </w:p>
        </w:tc>
        <w:tc>
          <w:tcPr>
            <w:tcW w:w="6843" w:type="dxa"/>
            <w:shd w:val="clear" w:color="auto" w:fill="FFFFFF"/>
            <w:vAlign w:val="center"/>
          </w:tcPr>
          <w:p w14:paraId="4EB2135F">
            <w:pPr>
              <w:spacing w:line="360" w:lineRule="auto"/>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根据供应商制定的</w:t>
            </w:r>
            <w:r>
              <w:rPr>
                <w:rFonts w:hint="eastAsia"/>
                <w:b w:val="0"/>
                <w:bCs w:val="0"/>
                <w:highlight w:val="none"/>
                <w:lang w:val="en-US" w:eastAsia="zh-CN"/>
              </w:rPr>
              <w:t>居住出租房消防安全检查方案</w:t>
            </w:r>
            <w:r>
              <w:rPr>
                <w:rFonts w:hint="eastAsia" w:ascii="宋体" w:hAnsi="宋体" w:cs="宋体"/>
                <w:color w:val="000000"/>
                <w:szCs w:val="21"/>
                <w:highlight w:val="none"/>
                <w:lang w:eastAsia="zh-CN"/>
              </w:rPr>
              <w:t>进行评审：</w:t>
            </w:r>
          </w:p>
          <w:p w14:paraId="56471BAC">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方案健全，完善合理有效，得</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p>
          <w:p w14:paraId="394BAFE6">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方案基本可行，得</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w:t>
            </w:r>
          </w:p>
          <w:p w14:paraId="565237DF">
            <w:pPr>
              <w:spacing w:line="360" w:lineRule="auto"/>
              <w:jc w:val="left"/>
              <w:rPr>
                <w:rFonts w:hint="eastAsia"/>
                <w:b w:val="0"/>
                <w:bCs w:val="0"/>
                <w:highlight w:val="none"/>
                <w:lang w:val="en-US"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方案不够完整，得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r>
              <w:rPr>
                <w:rFonts w:hint="eastAsia"/>
                <w:highlight w:val="none"/>
                <w:lang w:val="en-US" w:eastAsia="zh-CN"/>
              </w:rPr>
              <w:t>（未提供对应方案不得分）</w:t>
            </w:r>
          </w:p>
        </w:tc>
        <w:tc>
          <w:tcPr>
            <w:tcW w:w="817" w:type="dxa"/>
            <w:shd w:val="clear" w:color="auto" w:fill="FFFFFF"/>
            <w:vAlign w:val="center"/>
          </w:tcPr>
          <w:p w14:paraId="46C7CB11">
            <w:pPr>
              <w:spacing w:line="360" w:lineRule="auto"/>
              <w:jc w:val="center"/>
              <w:rPr>
                <w:rFonts w:hint="default"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w:t>
            </w:r>
          </w:p>
        </w:tc>
      </w:tr>
      <w:tr w14:paraId="27F8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shd w:val="clear" w:color="auto" w:fill="auto"/>
            <w:vAlign w:val="center"/>
          </w:tcPr>
          <w:p w14:paraId="25D5C5BA">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6</w:t>
            </w:r>
          </w:p>
        </w:tc>
        <w:tc>
          <w:tcPr>
            <w:tcW w:w="1270" w:type="dxa"/>
            <w:shd w:val="clear" w:color="auto" w:fill="auto"/>
            <w:vAlign w:val="center"/>
          </w:tcPr>
          <w:p w14:paraId="17D92271">
            <w:pPr>
              <w:spacing w:line="360" w:lineRule="auto"/>
              <w:jc w:val="center"/>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人员密集场所消防安全检查</w:t>
            </w:r>
            <w:r>
              <w:rPr>
                <w:rFonts w:hint="eastAsia" w:ascii="宋体" w:hAnsi="宋体" w:cs="宋体"/>
                <w:color w:val="000000" w:themeColor="text1"/>
                <w:sz w:val="22"/>
                <w:szCs w:val="22"/>
                <w:highlight w:val="none"/>
                <w:lang w:eastAsia="zh-CN"/>
                <w14:textFill>
                  <w14:solidFill>
                    <w14:schemeClr w14:val="tx1"/>
                  </w14:solidFill>
                </w14:textFill>
              </w:rPr>
              <w:t>方案</w:t>
            </w:r>
          </w:p>
        </w:tc>
        <w:tc>
          <w:tcPr>
            <w:tcW w:w="6843" w:type="dxa"/>
            <w:shd w:val="clear" w:color="auto" w:fill="FFFFFF"/>
          </w:tcPr>
          <w:p w14:paraId="020B6B62">
            <w:pPr>
              <w:spacing w:line="360" w:lineRule="auto"/>
              <w:jc w:val="left"/>
              <w:rPr>
                <w:rFonts w:hint="eastAsia" w:ascii="宋体" w:hAnsi="宋体" w:eastAsia="宋体" w:cs="宋体"/>
                <w:color w:val="000000"/>
                <w:szCs w:val="21"/>
                <w:highlight w:val="none"/>
                <w:lang w:eastAsia="zh-CN"/>
              </w:rPr>
            </w:pPr>
            <w:r>
              <w:rPr>
                <w:rFonts w:hint="eastAsia" w:ascii="宋体" w:hAnsi="宋体" w:cs="宋体"/>
                <w:color w:val="000000"/>
                <w:szCs w:val="21"/>
                <w:highlight w:val="none"/>
                <w:lang w:eastAsia="zh-CN"/>
              </w:rPr>
              <w:t>根据供应商制定的人员密集场所消防安全检查</w:t>
            </w:r>
            <w:r>
              <w:rPr>
                <w:rFonts w:hint="eastAsia"/>
                <w:b w:val="0"/>
                <w:bCs w:val="0"/>
                <w:highlight w:val="none"/>
                <w:lang w:val="en-US" w:eastAsia="zh-CN"/>
              </w:rPr>
              <w:t>方案</w:t>
            </w:r>
            <w:r>
              <w:rPr>
                <w:rFonts w:hint="eastAsia" w:ascii="宋体" w:hAnsi="宋体" w:cs="宋体"/>
                <w:color w:val="000000"/>
                <w:szCs w:val="21"/>
                <w:highlight w:val="none"/>
                <w:lang w:eastAsia="zh-CN"/>
              </w:rPr>
              <w:t>进行评审：</w:t>
            </w:r>
          </w:p>
          <w:p w14:paraId="2785B3E9">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方案健全，完善合理有效，得</w:t>
            </w: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分；</w:t>
            </w:r>
          </w:p>
          <w:p w14:paraId="46DE6542">
            <w:pPr>
              <w:spacing w:line="360" w:lineRule="auto"/>
              <w:jc w:val="left"/>
              <w:rPr>
                <w:rFonts w:hint="eastAsia" w:ascii="宋体" w:hAnsi="宋体" w:cs="宋体"/>
                <w:color w:val="000000"/>
                <w:szCs w:val="21"/>
                <w:highlight w:val="none"/>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方案基本可行，得</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分；</w:t>
            </w:r>
          </w:p>
          <w:p w14:paraId="3E3F56BB">
            <w:pPr>
              <w:numPr>
                <w:ilvl w:val="0"/>
                <w:numId w:val="0"/>
              </w:numPr>
              <w:spacing w:line="360" w:lineRule="auto"/>
              <w:ind w:leftChars="0"/>
              <w:rPr>
                <w:rFonts w:hint="eastAsia"/>
                <w:b w:val="0"/>
                <w:bCs w:val="0"/>
                <w:highlight w:val="none"/>
                <w:lang w:val="en-US" w:eastAsia="zh-CN"/>
              </w:rPr>
            </w:pP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方案不够完整，得</w:t>
            </w: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分。</w:t>
            </w:r>
            <w:r>
              <w:rPr>
                <w:rFonts w:hint="eastAsia"/>
                <w:highlight w:val="none"/>
                <w:lang w:val="en-US" w:eastAsia="zh-CN"/>
              </w:rPr>
              <w:t>（未提供对应方案不得分）</w:t>
            </w:r>
          </w:p>
        </w:tc>
        <w:tc>
          <w:tcPr>
            <w:tcW w:w="817" w:type="dxa"/>
            <w:shd w:val="clear" w:color="auto" w:fill="FFFFFF"/>
            <w:vAlign w:val="center"/>
          </w:tcPr>
          <w:p w14:paraId="4D0DC6CA">
            <w:pPr>
              <w:spacing w:line="360" w:lineRule="auto"/>
              <w:jc w:val="center"/>
              <w:rPr>
                <w:rFonts w:hint="default"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w:t>
            </w:r>
          </w:p>
        </w:tc>
      </w:tr>
      <w:tr w14:paraId="3DC0B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 w:type="dxa"/>
            <w:shd w:val="clear" w:color="auto" w:fill="auto"/>
            <w:vAlign w:val="center"/>
          </w:tcPr>
          <w:p w14:paraId="5F28B821">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7</w:t>
            </w:r>
          </w:p>
        </w:tc>
        <w:tc>
          <w:tcPr>
            <w:tcW w:w="1270" w:type="dxa"/>
            <w:shd w:val="clear" w:color="auto" w:fill="auto"/>
            <w:vAlign w:val="center"/>
          </w:tcPr>
          <w:p w14:paraId="644CD03A">
            <w:pPr>
              <w:spacing w:line="360" w:lineRule="auto"/>
              <w:jc w:val="center"/>
              <w:rPr>
                <w:rFonts w:hint="eastAsia" w:ascii="宋体" w:hAnsi="宋体" w:cs="宋体"/>
                <w:color w:val="000000" w:themeColor="text1"/>
                <w:sz w:val="22"/>
                <w:szCs w:val="22"/>
                <w:highlight w:val="none"/>
                <w14:textFill>
                  <w14:solidFill>
                    <w14:schemeClr w14:val="tx1"/>
                  </w14:solidFill>
                </w14:textFill>
              </w:rPr>
            </w:pPr>
            <w:r>
              <w:rPr>
                <w:rFonts w:hint="eastAsia"/>
                <w:b w:val="0"/>
                <w:bCs w:val="0"/>
                <w:highlight w:val="none"/>
                <w:lang w:val="en-US" w:eastAsia="zh-CN"/>
              </w:rPr>
              <w:t>消防产品基本常识的理解</w:t>
            </w:r>
          </w:p>
        </w:tc>
        <w:tc>
          <w:tcPr>
            <w:tcW w:w="6843" w:type="dxa"/>
            <w:shd w:val="clear" w:color="auto" w:fill="FFFFFF"/>
          </w:tcPr>
          <w:p w14:paraId="6B62DF0A">
            <w:pPr>
              <w:numPr>
                <w:ilvl w:val="0"/>
                <w:numId w:val="0"/>
              </w:numPr>
              <w:spacing w:line="360" w:lineRule="auto"/>
              <w:ind w:leftChars="0"/>
              <w:rPr>
                <w:rFonts w:hint="eastAsia"/>
                <w:highlight w:val="none"/>
                <w:lang w:val="en-US" w:eastAsia="zh-CN"/>
              </w:rPr>
            </w:pPr>
            <w:r>
              <w:rPr>
                <w:rFonts w:hint="eastAsia"/>
                <w:highlight w:val="none"/>
                <w:lang w:val="en-US" w:eastAsia="zh-CN"/>
              </w:rPr>
              <w:t>根据供应商对消防产品基本常识的理解进行评审。</w:t>
            </w:r>
          </w:p>
          <w:p w14:paraId="6030A511">
            <w:pPr>
              <w:numPr>
                <w:ilvl w:val="0"/>
                <w:numId w:val="0"/>
              </w:numPr>
              <w:spacing w:line="360" w:lineRule="auto"/>
              <w:ind w:leftChars="0"/>
              <w:rPr>
                <w:rFonts w:hint="eastAsia"/>
                <w:highlight w:val="none"/>
                <w:lang w:val="en-US" w:eastAsia="zh-CN"/>
              </w:rPr>
            </w:pPr>
            <w:r>
              <w:rPr>
                <w:rFonts w:hint="eastAsia"/>
                <w:highlight w:val="none"/>
                <w:lang w:val="en-US" w:eastAsia="zh-CN"/>
              </w:rPr>
              <w:t>（1）对消防产品熟悉程度深入的得6分；</w:t>
            </w:r>
          </w:p>
          <w:p w14:paraId="3B7ABF5E">
            <w:pPr>
              <w:numPr>
                <w:ilvl w:val="0"/>
                <w:numId w:val="0"/>
              </w:numPr>
              <w:spacing w:line="360" w:lineRule="auto"/>
              <w:ind w:leftChars="0"/>
              <w:rPr>
                <w:rFonts w:hint="default"/>
                <w:highlight w:val="none"/>
                <w:lang w:val="en-US" w:eastAsia="zh-CN"/>
              </w:rPr>
            </w:pPr>
            <w:r>
              <w:rPr>
                <w:rFonts w:hint="eastAsia"/>
                <w:highlight w:val="none"/>
                <w:lang w:val="en-US" w:eastAsia="zh-CN"/>
              </w:rPr>
              <w:t>（2）对消防产品熟悉程度较深入的得4分；</w:t>
            </w:r>
          </w:p>
          <w:p w14:paraId="694D16E2">
            <w:pPr>
              <w:numPr>
                <w:ilvl w:val="0"/>
                <w:numId w:val="0"/>
              </w:numPr>
              <w:spacing w:line="360" w:lineRule="auto"/>
              <w:ind w:leftChars="0"/>
              <w:rPr>
                <w:rFonts w:hint="eastAsia" w:eastAsia="宋体"/>
                <w:highlight w:val="none"/>
                <w:lang w:val="en-US" w:eastAsia="zh-CN"/>
              </w:rPr>
            </w:pPr>
            <w:r>
              <w:rPr>
                <w:rFonts w:hint="eastAsia"/>
                <w:highlight w:val="none"/>
                <w:lang w:val="en-US" w:eastAsia="zh-CN"/>
              </w:rPr>
              <w:t>（3）对消防产品</w:t>
            </w:r>
            <w:r>
              <w:rPr>
                <w:rFonts w:hint="eastAsia"/>
                <w:highlight w:val="none"/>
              </w:rPr>
              <w:t>熟悉程度深入性一般</w:t>
            </w:r>
            <w:r>
              <w:rPr>
                <w:rFonts w:hint="eastAsia"/>
                <w:highlight w:val="none"/>
                <w:lang w:eastAsia="zh-CN"/>
              </w:rPr>
              <w:t>的得</w:t>
            </w:r>
            <w:r>
              <w:rPr>
                <w:rFonts w:hint="eastAsia"/>
                <w:highlight w:val="none"/>
                <w:lang w:val="en-US" w:eastAsia="zh-CN"/>
              </w:rPr>
              <w:t>2。（未提供对应方案不得分）</w:t>
            </w:r>
          </w:p>
        </w:tc>
        <w:tc>
          <w:tcPr>
            <w:tcW w:w="817" w:type="dxa"/>
            <w:shd w:val="clear" w:color="auto" w:fill="FFFFFF"/>
            <w:vAlign w:val="center"/>
          </w:tcPr>
          <w:p w14:paraId="33F299DB">
            <w:pPr>
              <w:spacing w:line="360" w:lineRule="auto"/>
              <w:jc w:val="center"/>
              <w:rPr>
                <w:rFonts w:hint="default" w:ascii="宋体" w:hAnsi="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6</w:t>
            </w:r>
          </w:p>
        </w:tc>
      </w:tr>
      <w:tr w14:paraId="6A9A9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shd w:val="clear" w:color="auto" w:fill="auto"/>
            <w:vAlign w:val="center"/>
          </w:tcPr>
          <w:p w14:paraId="6F44DC78">
            <w:pPr>
              <w:widowControl/>
              <w:spacing w:line="360" w:lineRule="auto"/>
              <w:jc w:val="center"/>
              <w:rPr>
                <w:rFonts w:hint="default" w:ascii="宋体" w:hAnsi="宋体" w:eastAsia="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8</w:t>
            </w:r>
          </w:p>
        </w:tc>
        <w:tc>
          <w:tcPr>
            <w:tcW w:w="1270" w:type="dxa"/>
            <w:shd w:val="clear" w:color="auto" w:fill="auto"/>
            <w:vAlign w:val="center"/>
          </w:tcPr>
          <w:p w14:paraId="69C033A0">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消防回访跟踪</w:t>
            </w:r>
          </w:p>
        </w:tc>
        <w:tc>
          <w:tcPr>
            <w:tcW w:w="6843" w:type="dxa"/>
            <w:shd w:val="clear" w:color="auto" w:fill="FFFFFF"/>
            <w:vAlign w:val="center"/>
          </w:tcPr>
          <w:p w14:paraId="1779417F">
            <w:pPr>
              <w:numPr>
                <w:ilvl w:val="0"/>
                <w:numId w:val="0"/>
              </w:numPr>
              <w:spacing w:line="360" w:lineRule="auto"/>
              <w:ind w:leftChars="0"/>
              <w:rPr>
                <w:rFonts w:hint="eastAsia"/>
                <w:highlight w:val="none"/>
                <w:lang w:val="en-US" w:eastAsia="zh-CN"/>
              </w:rPr>
            </w:pPr>
            <w:r>
              <w:rPr>
                <w:rFonts w:hint="eastAsia"/>
                <w:highlight w:val="none"/>
                <w:lang w:val="en-US" w:eastAsia="zh-CN"/>
              </w:rPr>
              <w:t>针对消防回访，制定合理的回访跟踪制度、措施。</w:t>
            </w:r>
          </w:p>
          <w:p w14:paraId="26BC159B">
            <w:pPr>
              <w:numPr>
                <w:ilvl w:val="0"/>
                <w:numId w:val="0"/>
              </w:numPr>
              <w:spacing w:line="360" w:lineRule="auto"/>
              <w:ind w:leftChars="0"/>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1）</w:t>
            </w:r>
            <w:r>
              <w:rPr>
                <w:rFonts w:hint="eastAsia" w:ascii="Times New Roman" w:hAnsi="Times New Roman" w:eastAsia="宋体" w:cs="Times New Roman"/>
                <w:highlight w:val="none"/>
                <w:lang w:eastAsia="zh-CN"/>
              </w:rPr>
              <w:t>制定的制度</w:t>
            </w:r>
            <w:r>
              <w:rPr>
                <w:rFonts w:hint="eastAsia" w:ascii="Times New Roman" w:hAnsi="Times New Roman" w:eastAsia="宋体" w:cs="Times New Roman"/>
                <w:highlight w:val="none"/>
              </w:rPr>
              <w:t>和措施可行性强，得</w:t>
            </w:r>
            <w:r>
              <w:rPr>
                <w:rFonts w:hint="eastAsia" w:cs="Times New Roman"/>
                <w:highlight w:val="none"/>
                <w:lang w:val="en-US" w:eastAsia="zh-CN"/>
              </w:rPr>
              <w:t>6</w:t>
            </w:r>
            <w:r>
              <w:rPr>
                <w:rFonts w:hint="eastAsia" w:ascii="Times New Roman" w:hAnsi="Times New Roman" w:eastAsia="宋体" w:cs="Times New Roman"/>
                <w:highlight w:val="none"/>
              </w:rPr>
              <w:t>分</w:t>
            </w:r>
            <w:r>
              <w:rPr>
                <w:rFonts w:hint="eastAsia" w:ascii="Times New Roman" w:hAnsi="Times New Roman" w:eastAsia="宋体" w:cs="Times New Roman"/>
                <w:highlight w:val="none"/>
                <w:lang w:eastAsia="zh-CN"/>
              </w:rPr>
              <w:t>；</w:t>
            </w:r>
          </w:p>
          <w:p w14:paraId="4D0F08E2">
            <w:pPr>
              <w:numPr>
                <w:ilvl w:val="0"/>
                <w:numId w:val="0"/>
              </w:numPr>
              <w:spacing w:line="360" w:lineRule="auto"/>
              <w:ind w:leftChars="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2）</w:t>
            </w:r>
            <w:r>
              <w:rPr>
                <w:rFonts w:hint="eastAsia" w:ascii="Times New Roman" w:hAnsi="Times New Roman" w:eastAsia="宋体" w:cs="Times New Roman"/>
                <w:highlight w:val="none"/>
                <w:lang w:eastAsia="zh-CN"/>
              </w:rPr>
              <w:t>制定的制度</w:t>
            </w:r>
            <w:r>
              <w:rPr>
                <w:rFonts w:hint="eastAsia" w:ascii="Times New Roman" w:hAnsi="Times New Roman" w:eastAsia="宋体" w:cs="Times New Roman"/>
                <w:highlight w:val="none"/>
              </w:rPr>
              <w:t>和措施可行性比较强，得</w:t>
            </w:r>
            <w:r>
              <w:rPr>
                <w:rFonts w:hint="eastAsia" w:cs="Times New Roman"/>
                <w:highlight w:val="none"/>
                <w:lang w:val="en-US" w:eastAsia="zh-CN"/>
              </w:rPr>
              <w:t>4</w:t>
            </w:r>
            <w:r>
              <w:rPr>
                <w:rFonts w:hint="eastAsia" w:ascii="Times New Roman" w:hAnsi="Times New Roman" w:eastAsia="宋体" w:cs="Times New Roman"/>
                <w:highlight w:val="none"/>
              </w:rPr>
              <w:t>分；</w:t>
            </w:r>
          </w:p>
          <w:p w14:paraId="39A4D57B">
            <w:pPr>
              <w:numPr>
                <w:ilvl w:val="0"/>
                <w:numId w:val="0"/>
              </w:numPr>
              <w:spacing w:line="360" w:lineRule="auto"/>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ascii="Times New Roman" w:hAnsi="Times New Roman" w:eastAsia="宋体" w:cs="Times New Roman"/>
                <w:highlight w:val="none"/>
                <w:lang w:eastAsia="zh-CN"/>
              </w:rPr>
              <w:t>（</w:t>
            </w:r>
            <w:r>
              <w:rPr>
                <w:rFonts w:hint="eastAsia" w:cs="Times New Roman"/>
                <w:highlight w:val="none"/>
                <w:lang w:val="en-US" w:eastAsia="zh-CN"/>
              </w:rPr>
              <w:t>3</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highlight w:val="none"/>
                <w:lang w:eastAsia="zh-CN"/>
              </w:rPr>
              <w:t>制定的制度</w:t>
            </w:r>
            <w:r>
              <w:rPr>
                <w:rFonts w:hint="eastAsia" w:ascii="Times New Roman" w:hAnsi="Times New Roman" w:eastAsia="宋体" w:cs="Times New Roman"/>
                <w:highlight w:val="none"/>
              </w:rPr>
              <w:t>和措施可行性一般，得</w:t>
            </w:r>
            <w:r>
              <w:rPr>
                <w:rFonts w:hint="eastAsia" w:cs="Times New Roman"/>
                <w:highlight w:val="none"/>
                <w:lang w:val="en-US" w:eastAsia="zh-CN"/>
              </w:rPr>
              <w:t>2</w:t>
            </w:r>
            <w:r>
              <w:rPr>
                <w:rFonts w:hint="eastAsia" w:ascii="Times New Roman" w:hAnsi="Times New Roman" w:eastAsia="宋体" w:cs="Times New Roman"/>
                <w:highlight w:val="none"/>
              </w:rPr>
              <w:t>分。（未提供对应方案不得分）</w:t>
            </w:r>
          </w:p>
        </w:tc>
        <w:tc>
          <w:tcPr>
            <w:tcW w:w="817" w:type="dxa"/>
            <w:shd w:val="clear" w:color="auto" w:fill="FFFFFF"/>
            <w:vAlign w:val="center"/>
          </w:tcPr>
          <w:p w14:paraId="7ACF16F2">
            <w:pPr>
              <w:widowControl/>
              <w:spacing w:line="360" w:lineRule="auto"/>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6</w:t>
            </w:r>
          </w:p>
        </w:tc>
      </w:tr>
      <w:tr w14:paraId="60034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shd w:val="clear" w:color="auto" w:fill="auto"/>
            <w:vAlign w:val="center"/>
          </w:tcPr>
          <w:p w14:paraId="79C99F5B">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9</w:t>
            </w:r>
          </w:p>
        </w:tc>
        <w:tc>
          <w:tcPr>
            <w:tcW w:w="1270" w:type="dxa"/>
            <w:shd w:val="clear" w:color="auto" w:fill="auto"/>
            <w:vAlign w:val="center"/>
          </w:tcPr>
          <w:p w14:paraId="7A9FC5F6">
            <w:pPr>
              <w:numPr>
                <w:ilvl w:val="0"/>
                <w:numId w:val="0"/>
              </w:numPr>
              <w:spacing w:line="360" w:lineRule="auto"/>
              <w:ind w:leftChars="0"/>
              <w:jc w:val="center"/>
              <w:rPr>
                <w:rFonts w:hint="eastAsia"/>
                <w:b w:val="0"/>
                <w:bCs w:val="0"/>
                <w:highlight w:val="none"/>
                <w:lang w:val="en-US" w:eastAsia="zh-CN"/>
              </w:rPr>
            </w:pPr>
            <w:r>
              <w:rPr>
                <w:rFonts w:hint="eastAsia"/>
                <w:b w:val="0"/>
                <w:bCs w:val="0"/>
                <w:highlight w:val="none"/>
                <w:lang w:val="en-US" w:eastAsia="zh-CN"/>
              </w:rPr>
              <w:t>保密管理</w:t>
            </w:r>
          </w:p>
          <w:p w14:paraId="417BA0B5">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制度</w:t>
            </w:r>
          </w:p>
        </w:tc>
        <w:tc>
          <w:tcPr>
            <w:tcW w:w="6843" w:type="dxa"/>
            <w:shd w:val="clear" w:color="auto" w:fill="FFFFFF"/>
            <w:vAlign w:val="center"/>
          </w:tcPr>
          <w:p w14:paraId="0FA0A742">
            <w:pPr>
              <w:numPr>
                <w:ilvl w:val="0"/>
                <w:numId w:val="0"/>
              </w:numPr>
              <w:spacing w:line="360" w:lineRule="auto"/>
              <w:ind w:leftChars="0"/>
              <w:rPr>
                <w:rFonts w:hint="eastAsia"/>
                <w:highlight w:val="none"/>
                <w:lang w:val="en-US" w:eastAsia="zh-CN"/>
              </w:rPr>
            </w:pPr>
            <w:r>
              <w:rPr>
                <w:rFonts w:hint="eastAsia"/>
                <w:highlight w:val="none"/>
                <w:lang w:val="en-US" w:eastAsia="zh-CN"/>
              </w:rPr>
              <w:t>根据供应商提供保密管理制度进行评审：</w:t>
            </w:r>
          </w:p>
          <w:p w14:paraId="3F89E0BA">
            <w:pPr>
              <w:numPr>
                <w:ilvl w:val="0"/>
                <w:numId w:val="0"/>
              </w:numPr>
              <w:spacing w:line="360" w:lineRule="auto"/>
              <w:ind w:leftChars="0"/>
              <w:rPr>
                <w:rFonts w:hint="eastAsia"/>
                <w:highlight w:val="none"/>
                <w:lang w:val="en-US" w:eastAsia="zh-CN"/>
              </w:rPr>
            </w:pPr>
            <w:r>
              <w:rPr>
                <w:rFonts w:hint="eastAsia"/>
                <w:highlight w:val="none"/>
                <w:lang w:val="en-US" w:eastAsia="zh-CN"/>
              </w:rPr>
              <w:t>（1）制定的制度可行性强，得6分；</w:t>
            </w:r>
          </w:p>
          <w:p w14:paraId="087D6C5A">
            <w:pPr>
              <w:numPr>
                <w:ilvl w:val="0"/>
                <w:numId w:val="0"/>
              </w:numPr>
              <w:spacing w:line="360" w:lineRule="auto"/>
              <w:ind w:leftChars="0"/>
              <w:rPr>
                <w:rFonts w:hint="default"/>
                <w:highlight w:val="none"/>
                <w:lang w:val="en-US" w:eastAsia="zh-CN"/>
              </w:rPr>
            </w:pPr>
            <w:r>
              <w:rPr>
                <w:rFonts w:hint="eastAsia"/>
                <w:highlight w:val="none"/>
                <w:lang w:val="en-US" w:eastAsia="zh-CN"/>
              </w:rPr>
              <w:t>（2）制定的制度可行性比较强，得4分；</w:t>
            </w:r>
          </w:p>
          <w:p w14:paraId="790BEF26">
            <w:pPr>
              <w:numPr>
                <w:ilvl w:val="0"/>
                <w:numId w:val="0"/>
              </w:numPr>
              <w:spacing w:line="360" w:lineRule="auto"/>
              <w:ind w:leftChars="0"/>
              <w:rPr>
                <w:rFonts w:hint="default"/>
                <w:highlight w:val="none"/>
                <w:lang w:val="en-US" w:eastAsia="zh-CN"/>
              </w:rPr>
            </w:pPr>
            <w:r>
              <w:rPr>
                <w:rFonts w:hint="eastAsia"/>
                <w:highlight w:val="none"/>
                <w:lang w:val="en-US" w:eastAsia="zh-CN"/>
              </w:rPr>
              <w:t>（3）制定的制度可行性一般，得2分。</w:t>
            </w:r>
          </w:p>
          <w:p w14:paraId="2E38EFF0">
            <w:pPr>
              <w:numPr>
                <w:ilvl w:val="0"/>
                <w:numId w:val="0"/>
              </w:numPr>
              <w:spacing w:line="360" w:lineRule="auto"/>
              <w:ind w:left="0" w:leftChars="0" w:firstLine="0" w:firstLineChars="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（未提供对应方案不得分）</w:t>
            </w:r>
          </w:p>
        </w:tc>
        <w:tc>
          <w:tcPr>
            <w:tcW w:w="817" w:type="dxa"/>
            <w:shd w:val="clear" w:color="auto" w:fill="FFFFFF"/>
            <w:vAlign w:val="center"/>
          </w:tcPr>
          <w:p w14:paraId="159B3DD5">
            <w:pPr>
              <w:widowControl/>
              <w:spacing w:line="360" w:lineRule="auto"/>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6</w:t>
            </w:r>
          </w:p>
        </w:tc>
      </w:tr>
      <w:tr w14:paraId="3A9E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shd w:val="clear" w:color="auto" w:fill="auto"/>
            <w:vAlign w:val="center"/>
          </w:tcPr>
          <w:p w14:paraId="1CD2B6B2">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10</w:t>
            </w:r>
          </w:p>
        </w:tc>
        <w:tc>
          <w:tcPr>
            <w:tcW w:w="1270" w:type="dxa"/>
            <w:shd w:val="clear" w:color="auto" w:fill="auto"/>
            <w:vAlign w:val="center"/>
          </w:tcPr>
          <w:p w14:paraId="350A43F2">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人员配置</w:t>
            </w:r>
          </w:p>
        </w:tc>
        <w:tc>
          <w:tcPr>
            <w:tcW w:w="6843" w:type="dxa"/>
            <w:shd w:val="clear" w:color="auto" w:fill="FFFFFF"/>
            <w:vAlign w:val="center"/>
          </w:tcPr>
          <w:p w14:paraId="24ECF686">
            <w:pPr>
              <w:numPr>
                <w:ilvl w:val="0"/>
                <w:numId w:val="0"/>
              </w:numPr>
              <w:spacing w:line="360" w:lineRule="auto"/>
              <w:ind w:left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拟担任本项目工作实施的人员，需具备专业素质、经验等情况，项目组实施专业人员素质、专业分布、经验情况等，参与本项目人员是否具有类似项目操作经验：</w:t>
            </w:r>
          </w:p>
          <w:p w14:paraId="10241A91">
            <w:pPr>
              <w:numPr>
                <w:ilvl w:val="0"/>
                <w:numId w:val="0"/>
              </w:numPr>
              <w:spacing w:line="360" w:lineRule="auto"/>
              <w:ind w:leftChars="0"/>
              <w:rPr>
                <w:rFonts w:hint="eastAsia" w:ascii="Times New Roman" w:hAnsi="Times New Roman" w:eastAsia="宋体" w:cs="Times New Roman"/>
                <w:highlight w:val="none"/>
                <w:lang w:val="en-US" w:eastAsia="zh-CN"/>
              </w:rPr>
            </w:pPr>
            <w:r>
              <w:rPr>
                <w:rFonts w:hint="eastAsia" w:eastAsia="宋体" w:cs="Times New Roman"/>
                <w:highlight w:val="none"/>
                <w:lang w:val="en-US" w:eastAsia="zh-CN"/>
              </w:rPr>
              <w:t>1、</w:t>
            </w:r>
            <w:r>
              <w:rPr>
                <w:rFonts w:hint="eastAsia" w:ascii="Times New Roman" w:hAnsi="Times New Roman" w:eastAsia="宋体" w:cs="Times New Roman"/>
                <w:highlight w:val="none"/>
                <w:lang w:val="en-US" w:eastAsia="zh-CN"/>
              </w:rPr>
              <w:t>根据供应商拟派项目组人员配备充足程度，专业是否齐全，结构的合理性进行评审。</w:t>
            </w:r>
          </w:p>
          <w:p w14:paraId="76A8F68C">
            <w:pPr>
              <w:numPr>
                <w:ilvl w:val="0"/>
                <w:numId w:val="0"/>
              </w:numPr>
              <w:spacing w:line="360" w:lineRule="auto"/>
              <w:ind w:leftChars="0"/>
              <w:rPr>
                <w:rFonts w:hint="eastAsia" w:ascii="Times New Roman" w:hAnsi="Times New Roman" w:eastAsia="宋体" w:cs="Times New Roman"/>
                <w:highlight w:val="none"/>
                <w:lang w:val="en-US" w:eastAsia="zh-CN"/>
              </w:rPr>
            </w:pPr>
            <w:r>
              <w:rPr>
                <w:rFonts w:hint="eastAsia" w:eastAsia="宋体" w:cs="Times New Roman"/>
                <w:highlight w:val="none"/>
                <w:lang w:val="en-US" w:eastAsia="zh-CN"/>
              </w:rPr>
              <w:t>（1）</w:t>
            </w:r>
            <w:r>
              <w:rPr>
                <w:rFonts w:hint="eastAsia" w:ascii="Times New Roman" w:hAnsi="Times New Roman" w:eastAsia="宋体" w:cs="Times New Roman"/>
                <w:highlight w:val="none"/>
                <w:lang w:val="en-US" w:eastAsia="zh-CN"/>
              </w:rPr>
              <w:t>人员配备充足、分配合理的得</w:t>
            </w:r>
            <w:r>
              <w:rPr>
                <w:rFonts w:hint="eastAsia" w:cs="Times New Roman"/>
                <w:highlight w:val="none"/>
                <w:lang w:val="en-US" w:eastAsia="zh-CN"/>
              </w:rPr>
              <w:t>3</w:t>
            </w:r>
            <w:r>
              <w:rPr>
                <w:rFonts w:hint="eastAsia" w:ascii="Times New Roman" w:hAnsi="Times New Roman" w:eastAsia="宋体" w:cs="Times New Roman"/>
                <w:highlight w:val="none"/>
                <w:lang w:val="en-US" w:eastAsia="zh-CN"/>
              </w:rPr>
              <w:t>分；</w:t>
            </w:r>
          </w:p>
          <w:p w14:paraId="52B5C3F2">
            <w:pPr>
              <w:numPr>
                <w:ilvl w:val="0"/>
                <w:numId w:val="0"/>
              </w:numPr>
              <w:spacing w:line="360" w:lineRule="auto"/>
              <w:ind w:leftChars="0"/>
              <w:rPr>
                <w:rFonts w:hint="eastAsia" w:ascii="Times New Roman" w:hAnsi="Times New Roman" w:eastAsia="宋体" w:cs="Times New Roman"/>
                <w:highlight w:val="none"/>
                <w:lang w:val="en-US" w:eastAsia="zh-CN"/>
              </w:rPr>
            </w:pPr>
            <w:r>
              <w:rPr>
                <w:rFonts w:hint="eastAsia" w:eastAsia="宋体" w:cs="Times New Roman"/>
                <w:highlight w:val="none"/>
                <w:lang w:val="en-US" w:eastAsia="zh-CN"/>
              </w:rPr>
              <w:t>（2）</w:t>
            </w:r>
            <w:r>
              <w:rPr>
                <w:rFonts w:hint="eastAsia" w:ascii="Times New Roman" w:hAnsi="Times New Roman" w:eastAsia="宋体" w:cs="Times New Roman"/>
                <w:highlight w:val="none"/>
                <w:lang w:val="en-US" w:eastAsia="zh-CN"/>
              </w:rPr>
              <w:t>人员配备比较充足、分配比较合理的得</w:t>
            </w:r>
            <w:r>
              <w:rPr>
                <w:rFonts w:hint="eastAsia" w:cs="Times New Roman"/>
                <w:highlight w:val="none"/>
                <w:lang w:val="en-US" w:eastAsia="zh-CN"/>
              </w:rPr>
              <w:t>2</w:t>
            </w:r>
            <w:r>
              <w:rPr>
                <w:rFonts w:hint="eastAsia" w:ascii="Times New Roman" w:hAnsi="Times New Roman" w:eastAsia="宋体" w:cs="Times New Roman"/>
                <w:highlight w:val="none"/>
                <w:lang w:val="en-US" w:eastAsia="zh-CN"/>
              </w:rPr>
              <w:t>分；</w:t>
            </w:r>
          </w:p>
          <w:p w14:paraId="12B77099">
            <w:pPr>
              <w:numPr>
                <w:ilvl w:val="0"/>
                <w:numId w:val="0"/>
              </w:numPr>
              <w:spacing w:line="360" w:lineRule="auto"/>
              <w:ind w:leftChars="0"/>
              <w:rPr>
                <w:rFonts w:hint="default" w:ascii="Times New Roman" w:hAnsi="Times New Roman" w:eastAsia="宋体" w:cs="Times New Roman"/>
                <w:highlight w:val="none"/>
                <w:lang w:val="en-US" w:eastAsia="zh-CN"/>
              </w:rPr>
            </w:pPr>
            <w:r>
              <w:rPr>
                <w:rFonts w:hint="eastAsia" w:eastAsia="宋体" w:cs="Times New Roman"/>
                <w:highlight w:val="none"/>
                <w:lang w:val="en-US" w:eastAsia="zh-CN"/>
              </w:rPr>
              <w:t>（3）</w:t>
            </w:r>
            <w:r>
              <w:rPr>
                <w:rFonts w:hint="eastAsia" w:ascii="Times New Roman" w:hAnsi="Times New Roman" w:eastAsia="宋体" w:cs="Times New Roman"/>
                <w:highlight w:val="none"/>
                <w:lang w:val="en-US" w:eastAsia="zh-CN"/>
              </w:rPr>
              <w:t>人员配备、岗位安排一般的得</w:t>
            </w:r>
            <w:r>
              <w:rPr>
                <w:rFonts w:hint="eastAsia" w:cs="Times New Roman"/>
                <w:highlight w:val="none"/>
                <w:lang w:val="en-US" w:eastAsia="zh-CN"/>
              </w:rPr>
              <w:t>1</w:t>
            </w:r>
            <w:r>
              <w:rPr>
                <w:rFonts w:hint="eastAsia" w:ascii="Times New Roman" w:hAnsi="Times New Roman" w:eastAsia="宋体" w:cs="Times New Roman"/>
                <w:highlight w:val="none"/>
                <w:lang w:val="en-US" w:eastAsia="zh-CN"/>
              </w:rPr>
              <w:t>分</w:t>
            </w:r>
            <w:r>
              <w:rPr>
                <w:rFonts w:hint="eastAsia" w:cs="Times New Roman"/>
                <w:highlight w:val="none"/>
                <w:lang w:val="en-US" w:eastAsia="zh-CN"/>
              </w:rPr>
              <w:t>。</w:t>
            </w:r>
          </w:p>
          <w:p w14:paraId="4257442F">
            <w:pPr>
              <w:numPr>
                <w:ilvl w:val="0"/>
                <w:numId w:val="0"/>
              </w:numPr>
              <w:spacing w:line="360" w:lineRule="auto"/>
              <w:ind w:leftChars="0"/>
              <w:rPr>
                <w:rFonts w:hint="eastAsia" w:ascii="Times New Roman" w:hAnsi="Times New Roman" w:eastAsia="宋体" w:cs="Times New Roman"/>
                <w:highlight w:val="none"/>
                <w:lang w:eastAsia="zh-CN"/>
              </w:rPr>
            </w:pPr>
            <w:r>
              <w:rPr>
                <w:rFonts w:hint="eastAsia" w:eastAsia="宋体" w:cs="Times New Roman"/>
                <w:highlight w:val="none"/>
                <w:lang w:val="en-US" w:eastAsia="zh-CN"/>
              </w:rPr>
              <w:t>2、</w:t>
            </w:r>
            <w:r>
              <w:rPr>
                <w:rFonts w:hint="eastAsia" w:ascii="Times New Roman" w:hAnsi="Times New Roman" w:eastAsia="宋体" w:cs="Times New Roman"/>
                <w:highlight w:val="none"/>
                <w:lang w:eastAsia="zh-CN"/>
              </w:rPr>
              <w:t>根据拟投入本项目的项目负责人素质、专业、经验等综合情况进行打分。</w:t>
            </w:r>
          </w:p>
          <w:p w14:paraId="04501F26">
            <w:pPr>
              <w:numPr>
                <w:ilvl w:val="0"/>
                <w:numId w:val="0"/>
              </w:numPr>
              <w:spacing w:line="360" w:lineRule="auto"/>
              <w:ind w:leftChars="0"/>
              <w:rPr>
                <w:rFonts w:hint="eastAsia" w:ascii="Times New Roman" w:hAnsi="Times New Roman" w:eastAsia="宋体" w:cs="Times New Roman"/>
                <w:highlight w:val="none"/>
                <w:lang w:val="en-US" w:eastAsia="zh-CN"/>
              </w:rPr>
            </w:pPr>
            <w:r>
              <w:rPr>
                <w:rFonts w:hint="eastAsia" w:eastAsia="宋体" w:cs="Times New Roman"/>
                <w:highlight w:val="none"/>
                <w:lang w:val="en-US" w:eastAsia="zh-CN"/>
              </w:rPr>
              <w:t>（1）</w:t>
            </w:r>
            <w:r>
              <w:rPr>
                <w:rFonts w:hint="eastAsia" w:ascii="Times New Roman" w:hAnsi="Times New Roman" w:eastAsia="宋体" w:cs="Times New Roman"/>
                <w:highlight w:val="none"/>
                <w:lang w:val="en-US" w:eastAsia="zh-CN"/>
              </w:rPr>
              <w:t>专业素质高、技术能力强且经验丰富的</w:t>
            </w:r>
            <w:r>
              <w:rPr>
                <w:rFonts w:hint="eastAsia" w:cs="Times New Roman"/>
                <w:highlight w:val="none"/>
                <w:lang w:val="en-US" w:eastAsia="zh-CN"/>
              </w:rPr>
              <w:t>3</w:t>
            </w:r>
            <w:r>
              <w:rPr>
                <w:rFonts w:hint="eastAsia" w:ascii="Times New Roman" w:hAnsi="Times New Roman" w:eastAsia="宋体" w:cs="Times New Roman"/>
                <w:highlight w:val="none"/>
                <w:lang w:val="en-US" w:eastAsia="zh-CN"/>
              </w:rPr>
              <w:t>分</w:t>
            </w:r>
            <w:r>
              <w:rPr>
                <w:rFonts w:hint="eastAsia" w:cs="Times New Roman"/>
                <w:highlight w:val="none"/>
                <w:lang w:val="en-US" w:eastAsia="zh-CN"/>
              </w:rPr>
              <w:t>；</w:t>
            </w:r>
          </w:p>
          <w:p w14:paraId="2A99F6FB">
            <w:pPr>
              <w:numPr>
                <w:ilvl w:val="0"/>
                <w:numId w:val="0"/>
              </w:numPr>
              <w:spacing w:line="360" w:lineRule="auto"/>
              <w:ind w:leftChars="0"/>
              <w:rPr>
                <w:rFonts w:hint="default" w:ascii="Times New Roman" w:hAnsi="Times New Roman" w:eastAsia="宋体" w:cs="Times New Roman"/>
                <w:highlight w:val="none"/>
                <w:lang w:val="en-US" w:eastAsia="zh-CN"/>
              </w:rPr>
            </w:pPr>
            <w:r>
              <w:rPr>
                <w:rFonts w:hint="eastAsia" w:eastAsia="宋体" w:cs="Times New Roman"/>
                <w:highlight w:val="none"/>
                <w:lang w:val="en-US" w:eastAsia="zh-CN"/>
              </w:rPr>
              <w:t>（2）</w:t>
            </w:r>
            <w:r>
              <w:rPr>
                <w:rFonts w:hint="eastAsia" w:ascii="Times New Roman" w:hAnsi="Times New Roman" w:eastAsia="宋体" w:cs="Times New Roman"/>
                <w:highlight w:val="none"/>
                <w:lang w:val="en-US" w:eastAsia="zh-CN"/>
              </w:rPr>
              <w:t>专业素质比较高、技术能力比较强、经验比较丰富的</w:t>
            </w:r>
            <w:r>
              <w:rPr>
                <w:rFonts w:hint="eastAsia" w:cs="Times New Roman"/>
                <w:highlight w:val="none"/>
                <w:lang w:val="en-US" w:eastAsia="zh-CN"/>
              </w:rPr>
              <w:t>2</w:t>
            </w:r>
            <w:r>
              <w:rPr>
                <w:rFonts w:hint="eastAsia" w:ascii="Times New Roman" w:hAnsi="Times New Roman" w:eastAsia="宋体" w:cs="Times New Roman"/>
                <w:highlight w:val="none"/>
                <w:lang w:val="en-US" w:eastAsia="zh-CN"/>
              </w:rPr>
              <w:t>分</w:t>
            </w:r>
            <w:r>
              <w:rPr>
                <w:rFonts w:hint="eastAsia" w:cs="Times New Roman"/>
                <w:highlight w:val="none"/>
                <w:lang w:val="en-US" w:eastAsia="zh-CN"/>
              </w:rPr>
              <w:t>；</w:t>
            </w:r>
          </w:p>
          <w:p w14:paraId="67C3FF7A">
            <w:pPr>
              <w:numPr>
                <w:ilvl w:val="0"/>
                <w:numId w:val="0"/>
              </w:numPr>
              <w:spacing w:line="360" w:lineRule="auto"/>
              <w:ind w:leftChars="0"/>
              <w:rPr>
                <w:rFonts w:hint="default" w:ascii="Times New Roman" w:hAnsi="Times New Roman" w:eastAsia="宋体" w:cs="Times New Roman"/>
                <w:highlight w:val="none"/>
                <w:lang w:val="en-US" w:eastAsia="zh-CN"/>
              </w:rPr>
            </w:pPr>
            <w:r>
              <w:rPr>
                <w:rFonts w:hint="eastAsia" w:eastAsia="宋体" w:cs="Times New Roman"/>
                <w:highlight w:val="none"/>
                <w:lang w:val="en-US" w:eastAsia="zh-CN"/>
              </w:rPr>
              <w:t>（3）</w:t>
            </w:r>
            <w:r>
              <w:rPr>
                <w:rFonts w:hint="eastAsia" w:ascii="Times New Roman" w:hAnsi="Times New Roman" w:eastAsia="宋体" w:cs="Times New Roman"/>
                <w:highlight w:val="none"/>
                <w:lang w:val="en-US" w:eastAsia="zh-CN"/>
              </w:rPr>
              <w:t>专业素质一般，经验欠佳的</w:t>
            </w:r>
            <w:r>
              <w:rPr>
                <w:rFonts w:hint="eastAsia" w:cs="Times New Roman"/>
                <w:highlight w:val="none"/>
                <w:lang w:val="en-US" w:eastAsia="zh-CN"/>
              </w:rPr>
              <w:t>1</w:t>
            </w:r>
            <w:r>
              <w:rPr>
                <w:rFonts w:hint="eastAsia" w:ascii="Times New Roman" w:hAnsi="Times New Roman" w:eastAsia="宋体" w:cs="Times New Roman"/>
                <w:highlight w:val="none"/>
                <w:lang w:val="en-US" w:eastAsia="zh-CN"/>
              </w:rPr>
              <w:t>分</w:t>
            </w:r>
            <w:r>
              <w:rPr>
                <w:rFonts w:hint="eastAsia" w:cs="Times New Roman"/>
                <w:highlight w:val="none"/>
                <w:lang w:val="en-US" w:eastAsia="zh-CN"/>
              </w:rPr>
              <w:t>。</w:t>
            </w:r>
          </w:p>
          <w:p w14:paraId="05C7F24E">
            <w:pPr>
              <w:numPr>
                <w:ilvl w:val="0"/>
                <w:numId w:val="0"/>
              </w:numPr>
              <w:spacing w:line="360" w:lineRule="auto"/>
              <w:ind w:leftChars="0"/>
              <w:rPr>
                <w:rFonts w:hint="default" w:ascii="Times New Roman" w:hAnsi="Times New Roman" w:eastAsia="宋体" w:cs="Times New Roman"/>
                <w:highlight w:val="none"/>
                <w:lang w:val="en-US" w:eastAsia="zh-CN"/>
              </w:rPr>
            </w:pPr>
            <w:r>
              <w:rPr>
                <w:rFonts w:hint="eastAsia" w:eastAsia="宋体" w:cs="Times New Roman"/>
                <w:highlight w:val="none"/>
                <w:lang w:val="en-US" w:eastAsia="zh-CN"/>
              </w:rPr>
              <w:t>3、</w:t>
            </w:r>
            <w:r>
              <w:rPr>
                <w:rFonts w:hint="eastAsia" w:ascii="Times New Roman" w:hAnsi="Times New Roman" w:eastAsia="宋体" w:cs="Times New Roman"/>
                <w:highlight w:val="none"/>
                <w:lang w:eastAsia="zh-CN"/>
              </w:rPr>
              <w:t>根据拟投入本项目的项目组成员素质、专业、经验、数量等综合情况进行打分</w:t>
            </w:r>
          </w:p>
          <w:p w14:paraId="1C7574BC">
            <w:pPr>
              <w:numPr>
                <w:ilvl w:val="0"/>
                <w:numId w:val="0"/>
              </w:numPr>
              <w:spacing w:line="360" w:lineRule="auto"/>
              <w:ind w:leftChars="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（1）专业素质高、技术能力强且经验丰富的</w:t>
            </w:r>
            <w:r>
              <w:rPr>
                <w:rFonts w:hint="eastAsia" w:cs="Times New Roman"/>
                <w:highlight w:val="none"/>
                <w:lang w:val="en-US" w:eastAsia="zh-CN"/>
              </w:rPr>
              <w:t>3</w:t>
            </w:r>
            <w:r>
              <w:rPr>
                <w:rFonts w:hint="eastAsia" w:ascii="Times New Roman" w:hAnsi="Times New Roman" w:eastAsia="宋体" w:cs="Times New Roman"/>
                <w:highlight w:val="none"/>
                <w:lang w:val="en-US" w:eastAsia="zh-CN"/>
              </w:rPr>
              <w:t>分</w:t>
            </w:r>
          </w:p>
          <w:p w14:paraId="7557950B">
            <w:pPr>
              <w:numPr>
                <w:ilvl w:val="0"/>
                <w:numId w:val="0"/>
              </w:numPr>
              <w:spacing w:line="360" w:lineRule="auto"/>
              <w:ind w:leftChars="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（2）专业素质比较高、技术能力比较强、经验比较丰富的</w:t>
            </w:r>
            <w:r>
              <w:rPr>
                <w:rFonts w:hint="eastAsia" w:cs="Times New Roman"/>
                <w:highlight w:val="none"/>
                <w:lang w:val="en-US" w:eastAsia="zh-CN"/>
              </w:rPr>
              <w:t>2</w:t>
            </w:r>
            <w:r>
              <w:rPr>
                <w:rFonts w:hint="eastAsia" w:ascii="Times New Roman" w:hAnsi="Times New Roman" w:eastAsia="宋体" w:cs="Times New Roman"/>
                <w:highlight w:val="none"/>
                <w:lang w:val="en-US" w:eastAsia="zh-CN"/>
              </w:rPr>
              <w:t>分</w:t>
            </w:r>
          </w:p>
          <w:p w14:paraId="623A3D61">
            <w:pPr>
              <w:numPr>
                <w:ilvl w:val="0"/>
                <w:numId w:val="0"/>
              </w:numPr>
              <w:spacing w:line="360" w:lineRule="auto"/>
              <w:ind w:leftChars="0"/>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（3）专业素质一般，经验欠佳的</w:t>
            </w:r>
            <w:r>
              <w:rPr>
                <w:rFonts w:hint="eastAsia" w:cs="Times New Roman"/>
                <w:highlight w:val="none"/>
                <w:lang w:val="en-US" w:eastAsia="zh-CN"/>
              </w:rPr>
              <w:t>1</w:t>
            </w:r>
            <w:r>
              <w:rPr>
                <w:rFonts w:hint="eastAsia" w:ascii="Times New Roman" w:hAnsi="Times New Roman" w:eastAsia="宋体" w:cs="Times New Roman"/>
                <w:highlight w:val="none"/>
                <w:lang w:val="en-US" w:eastAsia="zh-CN"/>
              </w:rPr>
              <w:t>分</w:t>
            </w:r>
          </w:p>
          <w:p w14:paraId="000C72B9">
            <w:pPr>
              <w:numPr>
                <w:ilvl w:val="0"/>
                <w:numId w:val="0"/>
              </w:numPr>
              <w:spacing w:line="360" w:lineRule="auto"/>
              <w:ind w:left="0" w:leftChars="0" w:firstLine="0" w:firstLineChars="0"/>
              <w:rPr>
                <w:rFonts w:hint="eastAsia" w:ascii="Times New Roman" w:hAnsi="Times New Roman" w:eastAsia="宋体" w:cs="Times New Roman"/>
                <w:b w:val="0"/>
                <w:bCs w:val="0"/>
                <w:kern w:val="2"/>
                <w:sz w:val="21"/>
                <w:szCs w:val="24"/>
                <w:highlight w:val="none"/>
                <w:lang w:val="en-US" w:eastAsia="zh-CN" w:bidi="ar-SA"/>
              </w:rPr>
            </w:pPr>
            <w:r>
              <w:rPr>
                <w:rFonts w:hint="eastAsia"/>
                <w:b/>
                <w:bCs/>
                <w:highlight w:val="none"/>
                <w:lang w:val="zh-CN" w:eastAsia="zh-CN"/>
              </w:rPr>
              <w:t>注：投标文件内需提供所有人员近三个月的社保缴纳证明材料，否则不得分。</w:t>
            </w:r>
          </w:p>
        </w:tc>
        <w:tc>
          <w:tcPr>
            <w:tcW w:w="817" w:type="dxa"/>
            <w:shd w:val="clear" w:color="auto" w:fill="FFFFFF"/>
            <w:vAlign w:val="center"/>
          </w:tcPr>
          <w:p w14:paraId="3D6B5529">
            <w:pPr>
              <w:widowControl/>
              <w:spacing w:line="360" w:lineRule="auto"/>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9</w:t>
            </w:r>
          </w:p>
        </w:tc>
      </w:tr>
      <w:tr w14:paraId="5CAA4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shd w:val="clear" w:color="auto" w:fill="auto"/>
            <w:vAlign w:val="center"/>
          </w:tcPr>
          <w:p w14:paraId="6C39A9C0">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11</w:t>
            </w:r>
          </w:p>
        </w:tc>
        <w:tc>
          <w:tcPr>
            <w:tcW w:w="1270" w:type="dxa"/>
            <w:shd w:val="clear" w:color="auto" w:fill="auto"/>
            <w:vAlign w:val="center"/>
          </w:tcPr>
          <w:p w14:paraId="5B983153">
            <w:pPr>
              <w:numPr>
                <w:ilvl w:val="0"/>
                <w:numId w:val="0"/>
              </w:numPr>
              <w:spacing w:line="360" w:lineRule="auto"/>
              <w:ind w:leftChars="0"/>
              <w:jc w:val="center"/>
              <w:rPr>
                <w:rFonts w:hint="eastAsia"/>
                <w:b w:val="0"/>
                <w:bCs w:val="0"/>
                <w:highlight w:val="none"/>
                <w:lang w:val="en-US" w:eastAsia="zh-CN"/>
              </w:rPr>
            </w:pPr>
            <w:r>
              <w:rPr>
                <w:rFonts w:hint="eastAsia"/>
                <w:b w:val="0"/>
                <w:bCs w:val="0"/>
                <w:highlight w:val="none"/>
                <w:lang w:val="en-US" w:eastAsia="zh-CN"/>
              </w:rPr>
              <w:t>人员的招</w:t>
            </w:r>
          </w:p>
          <w:p w14:paraId="0036BC60">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录方案</w:t>
            </w:r>
          </w:p>
        </w:tc>
        <w:tc>
          <w:tcPr>
            <w:tcW w:w="6843" w:type="dxa"/>
            <w:shd w:val="clear" w:color="auto" w:fill="FFFFFF"/>
            <w:vAlign w:val="center"/>
          </w:tcPr>
          <w:p w14:paraId="2A447B80">
            <w:pPr>
              <w:keepNext w:val="0"/>
              <w:keepLines w:val="0"/>
              <w:widowControl/>
              <w:suppressLineNumbers w:val="0"/>
              <w:spacing w:line="360" w:lineRule="auto"/>
              <w:jc w:val="left"/>
              <w:rPr>
                <w:rFonts w:hint="eastAsia" w:ascii="宋体" w:hAnsi="宋体" w:eastAsia="宋体" w:cs="宋体"/>
                <w:color w:val="000000"/>
                <w:kern w:val="0"/>
                <w:sz w:val="22"/>
                <w:szCs w:val="22"/>
                <w:highlight w:val="none"/>
                <w:lang w:val="en-US" w:eastAsia="zh-CN" w:bidi="ar"/>
              </w:rPr>
            </w:pPr>
            <w:r>
              <w:rPr>
                <w:rFonts w:hint="eastAsia" w:ascii="宋体" w:hAnsi="宋体" w:eastAsia="宋体" w:cs="宋体"/>
                <w:color w:val="000000"/>
                <w:kern w:val="0"/>
                <w:sz w:val="22"/>
                <w:szCs w:val="22"/>
                <w:highlight w:val="none"/>
                <w:lang w:val="en-US" w:eastAsia="zh-CN" w:bidi="ar"/>
              </w:rPr>
              <w:t xml:space="preserve">根据供应商提供的人员的招录方案进行评审； </w:t>
            </w:r>
          </w:p>
          <w:p w14:paraId="1A2A5CF0">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（1）方案合理、科学、可行性强得6分；</w:t>
            </w:r>
          </w:p>
          <w:p w14:paraId="771A8014">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（2）方案较合理、科学、可行性较强得4分； </w:t>
            </w:r>
          </w:p>
          <w:p w14:paraId="2CB65ED3">
            <w:pPr>
              <w:numPr>
                <w:ilvl w:val="0"/>
                <w:numId w:val="0"/>
              </w:numPr>
              <w:spacing w:line="360" w:lineRule="auto"/>
              <w:ind w:left="0" w:leftChars="0" w:firstLine="0" w:firstLineChars="0"/>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（3）方案基本合理、科学性及可行性一般得2分。（未提供对应方案不得分）</w:t>
            </w:r>
          </w:p>
        </w:tc>
        <w:tc>
          <w:tcPr>
            <w:tcW w:w="817" w:type="dxa"/>
            <w:shd w:val="clear" w:color="auto" w:fill="FFFFFF"/>
            <w:vAlign w:val="center"/>
          </w:tcPr>
          <w:p w14:paraId="50BB87BA">
            <w:pPr>
              <w:widowControl/>
              <w:spacing w:line="360" w:lineRule="auto"/>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6</w:t>
            </w:r>
          </w:p>
        </w:tc>
      </w:tr>
      <w:tr w14:paraId="60F41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jc w:val="center"/>
        </w:trPr>
        <w:tc>
          <w:tcPr>
            <w:tcW w:w="534" w:type="dxa"/>
            <w:shd w:val="clear" w:color="auto" w:fill="auto"/>
            <w:vAlign w:val="center"/>
          </w:tcPr>
          <w:p w14:paraId="23358EB1">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12</w:t>
            </w:r>
          </w:p>
        </w:tc>
        <w:tc>
          <w:tcPr>
            <w:tcW w:w="1270" w:type="dxa"/>
            <w:shd w:val="clear" w:color="auto" w:fill="auto"/>
            <w:vAlign w:val="center"/>
          </w:tcPr>
          <w:p w14:paraId="751713E0">
            <w:pPr>
              <w:numPr>
                <w:ilvl w:val="0"/>
                <w:numId w:val="0"/>
              </w:numPr>
              <w:spacing w:line="360" w:lineRule="auto"/>
              <w:ind w:leftChars="0"/>
              <w:jc w:val="center"/>
              <w:rPr>
                <w:rFonts w:hint="eastAsia"/>
                <w:b w:val="0"/>
                <w:bCs w:val="0"/>
                <w:highlight w:val="none"/>
                <w:lang w:val="en-US" w:eastAsia="zh-CN"/>
              </w:rPr>
            </w:pPr>
            <w:r>
              <w:rPr>
                <w:rFonts w:hint="eastAsia"/>
                <w:b w:val="0"/>
                <w:bCs w:val="0"/>
                <w:highlight w:val="none"/>
                <w:lang w:val="en-US" w:eastAsia="zh-CN"/>
              </w:rPr>
              <w:t>人员稳定</w:t>
            </w:r>
          </w:p>
          <w:p w14:paraId="3555AE42">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措施方案</w:t>
            </w:r>
          </w:p>
        </w:tc>
        <w:tc>
          <w:tcPr>
            <w:tcW w:w="6843" w:type="dxa"/>
            <w:shd w:val="clear" w:color="auto" w:fill="FFFFFF"/>
            <w:vAlign w:val="center"/>
          </w:tcPr>
          <w:p w14:paraId="42C6BECE">
            <w:pPr>
              <w:numPr>
                <w:ilvl w:val="0"/>
                <w:numId w:val="0"/>
              </w:numPr>
              <w:spacing w:line="360" w:lineRule="auto"/>
              <w:ind w:leftChars="0"/>
              <w:rPr>
                <w:highlight w:val="none"/>
              </w:rPr>
            </w:pPr>
            <w:r>
              <w:rPr>
                <w:rFonts w:hint="eastAsia" w:ascii="宋体" w:hAnsi="宋体" w:eastAsia="宋体" w:cs="宋体"/>
                <w:color w:val="000000"/>
                <w:kern w:val="0"/>
                <w:sz w:val="22"/>
                <w:szCs w:val="22"/>
                <w:highlight w:val="none"/>
                <w:lang w:val="en-US" w:eastAsia="zh-CN" w:bidi="ar"/>
              </w:rPr>
              <w:t>根据供应商提供的人员稳定措施方案进行评审</w:t>
            </w:r>
            <w:r>
              <w:rPr>
                <w:rFonts w:hint="eastAsia" w:ascii="宋体" w:hAnsi="宋体" w:cs="宋体"/>
                <w:color w:val="000000"/>
                <w:kern w:val="0"/>
                <w:sz w:val="22"/>
                <w:szCs w:val="22"/>
                <w:highlight w:val="none"/>
                <w:lang w:val="en-US" w:eastAsia="zh-CN" w:bidi="ar"/>
              </w:rPr>
              <w:t>：</w:t>
            </w:r>
          </w:p>
          <w:p w14:paraId="420BF5F7">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（1）方案合理、科学、可行性强得6分；</w:t>
            </w:r>
          </w:p>
          <w:p w14:paraId="13AE7A79">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（2）方案较合理、科学、可行性较强得4分； </w:t>
            </w:r>
          </w:p>
          <w:p w14:paraId="139E7350">
            <w:pPr>
              <w:numPr>
                <w:ilvl w:val="0"/>
                <w:numId w:val="0"/>
              </w:numPr>
              <w:spacing w:line="360" w:lineRule="auto"/>
              <w:ind w:left="0" w:leftChars="0" w:firstLine="0" w:firstLineChars="0"/>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（3）方案基本合理、科学性及可行性一般得2分。（未提供对应方案不得分）</w:t>
            </w:r>
          </w:p>
        </w:tc>
        <w:tc>
          <w:tcPr>
            <w:tcW w:w="817" w:type="dxa"/>
            <w:shd w:val="clear" w:color="auto" w:fill="FFFFFF"/>
            <w:vAlign w:val="center"/>
          </w:tcPr>
          <w:p w14:paraId="0A3A07EB">
            <w:pPr>
              <w:widowControl/>
              <w:spacing w:line="360" w:lineRule="auto"/>
              <w:jc w:val="center"/>
              <w:textAlignment w:val="center"/>
              <w:rPr>
                <w:rFonts w:hint="eastAsia"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6</w:t>
            </w:r>
          </w:p>
        </w:tc>
      </w:tr>
      <w:tr w14:paraId="75ADD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4" w:type="dxa"/>
            <w:shd w:val="clear" w:color="auto" w:fill="auto"/>
            <w:vAlign w:val="center"/>
          </w:tcPr>
          <w:p w14:paraId="272894E9">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13</w:t>
            </w:r>
          </w:p>
        </w:tc>
        <w:tc>
          <w:tcPr>
            <w:tcW w:w="1270" w:type="dxa"/>
            <w:shd w:val="clear" w:color="auto" w:fill="auto"/>
            <w:vAlign w:val="center"/>
          </w:tcPr>
          <w:p w14:paraId="3A2CD288">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培训方案</w:t>
            </w:r>
          </w:p>
        </w:tc>
        <w:tc>
          <w:tcPr>
            <w:tcW w:w="6843" w:type="dxa"/>
            <w:shd w:val="clear" w:color="auto" w:fill="FFFFFF"/>
            <w:vAlign w:val="center"/>
          </w:tcPr>
          <w:p w14:paraId="4C5656AF">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根据供应商对各类人员的培训计划、方式及行为规范的培训进行综合评审： </w:t>
            </w:r>
          </w:p>
          <w:p w14:paraId="3C07E3B0">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（1）人员培训方案科学最完整，可行性最高的，得6分； </w:t>
            </w:r>
          </w:p>
          <w:p w14:paraId="1199ECF1">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（2）人员培训方案基本完整，可行性良好的，得4分 </w:t>
            </w:r>
          </w:p>
          <w:p w14:paraId="60E0864B">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（3）人员培训方案基本完整，可行性一般的，得2分。 </w:t>
            </w:r>
          </w:p>
          <w:p w14:paraId="42232B18">
            <w:pPr>
              <w:numPr>
                <w:ilvl w:val="0"/>
                <w:numId w:val="0"/>
              </w:numPr>
              <w:spacing w:line="360" w:lineRule="auto"/>
              <w:ind w:left="0" w:leftChars="0" w:firstLine="0" w:firstLineChars="0"/>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（未提供对应方案不得分）</w:t>
            </w:r>
          </w:p>
        </w:tc>
        <w:tc>
          <w:tcPr>
            <w:tcW w:w="817" w:type="dxa"/>
            <w:shd w:val="clear" w:color="auto" w:fill="FFFFFF"/>
            <w:vAlign w:val="center"/>
          </w:tcPr>
          <w:p w14:paraId="788FCE8E">
            <w:pPr>
              <w:widowControl/>
              <w:spacing w:line="360" w:lineRule="auto"/>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6</w:t>
            </w:r>
          </w:p>
        </w:tc>
      </w:tr>
      <w:tr w14:paraId="34E9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34" w:type="dxa"/>
            <w:shd w:val="clear" w:color="auto" w:fill="auto"/>
            <w:vAlign w:val="center"/>
          </w:tcPr>
          <w:p w14:paraId="57851E62">
            <w:pPr>
              <w:widowControl/>
              <w:spacing w:line="360" w:lineRule="auto"/>
              <w:jc w:val="center"/>
              <w:rPr>
                <w:rFonts w:hint="default" w:ascii="宋体" w:hAnsi="宋体" w:cs="宋体"/>
                <w:b w:val="0"/>
                <w:bCs w:val="0"/>
                <w:color w:val="000000" w:themeColor="text1"/>
                <w:sz w:val="22"/>
                <w:szCs w:val="22"/>
                <w:highlight w:val="none"/>
                <w:lang w:val="en-US" w:eastAsia="zh-CN"/>
                <w14:textFill>
                  <w14:solidFill>
                    <w14:schemeClr w14:val="tx1"/>
                  </w14:solidFill>
                </w14:textFill>
              </w:rPr>
            </w:pPr>
            <w:r>
              <w:rPr>
                <w:rFonts w:hint="eastAsia" w:ascii="宋体" w:hAnsi="宋体" w:cs="宋体"/>
                <w:b w:val="0"/>
                <w:bCs w:val="0"/>
                <w:color w:val="000000" w:themeColor="text1"/>
                <w:sz w:val="22"/>
                <w:szCs w:val="22"/>
                <w:highlight w:val="none"/>
                <w:lang w:val="en-US" w:eastAsia="zh-CN"/>
                <w14:textFill>
                  <w14:solidFill>
                    <w14:schemeClr w14:val="tx1"/>
                  </w14:solidFill>
                </w14:textFill>
              </w:rPr>
              <w:t>14</w:t>
            </w:r>
          </w:p>
        </w:tc>
        <w:tc>
          <w:tcPr>
            <w:tcW w:w="1270" w:type="dxa"/>
            <w:shd w:val="clear" w:color="auto" w:fill="auto"/>
            <w:vAlign w:val="center"/>
          </w:tcPr>
          <w:p w14:paraId="4E19F808">
            <w:pPr>
              <w:numPr>
                <w:ilvl w:val="0"/>
                <w:numId w:val="0"/>
              </w:numPr>
              <w:spacing w:line="360" w:lineRule="auto"/>
              <w:ind w:left="0" w:leftChars="0" w:firstLine="0" w:firstLineChars="0"/>
              <w:jc w:val="center"/>
              <w:rPr>
                <w:rFonts w:hint="eastAsia"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应急处置方案</w:t>
            </w:r>
          </w:p>
        </w:tc>
        <w:tc>
          <w:tcPr>
            <w:tcW w:w="6843" w:type="dxa"/>
            <w:shd w:val="clear" w:color="auto" w:fill="FFFFFF"/>
            <w:vAlign w:val="center"/>
          </w:tcPr>
          <w:p w14:paraId="05CD5A99">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根据供应商分析制定特殊情况下的应急方案，包括传达、人员调配、责任分工等进行综合评审： </w:t>
            </w:r>
          </w:p>
          <w:p w14:paraId="35A3C046">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（1）应急方案及保障措施最详细具体，可行性高的，得6分； </w:t>
            </w:r>
          </w:p>
          <w:p w14:paraId="03790ECC">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（2）应急方案及保障措施比较详细具体，可行性良好的，得4分 </w:t>
            </w:r>
          </w:p>
          <w:p w14:paraId="3FD0E285">
            <w:pPr>
              <w:numPr>
                <w:ilvl w:val="0"/>
                <w:numId w:val="0"/>
              </w:numPr>
              <w:spacing w:line="360" w:lineRule="auto"/>
              <w:ind w:leftChars="0"/>
              <w:rPr>
                <w:rFonts w:hint="eastAsia"/>
                <w:b w:val="0"/>
                <w:bCs w:val="0"/>
                <w:highlight w:val="none"/>
                <w:lang w:val="en-US" w:eastAsia="zh-CN"/>
              </w:rPr>
            </w:pPr>
            <w:r>
              <w:rPr>
                <w:rFonts w:hint="eastAsia"/>
                <w:b w:val="0"/>
                <w:bCs w:val="0"/>
                <w:highlight w:val="none"/>
                <w:lang w:val="en-US" w:eastAsia="zh-CN"/>
              </w:rPr>
              <w:t xml:space="preserve">（3）应急方案及保障措施比较详细具体，可行性一般的，得2分。 </w:t>
            </w:r>
          </w:p>
          <w:p w14:paraId="2730AD8D">
            <w:pPr>
              <w:numPr>
                <w:ilvl w:val="0"/>
                <w:numId w:val="0"/>
              </w:numPr>
              <w:spacing w:line="360" w:lineRule="auto"/>
              <w:ind w:left="0" w:leftChars="0" w:firstLine="0" w:firstLineChars="0"/>
              <w:rPr>
                <w:rFonts w:hint="eastAsia" w:ascii="Times New Roman" w:hAnsi="Times New Roman" w:eastAsia="宋体" w:cs="Times New Roman"/>
                <w:b w:val="0"/>
                <w:bCs w:val="0"/>
                <w:kern w:val="2"/>
                <w:sz w:val="21"/>
                <w:szCs w:val="24"/>
                <w:highlight w:val="none"/>
                <w:lang w:val="zh-CN" w:eastAsia="zh-CN" w:bidi="ar-SA"/>
              </w:rPr>
            </w:pPr>
            <w:r>
              <w:rPr>
                <w:rFonts w:hint="eastAsia"/>
                <w:b w:val="0"/>
                <w:bCs w:val="0"/>
                <w:highlight w:val="none"/>
                <w:lang w:val="en-US" w:eastAsia="zh-CN"/>
              </w:rPr>
              <w:t>（未提供对应方案不得分）</w:t>
            </w:r>
          </w:p>
        </w:tc>
        <w:tc>
          <w:tcPr>
            <w:tcW w:w="817" w:type="dxa"/>
            <w:shd w:val="clear" w:color="auto" w:fill="FFFFFF"/>
            <w:vAlign w:val="center"/>
          </w:tcPr>
          <w:p w14:paraId="3DF69D0D">
            <w:pPr>
              <w:widowControl/>
              <w:spacing w:line="360" w:lineRule="auto"/>
              <w:jc w:val="center"/>
              <w:textAlignment w:val="center"/>
              <w:rPr>
                <w:rFonts w:hint="default" w:ascii="宋体" w:hAnsi="宋体" w:eastAsia="宋体" w:cs="宋体"/>
                <w:kern w:val="2"/>
                <w:sz w:val="22"/>
                <w:szCs w:val="22"/>
                <w:highlight w:val="none"/>
                <w:lang w:val="en-US" w:eastAsia="zh-CN" w:bidi="ar-SA"/>
              </w:rPr>
            </w:pPr>
            <w:r>
              <w:rPr>
                <w:rFonts w:hint="eastAsia" w:ascii="宋体" w:hAnsi="宋体" w:cs="宋体"/>
                <w:sz w:val="22"/>
                <w:szCs w:val="22"/>
                <w:highlight w:val="none"/>
                <w:lang w:val="en-US" w:eastAsia="zh-CN"/>
              </w:rPr>
              <w:t>6</w:t>
            </w:r>
          </w:p>
        </w:tc>
      </w:tr>
    </w:tbl>
    <w:p w14:paraId="7364F0CD">
      <w:pPr>
        <w:rPr>
          <w:highlight w:val="none"/>
        </w:rPr>
        <w:sectPr>
          <w:footerReference r:id="rId3" w:type="default"/>
          <w:pgSz w:w="11906" w:h="16838"/>
          <w:pgMar w:top="1440" w:right="1440" w:bottom="1440" w:left="1803" w:header="851" w:footer="992" w:gutter="0"/>
          <w:pgNumType w:start="0"/>
          <w:cols w:space="0" w:num="1"/>
          <w:docGrid w:type="lines" w:linePitch="325" w:charSpace="0"/>
        </w:sectPr>
      </w:pPr>
    </w:p>
    <w:p w14:paraId="3552C1BF">
      <w:pPr>
        <w:spacing w:line="360" w:lineRule="auto"/>
        <w:jc w:val="center"/>
        <w:rPr>
          <w:rFonts w:ascii="宋体"/>
          <w:b/>
          <w:sz w:val="36"/>
          <w:szCs w:val="36"/>
          <w:highlight w:val="none"/>
        </w:rPr>
      </w:pPr>
      <w:r>
        <w:rPr>
          <w:rFonts w:hint="eastAsia" w:ascii="宋体" w:hAnsi="宋体"/>
          <w:b/>
          <w:sz w:val="36"/>
          <w:szCs w:val="36"/>
          <w:highlight w:val="none"/>
        </w:rPr>
        <w:t>第四章 项目需求</w:t>
      </w:r>
    </w:p>
    <w:p w14:paraId="6711C0C1">
      <w:pPr>
        <w:tabs>
          <w:tab w:val="left" w:pos="8280"/>
        </w:tabs>
        <w:autoSpaceDE w:val="0"/>
        <w:autoSpaceDN w:val="0"/>
        <w:adjustRightInd w:val="0"/>
        <w:spacing w:line="360" w:lineRule="auto"/>
        <w:ind w:right="25"/>
        <w:rPr>
          <w:rFonts w:ascii="宋体" w:hAnsi="宋体"/>
          <w:sz w:val="24"/>
          <w:highlight w:val="none"/>
        </w:rPr>
      </w:pPr>
      <w:r>
        <w:rPr>
          <w:rFonts w:hint="eastAsia" w:ascii="宋体" w:hAnsi="宋体"/>
          <w:b/>
          <w:sz w:val="24"/>
          <w:highlight w:val="none"/>
        </w:rPr>
        <w:t>一、采购项目一览表</w:t>
      </w:r>
    </w:p>
    <w:p w14:paraId="5FF95804">
      <w:pPr>
        <w:tabs>
          <w:tab w:val="left" w:pos="8280"/>
        </w:tabs>
        <w:autoSpaceDE w:val="0"/>
        <w:autoSpaceDN w:val="0"/>
        <w:adjustRightInd w:val="0"/>
        <w:spacing w:line="360" w:lineRule="auto"/>
        <w:ind w:right="25" w:firstLine="280"/>
        <w:rPr>
          <w:rFonts w:hint="eastAsia" w:ascii="宋体" w:hAnsi="宋体"/>
          <w:sz w:val="24"/>
          <w:highlight w:val="none"/>
        </w:rPr>
      </w:pPr>
      <w:r>
        <w:rPr>
          <w:rFonts w:hint="eastAsia" w:ascii="宋体" w:hAnsi="宋体"/>
          <w:sz w:val="24"/>
          <w:highlight w:val="none"/>
        </w:rPr>
        <w:t>本次采购共</w:t>
      </w:r>
      <w:r>
        <w:rPr>
          <w:rFonts w:hint="eastAsia" w:ascii="宋体" w:hAnsi="宋体"/>
          <w:sz w:val="24"/>
          <w:highlight w:val="none"/>
          <w:u w:val="single"/>
        </w:rPr>
        <w:t xml:space="preserve">  1 </w:t>
      </w:r>
      <w:r>
        <w:rPr>
          <w:rFonts w:hint="eastAsia" w:ascii="宋体" w:hAnsi="宋体"/>
          <w:sz w:val="24"/>
          <w:highlight w:val="none"/>
        </w:rPr>
        <w:t>个标段，具体内容如下表：</w:t>
      </w:r>
    </w:p>
    <w:tbl>
      <w:tblPr>
        <w:tblStyle w:val="28"/>
        <w:tblW w:w="9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040"/>
        <w:gridCol w:w="1219"/>
        <w:gridCol w:w="522"/>
        <w:gridCol w:w="522"/>
        <w:gridCol w:w="1371"/>
        <w:gridCol w:w="1543"/>
        <w:gridCol w:w="1905"/>
      </w:tblGrid>
      <w:tr w14:paraId="4C610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16" w:type="dxa"/>
            <w:noWrap w:val="0"/>
            <w:vAlign w:val="center"/>
          </w:tcPr>
          <w:p w14:paraId="586ACF2E">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标段号</w:t>
            </w:r>
          </w:p>
        </w:tc>
        <w:tc>
          <w:tcPr>
            <w:tcW w:w="2040" w:type="dxa"/>
            <w:noWrap w:val="0"/>
            <w:vAlign w:val="center"/>
          </w:tcPr>
          <w:p w14:paraId="3D19B0BD">
            <w:pPr>
              <w:tabs>
                <w:tab w:val="left" w:pos="8280"/>
              </w:tabs>
              <w:autoSpaceDE w:val="0"/>
              <w:autoSpaceDN w:val="0"/>
              <w:adjustRightInd w:val="0"/>
              <w:spacing w:line="360" w:lineRule="auto"/>
              <w:ind w:right="25" w:firstLine="120" w:firstLineChars="50"/>
              <w:jc w:val="center"/>
              <w:rPr>
                <w:rFonts w:ascii="宋体" w:hAnsi="宋体"/>
                <w:b/>
                <w:color w:val="000000"/>
                <w:sz w:val="24"/>
                <w:highlight w:val="none"/>
              </w:rPr>
            </w:pPr>
            <w:r>
              <w:rPr>
                <w:rFonts w:hint="eastAsia" w:ascii="宋体" w:hAnsi="宋体"/>
                <w:b/>
                <w:color w:val="000000"/>
                <w:sz w:val="24"/>
                <w:highlight w:val="none"/>
              </w:rPr>
              <w:t>项目名称</w:t>
            </w:r>
          </w:p>
        </w:tc>
        <w:tc>
          <w:tcPr>
            <w:tcW w:w="1219" w:type="dxa"/>
            <w:noWrap w:val="0"/>
            <w:vAlign w:val="center"/>
          </w:tcPr>
          <w:p w14:paraId="44EC3780">
            <w:pPr>
              <w:tabs>
                <w:tab w:val="left" w:pos="8280"/>
              </w:tabs>
              <w:autoSpaceDE w:val="0"/>
              <w:autoSpaceDN w:val="0"/>
              <w:adjustRightInd w:val="0"/>
              <w:spacing w:line="360" w:lineRule="auto"/>
              <w:ind w:right="25"/>
              <w:rPr>
                <w:rFonts w:ascii="宋体" w:hAnsi="宋体"/>
                <w:b/>
                <w:color w:val="000000"/>
                <w:sz w:val="24"/>
                <w:highlight w:val="none"/>
              </w:rPr>
            </w:pPr>
            <w:r>
              <w:rPr>
                <w:rFonts w:hint="eastAsia" w:ascii="宋体" w:hAnsi="宋体"/>
                <w:b/>
                <w:color w:val="000000"/>
                <w:sz w:val="24"/>
                <w:highlight w:val="none"/>
              </w:rPr>
              <w:t>简要技术、服务要求等</w:t>
            </w:r>
          </w:p>
        </w:tc>
        <w:tc>
          <w:tcPr>
            <w:tcW w:w="522" w:type="dxa"/>
            <w:noWrap w:val="0"/>
            <w:vAlign w:val="center"/>
          </w:tcPr>
          <w:p w14:paraId="2729E7A0">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数量</w:t>
            </w:r>
          </w:p>
        </w:tc>
        <w:tc>
          <w:tcPr>
            <w:tcW w:w="522" w:type="dxa"/>
            <w:noWrap w:val="0"/>
            <w:vAlign w:val="center"/>
          </w:tcPr>
          <w:p w14:paraId="38AAEED3">
            <w:pPr>
              <w:tabs>
                <w:tab w:val="left" w:pos="8280"/>
              </w:tabs>
              <w:autoSpaceDE w:val="0"/>
              <w:autoSpaceDN w:val="0"/>
              <w:adjustRightInd w:val="0"/>
              <w:spacing w:line="360" w:lineRule="auto"/>
              <w:ind w:right="25"/>
              <w:jc w:val="center"/>
              <w:rPr>
                <w:rFonts w:ascii="宋体" w:hAnsi="宋体"/>
                <w:b/>
                <w:color w:val="000000"/>
                <w:sz w:val="24"/>
                <w:highlight w:val="none"/>
              </w:rPr>
            </w:pPr>
            <w:r>
              <w:rPr>
                <w:rFonts w:hint="eastAsia" w:ascii="宋体" w:hAnsi="宋体"/>
                <w:b/>
                <w:color w:val="000000"/>
                <w:sz w:val="24"/>
                <w:highlight w:val="none"/>
              </w:rPr>
              <w:t>单位</w:t>
            </w:r>
          </w:p>
        </w:tc>
        <w:tc>
          <w:tcPr>
            <w:tcW w:w="1371" w:type="dxa"/>
            <w:noWrap w:val="0"/>
            <w:vAlign w:val="center"/>
          </w:tcPr>
          <w:p w14:paraId="2CB08AF3">
            <w:pPr>
              <w:tabs>
                <w:tab w:val="left" w:pos="8280"/>
              </w:tabs>
              <w:autoSpaceDE w:val="0"/>
              <w:autoSpaceDN w:val="0"/>
              <w:adjustRightInd w:val="0"/>
              <w:spacing w:line="360" w:lineRule="auto"/>
              <w:ind w:right="25" w:firstLine="120" w:firstLineChars="50"/>
              <w:jc w:val="center"/>
              <w:rPr>
                <w:rFonts w:hint="eastAsia" w:ascii="宋体" w:hAnsi="宋体"/>
                <w:b/>
                <w:color w:val="000000"/>
                <w:sz w:val="24"/>
                <w:highlight w:val="none"/>
              </w:rPr>
            </w:pPr>
            <w:r>
              <w:rPr>
                <w:rFonts w:hint="eastAsia" w:ascii="宋体" w:hAnsi="宋体"/>
                <w:b/>
                <w:color w:val="000000"/>
                <w:sz w:val="24"/>
                <w:highlight w:val="none"/>
              </w:rPr>
              <w:t>合同履行期限</w:t>
            </w:r>
          </w:p>
        </w:tc>
        <w:tc>
          <w:tcPr>
            <w:tcW w:w="1543" w:type="dxa"/>
            <w:noWrap w:val="0"/>
            <w:vAlign w:val="center"/>
          </w:tcPr>
          <w:p w14:paraId="2F3E9CB8">
            <w:pPr>
              <w:tabs>
                <w:tab w:val="left" w:pos="8280"/>
              </w:tabs>
              <w:autoSpaceDE w:val="0"/>
              <w:autoSpaceDN w:val="0"/>
              <w:adjustRightInd w:val="0"/>
              <w:spacing w:line="360" w:lineRule="auto"/>
              <w:ind w:right="25" w:firstLine="120" w:firstLineChars="50"/>
              <w:jc w:val="center"/>
              <w:rPr>
                <w:rFonts w:hint="eastAsia" w:ascii="宋体" w:hAnsi="宋体" w:eastAsia="宋体"/>
                <w:b/>
                <w:color w:val="000000"/>
                <w:sz w:val="24"/>
                <w:highlight w:val="none"/>
                <w:lang w:eastAsia="zh-CN"/>
              </w:rPr>
            </w:pPr>
            <w:r>
              <w:rPr>
                <w:rFonts w:hint="eastAsia" w:ascii="宋体" w:hAnsi="宋体"/>
                <w:b/>
                <w:color w:val="000000"/>
                <w:sz w:val="24"/>
                <w:highlight w:val="none"/>
                <w:lang w:eastAsia="zh-CN"/>
              </w:rPr>
              <w:t>预算金额</w:t>
            </w:r>
          </w:p>
        </w:tc>
        <w:tc>
          <w:tcPr>
            <w:tcW w:w="1905" w:type="dxa"/>
            <w:noWrap w:val="0"/>
            <w:vAlign w:val="center"/>
          </w:tcPr>
          <w:p w14:paraId="0131B50A">
            <w:pPr>
              <w:tabs>
                <w:tab w:val="left" w:pos="8280"/>
              </w:tabs>
              <w:autoSpaceDE w:val="0"/>
              <w:autoSpaceDN w:val="0"/>
              <w:adjustRightInd w:val="0"/>
              <w:spacing w:line="360" w:lineRule="auto"/>
              <w:ind w:right="25" w:firstLine="120" w:firstLineChars="50"/>
              <w:jc w:val="center"/>
              <w:rPr>
                <w:rFonts w:hint="eastAsia" w:ascii="宋体" w:hAnsi="宋体"/>
                <w:b/>
                <w:color w:val="000000"/>
                <w:sz w:val="24"/>
                <w:highlight w:val="none"/>
              </w:rPr>
            </w:pPr>
            <w:r>
              <w:rPr>
                <w:rFonts w:hint="eastAsia" w:ascii="宋体" w:hAnsi="宋体"/>
                <w:b/>
                <w:color w:val="000000"/>
                <w:sz w:val="24"/>
                <w:highlight w:val="none"/>
              </w:rPr>
              <w:t>服务地点</w:t>
            </w:r>
          </w:p>
        </w:tc>
      </w:tr>
      <w:tr w14:paraId="119BB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716" w:type="dxa"/>
            <w:noWrap w:val="0"/>
            <w:vAlign w:val="center"/>
          </w:tcPr>
          <w:p w14:paraId="52A18299">
            <w:pPr>
              <w:tabs>
                <w:tab w:val="left" w:pos="8280"/>
              </w:tabs>
              <w:autoSpaceDE w:val="0"/>
              <w:autoSpaceDN w:val="0"/>
              <w:adjustRightInd w:val="0"/>
              <w:spacing w:line="360" w:lineRule="auto"/>
              <w:ind w:right="25"/>
              <w:jc w:val="center"/>
              <w:rPr>
                <w:rFonts w:hint="eastAsia" w:ascii="宋体" w:hAnsi="宋体"/>
                <w:sz w:val="24"/>
                <w:szCs w:val="24"/>
                <w:highlight w:val="none"/>
              </w:rPr>
            </w:pPr>
            <w:r>
              <w:rPr>
                <w:rFonts w:hint="eastAsia" w:ascii="宋体" w:hAnsi="宋体"/>
                <w:sz w:val="24"/>
                <w:szCs w:val="24"/>
                <w:highlight w:val="none"/>
              </w:rPr>
              <w:t>一</w:t>
            </w:r>
          </w:p>
        </w:tc>
        <w:tc>
          <w:tcPr>
            <w:tcW w:w="2040" w:type="dxa"/>
            <w:noWrap w:val="0"/>
            <w:vAlign w:val="center"/>
          </w:tcPr>
          <w:p w14:paraId="78EBBA42">
            <w:pPr>
              <w:widowControl/>
              <w:spacing w:line="360" w:lineRule="auto"/>
              <w:jc w:val="center"/>
              <w:rPr>
                <w:rFonts w:ascii="宋体" w:hAnsi="宋体"/>
                <w:sz w:val="24"/>
                <w:szCs w:val="24"/>
                <w:highlight w:val="none"/>
              </w:rPr>
            </w:pPr>
            <w:r>
              <w:rPr>
                <w:rFonts w:hint="eastAsia" w:ascii="宋体" w:hAnsi="宋体"/>
                <w:color w:val="auto"/>
                <w:sz w:val="24"/>
                <w:szCs w:val="24"/>
                <w:highlight w:val="none"/>
                <w:lang w:eastAsia="zh-CN"/>
              </w:rPr>
              <w:t>台州湾新区消安委办购买消防安全服务项目</w:t>
            </w:r>
          </w:p>
        </w:tc>
        <w:tc>
          <w:tcPr>
            <w:tcW w:w="1219" w:type="dxa"/>
            <w:noWrap w:val="0"/>
            <w:vAlign w:val="center"/>
          </w:tcPr>
          <w:p w14:paraId="564681C3">
            <w:pPr>
              <w:widowControl/>
              <w:spacing w:line="360" w:lineRule="auto"/>
              <w:jc w:val="center"/>
              <w:rPr>
                <w:rFonts w:ascii="宋体" w:hAnsi="宋体"/>
                <w:sz w:val="24"/>
                <w:szCs w:val="24"/>
                <w:highlight w:val="none"/>
              </w:rPr>
            </w:pPr>
            <w:r>
              <w:rPr>
                <w:rFonts w:hint="eastAsia" w:ascii="宋体" w:hAnsi="宋体"/>
                <w:sz w:val="24"/>
                <w:szCs w:val="24"/>
                <w:highlight w:val="none"/>
              </w:rPr>
              <w:t>见技术需求</w:t>
            </w:r>
          </w:p>
        </w:tc>
        <w:tc>
          <w:tcPr>
            <w:tcW w:w="522" w:type="dxa"/>
            <w:noWrap w:val="0"/>
            <w:vAlign w:val="center"/>
          </w:tcPr>
          <w:p w14:paraId="2A9AC8F0">
            <w:pPr>
              <w:tabs>
                <w:tab w:val="left" w:pos="8280"/>
              </w:tabs>
              <w:autoSpaceDE w:val="0"/>
              <w:autoSpaceDN w:val="0"/>
              <w:adjustRightInd w:val="0"/>
              <w:spacing w:line="360" w:lineRule="auto"/>
              <w:ind w:right="25"/>
              <w:jc w:val="center"/>
              <w:rPr>
                <w:rFonts w:hint="eastAsia" w:ascii="宋体" w:hAnsi="宋体"/>
                <w:sz w:val="24"/>
                <w:szCs w:val="24"/>
                <w:highlight w:val="none"/>
              </w:rPr>
            </w:pPr>
            <w:r>
              <w:rPr>
                <w:rFonts w:hint="eastAsia" w:ascii="宋体" w:hAnsi="宋体"/>
                <w:sz w:val="24"/>
                <w:szCs w:val="24"/>
                <w:highlight w:val="none"/>
              </w:rPr>
              <w:t>1</w:t>
            </w:r>
          </w:p>
        </w:tc>
        <w:tc>
          <w:tcPr>
            <w:tcW w:w="522" w:type="dxa"/>
            <w:noWrap w:val="0"/>
            <w:vAlign w:val="center"/>
          </w:tcPr>
          <w:p w14:paraId="7C309D00">
            <w:pPr>
              <w:widowControl/>
              <w:spacing w:line="360" w:lineRule="auto"/>
              <w:jc w:val="center"/>
              <w:rPr>
                <w:rFonts w:ascii="宋体" w:hAnsi="宋体"/>
                <w:sz w:val="24"/>
                <w:szCs w:val="24"/>
                <w:highlight w:val="none"/>
              </w:rPr>
            </w:pPr>
            <w:r>
              <w:rPr>
                <w:rFonts w:hint="eastAsia" w:ascii="宋体" w:hAnsi="宋体"/>
                <w:sz w:val="24"/>
                <w:szCs w:val="24"/>
                <w:highlight w:val="none"/>
              </w:rPr>
              <w:t>批</w:t>
            </w:r>
          </w:p>
        </w:tc>
        <w:tc>
          <w:tcPr>
            <w:tcW w:w="1371" w:type="dxa"/>
            <w:noWrap w:val="0"/>
            <w:vAlign w:val="center"/>
          </w:tcPr>
          <w:p w14:paraId="72196688">
            <w:pPr>
              <w:widowControl/>
              <w:spacing w:line="360" w:lineRule="auto"/>
              <w:jc w:val="center"/>
              <w:rPr>
                <w:rFonts w:hint="eastAsia" w:ascii="宋体" w:hAnsi="宋体" w:eastAsia="宋体"/>
                <w:sz w:val="24"/>
                <w:szCs w:val="24"/>
                <w:highlight w:val="none"/>
                <w:lang w:eastAsia="zh-CN"/>
              </w:rPr>
            </w:pPr>
            <w:r>
              <w:rPr>
                <w:rFonts w:hint="eastAsia" w:hAnsi="宋体" w:cs="宋体"/>
                <w:sz w:val="24"/>
                <w:szCs w:val="24"/>
                <w:highlight w:val="none"/>
                <w:lang w:val="en-US" w:eastAsia="zh-CN"/>
              </w:rPr>
              <w:t>1年</w:t>
            </w:r>
          </w:p>
        </w:tc>
        <w:tc>
          <w:tcPr>
            <w:tcW w:w="1543" w:type="dxa"/>
            <w:noWrap w:val="0"/>
            <w:vAlign w:val="center"/>
          </w:tcPr>
          <w:p w14:paraId="1B630C7A">
            <w:pPr>
              <w:tabs>
                <w:tab w:val="left" w:pos="8280"/>
              </w:tabs>
              <w:autoSpaceDE w:val="0"/>
              <w:autoSpaceDN w:val="0"/>
              <w:adjustRightInd w:val="0"/>
              <w:spacing w:line="360" w:lineRule="auto"/>
              <w:ind w:right="25"/>
              <w:jc w:val="center"/>
              <w:rPr>
                <w:rFonts w:hint="default"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80.9万元</w:t>
            </w:r>
          </w:p>
        </w:tc>
        <w:tc>
          <w:tcPr>
            <w:tcW w:w="1905" w:type="dxa"/>
            <w:noWrap w:val="0"/>
            <w:vAlign w:val="center"/>
          </w:tcPr>
          <w:p w14:paraId="1DF9514F">
            <w:pPr>
              <w:tabs>
                <w:tab w:val="left" w:pos="8280"/>
              </w:tabs>
              <w:autoSpaceDE w:val="0"/>
              <w:autoSpaceDN w:val="0"/>
              <w:adjustRightInd w:val="0"/>
              <w:spacing w:line="360" w:lineRule="auto"/>
              <w:ind w:right="25"/>
              <w:jc w:val="center"/>
              <w:rPr>
                <w:rFonts w:hint="eastAsia" w:ascii="宋体" w:hAnsi="宋体" w:eastAsia="宋体"/>
                <w:sz w:val="24"/>
                <w:szCs w:val="24"/>
                <w:highlight w:val="none"/>
                <w:lang w:eastAsia="zh-CN"/>
              </w:rPr>
            </w:pPr>
            <w:r>
              <w:rPr>
                <w:rFonts w:hint="eastAsia" w:hAnsi="宋体" w:cs="宋体"/>
                <w:color w:val="auto"/>
                <w:sz w:val="24"/>
                <w:szCs w:val="24"/>
                <w:highlight w:val="none"/>
                <w:lang w:eastAsia="zh-CN"/>
              </w:rPr>
              <w:t>台州湾新区消防救援大队</w:t>
            </w:r>
          </w:p>
        </w:tc>
      </w:tr>
    </w:tbl>
    <w:p w14:paraId="24FE71EA">
      <w:pPr>
        <w:numPr>
          <w:ilvl w:val="0"/>
          <w:numId w:val="0"/>
        </w:numPr>
        <w:tabs>
          <w:tab w:val="left" w:pos="8280"/>
        </w:tabs>
        <w:autoSpaceDE w:val="0"/>
        <w:autoSpaceDN w:val="0"/>
        <w:adjustRightInd w:val="0"/>
        <w:spacing w:line="360" w:lineRule="auto"/>
        <w:ind w:right="25" w:rightChars="0"/>
        <w:rPr>
          <w:rFonts w:ascii="仿宋_GB2312" w:hAnsi="仿宋_GB2312" w:eastAsia="仿宋_GB2312" w:cs="仿宋_GB2312"/>
          <w:sz w:val="32"/>
          <w:szCs w:val="32"/>
          <w:highlight w:val="none"/>
        </w:rPr>
      </w:pPr>
      <w:r>
        <w:rPr>
          <w:rFonts w:hint="eastAsia" w:ascii="宋体" w:hAnsi="宋体"/>
          <w:b/>
          <w:sz w:val="24"/>
          <w:szCs w:val="24"/>
          <w:highlight w:val="none"/>
          <w:lang w:eastAsia="zh-CN"/>
        </w:rPr>
        <w:t>二、</w:t>
      </w:r>
      <w:r>
        <w:rPr>
          <w:rFonts w:hint="eastAsia" w:ascii="宋体" w:hAnsi="宋体"/>
          <w:b/>
          <w:sz w:val="24"/>
          <w:szCs w:val="24"/>
          <w:highlight w:val="none"/>
        </w:rPr>
        <w:t>技术需求</w:t>
      </w:r>
    </w:p>
    <w:p w14:paraId="34DBC3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负责组织开展台州湾新区居住出租房屋、高层建筑、人员密集场所、“九小”场所、生产企业和电气、电动自行车、智慧消防建设领域消防安全大治理工作，制定出台各行业领域消防安全治理思路、方法、措施，提出并组织实施督查、暗访、验收等工作；对整治领域发生火灾事故的视情前往现场踏勘；探索实施各行业领域消防安全隐患整治标准长效工作机制。</w:t>
      </w:r>
    </w:p>
    <w:p w14:paraId="7CFE60AC">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sz w:val="24"/>
          <w:szCs w:val="24"/>
          <w:highlight w:val="none"/>
          <w:lang w:eastAsia="zh-CN"/>
        </w:rPr>
      </w:pP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lang w:eastAsia="zh-CN"/>
        </w:rPr>
        <w:t>具体要求：</w:t>
      </w:r>
    </w:p>
    <w:p w14:paraId="58EEC6C6">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lang w:eastAsia="zh-CN"/>
        </w:rPr>
        <w:t>服务要求：</w:t>
      </w:r>
    </w:p>
    <w:p w14:paraId="002E41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根据</w:t>
      </w:r>
      <w:r>
        <w:rPr>
          <w:rFonts w:hint="eastAsia" w:ascii="宋体" w:hAnsi="宋体" w:cs="宋体"/>
          <w:color w:val="auto"/>
          <w:sz w:val="24"/>
          <w:szCs w:val="24"/>
          <w:highlight w:val="none"/>
          <w:lang w:val="en-US" w:eastAsia="zh-CN"/>
        </w:rPr>
        <w:t>工作安排</w:t>
      </w:r>
      <w:r>
        <w:rPr>
          <w:rFonts w:hint="eastAsia" w:ascii="宋体" w:hAnsi="宋体" w:eastAsia="宋体" w:cs="宋体"/>
          <w:color w:val="auto"/>
          <w:sz w:val="24"/>
          <w:szCs w:val="24"/>
          <w:highlight w:val="none"/>
          <w:lang w:val="en-US" w:eastAsia="zh-CN"/>
        </w:rPr>
        <w:t>完成</w:t>
      </w:r>
      <w:r>
        <w:rPr>
          <w:rFonts w:hint="eastAsia" w:ascii="宋体" w:hAnsi="宋体" w:cs="宋体"/>
          <w:color w:val="auto"/>
          <w:sz w:val="24"/>
          <w:szCs w:val="24"/>
          <w:highlight w:val="none"/>
          <w:lang w:val="en-US" w:eastAsia="zh-CN"/>
        </w:rPr>
        <w:t>巡查次数和单位数量。</w:t>
      </w:r>
    </w:p>
    <w:p w14:paraId="45AB72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提升消防安全的工作环境，增强群众的满意度。</w:t>
      </w:r>
    </w:p>
    <w:p w14:paraId="38BF1D6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hAnsi="宋体" w:cs="宋体"/>
          <w:color w:val="auto"/>
          <w:sz w:val="24"/>
          <w:szCs w:val="24"/>
          <w:highlight w:val="none"/>
          <w:lang w:val="en-US" w:eastAsia="zh-CN"/>
        </w:rPr>
        <w:t>保障</w:t>
      </w:r>
      <w:r>
        <w:rPr>
          <w:rFonts w:hint="eastAsia" w:hAnsi="宋体" w:cs="宋体"/>
          <w:color w:val="auto"/>
          <w:sz w:val="24"/>
          <w:szCs w:val="24"/>
          <w:highlight w:val="none"/>
          <w:lang w:eastAsia="zh-CN"/>
        </w:rPr>
        <w:t>消安委办</w:t>
      </w:r>
      <w:r>
        <w:rPr>
          <w:rFonts w:hint="eastAsia" w:hAnsi="宋体" w:cs="宋体"/>
          <w:color w:val="auto"/>
          <w:sz w:val="24"/>
          <w:szCs w:val="24"/>
          <w:highlight w:val="none"/>
          <w:lang w:val="en-US" w:eastAsia="zh-CN"/>
        </w:rPr>
        <w:t>工作有序正常开展。</w:t>
      </w:r>
    </w:p>
    <w:p w14:paraId="78398B8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4、按工作需要提供相应出行配套服务</w:t>
      </w:r>
      <w:r>
        <w:rPr>
          <w:rFonts w:hint="eastAsia" w:ascii="宋体" w:hAnsi="宋体" w:eastAsia="宋体" w:cs="宋体"/>
          <w:color w:val="auto"/>
          <w:sz w:val="24"/>
          <w:szCs w:val="24"/>
          <w:highlight w:val="none"/>
          <w:lang w:val="en-US" w:eastAsia="zh-CN"/>
        </w:rPr>
        <w:t>。</w:t>
      </w:r>
    </w:p>
    <w:p w14:paraId="484F2523">
      <w:pPr>
        <w:keepNext w:val="0"/>
        <w:keepLines w:val="0"/>
        <w:pageBreakBefore w:val="0"/>
        <w:widowControl w:val="0"/>
        <w:kinsoku/>
        <w:wordWrap/>
        <w:overflowPunct/>
        <w:topLinePunct w:val="0"/>
        <w:autoSpaceDE/>
        <w:autoSpaceDN/>
        <w:bidi w:val="0"/>
        <w:adjustRightInd/>
        <w:spacing w:line="6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（二）团队要求：</w:t>
      </w:r>
    </w:p>
    <w:p w14:paraId="10DE15F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r>
        <w:rPr>
          <w:rFonts w:hint="eastAsia" w:ascii="宋体" w:hAnsi="宋体" w:cs="宋体"/>
          <w:color w:val="000000"/>
          <w:sz w:val="24"/>
          <w:szCs w:val="24"/>
          <w:highlight w:val="none"/>
          <w:lang w:val="en-US" w:eastAsia="zh-CN"/>
        </w:rPr>
        <w:t>需配备1名项目负责人负责日常协调工作，项目负责人需在采购人指定地点每月考勤不少于20个工作日。团队人员按需配备。</w:t>
      </w:r>
    </w:p>
    <w:p w14:paraId="12AC56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default"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2、身体健康，具有大专以上学历；</w:t>
      </w:r>
    </w:p>
    <w:p w14:paraId="4E6947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3、思想政治素质好，遵纪守法，品行端正，有较强的责任心和团队合作意识。</w:t>
      </w:r>
    </w:p>
    <w:p w14:paraId="33E8CD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、服务意识强，富有亲和力、</w:t>
      </w:r>
      <w:r>
        <w:rPr>
          <w:rFonts w:hint="eastAsia" w:ascii="宋体" w:hAnsi="宋体" w:cs="宋体"/>
          <w:color w:val="000000"/>
          <w:sz w:val="24"/>
          <w:szCs w:val="24"/>
          <w:highlight w:val="none"/>
          <w:lang w:val="en-US" w:eastAsia="zh-CN"/>
        </w:rPr>
        <w:t>会方言、</w:t>
      </w:r>
      <w:r>
        <w:rPr>
          <w:rFonts w:hint="eastAsia" w:ascii="宋体" w:hAnsi="宋体" w:eastAsia="宋体" w:cs="宋体"/>
          <w:color w:val="000000"/>
          <w:sz w:val="24"/>
          <w:szCs w:val="24"/>
          <w:highlight w:val="none"/>
          <w:lang w:val="en-US" w:eastAsia="zh-CN"/>
        </w:rPr>
        <w:t>沟通、协调、表达能力俱佳</w:t>
      </w:r>
      <w:r>
        <w:rPr>
          <w:rFonts w:hint="eastAsia" w:ascii="宋体" w:hAnsi="宋体" w:cs="宋体"/>
          <w:color w:val="000000"/>
          <w:sz w:val="24"/>
          <w:szCs w:val="24"/>
          <w:highlight w:val="none"/>
          <w:lang w:val="en-US" w:eastAsia="zh-CN"/>
        </w:rPr>
        <w:t>。</w:t>
      </w:r>
    </w:p>
    <w:p w14:paraId="2BC0DD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、熟练掌握计算机操作</w:t>
      </w:r>
      <w:r>
        <w:rPr>
          <w:rFonts w:hint="eastAsia" w:ascii="宋体" w:hAnsi="宋体" w:cs="宋体"/>
          <w:color w:val="000000"/>
          <w:sz w:val="24"/>
          <w:szCs w:val="24"/>
          <w:highlight w:val="none"/>
          <w:lang w:val="en-US" w:eastAsia="zh-CN"/>
        </w:rPr>
        <w:t>。</w:t>
      </w:r>
    </w:p>
    <w:p w14:paraId="7890C87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、根据采购人的需求组建并扩充团队，保障</w:t>
      </w:r>
      <w:r>
        <w:rPr>
          <w:rFonts w:hint="eastAsia" w:ascii="宋体" w:hAnsi="宋体" w:cs="宋体"/>
          <w:color w:val="000000"/>
          <w:sz w:val="24"/>
          <w:szCs w:val="24"/>
          <w:highlight w:val="none"/>
          <w:lang w:val="en-US" w:eastAsia="zh-CN"/>
        </w:rPr>
        <w:t>消安委办</w:t>
      </w:r>
      <w:r>
        <w:rPr>
          <w:rFonts w:hint="eastAsia" w:ascii="宋体" w:hAnsi="宋体" w:eastAsia="宋体" w:cs="宋体"/>
          <w:color w:val="000000"/>
          <w:sz w:val="24"/>
          <w:szCs w:val="24"/>
          <w:highlight w:val="none"/>
          <w:lang w:val="en-US" w:eastAsia="zh-CN"/>
        </w:rPr>
        <w:t>工作有序正常开展</w:t>
      </w:r>
      <w:r>
        <w:rPr>
          <w:rFonts w:hint="eastAsia" w:ascii="宋体" w:hAnsi="宋体" w:cs="宋体"/>
          <w:color w:val="000000"/>
          <w:sz w:val="24"/>
          <w:szCs w:val="24"/>
          <w:highlight w:val="none"/>
          <w:lang w:val="en-US" w:eastAsia="zh-CN"/>
        </w:rPr>
        <w:t>。</w:t>
      </w:r>
    </w:p>
    <w:p w14:paraId="7CCDC8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、负责做好对团队人员的入职培训、日常管理、考核与指导。</w:t>
      </w:r>
    </w:p>
    <w:p w14:paraId="22B4F305">
      <w:pPr>
        <w:pStyle w:val="20"/>
        <w:jc w:val="both"/>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（三）工作纪律</w:t>
      </w:r>
    </w:p>
    <w:p w14:paraId="493872EC">
      <w:pPr>
        <w:pStyle w:val="67"/>
        <w:adjustRightInd w:val="0"/>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1、工作人员上下班时间参照台州湾新区内相关政府部门的作息时间，如工作时间外有突发事件等情况发生。</w:t>
      </w:r>
    </w:p>
    <w:p w14:paraId="57819F88">
      <w:pPr>
        <w:pStyle w:val="67"/>
        <w:adjustRightInd w:val="0"/>
        <w:snapToGrid w:val="0"/>
        <w:spacing w:line="480" w:lineRule="auto"/>
        <w:ind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rPr>
        <w:t>必须做到人不离岗，外出符合规定并予以登记，确遇重大事情离岗，应及时向管理人员汇报，安排</w:t>
      </w:r>
      <w:r>
        <w:rPr>
          <w:rFonts w:hint="eastAsia" w:ascii="宋体" w:hAnsi="宋体" w:cs="宋体"/>
          <w:bCs/>
          <w:color w:val="auto"/>
          <w:sz w:val="24"/>
          <w:szCs w:val="24"/>
          <w:highlight w:val="none"/>
          <w:lang w:eastAsia="zh-CN"/>
        </w:rPr>
        <w:t>人员</w:t>
      </w:r>
      <w:r>
        <w:rPr>
          <w:rFonts w:hint="eastAsia" w:ascii="宋体" w:hAnsi="宋体" w:cs="宋体"/>
          <w:bCs/>
          <w:color w:val="auto"/>
          <w:sz w:val="24"/>
          <w:szCs w:val="24"/>
          <w:highlight w:val="none"/>
        </w:rPr>
        <w:t>做好顶岗工作，并履行请假手续。</w:t>
      </w:r>
    </w:p>
    <w:p w14:paraId="57B2B2BC">
      <w:pPr>
        <w:pStyle w:val="67"/>
        <w:adjustRightInd w:val="0"/>
        <w:snapToGrid w:val="0"/>
        <w:spacing w:line="480" w:lineRule="auto"/>
        <w:ind w:firstLine="480" w:firstLineChars="200"/>
        <w:jc w:val="left"/>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bCs/>
          <w:color w:val="auto"/>
          <w:sz w:val="24"/>
          <w:szCs w:val="24"/>
          <w:highlight w:val="none"/>
        </w:rPr>
        <w:t>服从工作安排，做好交派的其它业务工作。</w:t>
      </w:r>
    </w:p>
    <w:p w14:paraId="148934F5">
      <w:pPr>
        <w:pStyle w:val="67"/>
        <w:adjustRightInd w:val="0"/>
        <w:snapToGrid w:val="0"/>
        <w:spacing w:line="480" w:lineRule="auto"/>
        <w:ind w:firstLine="480" w:firstLineChars="200"/>
        <w:jc w:val="left"/>
        <w:rPr>
          <w:rFonts w:hint="eastAsia" w:ascii="宋体" w:hAnsi="宋体" w:cs="宋体"/>
          <w:bCs/>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bCs/>
          <w:color w:val="auto"/>
          <w:sz w:val="24"/>
          <w:szCs w:val="24"/>
          <w:highlight w:val="none"/>
        </w:rPr>
        <w:t>服务人员需做好单位及个人的信息安全及保密工作。</w:t>
      </w:r>
    </w:p>
    <w:p w14:paraId="3BAFC32B">
      <w:pPr>
        <w:keepNext w:val="0"/>
        <w:keepLines w:val="0"/>
        <w:pageBreakBefore w:val="0"/>
        <w:widowControl w:val="0"/>
        <w:numPr>
          <w:ilvl w:val="0"/>
          <w:numId w:val="0"/>
        </w:numPr>
        <w:kinsoku/>
        <w:wordWrap/>
        <w:overflowPunct/>
        <w:topLinePunct w:val="0"/>
        <w:autoSpaceDE/>
        <w:autoSpaceDN/>
        <w:bidi w:val="0"/>
        <w:adjustRightInd/>
        <w:spacing w:line="480" w:lineRule="auto"/>
        <w:textAlignment w:val="auto"/>
        <w:rPr>
          <w:rFonts w:hint="eastAsia"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宋体" w:hAnsi="宋体" w:eastAsia="宋体" w:cs="宋体"/>
          <w:b/>
          <w:bCs/>
          <w:sz w:val="24"/>
          <w:szCs w:val="24"/>
          <w:highlight w:val="none"/>
          <w:lang w:val="en-US" w:eastAsia="zh-CN"/>
        </w:rPr>
        <w:t>具体业务内容：</w:t>
      </w:r>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6811"/>
      </w:tblGrid>
      <w:tr w14:paraId="7C09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003" w:type="pct"/>
            <w:noWrap w:val="0"/>
            <w:vAlign w:val="center"/>
          </w:tcPr>
          <w:p w14:paraId="236D7B5F">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岗位</w:t>
            </w:r>
          </w:p>
        </w:tc>
        <w:tc>
          <w:tcPr>
            <w:tcW w:w="3996" w:type="pct"/>
            <w:noWrap w:val="0"/>
            <w:vAlign w:val="center"/>
          </w:tcPr>
          <w:p w14:paraId="4CDB07C3">
            <w:pPr>
              <w:keepNext w:val="0"/>
              <w:keepLines w:val="0"/>
              <w:pageBreakBefore w:val="0"/>
              <w:widowControl w:val="0"/>
              <w:kinsoku/>
              <w:wordWrap/>
              <w:overflowPunct/>
              <w:topLinePunct w:val="0"/>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工作内容</w:t>
            </w:r>
          </w:p>
        </w:tc>
      </w:tr>
      <w:tr w14:paraId="6805A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003" w:type="pct"/>
            <w:noWrap w:val="0"/>
            <w:vAlign w:val="center"/>
          </w:tcPr>
          <w:p w14:paraId="14ACA0E0">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消防巡查</w:t>
            </w:r>
          </w:p>
        </w:tc>
        <w:tc>
          <w:tcPr>
            <w:tcW w:w="3996" w:type="pct"/>
            <w:noWrap w:val="0"/>
            <w:vAlign w:val="center"/>
          </w:tcPr>
          <w:p w14:paraId="6CFC7FEE">
            <w:pPr>
              <w:keepNext w:val="0"/>
              <w:keepLines w:val="0"/>
              <w:widowControl w:val="0"/>
              <w:suppressLineNumbers w:val="0"/>
              <w:spacing w:before="0" w:beforeAutospacing="0" w:after="0" w:afterAutospacing="0" w:line="360" w:lineRule="auto"/>
              <w:ind w:left="0" w:right="0" w:firstLine="0" w:firstLineChars="0"/>
              <w:jc w:val="both"/>
              <w:rPr>
                <w:rFonts w:hint="eastAsia"/>
                <w:highlight w:val="none"/>
                <w:lang w:val="en-US" w:eastAsia="zh-CN"/>
              </w:rPr>
            </w:pPr>
            <w:r>
              <w:rPr>
                <w:rFonts w:hint="eastAsia"/>
                <w:highlight w:val="none"/>
                <w:lang w:val="en-US" w:eastAsia="zh-CN"/>
              </w:rPr>
              <w:t>根据工作安排，每周开展消防巡查检查及夜查工作；</w:t>
            </w:r>
          </w:p>
          <w:p w14:paraId="510DCD31">
            <w:pPr>
              <w:pStyle w:val="14"/>
              <w:ind w:left="0" w:leftChars="0" w:firstLine="0" w:firstLineChars="0"/>
              <w:rPr>
                <w:rFonts w:hint="eastAsia"/>
                <w:highlight w:val="none"/>
                <w:lang w:val="en-US" w:eastAsia="zh-CN"/>
              </w:rPr>
            </w:pPr>
            <w:r>
              <w:rPr>
                <w:rFonts w:hint="eastAsia"/>
                <w:highlight w:val="none"/>
                <w:lang w:val="en-US" w:eastAsia="zh-CN"/>
              </w:rPr>
              <w:t>积极开展区消安委办下发的各种专项整治任务；</w:t>
            </w:r>
          </w:p>
          <w:p w14:paraId="151C8A2B">
            <w:pPr>
              <w:pStyle w:val="14"/>
              <w:ind w:left="0" w:leftChars="0" w:firstLine="0" w:firstLineChars="0"/>
              <w:rPr>
                <w:rFonts w:hint="eastAsia"/>
                <w:highlight w:val="none"/>
                <w:lang w:val="en-US" w:eastAsia="zh-CN"/>
              </w:rPr>
            </w:pPr>
            <w:r>
              <w:rPr>
                <w:rFonts w:hint="eastAsia"/>
                <w:highlight w:val="none"/>
                <w:lang w:val="en-US" w:eastAsia="zh-CN"/>
              </w:rPr>
              <w:t>做好准备工作，迎接上级的各种检查；</w:t>
            </w:r>
          </w:p>
          <w:p w14:paraId="65EA7C84">
            <w:pPr>
              <w:pStyle w:val="14"/>
              <w:ind w:left="0" w:leftChars="0" w:firstLine="0" w:firstLineChars="0"/>
              <w:rPr>
                <w:rFonts w:hint="eastAsia"/>
                <w:highlight w:val="none"/>
                <w:lang w:val="en-US" w:eastAsia="zh-CN"/>
              </w:rPr>
            </w:pPr>
            <w:r>
              <w:rPr>
                <w:rFonts w:hint="eastAsia"/>
                <w:highlight w:val="none"/>
                <w:lang w:val="en-US" w:eastAsia="zh-CN"/>
              </w:rPr>
              <w:t>积极开展消防宣传工作；</w:t>
            </w:r>
          </w:p>
          <w:p w14:paraId="4C5D74EF">
            <w:pPr>
              <w:pStyle w:val="14"/>
              <w:ind w:left="0" w:leftChars="0" w:firstLine="0" w:firstLineChars="0"/>
              <w:rPr>
                <w:rFonts w:hint="default"/>
                <w:highlight w:val="none"/>
                <w:lang w:val="en-US" w:eastAsia="zh-CN"/>
              </w:rPr>
            </w:pPr>
            <w:r>
              <w:rPr>
                <w:rFonts w:hint="eastAsia"/>
                <w:highlight w:val="none"/>
                <w:lang w:val="en-US" w:eastAsia="zh-CN"/>
              </w:rPr>
              <w:t>每周完成20家随手拍数量。</w:t>
            </w:r>
          </w:p>
        </w:tc>
      </w:tr>
    </w:tbl>
    <w:p w14:paraId="6F55E0D6">
      <w:pPr>
        <w:rPr>
          <w:highlight w:val="none"/>
        </w:rPr>
      </w:pPr>
    </w:p>
    <w:p w14:paraId="263F3C46">
      <w:pPr>
        <w:spacing w:line="48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三、商务需求</w:t>
      </w:r>
    </w:p>
    <w:p w14:paraId="35C14FA8">
      <w:pPr>
        <w:pStyle w:val="11"/>
        <w:snapToGrid w:val="0"/>
        <w:spacing w:line="480" w:lineRule="auto"/>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b/>
          <w:sz w:val="24"/>
          <w:szCs w:val="24"/>
          <w:highlight w:val="none"/>
        </w:rPr>
        <w:t>1、</w:t>
      </w:r>
      <w:r>
        <w:rPr>
          <w:rFonts w:hint="eastAsia" w:ascii="宋体" w:hAnsi="宋体" w:eastAsia="宋体" w:cs="宋体"/>
          <w:b/>
          <w:sz w:val="24"/>
          <w:szCs w:val="24"/>
          <w:highlight w:val="none"/>
          <w:lang w:eastAsia="zh-CN"/>
        </w:rPr>
        <w:t>服务</w:t>
      </w:r>
      <w:r>
        <w:rPr>
          <w:rFonts w:hint="eastAsia" w:ascii="宋体" w:hAnsi="宋体" w:eastAsia="宋体" w:cs="宋体"/>
          <w:b/>
          <w:sz w:val="24"/>
          <w:szCs w:val="24"/>
          <w:highlight w:val="none"/>
        </w:rPr>
        <w:t>期：</w:t>
      </w:r>
      <w:r>
        <w:rPr>
          <w:rFonts w:hint="eastAsia" w:ascii="宋体" w:hAnsi="宋体" w:eastAsia="宋体" w:cs="宋体"/>
          <w:color w:val="auto"/>
          <w:sz w:val="24"/>
          <w:szCs w:val="24"/>
          <w:highlight w:val="none"/>
          <w:lang w:val="en-US" w:eastAsia="zh-CN"/>
        </w:rPr>
        <w:t>合同签订之日起</w:t>
      </w:r>
      <w:r>
        <w:rPr>
          <w:rFonts w:hint="eastAsia"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年。</w:t>
      </w:r>
    </w:p>
    <w:p w14:paraId="49490241">
      <w:pPr>
        <w:pStyle w:val="11"/>
        <w:snapToGrid w:val="0"/>
        <w:spacing w:line="480" w:lineRule="auto"/>
        <w:outlineLvl w:val="0"/>
        <w:rPr>
          <w:rFonts w:hint="eastAsia" w:ascii="宋体" w:hAnsi="宋体" w:eastAsia="宋体" w:cs="宋体"/>
          <w:kern w:val="0"/>
          <w:sz w:val="24"/>
          <w:szCs w:val="24"/>
          <w:highlight w:val="none"/>
        </w:rPr>
      </w:pPr>
      <w:r>
        <w:rPr>
          <w:rFonts w:hint="eastAsia" w:ascii="宋体" w:hAnsi="宋体" w:eastAsia="宋体" w:cs="宋体"/>
          <w:b/>
          <w:kern w:val="0"/>
          <w:sz w:val="24"/>
          <w:szCs w:val="24"/>
          <w:highlight w:val="none"/>
        </w:rPr>
        <w:t>2、</w:t>
      </w:r>
      <w:r>
        <w:rPr>
          <w:rFonts w:hint="eastAsia" w:ascii="宋体" w:hAnsi="宋体" w:eastAsia="宋体" w:cs="宋体"/>
          <w:b/>
          <w:kern w:val="0"/>
          <w:sz w:val="24"/>
          <w:szCs w:val="24"/>
          <w:highlight w:val="none"/>
          <w:lang w:eastAsia="zh-CN"/>
        </w:rPr>
        <w:t>服务</w:t>
      </w:r>
      <w:r>
        <w:rPr>
          <w:rFonts w:hint="eastAsia" w:ascii="宋体" w:hAnsi="宋体" w:eastAsia="宋体" w:cs="宋体"/>
          <w:b/>
          <w:kern w:val="0"/>
          <w:sz w:val="24"/>
          <w:szCs w:val="24"/>
          <w:highlight w:val="none"/>
        </w:rPr>
        <w:t>时间及地点：</w:t>
      </w:r>
      <w:r>
        <w:rPr>
          <w:rFonts w:hint="eastAsia" w:ascii="宋体" w:hAnsi="宋体" w:eastAsia="宋体" w:cs="宋体"/>
          <w:kern w:val="0"/>
          <w:sz w:val="24"/>
          <w:szCs w:val="24"/>
          <w:highlight w:val="none"/>
        </w:rPr>
        <w:t>同前面“</w:t>
      </w:r>
      <w:r>
        <w:rPr>
          <w:rFonts w:hint="eastAsia" w:ascii="宋体" w:hAnsi="宋体" w:eastAsia="宋体" w:cs="宋体"/>
          <w:kern w:val="0"/>
          <w:sz w:val="24"/>
          <w:szCs w:val="24"/>
          <w:highlight w:val="none"/>
          <w:lang w:eastAsia="zh-CN"/>
        </w:rPr>
        <w:t>采购</w:t>
      </w:r>
      <w:r>
        <w:rPr>
          <w:rFonts w:hint="eastAsia" w:ascii="宋体" w:hAnsi="宋体" w:eastAsia="宋体" w:cs="宋体"/>
          <w:kern w:val="0"/>
          <w:sz w:val="24"/>
          <w:szCs w:val="24"/>
          <w:highlight w:val="none"/>
        </w:rPr>
        <w:t>项目一览表”内所填的相关内容。</w:t>
      </w:r>
    </w:p>
    <w:p w14:paraId="4DACFB45">
      <w:pPr>
        <w:pStyle w:val="11"/>
        <w:keepNext w:val="0"/>
        <w:keepLines w:val="0"/>
        <w:pageBreakBefore w:val="0"/>
        <w:widowControl w:val="0"/>
        <w:numPr>
          <w:ilvl w:val="0"/>
          <w:numId w:val="0"/>
        </w:numPr>
        <w:kinsoku/>
        <w:wordWrap/>
        <w:overflowPunct/>
        <w:topLinePunct w:val="0"/>
        <w:autoSpaceDE/>
        <w:autoSpaceDN/>
        <w:bidi w:val="0"/>
        <w:adjustRightInd/>
        <w:snapToGrid w:val="0"/>
        <w:spacing w:line="480" w:lineRule="auto"/>
        <w:jc w:val="left"/>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kern w:val="0"/>
          <w:sz w:val="24"/>
          <w:szCs w:val="24"/>
          <w:highlight w:val="none"/>
        </w:rPr>
        <w:t>3、</w:t>
      </w:r>
      <w:r>
        <w:rPr>
          <w:rFonts w:hint="eastAsia" w:ascii="宋体" w:hAnsi="宋体" w:eastAsia="宋体" w:cs="宋体"/>
          <w:b/>
          <w:color w:val="000000"/>
          <w:sz w:val="24"/>
          <w:szCs w:val="24"/>
          <w:highlight w:val="none"/>
        </w:rPr>
        <w:t>付款条件：</w:t>
      </w:r>
    </w:p>
    <w:p w14:paraId="1C2C9E97">
      <w:pPr>
        <w:pStyle w:val="11"/>
        <w:keepNext w:val="0"/>
        <w:keepLines w:val="0"/>
        <w:pageBreakBefore w:val="0"/>
        <w:widowControl w:val="0"/>
        <w:numPr>
          <w:ilvl w:val="0"/>
          <w:numId w:val="0"/>
        </w:numPr>
        <w:shd w:val="clear"/>
        <w:kinsoku/>
        <w:wordWrap/>
        <w:overflowPunct/>
        <w:topLinePunct w:val="0"/>
        <w:autoSpaceDE/>
        <w:autoSpaceDN/>
        <w:bidi w:val="0"/>
        <w:adjustRightInd/>
        <w:snapToGrid w:val="0"/>
        <w:spacing w:line="480" w:lineRule="auto"/>
        <w:jc w:val="left"/>
        <w:textAlignment w:val="auto"/>
        <w:rPr>
          <w:rFonts w:hint="eastAsia" w:ascii="宋体" w:hAnsi="宋体" w:eastAsia="宋体" w:cs="宋体"/>
          <w:color w:val="000000"/>
          <w:kern w:val="0"/>
          <w:sz w:val="24"/>
          <w:szCs w:val="24"/>
          <w:highlight w:val="none"/>
          <w:lang w:val="en-US" w:eastAsia="zh-CN"/>
        </w:rPr>
      </w:pPr>
      <w:r>
        <w:rPr>
          <w:rFonts w:hint="eastAsia" w:hAnsi="宋体" w:cs="宋体"/>
          <w:color w:val="000000"/>
          <w:kern w:val="0"/>
          <w:sz w:val="24"/>
          <w:szCs w:val="24"/>
          <w:highlight w:val="none"/>
          <w:lang w:val="en-US" w:eastAsia="zh-CN"/>
        </w:rPr>
        <w:t>（1）</w:t>
      </w:r>
      <w:r>
        <w:rPr>
          <w:rFonts w:hint="eastAsia" w:ascii="宋体" w:hAnsi="宋体" w:eastAsia="宋体" w:cs="宋体"/>
          <w:color w:val="000000"/>
          <w:kern w:val="0"/>
          <w:sz w:val="24"/>
          <w:szCs w:val="24"/>
          <w:highlight w:val="none"/>
          <w:lang w:val="en-US" w:eastAsia="zh-CN"/>
        </w:rPr>
        <w:t>合同签订后</w:t>
      </w:r>
      <w:r>
        <w:rPr>
          <w:rFonts w:hint="eastAsia" w:hAnsi="宋体" w:cs="宋体"/>
          <w:color w:val="000000"/>
          <w:kern w:val="0"/>
          <w:sz w:val="24"/>
          <w:szCs w:val="24"/>
          <w:highlight w:val="none"/>
          <w:lang w:val="en-US" w:eastAsia="zh-CN"/>
        </w:rPr>
        <w:t>7个工作</w:t>
      </w:r>
      <w:r>
        <w:rPr>
          <w:rFonts w:hint="eastAsia" w:ascii="宋体" w:hAnsi="宋体" w:eastAsia="宋体" w:cs="宋体"/>
          <w:color w:val="000000"/>
          <w:kern w:val="0"/>
          <w:sz w:val="24"/>
          <w:szCs w:val="24"/>
          <w:highlight w:val="none"/>
          <w:lang w:val="en-US" w:eastAsia="zh-CN"/>
        </w:rPr>
        <w:t>日内支付合同价款的</w:t>
      </w:r>
      <w:r>
        <w:rPr>
          <w:rFonts w:hint="eastAsia" w:hAnsi="宋体" w:cs="宋体"/>
          <w:color w:val="000000"/>
          <w:kern w:val="0"/>
          <w:sz w:val="24"/>
          <w:szCs w:val="24"/>
          <w:highlight w:val="none"/>
          <w:lang w:val="en-US" w:eastAsia="zh-CN"/>
        </w:rPr>
        <w:t>50</w:t>
      </w:r>
      <w:r>
        <w:rPr>
          <w:rFonts w:hint="eastAsia" w:ascii="宋体" w:hAnsi="宋体" w:eastAsia="宋体" w:cs="宋体"/>
          <w:color w:val="000000"/>
          <w:kern w:val="0"/>
          <w:sz w:val="24"/>
          <w:szCs w:val="24"/>
          <w:highlight w:val="none"/>
          <w:lang w:val="en-US" w:eastAsia="zh-CN"/>
        </w:rPr>
        <w:t>%；</w:t>
      </w:r>
    </w:p>
    <w:p w14:paraId="70E036E5">
      <w:pPr>
        <w:pStyle w:val="11"/>
        <w:keepNext w:val="0"/>
        <w:keepLines w:val="0"/>
        <w:pageBreakBefore w:val="0"/>
        <w:widowControl w:val="0"/>
        <w:numPr>
          <w:ilvl w:val="0"/>
          <w:numId w:val="0"/>
        </w:numPr>
        <w:shd w:val="clear"/>
        <w:kinsoku/>
        <w:wordWrap/>
        <w:overflowPunct/>
        <w:topLinePunct w:val="0"/>
        <w:autoSpaceDE/>
        <w:autoSpaceDN/>
        <w:bidi w:val="0"/>
        <w:adjustRightInd/>
        <w:snapToGrid w:val="0"/>
        <w:spacing w:line="48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kern w:val="0"/>
          <w:sz w:val="24"/>
          <w:szCs w:val="24"/>
          <w:highlight w:val="none"/>
          <w:lang w:val="en-US" w:eastAsia="zh-CN"/>
        </w:rPr>
        <w:t>（2）服务期</w:t>
      </w:r>
      <w:r>
        <w:rPr>
          <w:rFonts w:hint="eastAsia" w:hAnsi="宋体" w:cs="宋体"/>
          <w:color w:val="000000"/>
          <w:kern w:val="0"/>
          <w:sz w:val="24"/>
          <w:szCs w:val="24"/>
          <w:highlight w:val="none"/>
          <w:lang w:val="en-US" w:eastAsia="zh-CN"/>
        </w:rPr>
        <w:t>至6</w:t>
      </w:r>
      <w:r>
        <w:rPr>
          <w:rFonts w:hint="eastAsia" w:ascii="宋体" w:hAnsi="宋体" w:eastAsia="宋体" w:cs="宋体"/>
          <w:color w:val="000000"/>
          <w:kern w:val="0"/>
          <w:sz w:val="24"/>
          <w:szCs w:val="24"/>
          <w:highlight w:val="none"/>
          <w:lang w:val="en-US" w:eastAsia="zh-CN"/>
        </w:rPr>
        <w:t>个月后</w:t>
      </w:r>
      <w:r>
        <w:rPr>
          <w:rFonts w:hint="eastAsia" w:hAnsi="宋体" w:cs="宋体"/>
          <w:color w:val="000000"/>
          <w:kern w:val="0"/>
          <w:sz w:val="24"/>
          <w:szCs w:val="24"/>
          <w:highlight w:val="none"/>
          <w:lang w:val="en-US" w:eastAsia="zh-CN"/>
        </w:rPr>
        <w:t>7个工作</w:t>
      </w:r>
      <w:r>
        <w:rPr>
          <w:rFonts w:hint="eastAsia" w:ascii="宋体" w:hAnsi="宋体" w:eastAsia="宋体" w:cs="宋体"/>
          <w:color w:val="000000"/>
          <w:kern w:val="0"/>
          <w:sz w:val="24"/>
          <w:szCs w:val="24"/>
          <w:highlight w:val="none"/>
          <w:lang w:val="en-US" w:eastAsia="zh-CN"/>
        </w:rPr>
        <w:t>日内支付剩余款项。</w:t>
      </w:r>
    </w:p>
    <w:p w14:paraId="4866830E">
      <w:pPr>
        <w:pStyle w:val="11"/>
        <w:snapToGrid w:val="0"/>
        <w:spacing w:before="120" w:after="120" w:line="360" w:lineRule="auto"/>
        <w:rPr>
          <w:rFonts w:hAnsi="宋体"/>
          <w:bCs/>
          <w:color w:val="000000"/>
          <w:sz w:val="24"/>
          <w:highlight w:val="none"/>
        </w:rPr>
      </w:pPr>
      <w:r>
        <w:rPr>
          <w:rFonts w:hint="eastAsia" w:hAnsi="宋体"/>
          <w:bCs/>
          <w:color w:val="000000"/>
          <w:sz w:val="24"/>
          <w:highlight w:val="none"/>
        </w:rPr>
        <w:t>注：上述款项支付须开具对应招标人正式的增值税发票后再予以支付。</w:t>
      </w:r>
    </w:p>
    <w:p w14:paraId="4103A5E4">
      <w:pPr>
        <w:pStyle w:val="12"/>
        <w:rPr>
          <w:rFonts w:hint="default"/>
          <w:highlight w:val="none"/>
          <w:lang w:val="en-US" w:eastAsia="zh-CN"/>
        </w:rPr>
      </w:pPr>
    </w:p>
    <w:p w14:paraId="1E6156CD">
      <w:pPr>
        <w:rPr>
          <w:highlight w:val="none"/>
        </w:rPr>
      </w:pPr>
    </w:p>
    <w:p w14:paraId="4DAAC343">
      <w:pPr>
        <w:spacing w:line="360" w:lineRule="auto"/>
        <w:jc w:val="center"/>
        <w:rPr>
          <w:rFonts w:hint="eastAsia" w:ascii="宋体" w:hAnsi="宋体"/>
          <w:b/>
          <w:sz w:val="36"/>
          <w:szCs w:val="36"/>
          <w:highlight w:val="none"/>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pPr>
    </w:p>
    <w:p w14:paraId="0DBAE31E">
      <w:pPr>
        <w:spacing w:line="360" w:lineRule="auto"/>
        <w:jc w:val="center"/>
        <w:rPr>
          <w:rFonts w:ascii="宋体" w:hAnsi="宋体"/>
          <w:b/>
          <w:sz w:val="36"/>
          <w:szCs w:val="36"/>
          <w:highlight w:val="none"/>
        </w:rPr>
      </w:pPr>
      <w:r>
        <w:rPr>
          <w:rFonts w:hint="eastAsia" w:ascii="宋体" w:hAnsi="宋体"/>
          <w:b/>
          <w:sz w:val="36"/>
          <w:szCs w:val="36"/>
          <w:highlight w:val="none"/>
        </w:rPr>
        <w:t>第五章 政府采购合同主要条款</w:t>
      </w:r>
    </w:p>
    <w:p w14:paraId="24D50A27">
      <w:pPr>
        <w:pStyle w:val="61"/>
        <w:jc w:val="center"/>
        <w:rPr>
          <w:rFonts w:ascii="Times New Roman" w:hAnsi="宋体"/>
          <w:kern w:val="2"/>
          <w:sz w:val="21"/>
          <w:szCs w:val="21"/>
          <w:highlight w:val="none"/>
        </w:rPr>
      </w:pPr>
      <w:r>
        <w:rPr>
          <w:rFonts w:hint="eastAsia" w:ascii="Times New Roman" w:hAnsi="宋体"/>
          <w:kern w:val="2"/>
          <w:sz w:val="21"/>
          <w:szCs w:val="21"/>
          <w:highlight w:val="none"/>
        </w:rPr>
        <w:t>（此稿为合同样本，最终定稿待双方协商后定）</w:t>
      </w:r>
    </w:p>
    <w:p w14:paraId="259561FC">
      <w:pPr>
        <w:rPr>
          <w:highlight w:val="none"/>
        </w:rPr>
      </w:pPr>
    </w:p>
    <w:p w14:paraId="3909CD78">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合同将由</w:t>
      </w:r>
      <w:r>
        <w:rPr>
          <w:rFonts w:hint="eastAsia" w:ascii="宋体" w:hAnsi="宋体" w:cs="宋体"/>
          <w:sz w:val="24"/>
          <w:highlight w:val="none"/>
          <w:lang w:eastAsia="zh-CN"/>
        </w:rPr>
        <w:t>台州湾新区管理委员会</w:t>
      </w:r>
      <w:r>
        <w:rPr>
          <w:rFonts w:hint="eastAsia" w:ascii="宋体" w:hAnsi="宋体" w:cs="宋体"/>
          <w:sz w:val="24"/>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50813DC8">
      <w:pPr>
        <w:pStyle w:val="11"/>
        <w:snapToGrid w:val="0"/>
        <w:spacing w:line="360" w:lineRule="auto"/>
        <w:rPr>
          <w:rFonts w:hAnsi="宋体" w:cs="宋体"/>
          <w:sz w:val="24"/>
          <w:highlight w:val="none"/>
        </w:rPr>
      </w:pPr>
      <w:r>
        <w:rPr>
          <w:rFonts w:hint="eastAsia" w:hAnsi="宋体" w:cs="宋体"/>
          <w:sz w:val="24"/>
          <w:highlight w:val="none"/>
        </w:rPr>
        <w:t>招标编号：</w:t>
      </w:r>
    </w:p>
    <w:p w14:paraId="2974A99B">
      <w:pPr>
        <w:pStyle w:val="11"/>
        <w:snapToGrid w:val="0"/>
        <w:spacing w:line="360" w:lineRule="auto"/>
        <w:rPr>
          <w:rFonts w:hAnsi="宋体" w:cs="宋体"/>
          <w:b/>
          <w:sz w:val="24"/>
          <w:highlight w:val="none"/>
        </w:rPr>
      </w:pPr>
      <w:r>
        <w:rPr>
          <w:rFonts w:hint="eastAsia" w:hAnsi="宋体" w:cs="宋体"/>
          <w:b/>
          <w:sz w:val="24"/>
          <w:highlight w:val="none"/>
        </w:rPr>
        <w:t>甲方：</w:t>
      </w:r>
      <w:r>
        <w:rPr>
          <w:rFonts w:hint="eastAsia" w:hAnsi="宋体" w:cs="宋体"/>
          <w:sz w:val="24"/>
          <w:highlight w:val="none"/>
        </w:rPr>
        <w:t>（采购方）</w:t>
      </w:r>
    </w:p>
    <w:p w14:paraId="78AB2842">
      <w:pPr>
        <w:pStyle w:val="11"/>
        <w:adjustRightInd w:val="0"/>
        <w:snapToGrid w:val="0"/>
        <w:spacing w:line="360" w:lineRule="auto"/>
        <w:rPr>
          <w:rFonts w:hAnsi="宋体" w:cs="宋体"/>
          <w:b/>
          <w:sz w:val="24"/>
          <w:highlight w:val="none"/>
        </w:rPr>
      </w:pPr>
      <w:r>
        <w:rPr>
          <w:rFonts w:hint="eastAsia" w:hAnsi="宋体" w:cs="宋体"/>
          <w:b/>
          <w:sz w:val="24"/>
          <w:highlight w:val="none"/>
        </w:rPr>
        <w:t>乙方：</w:t>
      </w:r>
      <w:r>
        <w:rPr>
          <w:rFonts w:hint="eastAsia" w:hAnsi="宋体" w:cs="宋体"/>
          <w:sz w:val="24"/>
          <w:highlight w:val="none"/>
        </w:rPr>
        <w:t>（供应商）</w:t>
      </w:r>
    </w:p>
    <w:p w14:paraId="47A122C6">
      <w:pPr>
        <w:pStyle w:val="11"/>
        <w:adjustRightInd w:val="0"/>
        <w:snapToGrid w:val="0"/>
        <w:spacing w:line="360" w:lineRule="auto"/>
        <w:ind w:firstLine="480" w:firstLineChars="200"/>
        <w:rPr>
          <w:rFonts w:hAnsi="宋体" w:cs="宋体"/>
          <w:b/>
          <w:sz w:val="24"/>
          <w:highlight w:val="none"/>
        </w:rPr>
      </w:pPr>
      <w:r>
        <w:rPr>
          <w:rFonts w:hint="eastAsia" w:hAnsi="宋体" w:cs="宋体"/>
          <w:sz w:val="24"/>
          <w:highlight w:val="none"/>
        </w:rPr>
        <w:t>甲、乙双方根据</w:t>
      </w:r>
      <w:r>
        <w:rPr>
          <w:rFonts w:hint="eastAsia" w:hAnsi="宋体" w:cs="宋体"/>
          <w:sz w:val="24"/>
          <w:highlight w:val="none"/>
          <w:u w:val="single"/>
          <w:lang w:eastAsia="zh-CN"/>
        </w:rPr>
        <w:t>台州湾新区消安委办购买消防安全服务项目</w:t>
      </w:r>
      <w:r>
        <w:rPr>
          <w:rFonts w:hint="eastAsia" w:hAnsi="宋体" w:cs="宋体"/>
          <w:sz w:val="24"/>
          <w:highlight w:val="none"/>
          <w:u w:val="single"/>
        </w:rPr>
        <w:t>竞争性磋商</w:t>
      </w:r>
      <w:r>
        <w:rPr>
          <w:rFonts w:hint="eastAsia" w:hAnsi="宋体" w:cs="宋体"/>
          <w:sz w:val="24"/>
          <w:highlight w:val="none"/>
        </w:rPr>
        <w:t>的结果，签署本合同。</w:t>
      </w:r>
    </w:p>
    <w:p w14:paraId="40F9E812">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 xml:space="preserve">一、合同文件： </w:t>
      </w:r>
    </w:p>
    <w:p w14:paraId="59CA258E">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1.合同条款；</w:t>
      </w:r>
    </w:p>
    <w:p w14:paraId="6C398C80">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2.成交通知书；</w:t>
      </w:r>
    </w:p>
    <w:p w14:paraId="3FB20D8A">
      <w:pPr>
        <w:spacing w:line="360" w:lineRule="auto"/>
        <w:ind w:firstLine="480" w:firstLineChars="200"/>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3.更正补充文件；</w:t>
      </w:r>
    </w:p>
    <w:p w14:paraId="6AEA16C3">
      <w:pPr>
        <w:spacing w:line="360" w:lineRule="auto"/>
        <w:ind w:firstLine="480" w:firstLineChars="200"/>
        <w:rPr>
          <w:rFonts w:ascii="宋体"/>
          <w:color w:val="000000"/>
          <w:sz w:val="24"/>
          <w:highlight w:val="none"/>
          <w:lang w:val="zh-CN"/>
        </w:rPr>
      </w:pPr>
      <w:r>
        <w:rPr>
          <w:rFonts w:hint="eastAsia" w:ascii="宋体"/>
          <w:color w:val="000000"/>
          <w:sz w:val="24"/>
          <w:highlight w:val="none"/>
          <w:lang w:val="zh-CN"/>
        </w:rPr>
        <w:t>4.采购文件；</w:t>
      </w:r>
    </w:p>
    <w:p w14:paraId="5E1D3E24">
      <w:pPr>
        <w:spacing w:line="360" w:lineRule="auto"/>
        <w:ind w:firstLine="480" w:firstLineChars="200"/>
        <w:rPr>
          <w:rFonts w:ascii="宋体"/>
          <w:color w:val="000000"/>
          <w:sz w:val="24"/>
          <w:highlight w:val="none"/>
          <w:lang w:val="zh-CN"/>
        </w:rPr>
      </w:pPr>
      <w:r>
        <w:rPr>
          <w:rFonts w:hint="eastAsia" w:ascii="宋体"/>
          <w:color w:val="000000"/>
          <w:sz w:val="24"/>
          <w:highlight w:val="none"/>
          <w:lang w:val="zh-CN"/>
        </w:rPr>
        <w:t>5.成交供应商响应文件；</w:t>
      </w:r>
    </w:p>
    <w:p w14:paraId="2F2154FE">
      <w:pPr>
        <w:spacing w:line="360" w:lineRule="auto"/>
        <w:ind w:firstLine="480" w:firstLineChars="200"/>
        <w:rPr>
          <w:rFonts w:ascii="宋体"/>
          <w:color w:val="000000"/>
          <w:sz w:val="24"/>
          <w:highlight w:val="none"/>
          <w:lang w:val="zh-CN"/>
        </w:rPr>
      </w:pPr>
      <w:r>
        <w:rPr>
          <w:rFonts w:hint="eastAsia" w:ascii="宋体"/>
          <w:color w:val="000000"/>
          <w:sz w:val="24"/>
          <w:highlight w:val="none"/>
          <w:lang w:val="zh-CN"/>
        </w:rPr>
        <w:t>6.其他。</w:t>
      </w:r>
    </w:p>
    <w:p w14:paraId="07F52406">
      <w:pPr>
        <w:pStyle w:val="11"/>
        <w:snapToGrid w:val="0"/>
        <w:spacing w:line="360" w:lineRule="auto"/>
        <w:ind w:firstLine="480" w:firstLineChars="200"/>
        <w:rPr>
          <w:rFonts w:hAnsi="Times New Roman" w:cs="Times New Roman"/>
          <w:color w:val="000000"/>
          <w:sz w:val="24"/>
          <w:highlight w:val="none"/>
          <w:lang w:val="zh-CN"/>
        </w:rPr>
      </w:pPr>
      <w:r>
        <w:rPr>
          <w:rFonts w:hint="eastAsia" w:cs="Times New Roman"/>
          <w:color w:val="000000"/>
          <w:sz w:val="24"/>
          <w:highlight w:val="none"/>
          <w:lang w:val="zh-CN"/>
        </w:rPr>
        <w:t>上述所指合同文件应认为是互相补充和解释的，但是有模棱两可或互相矛盾之处，以其所列内容顺序为准。</w:t>
      </w:r>
    </w:p>
    <w:p w14:paraId="5851D5ED">
      <w:pPr>
        <w:widowControl/>
        <w:shd w:val="clear" w:color="auto" w:fill="FFFFFF"/>
        <w:spacing w:line="360" w:lineRule="auto"/>
        <w:ind w:firstLine="482" w:firstLineChars="200"/>
        <w:jc w:val="left"/>
        <w:rPr>
          <w:rFonts w:ascii="宋体" w:hAnsi="宋体" w:cs="Arial"/>
          <w:b/>
          <w:color w:val="333333"/>
          <w:kern w:val="0"/>
          <w:sz w:val="24"/>
          <w:highlight w:val="none"/>
        </w:rPr>
      </w:pPr>
      <w:r>
        <w:rPr>
          <w:rFonts w:hint="eastAsia" w:ascii="宋体" w:hAnsi="宋体"/>
          <w:b/>
          <w:sz w:val="24"/>
          <w:highlight w:val="none"/>
        </w:rPr>
        <w:t>二</w:t>
      </w:r>
      <w:r>
        <w:rPr>
          <w:rFonts w:ascii="宋体" w:hAnsi="宋体"/>
          <w:b/>
          <w:sz w:val="24"/>
          <w:highlight w:val="none"/>
        </w:rPr>
        <w:t>、</w:t>
      </w:r>
      <w:r>
        <w:rPr>
          <w:rFonts w:ascii="宋体" w:hAnsi="宋体" w:cs="Arial"/>
          <w:b/>
          <w:color w:val="333333"/>
          <w:kern w:val="0"/>
          <w:sz w:val="24"/>
          <w:highlight w:val="none"/>
        </w:rPr>
        <w:t>合同内容及服务标准</w:t>
      </w:r>
    </w:p>
    <w:p w14:paraId="69904F4F">
      <w:pPr>
        <w:pStyle w:val="11"/>
        <w:snapToGrid w:val="0"/>
        <w:spacing w:line="360" w:lineRule="auto"/>
        <w:ind w:firstLine="482" w:firstLineChars="200"/>
        <w:rPr>
          <w:rFonts w:hint="eastAsia" w:hAnsi="宋体" w:eastAsia="宋体" w:cs="Times New Roman"/>
          <w:b/>
          <w:sz w:val="24"/>
          <w:highlight w:val="none"/>
          <w:lang w:eastAsia="zh-CN"/>
        </w:rPr>
      </w:pPr>
      <w:r>
        <w:rPr>
          <w:rFonts w:hint="eastAsia" w:hAnsi="宋体" w:cs="Times New Roman"/>
          <w:b/>
          <w:sz w:val="24"/>
          <w:highlight w:val="none"/>
          <w:lang w:eastAsia="zh-CN"/>
        </w:rPr>
        <w:t>（详见采购需求）</w:t>
      </w:r>
    </w:p>
    <w:p w14:paraId="22E5FE97">
      <w:pPr>
        <w:pStyle w:val="11"/>
        <w:snapToGrid w:val="0"/>
        <w:spacing w:line="360" w:lineRule="auto"/>
        <w:ind w:firstLine="482" w:firstLineChars="200"/>
        <w:rPr>
          <w:rFonts w:hAnsi="宋体" w:cs="Times New Roman"/>
          <w:b/>
          <w:sz w:val="24"/>
          <w:highlight w:val="none"/>
        </w:rPr>
      </w:pPr>
      <w:r>
        <w:rPr>
          <w:rFonts w:hint="eastAsia" w:hAnsi="宋体" w:cs="Times New Roman"/>
          <w:b/>
          <w:sz w:val="24"/>
          <w:highlight w:val="none"/>
        </w:rPr>
        <w:t>三</w:t>
      </w:r>
      <w:r>
        <w:rPr>
          <w:rFonts w:hAnsi="宋体" w:cs="Times New Roman"/>
          <w:b/>
          <w:sz w:val="24"/>
          <w:highlight w:val="none"/>
        </w:rPr>
        <w:t>、合同金额</w:t>
      </w:r>
    </w:p>
    <w:p w14:paraId="191BB134">
      <w:pPr>
        <w:pStyle w:val="11"/>
        <w:snapToGrid w:val="0"/>
        <w:spacing w:line="360" w:lineRule="auto"/>
        <w:ind w:firstLine="480" w:firstLineChars="200"/>
        <w:rPr>
          <w:rFonts w:hAnsi="宋体" w:cs="Times New Roman"/>
          <w:sz w:val="24"/>
          <w:highlight w:val="none"/>
        </w:rPr>
      </w:pPr>
      <w:r>
        <w:rPr>
          <w:rFonts w:hAnsi="宋体" w:cs="Times New Roman"/>
          <w:sz w:val="24"/>
          <w:highlight w:val="none"/>
        </w:rPr>
        <w:t>本合同金额为（大写）：元（￥元）人民币。</w:t>
      </w:r>
    </w:p>
    <w:p w14:paraId="01C1B13D">
      <w:pPr>
        <w:widowControl/>
        <w:shd w:val="clear" w:color="auto" w:fill="FFFFFF"/>
        <w:spacing w:line="360" w:lineRule="auto"/>
        <w:ind w:firstLine="482" w:firstLineChars="200"/>
        <w:jc w:val="left"/>
        <w:rPr>
          <w:rFonts w:ascii="宋体" w:hAnsi="宋体" w:cs="Arial"/>
          <w:b/>
          <w:color w:val="333333"/>
          <w:kern w:val="0"/>
          <w:sz w:val="24"/>
          <w:highlight w:val="none"/>
        </w:rPr>
      </w:pPr>
      <w:r>
        <w:rPr>
          <w:rFonts w:hint="eastAsia" w:ascii="宋体" w:hAnsi="宋体" w:cs="Arial"/>
          <w:b/>
          <w:color w:val="333333"/>
          <w:kern w:val="0"/>
          <w:sz w:val="24"/>
          <w:highlight w:val="none"/>
        </w:rPr>
        <w:t>四</w:t>
      </w:r>
      <w:r>
        <w:rPr>
          <w:rFonts w:ascii="宋体" w:hAnsi="宋体" w:cs="Arial"/>
          <w:b/>
          <w:color w:val="333333"/>
          <w:kern w:val="0"/>
          <w:sz w:val="24"/>
          <w:highlight w:val="none"/>
        </w:rPr>
        <w:t>、甲乙双方责任</w:t>
      </w:r>
    </w:p>
    <w:p w14:paraId="45B879B1">
      <w:pPr>
        <w:pStyle w:val="26"/>
        <w:shd w:val="clear" w:color="auto" w:fill="FFFFFF"/>
        <w:spacing w:before="0" w:beforeAutospacing="0" w:after="0" w:afterAutospacing="0" w:line="360" w:lineRule="auto"/>
        <w:ind w:firstLine="480" w:firstLineChars="200"/>
        <w:rPr>
          <w:rFonts w:cs="Arial"/>
          <w:color w:val="333333"/>
          <w:highlight w:val="none"/>
        </w:rPr>
      </w:pPr>
      <w:r>
        <w:rPr>
          <w:rFonts w:cs="Arial"/>
          <w:color w:val="333333"/>
          <w:highlight w:val="none"/>
        </w:rPr>
        <w:t>（一）甲方责任</w:t>
      </w:r>
    </w:p>
    <w:p w14:paraId="08869ACA">
      <w:pPr>
        <w:pStyle w:val="26"/>
        <w:shd w:val="clear" w:color="auto" w:fill="FFFFFF"/>
        <w:spacing w:before="0" w:beforeAutospacing="0" w:after="0" w:afterAutospacing="0" w:line="360" w:lineRule="auto"/>
        <w:ind w:firstLine="480" w:firstLineChars="200"/>
        <w:rPr>
          <w:rFonts w:hint="eastAsia" w:cs="Arial"/>
          <w:color w:val="333333"/>
          <w:highlight w:val="none"/>
        </w:rPr>
      </w:pPr>
      <w:r>
        <w:rPr>
          <w:rFonts w:hint="eastAsia" w:cs="Arial"/>
          <w:color w:val="333333"/>
          <w:highlight w:val="none"/>
        </w:rPr>
        <w:t>甲方应按合同规定向乙方支付服务费用。</w:t>
      </w:r>
    </w:p>
    <w:p w14:paraId="2485F1CA">
      <w:pPr>
        <w:pStyle w:val="26"/>
        <w:shd w:val="clear" w:color="auto" w:fill="FFFFFF"/>
        <w:spacing w:before="0" w:beforeAutospacing="0" w:after="0" w:afterAutospacing="0" w:line="360" w:lineRule="auto"/>
        <w:ind w:firstLine="480" w:firstLineChars="200"/>
        <w:rPr>
          <w:rFonts w:cs="Arial"/>
          <w:color w:val="333333"/>
          <w:highlight w:val="none"/>
        </w:rPr>
      </w:pPr>
      <w:r>
        <w:rPr>
          <w:rFonts w:cs="Arial"/>
          <w:color w:val="333333"/>
          <w:highlight w:val="none"/>
        </w:rPr>
        <w:t>（二）乙方责任</w:t>
      </w:r>
    </w:p>
    <w:p w14:paraId="237AAB3B">
      <w:pPr>
        <w:spacing w:line="360" w:lineRule="auto"/>
        <w:ind w:firstLine="480" w:firstLineChars="200"/>
        <w:rPr>
          <w:rFonts w:ascii="宋体" w:hAnsi="宋体"/>
          <w:sz w:val="24"/>
          <w:highlight w:val="none"/>
        </w:rPr>
      </w:pPr>
      <w:r>
        <w:rPr>
          <w:rFonts w:hint="eastAsia" w:ascii="宋体" w:hAnsi="宋体"/>
          <w:sz w:val="24"/>
          <w:highlight w:val="none"/>
        </w:rPr>
        <w:t>乙方应配合甲方确定项目需求，并按需求为甲方提供各方面的服务工作。</w:t>
      </w:r>
    </w:p>
    <w:p w14:paraId="38A57D3F">
      <w:pPr>
        <w:spacing w:line="360" w:lineRule="auto"/>
        <w:ind w:firstLine="482" w:firstLineChars="200"/>
        <w:rPr>
          <w:rFonts w:hAnsi="宋体"/>
          <w:b/>
          <w:sz w:val="24"/>
          <w:highlight w:val="none"/>
        </w:rPr>
      </w:pPr>
      <w:r>
        <w:rPr>
          <w:rFonts w:hint="eastAsia" w:hAnsi="宋体"/>
          <w:b/>
          <w:sz w:val="24"/>
          <w:highlight w:val="none"/>
        </w:rPr>
        <w:t>五</w:t>
      </w:r>
      <w:r>
        <w:rPr>
          <w:rFonts w:hAnsi="宋体"/>
          <w:b/>
          <w:sz w:val="24"/>
          <w:highlight w:val="none"/>
        </w:rPr>
        <w:t>、技术资料</w:t>
      </w:r>
    </w:p>
    <w:p w14:paraId="3144675E">
      <w:pPr>
        <w:pStyle w:val="11"/>
        <w:snapToGrid w:val="0"/>
        <w:spacing w:line="360" w:lineRule="auto"/>
        <w:ind w:firstLine="480" w:firstLineChars="200"/>
        <w:rPr>
          <w:rFonts w:hAnsi="宋体" w:cs="Times New Roman"/>
          <w:sz w:val="24"/>
          <w:highlight w:val="none"/>
        </w:rPr>
      </w:pPr>
      <w:r>
        <w:rPr>
          <w:rFonts w:hAnsi="宋体" w:cs="Times New Roman"/>
          <w:sz w:val="24"/>
          <w:highlight w:val="none"/>
        </w:rPr>
        <w:t>1</w:t>
      </w:r>
      <w:r>
        <w:rPr>
          <w:rFonts w:hint="eastAsia" w:hAnsi="宋体" w:cs="Times New Roman"/>
          <w:sz w:val="24"/>
          <w:highlight w:val="none"/>
        </w:rPr>
        <w:t>.</w:t>
      </w:r>
      <w:r>
        <w:rPr>
          <w:rFonts w:hAnsi="宋体" w:cs="Times New Roman"/>
          <w:sz w:val="24"/>
          <w:highlight w:val="none"/>
        </w:rPr>
        <w:t>乙方应按</w:t>
      </w:r>
      <w:r>
        <w:rPr>
          <w:rFonts w:hint="eastAsia" w:hAnsi="宋体" w:cs="Times New Roman"/>
          <w:sz w:val="24"/>
          <w:highlight w:val="none"/>
        </w:rPr>
        <w:t>磋商采购</w:t>
      </w:r>
      <w:r>
        <w:rPr>
          <w:rFonts w:hAnsi="宋体" w:cs="Times New Roman"/>
          <w:sz w:val="24"/>
          <w:highlight w:val="none"/>
        </w:rPr>
        <w:t>文件规定的时间向甲方提供有关技术资料。</w:t>
      </w:r>
    </w:p>
    <w:p w14:paraId="3A6AB061">
      <w:pPr>
        <w:pStyle w:val="11"/>
        <w:snapToGrid w:val="0"/>
        <w:spacing w:line="360" w:lineRule="auto"/>
        <w:ind w:firstLine="480" w:firstLineChars="200"/>
        <w:rPr>
          <w:rFonts w:hAnsi="宋体" w:cs="Times New Roman"/>
          <w:sz w:val="24"/>
          <w:highlight w:val="none"/>
        </w:rPr>
      </w:pPr>
      <w:r>
        <w:rPr>
          <w:rFonts w:hAnsi="宋体" w:cs="Times New Roman"/>
          <w:sz w:val="24"/>
          <w:highlight w:val="none"/>
        </w:rPr>
        <w:t>2</w:t>
      </w:r>
      <w:r>
        <w:rPr>
          <w:rFonts w:hint="eastAsia" w:hAnsi="宋体" w:cs="Times New Roman"/>
          <w:sz w:val="24"/>
          <w:highlight w:val="none"/>
        </w:rPr>
        <w:t>.</w:t>
      </w:r>
      <w:r>
        <w:rPr>
          <w:rFonts w:hAnsi="宋体" w:cs="Times New Roman"/>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3843EF9">
      <w:pPr>
        <w:pStyle w:val="11"/>
        <w:snapToGrid w:val="0"/>
        <w:spacing w:line="360" w:lineRule="auto"/>
        <w:ind w:firstLine="482" w:firstLineChars="200"/>
        <w:rPr>
          <w:rFonts w:hAnsi="宋体" w:cs="Times New Roman"/>
          <w:b/>
          <w:sz w:val="24"/>
          <w:highlight w:val="none"/>
        </w:rPr>
      </w:pPr>
      <w:r>
        <w:rPr>
          <w:rFonts w:hint="eastAsia" w:hAnsi="宋体" w:cs="Times New Roman"/>
          <w:b/>
          <w:sz w:val="24"/>
          <w:highlight w:val="none"/>
        </w:rPr>
        <w:t>六</w:t>
      </w:r>
      <w:r>
        <w:rPr>
          <w:rFonts w:hAnsi="宋体" w:cs="Times New Roman"/>
          <w:b/>
          <w:sz w:val="24"/>
          <w:highlight w:val="none"/>
        </w:rPr>
        <w:t>、知识产权</w:t>
      </w:r>
    </w:p>
    <w:p w14:paraId="0721A57B">
      <w:pPr>
        <w:pStyle w:val="11"/>
        <w:snapToGrid w:val="0"/>
        <w:spacing w:line="360" w:lineRule="auto"/>
        <w:ind w:firstLine="480" w:firstLineChars="200"/>
        <w:rPr>
          <w:rFonts w:hAnsi="宋体" w:cs="Times New Roman"/>
          <w:b/>
          <w:bCs/>
          <w:sz w:val="24"/>
          <w:highlight w:val="none"/>
        </w:rPr>
      </w:pPr>
      <w:r>
        <w:rPr>
          <w:rFonts w:hAnsi="宋体" w:cs="Times New Roman"/>
          <w:sz w:val="24"/>
          <w:highlight w:val="none"/>
        </w:rPr>
        <w:t>乙方应保证提供服务过程中不会侵犯任何第三方的知识产权。</w:t>
      </w:r>
    </w:p>
    <w:p w14:paraId="6A652AE6">
      <w:pPr>
        <w:snapToGrid w:val="0"/>
        <w:spacing w:line="360" w:lineRule="auto"/>
        <w:ind w:firstLine="482" w:firstLineChars="200"/>
        <w:rPr>
          <w:rFonts w:hint="default" w:ascii="宋体" w:hAnsi="宋体" w:eastAsia="宋体"/>
          <w:sz w:val="24"/>
          <w:highlight w:val="none"/>
          <w:lang w:val="en-US" w:eastAsia="zh-CN"/>
        </w:rPr>
      </w:pPr>
      <w:r>
        <w:rPr>
          <w:rFonts w:hint="eastAsia" w:hAnsi="宋体" w:cs="Times New Roman"/>
          <w:b/>
          <w:sz w:val="24"/>
          <w:highlight w:val="none"/>
        </w:rPr>
        <w:t>七</w:t>
      </w:r>
      <w:r>
        <w:rPr>
          <w:rFonts w:hAnsi="宋体" w:cs="Times New Roman"/>
          <w:b/>
          <w:sz w:val="24"/>
          <w:highlight w:val="none"/>
        </w:rPr>
        <w:t>、履约保证金</w:t>
      </w:r>
      <w:r>
        <w:rPr>
          <w:rFonts w:hint="eastAsia" w:hAnsi="宋体" w:cs="Times New Roman"/>
          <w:b/>
          <w:sz w:val="24"/>
          <w:highlight w:val="none"/>
          <w:lang w:eastAsia="zh-CN"/>
        </w:rPr>
        <w:t>：无</w:t>
      </w:r>
    </w:p>
    <w:p w14:paraId="1D3ECD38">
      <w:pPr>
        <w:snapToGrid w:val="0"/>
        <w:spacing w:line="360" w:lineRule="auto"/>
        <w:ind w:firstLine="482" w:firstLineChars="200"/>
        <w:rPr>
          <w:rFonts w:ascii="宋体" w:hAnsi="宋体"/>
          <w:b/>
          <w:sz w:val="24"/>
          <w:highlight w:val="none"/>
        </w:rPr>
      </w:pPr>
      <w:r>
        <w:rPr>
          <w:rFonts w:hint="eastAsia" w:ascii="宋体" w:hAnsi="宋体"/>
          <w:b/>
          <w:sz w:val="24"/>
          <w:highlight w:val="none"/>
        </w:rPr>
        <w:t>八、转包或分包</w:t>
      </w:r>
    </w:p>
    <w:p w14:paraId="5D469F69">
      <w:pPr>
        <w:snapToGrid w:val="0"/>
        <w:spacing w:line="360" w:lineRule="auto"/>
        <w:ind w:firstLine="480" w:firstLineChars="200"/>
        <w:rPr>
          <w:rFonts w:ascii="宋体" w:hAnsi="宋体"/>
          <w:sz w:val="24"/>
          <w:highlight w:val="none"/>
        </w:rPr>
      </w:pPr>
      <w:r>
        <w:rPr>
          <w:rFonts w:ascii="宋体" w:hAnsi="宋体"/>
          <w:sz w:val="24"/>
          <w:highlight w:val="none"/>
        </w:rPr>
        <w:t>1</w:t>
      </w:r>
      <w:r>
        <w:rPr>
          <w:rFonts w:hint="eastAsia" w:ascii="宋体" w:hAnsi="宋体"/>
          <w:sz w:val="24"/>
          <w:highlight w:val="none"/>
        </w:rPr>
        <w:t>.本合同范围的服务，应由</w:t>
      </w:r>
      <w:r>
        <w:rPr>
          <w:rFonts w:ascii="宋体" w:hAnsi="宋体"/>
          <w:sz w:val="24"/>
          <w:highlight w:val="none"/>
        </w:rPr>
        <w:t>乙</w:t>
      </w:r>
      <w:r>
        <w:rPr>
          <w:rFonts w:hint="eastAsia" w:ascii="宋体" w:hAnsi="宋体"/>
          <w:sz w:val="24"/>
          <w:highlight w:val="none"/>
        </w:rPr>
        <w:t>方直接供应，不得转让他人供应；</w:t>
      </w:r>
    </w:p>
    <w:p w14:paraId="013846E5">
      <w:pPr>
        <w:snapToGrid w:val="0"/>
        <w:spacing w:line="360" w:lineRule="auto"/>
        <w:ind w:firstLine="480" w:firstLineChars="200"/>
        <w:rPr>
          <w:rFonts w:ascii="宋体" w:hAnsi="宋体"/>
          <w:sz w:val="24"/>
          <w:highlight w:val="none"/>
        </w:rPr>
      </w:pPr>
      <w:r>
        <w:rPr>
          <w:rFonts w:ascii="宋体" w:hAnsi="宋体"/>
          <w:sz w:val="24"/>
          <w:highlight w:val="none"/>
        </w:rPr>
        <w:t>2</w:t>
      </w:r>
      <w:r>
        <w:rPr>
          <w:rFonts w:hint="eastAsia" w:ascii="宋体" w:hAnsi="宋体"/>
          <w:sz w:val="24"/>
          <w:highlight w:val="none"/>
        </w:rPr>
        <w:t>.除非得到甲方的书面同意，</w:t>
      </w:r>
      <w:r>
        <w:rPr>
          <w:rFonts w:ascii="宋体" w:hAnsi="宋体"/>
          <w:sz w:val="24"/>
          <w:highlight w:val="none"/>
        </w:rPr>
        <w:t>乙</w:t>
      </w:r>
      <w:r>
        <w:rPr>
          <w:rFonts w:hint="eastAsia" w:ascii="宋体" w:hAnsi="宋体"/>
          <w:sz w:val="24"/>
          <w:highlight w:val="none"/>
        </w:rPr>
        <w:t>方不得将本合同范围的服务全部或部分分包给他人供应；</w:t>
      </w:r>
    </w:p>
    <w:p w14:paraId="7E9F80CE">
      <w:pPr>
        <w:snapToGrid w:val="0"/>
        <w:spacing w:line="360" w:lineRule="auto"/>
        <w:ind w:firstLine="480" w:firstLineChars="200"/>
        <w:rPr>
          <w:rFonts w:ascii="宋体" w:hAnsi="宋体"/>
          <w:sz w:val="24"/>
          <w:highlight w:val="none"/>
        </w:rPr>
      </w:pPr>
      <w:r>
        <w:rPr>
          <w:rFonts w:ascii="宋体" w:hAnsi="宋体"/>
          <w:sz w:val="24"/>
          <w:highlight w:val="none"/>
        </w:rPr>
        <w:t>3</w:t>
      </w:r>
      <w:r>
        <w:rPr>
          <w:rFonts w:hint="eastAsia" w:ascii="宋体" w:hAnsi="宋体"/>
          <w:sz w:val="24"/>
          <w:highlight w:val="none"/>
        </w:rPr>
        <w:t>.如有转让和未经甲方同意的分包行为，甲方有权解除合同，没收履约保证金并追究乙方的违约责任。</w:t>
      </w:r>
    </w:p>
    <w:p w14:paraId="27189F8E">
      <w:pPr>
        <w:pStyle w:val="11"/>
        <w:snapToGrid w:val="0"/>
        <w:spacing w:line="360" w:lineRule="auto"/>
        <w:ind w:firstLine="482" w:firstLineChars="200"/>
        <w:rPr>
          <w:rFonts w:hAnsi="宋体" w:cs="Times New Roman"/>
          <w:sz w:val="24"/>
          <w:highlight w:val="none"/>
        </w:rPr>
      </w:pPr>
      <w:r>
        <w:rPr>
          <w:rFonts w:hint="eastAsia" w:hAnsi="宋体" w:cs="Times New Roman"/>
          <w:b/>
          <w:sz w:val="24"/>
          <w:highlight w:val="none"/>
        </w:rPr>
        <w:t>九</w:t>
      </w:r>
      <w:r>
        <w:rPr>
          <w:rFonts w:hAnsi="宋体" w:cs="Times New Roman"/>
          <w:b/>
          <w:sz w:val="24"/>
          <w:highlight w:val="none"/>
        </w:rPr>
        <w:t xml:space="preserve">、服务期 </w:t>
      </w:r>
    </w:p>
    <w:p w14:paraId="3CA5DAE1">
      <w:pPr>
        <w:pStyle w:val="11"/>
        <w:snapToGrid w:val="0"/>
        <w:spacing w:line="360" w:lineRule="auto"/>
        <w:ind w:firstLine="480" w:firstLineChars="200"/>
        <w:rPr>
          <w:rFonts w:hAnsi="宋体" w:cs="Times New Roman"/>
          <w:sz w:val="24"/>
          <w:highlight w:val="none"/>
        </w:rPr>
      </w:pPr>
      <w:r>
        <w:rPr>
          <w:rFonts w:hAnsi="宋体" w:cs="Times New Roman"/>
          <w:sz w:val="24"/>
          <w:highlight w:val="none"/>
        </w:rPr>
        <w:t>1</w:t>
      </w:r>
      <w:r>
        <w:rPr>
          <w:rFonts w:hint="eastAsia" w:hAnsi="宋体" w:cs="Times New Roman"/>
          <w:sz w:val="24"/>
          <w:highlight w:val="none"/>
        </w:rPr>
        <w:t>.</w:t>
      </w:r>
      <w:r>
        <w:rPr>
          <w:rFonts w:hAnsi="宋体" w:cs="Times New Roman"/>
          <w:sz w:val="24"/>
          <w:highlight w:val="none"/>
        </w:rPr>
        <w:t xml:space="preserve"> 服务期</w:t>
      </w:r>
      <w:r>
        <w:rPr>
          <w:rFonts w:hint="eastAsia" w:hAnsi="宋体" w:cs="Times New Roman"/>
          <w:sz w:val="24"/>
          <w:highlight w:val="none"/>
          <w:u w:val="single"/>
        </w:rPr>
        <w:t>1</w:t>
      </w:r>
      <w:r>
        <w:rPr>
          <w:rFonts w:hAnsi="宋体" w:cs="Times New Roman"/>
          <w:sz w:val="24"/>
          <w:highlight w:val="none"/>
        </w:rPr>
        <w:t>年。（自</w:t>
      </w:r>
      <w:r>
        <w:rPr>
          <w:rFonts w:hint="eastAsia" w:hAnsi="宋体" w:cs="Times New Roman"/>
          <w:sz w:val="24"/>
          <w:highlight w:val="none"/>
        </w:rPr>
        <w:t>合同签订</w:t>
      </w:r>
      <w:r>
        <w:rPr>
          <w:rFonts w:hAnsi="宋体" w:cs="Times New Roman"/>
          <w:sz w:val="24"/>
          <w:highlight w:val="none"/>
        </w:rPr>
        <w:t>之日起计）</w:t>
      </w:r>
    </w:p>
    <w:p w14:paraId="76309AE2">
      <w:pPr>
        <w:pStyle w:val="11"/>
        <w:snapToGrid w:val="0"/>
        <w:spacing w:line="360" w:lineRule="auto"/>
        <w:ind w:firstLine="482" w:firstLineChars="200"/>
        <w:rPr>
          <w:rFonts w:hAnsi="宋体" w:cs="Times New Roman"/>
          <w:b/>
          <w:sz w:val="24"/>
          <w:highlight w:val="none"/>
        </w:rPr>
      </w:pPr>
      <w:r>
        <w:rPr>
          <w:rFonts w:hint="eastAsia" w:hAnsi="宋体" w:cs="Times New Roman"/>
          <w:b/>
          <w:sz w:val="24"/>
          <w:highlight w:val="none"/>
        </w:rPr>
        <w:t>十</w:t>
      </w:r>
      <w:r>
        <w:rPr>
          <w:rFonts w:hAnsi="宋体" w:cs="Times New Roman"/>
          <w:b/>
          <w:sz w:val="24"/>
          <w:highlight w:val="none"/>
        </w:rPr>
        <w:t>、合同履行时间、履行方式及履行地点</w:t>
      </w:r>
    </w:p>
    <w:p w14:paraId="2D5373FC">
      <w:pPr>
        <w:pStyle w:val="11"/>
        <w:snapToGrid w:val="0"/>
        <w:spacing w:line="360" w:lineRule="auto"/>
        <w:ind w:firstLine="480" w:firstLineChars="200"/>
        <w:rPr>
          <w:rFonts w:hAnsi="宋体" w:cs="Times New Roman"/>
          <w:bCs/>
          <w:color w:val="000000"/>
          <w:sz w:val="24"/>
          <w:highlight w:val="none"/>
        </w:rPr>
      </w:pPr>
      <w:r>
        <w:rPr>
          <w:rFonts w:hAnsi="宋体" w:cs="Times New Roman"/>
          <w:bCs/>
          <w:sz w:val="24"/>
          <w:highlight w:val="none"/>
        </w:rPr>
        <w:t>1</w:t>
      </w:r>
      <w:r>
        <w:rPr>
          <w:rFonts w:hint="eastAsia" w:hAnsi="宋体" w:cs="Times New Roman"/>
          <w:bCs/>
          <w:sz w:val="24"/>
          <w:highlight w:val="none"/>
        </w:rPr>
        <w:t>.</w:t>
      </w:r>
      <w:r>
        <w:rPr>
          <w:rFonts w:hAnsi="宋体" w:cs="Times New Roman"/>
          <w:sz w:val="24"/>
          <w:highlight w:val="none"/>
        </w:rPr>
        <w:t>履行时间</w:t>
      </w:r>
      <w:r>
        <w:rPr>
          <w:rFonts w:hAnsi="宋体" w:cs="Times New Roman"/>
          <w:bCs/>
          <w:sz w:val="24"/>
          <w:highlight w:val="none"/>
        </w:rPr>
        <w:t>：</w:t>
      </w:r>
    </w:p>
    <w:p w14:paraId="4437F126">
      <w:pPr>
        <w:pStyle w:val="11"/>
        <w:snapToGrid w:val="0"/>
        <w:spacing w:line="360" w:lineRule="auto"/>
        <w:ind w:firstLine="480" w:firstLineChars="200"/>
        <w:rPr>
          <w:rFonts w:hAnsi="宋体" w:cs="Times New Roman"/>
          <w:bCs/>
          <w:color w:val="000000"/>
          <w:sz w:val="24"/>
          <w:highlight w:val="none"/>
        </w:rPr>
      </w:pPr>
      <w:r>
        <w:rPr>
          <w:rFonts w:hAnsi="宋体" w:cs="Times New Roman"/>
          <w:bCs/>
          <w:color w:val="000000"/>
          <w:sz w:val="24"/>
          <w:highlight w:val="none"/>
        </w:rPr>
        <w:t>2</w:t>
      </w:r>
      <w:r>
        <w:rPr>
          <w:rFonts w:hint="eastAsia" w:hAnsi="宋体" w:cs="Times New Roman"/>
          <w:bCs/>
          <w:color w:val="000000"/>
          <w:sz w:val="24"/>
          <w:highlight w:val="none"/>
        </w:rPr>
        <w:t>.</w:t>
      </w:r>
      <w:r>
        <w:rPr>
          <w:rFonts w:hAnsi="宋体" w:cs="Times New Roman"/>
          <w:sz w:val="24"/>
          <w:highlight w:val="none"/>
        </w:rPr>
        <w:t>履行方式</w:t>
      </w:r>
      <w:r>
        <w:rPr>
          <w:rFonts w:hAnsi="宋体" w:cs="Times New Roman"/>
          <w:bCs/>
          <w:color w:val="000000"/>
          <w:sz w:val="24"/>
          <w:highlight w:val="none"/>
        </w:rPr>
        <w:t>：</w:t>
      </w:r>
    </w:p>
    <w:p w14:paraId="29085950">
      <w:pPr>
        <w:pStyle w:val="11"/>
        <w:snapToGrid w:val="0"/>
        <w:spacing w:line="360" w:lineRule="auto"/>
        <w:ind w:firstLine="480" w:firstLineChars="200"/>
        <w:rPr>
          <w:rFonts w:hAnsi="宋体" w:cs="Times New Roman"/>
          <w:color w:val="000000"/>
          <w:sz w:val="24"/>
          <w:highlight w:val="none"/>
        </w:rPr>
      </w:pPr>
      <w:r>
        <w:rPr>
          <w:rFonts w:hAnsi="宋体" w:cs="Times New Roman"/>
          <w:bCs/>
          <w:color w:val="000000"/>
          <w:sz w:val="24"/>
          <w:highlight w:val="none"/>
        </w:rPr>
        <w:t>3</w:t>
      </w:r>
      <w:r>
        <w:rPr>
          <w:rFonts w:hint="eastAsia" w:hAnsi="宋体" w:cs="Times New Roman"/>
          <w:bCs/>
          <w:color w:val="000000"/>
          <w:sz w:val="24"/>
          <w:highlight w:val="none"/>
        </w:rPr>
        <w:t>.</w:t>
      </w:r>
      <w:r>
        <w:rPr>
          <w:rFonts w:hAnsi="宋体" w:cs="Times New Roman"/>
          <w:sz w:val="24"/>
          <w:highlight w:val="none"/>
        </w:rPr>
        <w:t>履行地点</w:t>
      </w:r>
      <w:r>
        <w:rPr>
          <w:rFonts w:hAnsi="宋体" w:cs="Times New Roman"/>
          <w:bCs/>
          <w:color w:val="000000"/>
          <w:sz w:val="24"/>
          <w:highlight w:val="none"/>
        </w:rPr>
        <w:t>：</w:t>
      </w:r>
    </w:p>
    <w:p w14:paraId="29CB6653">
      <w:pPr>
        <w:pStyle w:val="11"/>
        <w:snapToGrid w:val="0"/>
        <w:spacing w:line="360" w:lineRule="auto"/>
        <w:ind w:firstLine="482" w:firstLineChars="200"/>
        <w:rPr>
          <w:rFonts w:hAnsi="宋体" w:cs="Times New Roman"/>
          <w:b/>
          <w:color w:val="000000"/>
          <w:sz w:val="24"/>
          <w:highlight w:val="none"/>
        </w:rPr>
      </w:pPr>
      <w:r>
        <w:rPr>
          <w:rFonts w:hint="eastAsia" w:hAnsi="宋体" w:cs="Times New Roman"/>
          <w:b/>
          <w:color w:val="000000"/>
          <w:sz w:val="24"/>
          <w:highlight w:val="none"/>
        </w:rPr>
        <w:t>十一</w:t>
      </w:r>
      <w:r>
        <w:rPr>
          <w:rFonts w:hAnsi="宋体" w:cs="Times New Roman"/>
          <w:b/>
          <w:color w:val="000000"/>
          <w:sz w:val="24"/>
          <w:highlight w:val="none"/>
        </w:rPr>
        <w:t>、款项支付</w:t>
      </w:r>
    </w:p>
    <w:p w14:paraId="7FE6216B">
      <w:pPr>
        <w:pStyle w:val="11"/>
        <w:snapToGrid w:val="0"/>
        <w:spacing w:line="360" w:lineRule="auto"/>
        <w:ind w:firstLine="480" w:firstLineChars="200"/>
        <w:rPr>
          <w:rFonts w:hAnsi="宋体" w:cs="Times New Roman"/>
          <w:bCs/>
          <w:sz w:val="24"/>
          <w:highlight w:val="none"/>
        </w:rPr>
      </w:pPr>
      <w:r>
        <w:rPr>
          <w:rFonts w:hAnsi="宋体" w:cs="Times New Roman"/>
          <w:bCs/>
          <w:sz w:val="24"/>
          <w:highlight w:val="none"/>
        </w:rPr>
        <w:t xml:space="preserve"> 付款方式：</w:t>
      </w:r>
    </w:p>
    <w:p w14:paraId="547434F6">
      <w:pPr>
        <w:snapToGrid w:val="0"/>
        <w:spacing w:line="360" w:lineRule="auto"/>
        <w:ind w:firstLine="482" w:firstLineChars="200"/>
        <w:rPr>
          <w:rFonts w:ascii="宋体" w:hAnsi="宋体"/>
          <w:b/>
          <w:sz w:val="24"/>
          <w:highlight w:val="none"/>
        </w:rPr>
      </w:pPr>
      <w:r>
        <w:rPr>
          <w:rFonts w:hint="eastAsia" w:ascii="宋体" w:hAnsi="宋体"/>
          <w:b/>
          <w:sz w:val="24"/>
          <w:highlight w:val="none"/>
        </w:rPr>
        <w:t>十二、税费</w:t>
      </w:r>
    </w:p>
    <w:p w14:paraId="07E3B9F9">
      <w:pPr>
        <w:snapToGrid w:val="0"/>
        <w:spacing w:line="360" w:lineRule="auto"/>
        <w:ind w:firstLine="480" w:firstLineChars="200"/>
        <w:rPr>
          <w:rFonts w:ascii="宋体" w:hAnsi="宋体"/>
          <w:sz w:val="24"/>
          <w:highlight w:val="none"/>
        </w:rPr>
      </w:pPr>
      <w:r>
        <w:rPr>
          <w:rFonts w:hint="eastAsia" w:ascii="宋体" w:hAnsi="宋体"/>
          <w:sz w:val="24"/>
          <w:highlight w:val="none"/>
        </w:rPr>
        <w:t>本合同执行中相关的一切税费均由</w:t>
      </w:r>
      <w:r>
        <w:rPr>
          <w:rFonts w:ascii="宋体" w:hAnsi="宋体"/>
          <w:sz w:val="24"/>
          <w:highlight w:val="none"/>
        </w:rPr>
        <w:t>乙</w:t>
      </w:r>
      <w:r>
        <w:rPr>
          <w:rFonts w:hint="eastAsia" w:ascii="宋体" w:hAnsi="宋体"/>
          <w:sz w:val="24"/>
          <w:highlight w:val="none"/>
        </w:rPr>
        <w:t>方负担。</w:t>
      </w:r>
    </w:p>
    <w:p w14:paraId="140553EF">
      <w:pPr>
        <w:pStyle w:val="11"/>
        <w:snapToGrid w:val="0"/>
        <w:spacing w:line="360" w:lineRule="auto"/>
        <w:ind w:firstLine="482" w:firstLineChars="200"/>
        <w:rPr>
          <w:rFonts w:hAnsi="宋体" w:cs="Times New Roman"/>
          <w:sz w:val="24"/>
          <w:highlight w:val="none"/>
        </w:rPr>
      </w:pPr>
      <w:r>
        <w:rPr>
          <w:rFonts w:hAnsi="宋体" w:cs="Times New Roman"/>
          <w:b/>
          <w:sz w:val="24"/>
          <w:highlight w:val="none"/>
        </w:rPr>
        <w:t>十</w:t>
      </w:r>
      <w:r>
        <w:rPr>
          <w:rFonts w:hint="eastAsia" w:hAnsi="宋体" w:cs="Times New Roman"/>
          <w:b/>
          <w:sz w:val="24"/>
          <w:highlight w:val="none"/>
        </w:rPr>
        <w:t>三</w:t>
      </w:r>
      <w:r>
        <w:rPr>
          <w:rFonts w:hAnsi="宋体" w:cs="Times New Roman"/>
          <w:b/>
          <w:sz w:val="24"/>
          <w:highlight w:val="none"/>
        </w:rPr>
        <w:t>、质量保证及后续服务</w:t>
      </w:r>
    </w:p>
    <w:p w14:paraId="4CFB0841">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1.</w:t>
      </w:r>
      <w:r>
        <w:rPr>
          <w:rFonts w:hAnsi="宋体" w:cs="Times New Roman"/>
          <w:sz w:val="24"/>
          <w:highlight w:val="none"/>
        </w:rPr>
        <w:t>乙方应按</w:t>
      </w:r>
      <w:r>
        <w:rPr>
          <w:rFonts w:hint="eastAsia" w:hAnsi="宋体" w:cs="Times New Roman"/>
          <w:sz w:val="24"/>
          <w:highlight w:val="none"/>
        </w:rPr>
        <w:t>磋商采购</w:t>
      </w:r>
      <w:r>
        <w:rPr>
          <w:rFonts w:hAnsi="宋体" w:cs="Times New Roman"/>
          <w:sz w:val="24"/>
          <w:highlight w:val="none"/>
        </w:rPr>
        <w:t>文件规定向甲方提供服务。</w:t>
      </w:r>
    </w:p>
    <w:p w14:paraId="5621508A">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2.</w:t>
      </w:r>
      <w:r>
        <w:rPr>
          <w:rFonts w:hAnsi="宋体" w:cs="Times New Roman"/>
          <w:sz w:val="24"/>
          <w:highlight w:val="none"/>
        </w:rPr>
        <w:t>乙方提供的服务成果在服务质量保证期内发生故障，乙方应负责免费提供后续服务。对达不到要求者，根据实际情况，经双方协商，可按以下办法处理：</w:t>
      </w:r>
    </w:p>
    <w:p w14:paraId="48DD475F">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（1）</w:t>
      </w:r>
      <w:r>
        <w:rPr>
          <w:rFonts w:hAnsi="宋体" w:cs="Times New Roman"/>
          <w:sz w:val="24"/>
          <w:highlight w:val="none"/>
        </w:rPr>
        <w:t>重做：由乙方承担所发生的全部费用。</w:t>
      </w:r>
    </w:p>
    <w:p w14:paraId="7F1DCF32">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（2）</w:t>
      </w:r>
      <w:r>
        <w:rPr>
          <w:rFonts w:hAnsi="宋体" w:cs="Times New Roman"/>
          <w:sz w:val="24"/>
          <w:highlight w:val="none"/>
        </w:rPr>
        <w:t>贬值处理：由甲乙双方合议定价。</w:t>
      </w:r>
    </w:p>
    <w:p w14:paraId="70832818">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（3）</w:t>
      </w:r>
      <w:r>
        <w:rPr>
          <w:rFonts w:hAnsi="宋体" w:cs="Times New Roman"/>
          <w:sz w:val="24"/>
          <w:highlight w:val="none"/>
        </w:rPr>
        <w:t>解除合同。</w:t>
      </w:r>
    </w:p>
    <w:p w14:paraId="79A1F606">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（4）</w:t>
      </w:r>
      <w:r>
        <w:rPr>
          <w:rFonts w:hAnsi="宋体" w:cs="Times New Roman"/>
          <w:sz w:val="24"/>
          <w:highlight w:val="none"/>
        </w:rPr>
        <w:t>如在使用过程中发生问题，乙方在接到甲方通知后</w:t>
      </w:r>
      <w:r>
        <w:rPr>
          <w:rFonts w:hAnsi="宋体" w:cs="Times New Roman"/>
          <w:color w:val="000000"/>
          <w:sz w:val="24"/>
          <w:highlight w:val="none"/>
        </w:rPr>
        <w:t>在小时</w:t>
      </w:r>
      <w:r>
        <w:rPr>
          <w:rFonts w:hAnsi="宋体" w:cs="Times New Roman"/>
          <w:sz w:val="24"/>
          <w:highlight w:val="none"/>
        </w:rPr>
        <w:t>内到达甲方现场。</w:t>
      </w:r>
    </w:p>
    <w:p w14:paraId="6C3E687E">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（5）</w:t>
      </w:r>
      <w:r>
        <w:rPr>
          <w:rFonts w:hAnsi="宋体" w:cs="Times New Roman"/>
          <w:sz w:val="24"/>
          <w:highlight w:val="none"/>
        </w:rPr>
        <w:t>在</w:t>
      </w:r>
      <w:r>
        <w:rPr>
          <w:rFonts w:hAnsi="宋体" w:cs="Times New Roman"/>
          <w:bCs/>
          <w:sz w:val="24"/>
          <w:highlight w:val="none"/>
        </w:rPr>
        <w:t>服务质量保证期</w:t>
      </w:r>
      <w:r>
        <w:rPr>
          <w:rFonts w:hAnsi="宋体" w:cs="Times New Roman"/>
          <w:sz w:val="24"/>
          <w:highlight w:val="none"/>
        </w:rPr>
        <w:t>内，乙方应对出现的质量及安全问题负责处理解决并承担一切费用。</w:t>
      </w:r>
    </w:p>
    <w:p w14:paraId="7CF084DA">
      <w:pPr>
        <w:pStyle w:val="11"/>
        <w:snapToGrid w:val="0"/>
        <w:spacing w:line="360" w:lineRule="auto"/>
        <w:ind w:firstLine="482" w:firstLineChars="200"/>
        <w:rPr>
          <w:rFonts w:hAnsi="宋体" w:cs="Times New Roman"/>
          <w:b/>
          <w:sz w:val="24"/>
          <w:highlight w:val="none"/>
        </w:rPr>
      </w:pPr>
      <w:r>
        <w:rPr>
          <w:rFonts w:hAnsi="宋体" w:cs="Times New Roman"/>
          <w:b/>
          <w:sz w:val="24"/>
          <w:highlight w:val="none"/>
        </w:rPr>
        <w:t>十</w:t>
      </w:r>
      <w:r>
        <w:rPr>
          <w:rFonts w:hint="eastAsia" w:hAnsi="宋体" w:cs="Times New Roman"/>
          <w:b/>
          <w:sz w:val="24"/>
          <w:highlight w:val="none"/>
        </w:rPr>
        <w:t>四</w:t>
      </w:r>
      <w:r>
        <w:rPr>
          <w:rFonts w:hAnsi="宋体" w:cs="Times New Roman"/>
          <w:b/>
          <w:sz w:val="24"/>
          <w:highlight w:val="none"/>
        </w:rPr>
        <w:t>、违约责任</w:t>
      </w:r>
    </w:p>
    <w:p w14:paraId="36415A41">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1.</w:t>
      </w:r>
      <w:r>
        <w:rPr>
          <w:rFonts w:hAnsi="宋体" w:cs="Times New Roman"/>
          <w:sz w:val="24"/>
          <w:highlight w:val="none"/>
        </w:rPr>
        <w:t>甲方无正当理由拒收接受服务的，甲方向乙方偿付合同款项</w:t>
      </w:r>
      <w:r>
        <w:rPr>
          <w:rFonts w:hAnsi="宋体" w:cs="Times New Roman"/>
          <w:color w:val="FF0000"/>
          <w:sz w:val="24"/>
          <w:highlight w:val="none"/>
          <w:u w:val="single"/>
        </w:rPr>
        <w:t>百分之五</w:t>
      </w:r>
      <w:r>
        <w:rPr>
          <w:rFonts w:hAnsi="宋体" w:cs="Times New Roman"/>
          <w:sz w:val="24"/>
          <w:highlight w:val="none"/>
        </w:rPr>
        <w:t>作为违约金。</w:t>
      </w:r>
    </w:p>
    <w:p w14:paraId="40B0BC87">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2.</w:t>
      </w:r>
      <w:r>
        <w:rPr>
          <w:rFonts w:hAnsi="宋体" w:cs="Times New Roman"/>
          <w:sz w:val="24"/>
          <w:highlight w:val="none"/>
        </w:rPr>
        <w:t>甲方无故逾期验收和办理款项支付手续的,甲方应按逾期付款总额</w:t>
      </w:r>
      <w:r>
        <w:rPr>
          <w:rFonts w:hAnsi="宋体" w:cs="Times New Roman"/>
          <w:color w:val="FF0000"/>
          <w:sz w:val="24"/>
          <w:highlight w:val="none"/>
          <w:u w:val="single"/>
        </w:rPr>
        <w:t>每日万分之五</w:t>
      </w:r>
      <w:r>
        <w:rPr>
          <w:rFonts w:hAnsi="宋体" w:cs="Times New Roman"/>
          <w:sz w:val="24"/>
          <w:highlight w:val="none"/>
        </w:rPr>
        <w:t>向乙方支付违约金。</w:t>
      </w:r>
    </w:p>
    <w:p w14:paraId="096254E2">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3.</w:t>
      </w:r>
      <w:r>
        <w:rPr>
          <w:rFonts w:hAnsi="宋体" w:cs="Times New Roman"/>
          <w:sz w:val="24"/>
          <w:highlight w:val="none"/>
        </w:rPr>
        <w:t>乙方</w:t>
      </w:r>
      <w:r>
        <w:rPr>
          <w:rFonts w:hint="eastAsia" w:hAnsi="宋体" w:cs="Times New Roman"/>
          <w:sz w:val="24"/>
          <w:highlight w:val="none"/>
        </w:rPr>
        <w:t>未能如</w:t>
      </w:r>
      <w:r>
        <w:rPr>
          <w:rFonts w:hAnsi="宋体" w:cs="Times New Roman"/>
          <w:sz w:val="24"/>
          <w:highlight w:val="none"/>
        </w:rPr>
        <w:t>期提供服务的，每日向甲方支付</w:t>
      </w:r>
      <w:r>
        <w:rPr>
          <w:rFonts w:hint="eastAsia" w:hAnsi="宋体" w:cs="Times New Roman"/>
          <w:sz w:val="24"/>
          <w:highlight w:val="none"/>
        </w:rPr>
        <w:t>合同款项的</w:t>
      </w:r>
      <w:r>
        <w:rPr>
          <w:rFonts w:hAnsi="宋体" w:cs="Times New Roman"/>
          <w:color w:val="FF0000"/>
          <w:sz w:val="24"/>
          <w:highlight w:val="none"/>
          <w:u w:val="single"/>
        </w:rPr>
        <w:t>千分之六</w:t>
      </w:r>
      <w:r>
        <w:rPr>
          <w:rFonts w:hint="eastAsia" w:hAnsi="宋体" w:cs="Times New Roman"/>
          <w:sz w:val="24"/>
          <w:highlight w:val="none"/>
        </w:rPr>
        <w:t>作为</w:t>
      </w:r>
      <w:r>
        <w:rPr>
          <w:rFonts w:hAnsi="宋体" w:cs="Times New Roman"/>
          <w:sz w:val="24"/>
          <w:highlight w:val="none"/>
        </w:rPr>
        <w:t>违约金。乙方超过约定日期10个工作日</w:t>
      </w:r>
      <w:r>
        <w:rPr>
          <w:rFonts w:hint="eastAsia" w:hAnsi="宋体" w:cs="Times New Roman"/>
          <w:sz w:val="24"/>
          <w:highlight w:val="none"/>
        </w:rPr>
        <w:t>仍</w:t>
      </w:r>
      <w:r>
        <w:rPr>
          <w:rFonts w:hAnsi="宋体" w:cs="Times New Roman"/>
          <w:sz w:val="24"/>
          <w:highlight w:val="none"/>
        </w:rPr>
        <w:t>不能</w:t>
      </w:r>
      <w:r>
        <w:rPr>
          <w:rFonts w:hint="eastAsia" w:hAnsi="宋体" w:cs="Times New Roman"/>
          <w:sz w:val="24"/>
          <w:highlight w:val="none"/>
        </w:rPr>
        <w:t>提供服务</w:t>
      </w:r>
      <w:r>
        <w:rPr>
          <w:rFonts w:hAnsi="宋体" w:cs="Times New Roman"/>
          <w:sz w:val="24"/>
          <w:highlight w:val="none"/>
        </w:rPr>
        <w:t>的，甲方可解除本合同。乙方因</w:t>
      </w:r>
      <w:r>
        <w:rPr>
          <w:rFonts w:hint="eastAsia" w:hAnsi="宋体" w:cs="Times New Roman"/>
          <w:sz w:val="24"/>
          <w:highlight w:val="none"/>
        </w:rPr>
        <w:t>未能如</w:t>
      </w:r>
      <w:r>
        <w:rPr>
          <w:rFonts w:hAnsi="宋体" w:cs="Times New Roman"/>
          <w:sz w:val="24"/>
          <w:highlight w:val="none"/>
        </w:rPr>
        <w:t>期提供服务或因其他违约行为导致甲方解除合同的，乙方应向甲方支付合同总值</w:t>
      </w:r>
      <w:r>
        <w:rPr>
          <w:rFonts w:hAnsi="宋体" w:cs="Times New Roman"/>
          <w:color w:val="FF0000"/>
          <w:sz w:val="24"/>
          <w:highlight w:val="none"/>
          <w:u w:val="single"/>
        </w:rPr>
        <w:t>5%</w:t>
      </w:r>
      <w:r>
        <w:rPr>
          <w:rFonts w:hAnsi="宋体" w:cs="Times New Roman"/>
          <w:sz w:val="24"/>
          <w:highlight w:val="none"/>
        </w:rPr>
        <w:t xml:space="preserve">的违约金，如造成甲方损失超过违约金的，超出部分由乙方继续承担赔偿责任。 </w:t>
      </w:r>
    </w:p>
    <w:p w14:paraId="4341887E">
      <w:pPr>
        <w:pStyle w:val="11"/>
        <w:snapToGrid w:val="0"/>
        <w:spacing w:line="360" w:lineRule="auto"/>
        <w:ind w:firstLine="482" w:firstLineChars="200"/>
        <w:rPr>
          <w:rFonts w:hAnsi="宋体" w:cs="Times New Roman"/>
          <w:b/>
          <w:sz w:val="24"/>
          <w:highlight w:val="none"/>
        </w:rPr>
      </w:pPr>
      <w:r>
        <w:rPr>
          <w:rFonts w:hAnsi="宋体" w:cs="Times New Roman"/>
          <w:b/>
          <w:sz w:val="24"/>
          <w:highlight w:val="none"/>
        </w:rPr>
        <w:t>十</w:t>
      </w:r>
      <w:r>
        <w:rPr>
          <w:rFonts w:hint="eastAsia" w:hAnsi="宋体" w:cs="Times New Roman"/>
          <w:b/>
          <w:sz w:val="24"/>
          <w:highlight w:val="none"/>
        </w:rPr>
        <w:t>五</w:t>
      </w:r>
      <w:r>
        <w:rPr>
          <w:rFonts w:hAnsi="宋体" w:cs="Times New Roman"/>
          <w:b/>
          <w:sz w:val="24"/>
          <w:highlight w:val="none"/>
        </w:rPr>
        <w:t>、不可抗力事件处理</w:t>
      </w:r>
    </w:p>
    <w:p w14:paraId="36E26868">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1.</w:t>
      </w:r>
      <w:r>
        <w:rPr>
          <w:rFonts w:hAnsi="宋体" w:cs="Times New Roman"/>
          <w:sz w:val="24"/>
          <w:highlight w:val="none"/>
        </w:rPr>
        <w:t>在合同有效期内，任何一方因不可抗力事件导致不能履行合同，则合同履行期可延长，其延长期与不可抗力影响期相同。</w:t>
      </w:r>
    </w:p>
    <w:p w14:paraId="66F1B791">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2.</w:t>
      </w:r>
      <w:r>
        <w:rPr>
          <w:rFonts w:hAnsi="宋体" w:cs="Times New Roman"/>
          <w:sz w:val="24"/>
          <w:highlight w:val="none"/>
        </w:rPr>
        <w:t>不可抗力事件发生后，应立即通知对方，并寄送有关权威机构出具的证明。</w:t>
      </w:r>
    </w:p>
    <w:p w14:paraId="4F49B545">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3.</w:t>
      </w:r>
      <w:r>
        <w:rPr>
          <w:rFonts w:hAnsi="宋体" w:cs="Times New Roman"/>
          <w:sz w:val="24"/>
          <w:highlight w:val="none"/>
        </w:rPr>
        <w:t>不可抗力事件延续120天以上，双方应通过友好协商，确定是否继续履行合同。</w:t>
      </w:r>
    </w:p>
    <w:p w14:paraId="2C9DD0CE">
      <w:pPr>
        <w:pStyle w:val="11"/>
        <w:snapToGrid w:val="0"/>
        <w:spacing w:line="360" w:lineRule="auto"/>
        <w:ind w:firstLine="482" w:firstLineChars="200"/>
        <w:rPr>
          <w:rFonts w:hAnsi="宋体" w:cs="Times New Roman"/>
          <w:b/>
          <w:sz w:val="24"/>
          <w:highlight w:val="none"/>
        </w:rPr>
      </w:pPr>
      <w:r>
        <w:rPr>
          <w:rFonts w:hAnsi="宋体" w:cs="Times New Roman"/>
          <w:b/>
          <w:sz w:val="24"/>
          <w:highlight w:val="none"/>
        </w:rPr>
        <w:t>十</w:t>
      </w:r>
      <w:r>
        <w:rPr>
          <w:rFonts w:hint="eastAsia" w:hAnsi="宋体" w:cs="Times New Roman"/>
          <w:b/>
          <w:sz w:val="24"/>
          <w:highlight w:val="none"/>
        </w:rPr>
        <w:t>六</w:t>
      </w:r>
      <w:r>
        <w:rPr>
          <w:rFonts w:hAnsi="宋体" w:cs="Times New Roman"/>
          <w:b/>
          <w:sz w:val="24"/>
          <w:highlight w:val="none"/>
        </w:rPr>
        <w:t>、</w:t>
      </w:r>
      <w:r>
        <w:rPr>
          <w:rFonts w:hint="eastAsia" w:hAnsi="宋体" w:cs="Times New Roman"/>
          <w:b/>
          <w:sz w:val="24"/>
          <w:highlight w:val="none"/>
        </w:rPr>
        <w:t>解决争议的方法</w:t>
      </w:r>
    </w:p>
    <w:p w14:paraId="42FF9386">
      <w:pPr>
        <w:pStyle w:val="11"/>
        <w:snapToGrid w:val="0"/>
        <w:spacing w:line="360" w:lineRule="auto"/>
        <w:ind w:firstLine="480" w:firstLineChars="200"/>
        <w:rPr>
          <w:rFonts w:hAnsi="宋体" w:cs="宋体"/>
          <w:kern w:val="0"/>
          <w:sz w:val="24"/>
          <w:highlight w:val="none"/>
        </w:rPr>
      </w:pPr>
      <w:r>
        <w:rPr>
          <w:rFonts w:hint="eastAsia" w:hAnsi="宋体" w:cs="宋体"/>
          <w:kern w:val="0"/>
          <w:sz w:val="24"/>
          <w:highlight w:val="none"/>
        </w:rPr>
        <w:t>1.</w:t>
      </w:r>
      <w:r>
        <w:rPr>
          <w:rFonts w:hAnsi="宋体" w:cs="宋体"/>
          <w:kern w:val="0"/>
          <w:sz w:val="24"/>
          <w:highlight w:val="none"/>
        </w:rPr>
        <w:t>如双方在履行合同时发生纠纷，应协商解决；协商不成时，可提请政府采购管理部门调解；调解不成的通过以下方式解决：</w:t>
      </w:r>
      <w:r>
        <w:rPr>
          <w:rFonts w:hAnsi="宋体" w:cs="宋体"/>
          <w:kern w:val="0"/>
          <w:sz w:val="24"/>
          <w:highlight w:val="none"/>
        </w:rPr>
        <w:br w:type="textWrapping"/>
      </w:r>
      <w:r>
        <w:rPr>
          <w:rFonts w:hAnsi="宋体" w:cs="宋体"/>
          <w:kern w:val="0"/>
          <w:sz w:val="24"/>
          <w:highlight w:val="none"/>
        </w:rPr>
        <w:t>（1） 提交</w:t>
      </w:r>
      <w:r>
        <w:rPr>
          <w:rFonts w:hAnsi="宋体" w:cs="Times New Roman"/>
          <w:color w:val="FF0000"/>
          <w:sz w:val="24"/>
          <w:highlight w:val="none"/>
          <w:u w:val="single"/>
        </w:rPr>
        <w:t>台州</w:t>
      </w:r>
      <w:r>
        <w:rPr>
          <w:rFonts w:hAnsi="宋体" w:cs="宋体"/>
          <w:kern w:val="0"/>
          <w:sz w:val="24"/>
          <w:highlight w:val="none"/>
        </w:rPr>
        <w:t>仲裁委员会仲裁。</w:t>
      </w:r>
    </w:p>
    <w:p w14:paraId="7465B33E">
      <w:pPr>
        <w:pStyle w:val="11"/>
        <w:snapToGrid w:val="0"/>
        <w:spacing w:line="360" w:lineRule="auto"/>
        <w:ind w:firstLine="482" w:firstLineChars="200"/>
        <w:rPr>
          <w:rFonts w:hAnsi="宋体" w:cs="Times New Roman"/>
          <w:b/>
          <w:sz w:val="24"/>
          <w:highlight w:val="none"/>
        </w:rPr>
      </w:pPr>
      <w:r>
        <w:rPr>
          <w:rFonts w:hAnsi="宋体" w:cs="Times New Roman"/>
          <w:b/>
          <w:sz w:val="24"/>
          <w:highlight w:val="none"/>
        </w:rPr>
        <w:t>十</w:t>
      </w:r>
      <w:r>
        <w:rPr>
          <w:rFonts w:hint="eastAsia" w:hAnsi="宋体" w:cs="Times New Roman"/>
          <w:b/>
          <w:sz w:val="24"/>
          <w:highlight w:val="none"/>
        </w:rPr>
        <w:t>七</w:t>
      </w:r>
      <w:r>
        <w:rPr>
          <w:rFonts w:hAnsi="宋体" w:cs="Times New Roman"/>
          <w:b/>
          <w:sz w:val="24"/>
          <w:highlight w:val="none"/>
        </w:rPr>
        <w:t>、合同生效及其它</w:t>
      </w:r>
    </w:p>
    <w:p w14:paraId="4E165237">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2.</w:t>
      </w:r>
      <w:r>
        <w:rPr>
          <w:rFonts w:hAnsi="宋体" w:cs="Times New Roman"/>
          <w:sz w:val="24"/>
          <w:highlight w:val="none"/>
        </w:rPr>
        <w:t>合同经双方法定代表人或授权代表</w:t>
      </w:r>
      <w:r>
        <w:rPr>
          <w:rFonts w:hint="eastAsia" w:hAnsi="宋体" w:cs="Times New Roman"/>
          <w:sz w:val="24"/>
          <w:highlight w:val="none"/>
        </w:rPr>
        <w:t>签字</w:t>
      </w:r>
      <w:r>
        <w:rPr>
          <w:rFonts w:hAnsi="宋体" w:cs="Times New Roman"/>
          <w:sz w:val="24"/>
          <w:highlight w:val="none"/>
        </w:rPr>
        <w:t>并加盖单位公章后生效。</w:t>
      </w:r>
    </w:p>
    <w:p w14:paraId="0F686A26">
      <w:pPr>
        <w:pStyle w:val="11"/>
        <w:snapToGrid w:val="0"/>
        <w:spacing w:line="360" w:lineRule="auto"/>
        <w:ind w:firstLine="480" w:firstLineChars="200"/>
        <w:rPr>
          <w:rFonts w:hAnsi="宋体" w:cs="Times New Roman"/>
          <w:sz w:val="24"/>
          <w:highlight w:val="none"/>
        </w:rPr>
      </w:pPr>
      <w:r>
        <w:rPr>
          <w:rFonts w:hint="eastAsia" w:hAnsi="宋体" w:cs="Times New Roman"/>
          <w:sz w:val="24"/>
          <w:highlight w:val="none"/>
        </w:rPr>
        <w:t>3.</w:t>
      </w:r>
      <w:r>
        <w:rPr>
          <w:rFonts w:hAnsi="宋体" w:cs="Times New Roman"/>
          <w:sz w:val="24"/>
          <w:highlight w:val="none"/>
        </w:rPr>
        <w:t>本合同未尽事宜，遵照《</w:t>
      </w:r>
      <w:r>
        <w:rPr>
          <w:rFonts w:hint="eastAsia" w:hAnsi="宋体" w:cs="Times New Roman"/>
          <w:sz w:val="24"/>
          <w:highlight w:val="none"/>
        </w:rPr>
        <w:t>民法典</w:t>
      </w:r>
      <w:r>
        <w:rPr>
          <w:rFonts w:hAnsi="宋体" w:cs="Times New Roman"/>
          <w:sz w:val="24"/>
          <w:highlight w:val="none"/>
        </w:rPr>
        <w:t>》有关条文执行。</w:t>
      </w:r>
    </w:p>
    <w:p w14:paraId="6FE9BEEC">
      <w:pPr>
        <w:widowControl/>
        <w:spacing w:line="360" w:lineRule="auto"/>
        <w:ind w:firstLine="480" w:firstLineChars="200"/>
        <w:rPr>
          <w:rFonts w:ascii="宋体" w:hAnsi="宋体"/>
          <w:sz w:val="24"/>
          <w:highlight w:val="none"/>
        </w:rPr>
      </w:pPr>
      <w:r>
        <w:rPr>
          <w:rFonts w:hint="eastAsia" w:ascii="宋体" w:hAnsi="宋体"/>
          <w:sz w:val="24"/>
          <w:highlight w:val="none"/>
        </w:rPr>
        <w:t>4.本合同一式肆份。甲、乙双方各执贰份。本项目未尽事宜以采购文件、投标文件及澄清文件等为准。</w:t>
      </w:r>
    </w:p>
    <w:p w14:paraId="2E01D331">
      <w:pPr>
        <w:widowControl/>
        <w:spacing w:line="360" w:lineRule="auto"/>
        <w:ind w:firstLine="482" w:firstLineChars="200"/>
        <w:rPr>
          <w:rFonts w:ascii="宋体" w:hAnsi="宋体"/>
          <w:b/>
          <w:sz w:val="24"/>
          <w:highlight w:val="none"/>
        </w:rPr>
      </w:pPr>
    </w:p>
    <w:p w14:paraId="6A11085C">
      <w:pPr>
        <w:pStyle w:val="2"/>
        <w:spacing w:line="360" w:lineRule="auto"/>
        <w:rPr>
          <w:sz w:val="24"/>
          <w:highlight w:val="none"/>
        </w:rPr>
      </w:pPr>
    </w:p>
    <w:p w14:paraId="6B9D140F">
      <w:pPr>
        <w:spacing w:line="360" w:lineRule="auto"/>
        <w:ind w:firstLine="480" w:firstLineChars="200"/>
        <w:rPr>
          <w:rFonts w:ascii="宋体" w:hAnsi="宋体"/>
          <w:sz w:val="24"/>
          <w:highlight w:val="none"/>
        </w:rPr>
      </w:pPr>
      <w:r>
        <w:rPr>
          <w:rFonts w:hint="eastAsia" w:ascii="宋体" w:hAnsi="宋体"/>
          <w:sz w:val="24"/>
          <w:highlight w:val="none"/>
        </w:rPr>
        <w:t>甲方（公章）                                     乙方（公章）</w:t>
      </w:r>
    </w:p>
    <w:p w14:paraId="0F0ABE4C">
      <w:pPr>
        <w:spacing w:line="360" w:lineRule="auto"/>
        <w:ind w:firstLine="480" w:firstLineChars="200"/>
        <w:rPr>
          <w:rFonts w:ascii="宋体" w:hAnsi="宋体"/>
          <w:sz w:val="24"/>
          <w:highlight w:val="none"/>
        </w:rPr>
      </w:pPr>
      <w:r>
        <w:rPr>
          <w:rFonts w:hint="eastAsia" w:ascii="宋体" w:hAnsi="宋体"/>
          <w:sz w:val="24"/>
          <w:highlight w:val="none"/>
        </w:rPr>
        <w:t>法定代表人：                                     法定代表人：</w:t>
      </w:r>
    </w:p>
    <w:p w14:paraId="561971E9">
      <w:pPr>
        <w:spacing w:line="360" w:lineRule="auto"/>
        <w:ind w:firstLine="480" w:firstLineChars="200"/>
        <w:rPr>
          <w:rFonts w:ascii="宋体" w:hAnsi="宋体"/>
          <w:sz w:val="24"/>
          <w:highlight w:val="none"/>
        </w:rPr>
      </w:pPr>
      <w:r>
        <w:rPr>
          <w:rFonts w:hint="eastAsia" w:ascii="宋体" w:hAnsi="宋体"/>
          <w:sz w:val="24"/>
          <w:highlight w:val="none"/>
        </w:rPr>
        <w:t>委托代理人：                                     委托代理人：</w:t>
      </w:r>
    </w:p>
    <w:p w14:paraId="1DD5CF8F">
      <w:pPr>
        <w:spacing w:line="360" w:lineRule="auto"/>
        <w:ind w:firstLine="480" w:firstLineChars="200"/>
        <w:rPr>
          <w:rFonts w:ascii="宋体" w:hAnsi="宋体"/>
          <w:sz w:val="24"/>
          <w:highlight w:val="none"/>
        </w:rPr>
      </w:pPr>
      <w:r>
        <w:rPr>
          <w:rFonts w:hint="eastAsia" w:ascii="宋体" w:hAnsi="宋体"/>
          <w:sz w:val="24"/>
          <w:highlight w:val="none"/>
        </w:rPr>
        <w:t>联系电话：                                       联系电话：</w:t>
      </w:r>
    </w:p>
    <w:p w14:paraId="384104AD">
      <w:pPr>
        <w:spacing w:line="360" w:lineRule="auto"/>
        <w:ind w:firstLine="480" w:firstLineChars="200"/>
        <w:rPr>
          <w:rFonts w:ascii="宋体" w:hAnsi="宋体"/>
          <w:sz w:val="24"/>
          <w:highlight w:val="none"/>
        </w:rPr>
      </w:pPr>
      <w:r>
        <w:rPr>
          <w:rFonts w:hint="eastAsia" w:ascii="宋体" w:hAnsi="宋体"/>
          <w:sz w:val="24"/>
          <w:highlight w:val="none"/>
        </w:rPr>
        <w:t>开户银行：                                       开户银行：</w:t>
      </w:r>
    </w:p>
    <w:p w14:paraId="58279F8A">
      <w:pPr>
        <w:spacing w:line="360" w:lineRule="auto"/>
        <w:ind w:firstLine="480" w:firstLineChars="200"/>
        <w:rPr>
          <w:rFonts w:ascii="宋体" w:hAnsi="宋体"/>
          <w:sz w:val="24"/>
          <w:highlight w:val="none"/>
        </w:rPr>
      </w:pPr>
      <w:r>
        <w:rPr>
          <w:rFonts w:hint="eastAsia" w:ascii="宋体" w:hAnsi="宋体"/>
          <w:sz w:val="24"/>
          <w:highlight w:val="none"/>
        </w:rPr>
        <w:t>帐号：                                           帐号：</w:t>
      </w:r>
    </w:p>
    <w:p w14:paraId="3BAE5A16">
      <w:pPr>
        <w:spacing w:line="360" w:lineRule="auto"/>
        <w:ind w:firstLine="480" w:firstLineChars="200"/>
        <w:rPr>
          <w:rFonts w:ascii="宋体" w:hAnsi="宋体"/>
          <w:sz w:val="24"/>
          <w:highlight w:val="none"/>
        </w:rPr>
      </w:pPr>
      <w:r>
        <w:rPr>
          <w:rFonts w:hint="eastAsia" w:ascii="宋体" w:hAnsi="宋体"/>
          <w:sz w:val="24"/>
          <w:highlight w:val="none"/>
        </w:rPr>
        <w:t>地址及邮编：                                     地址及邮编：</w:t>
      </w:r>
    </w:p>
    <w:p w14:paraId="1C767851">
      <w:pPr>
        <w:spacing w:line="360" w:lineRule="auto"/>
        <w:ind w:firstLine="480" w:firstLineChars="200"/>
        <w:rPr>
          <w:rFonts w:ascii="宋体" w:hAnsi="宋体"/>
          <w:sz w:val="24"/>
          <w:highlight w:val="none"/>
        </w:rPr>
      </w:pPr>
    </w:p>
    <w:p w14:paraId="2E9946BD">
      <w:pPr>
        <w:spacing w:line="360" w:lineRule="auto"/>
        <w:ind w:firstLine="480" w:firstLineChars="200"/>
        <w:rPr>
          <w:rFonts w:ascii="宋体" w:hAnsi="宋体"/>
          <w:sz w:val="24"/>
          <w:highlight w:val="none"/>
        </w:rPr>
      </w:pPr>
      <w:r>
        <w:rPr>
          <w:rFonts w:hint="eastAsia" w:ascii="宋体" w:hAnsi="宋体"/>
          <w:sz w:val="24"/>
          <w:highlight w:val="none"/>
        </w:rPr>
        <w:t>签订时间：    年   月    日</w:t>
      </w:r>
    </w:p>
    <w:p w14:paraId="6218B9CE">
      <w:pPr>
        <w:autoSpaceDE w:val="0"/>
        <w:autoSpaceDN w:val="0"/>
        <w:adjustRightInd w:val="0"/>
        <w:spacing w:line="360" w:lineRule="auto"/>
        <w:rPr>
          <w:rFonts w:ascii="宋体" w:hAnsi="宋体"/>
          <w:b/>
          <w:kern w:val="0"/>
          <w:sz w:val="24"/>
          <w:highlight w:val="none"/>
        </w:rPr>
      </w:pPr>
    </w:p>
    <w:p w14:paraId="2C0F752A">
      <w:pPr>
        <w:spacing w:line="360" w:lineRule="auto"/>
        <w:rPr>
          <w:rFonts w:ascii="宋体" w:hAnsi="宋体" w:cs="宋体"/>
          <w:sz w:val="24"/>
          <w:highlight w:val="none"/>
        </w:rPr>
      </w:pPr>
    </w:p>
    <w:p w14:paraId="45193C2F">
      <w:pPr>
        <w:spacing w:line="360" w:lineRule="auto"/>
        <w:jc w:val="center"/>
        <w:rPr>
          <w:rFonts w:ascii="宋体" w:hAnsi="宋体"/>
          <w:snapToGrid w:val="0"/>
          <w:szCs w:val="21"/>
          <w:highlight w:val="none"/>
        </w:rPr>
      </w:pPr>
    </w:p>
    <w:p w14:paraId="7A8B7F43">
      <w:pPr>
        <w:spacing w:line="360" w:lineRule="auto"/>
        <w:jc w:val="center"/>
        <w:rPr>
          <w:rFonts w:ascii="宋体" w:hAnsi="宋体"/>
          <w:snapToGrid w:val="0"/>
          <w:szCs w:val="21"/>
          <w:highlight w:val="none"/>
        </w:rPr>
      </w:pPr>
    </w:p>
    <w:p w14:paraId="2BF45C34">
      <w:pPr>
        <w:spacing w:line="360" w:lineRule="auto"/>
        <w:jc w:val="center"/>
        <w:rPr>
          <w:rFonts w:ascii="宋体" w:hAnsi="宋体"/>
          <w:snapToGrid w:val="0"/>
          <w:szCs w:val="21"/>
          <w:highlight w:val="none"/>
        </w:rPr>
      </w:pPr>
    </w:p>
    <w:p w14:paraId="36AE4444">
      <w:pPr>
        <w:pStyle w:val="9"/>
        <w:rPr>
          <w:rFonts w:ascii="宋体" w:hAnsi="宋体"/>
          <w:snapToGrid w:val="0"/>
          <w:szCs w:val="21"/>
          <w:highlight w:val="none"/>
        </w:rPr>
      </w:pPr>
    </w:p>
    <w:p w14:paraId="564766E3">
      <w:pPr>
        <w:rPr>
          <w:rFonts w:ascii="宋体" w:hAnsi="宋体"/>
          <w:snapToGrid w:val="0"/>
          <w:szCs w:val="21"/>
          <w:highlight w:val="none"/>
        </w:rPr>
      </w:pPr>
    </w:p>
    <w:p w14:paraId="6DAE8C8D">
      <w:pPr>
        <w:pStyle w:val="9"/>
        <w:rPr>
          <w:rFonts w:ascii="宋体" w:hAnsi="宋体"/>
          <w:snapToGrid w:val="0"/>
          <w:szCs w:val="21"/>
          <w:highlight w:val="none"/>
        </w:rPr>
      </w:pPr>
    </w:p>
    <w:p w14:paraId="5AEDEA41">
      <w:pPr>
        <w:rPr>
          <w:rFonts w:ascii="宋体" w:hAnsi="宋体"/>
          <w:snapToGrid w:val="0"/>
          <w:szCs w:val="21"/>
          <w:highlight w:val="none"/>
        </w:rPr>
      </w:pPr>
    </w:p>
    <w:p w14:paraId="0FC28BA9">
      <w:pPr>
        <w:pStyle w:val="9"/>
        <w:rPr>
          <w:rFonts w:ascii="宋体" w:hAnsi="宋体"/>
          <w:snapToGrid w:val="0"/>
          <w:szCs w:val="21"/>
          <w:highlight w:val="none"/>
        </w:rPr>
      </w:pPr>
    </w:p>
    <w:p w14:paraId="5771FEF6">
      <w:pPr>
        <w:rPr>
          <w:rFonts w:ascii="宋体" w:hAnsi="宋体"/>
          <w:snapToGrid w:val="0"/>
          <w:szCs w:val="21"/>
          <w:highlight w:val="none"/>
        </w:rPr>
      </w:pPr>
    </w:p>
    <w:p w14:paraId="7A921B96">
      <w:pPr>
        <w:pStyle w:val="9"/>
        <w:rPr>
          <w:rFonts w:ascii="宋体" w:hAnsi="宋体"/>
          <w:snapToGrid w:val="0"/>
          <w:szCs w:val="21"/>
          <w:highlight w:val="none"/>
        </w:rPr>
      </w:pPr>
    </w:p>
    <w:p w14:paraId="6624EA07">
      <w:pPr>
        <w:rPr>
          <w:rFonts w:ascii="宋体" w:hAnsi="宋体"/>
          <w:snapToGrid w:val="0"/>
          <w:szCs w:val="21"/>
          <w:highlight w:val="none"/>
        </w:rPr>
      </w:pPr>
    </w:p>
    <w:p w14:paraId="62A893DF">
      <w:pPr>
        <w:pStyle w:val="3"/>
        <w:rPr>
          <w:rFonts w:ascii="宋体" w:hAnsi="宋体"/>
          <w:snapToGrid w:val="0"/>
          <w:szCs w:val="21"/>
          <w:highlight w:val="none"/>
        </w:rPr>
      </w:pPr>
    </w:p>
    <w:p w14:paraId="39C0554E">
      <w:pPr>
        <w:rPr>
          <w:rFonts w:ascii="宋体" w:hAnsi="宋体"/>
          <w:snapToGrid w:val="0"/>
          <w:szCs w:val="21"/>
          <w:highlight w:val="none"/>
        </w:rPr>
      </w:pPr>
    </w:p>
    <w:p w14:paraId="7504E46B">
      <w:pPr>
        <w:pStyle w:val="3"/>
        <w:rPr>
          <w:rFonts w:ascii="宋体" w:hAnsi="宋体"/>
          <w:snapToGrid w:val="0"/>
          <w:szCs w:val="21"/>
          <w:highlight w:val="none"/>
        </w:rPr>
      </w:pPr>
    </w:p>
    <w:p w14:paraId="48ACD932">
      <w:pPr>
        <w:rPr>
          <w:highlight w:val="none"/>
        </w:rPr>
      </w:pPr>
    </w:p>
    <w:p w14:paraId="105C43CB">
      <w:pPr>
        <w:rPr>
          <w:highlight w:val="none"/>
        </w:rPr>
      </w:pPr>
    </w:p>
    <w:p w14:paraId="0A0F8F31">
      <w:pPr>
        <w:rPr>
          <w:rFonts w:ascii="宋体" w:hAnsi="宋体"/>
          <w:snapToGrid w:val="0"/>
          <w:szCs w:val="21"/>
          <w:highlight w:val="none"/>
        </w:rPr>
      </w:pPr>
    </w:p>
    <w:p w14:paraId="32B8492E">
      <w:pPr>
        <w:pStyle w:val="35"/>
        <w:rPr>
          <w:rFonts w:ascii="宋体" w:hAnsi="宋体"/>
          <w:snapToGrid w:val="0"/>
          <w:szCs w:val="21"/>
          <w:highlight w:val="none"/>
        </w:rPr>
      </w:pPr>
    </w:p>
    <w:p w14:paraId="43BEABC4">
      <w:pPr>
        <w:pStyle w:val="35"/>
        <w:rPr>
          <w:rFonts w:ascii="宋体" w:hAnsi="宋体"/>
          <w:snapToGrid w:val="0"/>
          <w:szCs w:val="21"/>
          <w:highlight w:val="none"/>
        </w:rPr>
      </w:pPr>
    </w:p>
    <w:p w14:paraId="6E5A5848">
      <w:pPr>
        <w:pStyle w:val="35"/>
        <w:rPr>
          <w:rFonts w:ascii="宋体" w:hAnsi="宋体"/>
          <w:snapToGrid w:val="0"/>
          <w:szCs w:val="21"/>
          <w:highlight w:val="none"/>
        </w:rPr>
      </w:pPr>
    </w:p>
    <w:p w14:paraId="1F638551">
      <w:pPr>
        <w:pStyle w:val="35"/>
        <w:rPr>
          <w:rFonts w:ascii="宋体" w:hAnsi="宋体"/>
          <w:snapToGrid w:val="0"/>
          <w:szCs w:val="21"/>
          <w:highlight w:val="none"/>
        </w:rPr>
      </w:pPr>
    </w:p>
    <w:p w14:paraId="5F63DA0F">
      <w:pPr>
        <w:pStyle w:val="35"/>
        <w:rPr>
          <w:rFonts w:ascii="宋体" w:hAnsi="宋体"/>
          <w:snapToGrid w:val="0"/>
          <w:szCs w:val="21"/>
          <w:highlight w:val="none"/>
        </w:rPr>
      </w:pPr>
    </w:p>
    <w:p w14:paraId="55D044FE">
      <w:pPr>
        <w:pStyle w:val="35"/>
        <w:rPr>
          <w:rFonts w:ascii="宋体" w:hAnsi="宋体"/>
          <w:snapToGrid w:val="0"/>
          <w:szCs w:val="21"/>
          <w:highlight w:val="none"/>
        </w:rPr>
      </w:pPr>
    </w:p>
    <w:p w14:paraId="7AF0C200">
      <w:pPr>
        <w:spacing w:line="360" w:lineRule="auto"/>
        <w:jc w:val="center"/>
        <w:rPr>
          <w:rFonts w:ascii="宋体"/>
          <w:b/>
          <w:sz w:val="36"/>
          <w:szCs w:val="36"/>
          <w:highlight w:val="none"/>
        </w:rPr>
      </w:pPr>
      <w:r>
        <w:rPr>
          <w:rFonts w:hint="eastAsia" w:ascii="宋体" w:hAnsi="宋体"/>
          <w:b/>
          <w:sz w:val="36"/>
          <w:szCs w:val="36"/>
          <w:highlight w:val="none"/>
        </w:rPr>
        <w:t>第六章 响应文件格式附件</w:t>
      </w:r>
    </w:p>
    <w:p w14:paraId="639C34C8">
      <w:pPr>
        <w:rPr>
          <w:rFonts w:ascii="宋体" w:hAnsi="宋体"/>
          <w:b/>
          <w:kern w:val="0"/>
          <w:sz w:val="28"/>
          <w:szCs w:val="28"/>
          <w:highlight w:val="none"/>
        </w:rPr>
      </w:pPr>
      <w:r>
        <w:rPr>
          <w:rFonts w:hint="eastAsia" w:ascii="宋体" w:hAnsi="宋体"/>
          <w:b/>
          <w:kern w:val="0"/>
          <w:sz w:val="28"/>
          <w:szCs w:val="28"/>
          <w:highlight w:val="none"/>
        </w:rPr>
        <w:t>附件1</w:t>
      </w:r>
      <w:r>
        <w:rPr>
          <w:rFonts w:hint="eastAsia" w:ascii="宋体" w:hAnsi="宋体"/>
          <w:sz w:val="30"/>
          <w:szCs w:val="30"/>
          <w:highlight w:val="none"/>
        </w:rPr>
        <w:t xml:space="preserve"> 　　　</w:t>
      </w:r>
      <w:r>
        <w:rPr>
          <w:rFonts w:hint="eastAsia" w:ascii="宋体" w:hAnsi="宋体"/>
          <w:b/>
          <w:sz w:val="28"/>
          <w:highlight w:val="none"/>
          <w:u w:val="single"/>
        </w:rPr>
        <w:t>正/副</w:t>
      </w:r>
      <w:r>
        <w:rPr>
          <w:rFonts w:hint="eastAsia" w:ascii="宋体" w:hAnsi="宋体"/>
          <w:b/>
          <w:sz w:val="28"/>
          <w:highlight w:val="none"/>
        </w:rPr>
        <w:t>本</w:t>
      </w:r>
    </w:p>
    <w:p w14:paraId="1A01E92A">
      <w:pPr>
        <w:spacing w:beforeLines="100" w:line="360" w:lineRule="auto"/>
        <w:ind w:right="-108"/>
        <w:jc w:val="center"/>
        <w:rPr>
          <w:rFonts w:hint="eastAsia" w:ascii="宋体" w:hAnsi="宋体" w:eastAsia="宋体"/>
          <w:spacing w:val="40"/>
          <w:sz w:val="44"/>
          <w:szCs w:val="44"/>
          <w:highlight w:val="none"/>
          <w:lang w:eastAsia="zh-CN"/>
        </w:rPr>
      </w:pPr>
      <w:r>
        <w:rPr>
          <w:rFonts w:hint="eastAsia" w:ascii="宋体" w:hAnsi="宋体"/>
          <w:spacing w:val="40"/>
          <w:sz w:val="44"/>
          <w:szCs w:val="44"/>
          <w:highlight w:val="none"/>
          <w:lang w:eastAsia="zh-CN"/>
        </w:rPr>
        <w:t>台州湾新区消安委办购买消防安全服务项目</w:t>
      </w:r>
    </w:p>
    <w:p w14:paraId="6F6BC099">
      <w:pPr>
        <w:spacing w:beforeLines="100" w:line="360" w:lineRule="auto"/>
        <w:ind w:right="-108"/>
        <w:jc w:val="center"/>
        <w:rPr>
          <w:rFonts w:hint="eastAsia" w:ascii="宋体" w:hAnsi="宋体" w:eastAsia="宋体"/>
          <w:sz w:val="36"/>
          <w:szCs w:val="36"/>
          <w:highlight w:val="none"/>
          <w:lang w:eastAsia="zh-CN"/>
        </w:rPr>
      </w:pPr>
      <w:r>
        <w:rPr>
          <w:rFonts w:hint="eastAsia" w:ascii="宋体" w:hAnsi="宋体"/>
          <w:sz w:val="36"/>
          <w:szCs w:val="36"/>
          <w:highlight w:val="none"/>
        </w:rPr>
        <w:t>项目编号：</w:t>
      </w:r>
      <w:r>
        <w:rPr>
          <w:rFonts w:hint="eastAsia" w:ascii="宋体" w:hAnsi="宋体"/>
          <w:sz w:val="36"/>
          <w:szCs w:val="36"/>
          <w:highlight w:val="none"/>
          <w:lang w:eastAsia="zh-CN"/>
        </w:rPr>
        <w:t>TZJH-2025-010号</w:t>
      </w:r>
    </w:p>
    <w:p w14:paraId="44E24D2C">
      <w:pPr>
        <w:spacing w:beforeLines="100" w:line="240" w:lineRule="atLeast"/>
        <w:ind w:right="-108"/>
        <w:jc w:val="center"/>
        <w:rPr>
          <w:rFonts w:ascii="宋体" w:hAnsi="宋体"/>
          <w:sz w:val="32"/>
          <w:szCs w:val="32"/>
          <w:highlight w:val="none"/>
        </w:rPr>
      </w:pPr>
    </w:p>
    <w:p w14:paraId="76F8233F">
      <w:pPr>
        <w:spacing w:after="100" w:afterAutospacing="1" w:line="800" w:lineRule="exact"/>
        <w:ind w:right="-108"/>
        <w:jc w:val="center"/>
        <w:rPr>
          <w:rFonts w:ascii="宋体" w:hAnsi="宋体"/>
          <w:b/>
          <w:color w:val="000000"/>
          <w:spacing w:val="40"/>
          <w:sz w:val="72"/>
          <w:szCs w:val="72"/>
          <w:highlight w:val="none"/>
        </w:rPr>
      </w:pPr>
      <w:r>
        <w:rPr>
          <w:rFonts w:hint="eastAsia" w:ascii="宋体" w:hAnsi="宋体"/>
          <w:b/>
          <w:color w:val="000000"/>
          <w:spacing w:val="40"/>
          <w:sz w:val="72"/>
          <w:szCs w:val="72"/>
          <w:highlight w:val="none"/>
        </w:rPr>
        <w:t>磋</w:t>
      </w:r>
    </w:p>
    <w:p w14:paraId="7F190227">
      <w:pPr>
        <w:spacing w:after="100" w:afterAutospacing="1" w:line="800" w:lineRule="exact"/>
        <w:ind w:right="-108"/>
        <w:jc w:val="center"/>
        <w:rPr>
          <w:rFonts w:ascii="宋体" w:hAnsi="宋体"/>
          <w:b/>
          <w:color w:val="000000"/>
          <w:spacing w:val="40"/>
          <w:sz w:val="72"/>
          <w:szCs w:val="72"/>
          <w:highlight w:val="none"/>
        </w:rPr>
      </w:pPr>
      <w:r>
        <w:rPr>
          <w:rFonts w:hint="eastAsia" w:ascii="宋体" w:hAnsi="宋体"/>
          <w:b/>
          <w:color w:val="000000"/>
          <w:spacing w:val="40"/>
          <w:sz w:val="72"/>
          <w:szCs w:val="72"/>
          <w:highlight w:val="none"/>
        </w:rPr>
        <w:t>商</w:t>
      </w:r>
    </w:p>
    <w:p w14:paraId="54069862">
      <w:pPr>
        <w:spacing w:after="100" w:afterAutospacing="1" w:line="800" w:lineRule="exact"/>
        <w:ind w:right="-108"/>
        <w:jc w:val="center"/>
        <w:rPr>
          <w:rFonts w:ascii="宋体" w:hAnsi="宋体"/>
          <w:b/>
          <w:color w:val="000000"/>
          <w:spacing w:val="40"/>
          <w:sz w:val="72"/>
          <w:szCs w:val="72"/>
          <w:highlight w:val="none"/>
        </w:rPr>
      </w:pPr>
      <w:r>
        <w:rPr>
          <w:rFonts w:hint="eastAsia" w:ascii="宋体" w:hAnsi="宋体"/>
          <w:b/>
          <w:color w:val="000000"/>
          <w:spacing w:val="40"/>
          <w:sz w:val="72"/>
          <w:szCs w:val="72"/>
          <w:highlight w:val="none"/>
        </w:rPr>
        <w:t>响</w:t>
      </w:r>
    </w:p>
    <w:p w14:paraId="36E0B570">
      <w:pPr>
        <w:spacing w:after="100" w:afterAutospacing="1" w:line="800" w:lineRule="exact"/>
        <w:ind w:right="-108"/>
        <w:jc w:val="center"/>
        <w:rPr>
          <w:rFonts w:ascii="宋体" w:hAnsi="宋体"/>
          <w:b/>
          <w:color w:val="000000"/>
          <w:spacing w:val="40"/>
          <w:sz w:val="72"/>
          <w:szCs w:val="72"/>
          <w:highlight w:val="none"/>
        </w:rPr>
      </w:pPr>
      <w:r>
        <w:rPr>
          <w:rFonts w:hint="eastAsia" w:ascii="宋体" w:hAnsi="宋体"/>
          <w:b/>
          <w:color w:val="000000"/>
          <w:spacing w:val="40"/>
          <w:sz w:val="72"/>
          <w:szCs w:val="72"/>
          <w:highlight w:val="none"/>
        </w:rPr>
        <w:t>应</w:t>
      </w:r>
    </w:p>
    <w:p w14:paraId="2DB362A5">
      <w:pPr>
        <w:spacing w:after="100" w:afterAutospacing="1" w:line="800" w:lineRule="exact"/>
        <w:ind w:right="-108"/>
        <w:jc w:val="center"/>
        <w:rPr>
          <w:rFonts w:ascii="宋体" w:hAnsi="宋体"/>
          <w:b/>
          <w:color w:val="000000"/>
          <w:spacing w:val="40"/>
          <w:sz w:val="72"/>
          <w:szCs w:val="72"/>
          <w:highlight w:val="none"/>
        </w:rPr>
      </w:pPr>
      <w:r>
        <w:rPr>
          <w:rFonts w:hint="eastAsia" w:ascii="宋体" w:hAnsi="宋体"/>
          <w:b/>
          <w:color w:val="000000"/>
          <w:spacing w:val="40"/>
          <w:sz w:val="72"/>
          <w:szCs w:val="72"/>
          <w:highlight w:val="none"/>
        </w:rPr>
        <w:t>文</w:t>
      </w:r>
    </w:p>
    <w:p w14:paraId="066B7F1C">
      <w:pPr>
        <w:spacing w:after="100" w:afterAutospacing="1" w:line="800" w:lineRule="exact"/>
        <w:ind w:right="-108"/>
        <w:jc w:val="center"/>
        <w:rPr>
          <w:rFonts w:ascii="宋体" w:hAnsi="宋体"/>
          <w:b/>
          <w:color w:val="000000"/>
          <w:spacing w:val="40"/>
          <w:sz w:val="72"/>
          <w:szCs w:val="72"/>
          <w:highlight w:val="none"/>
        </w:rPr>
      </w:pPr>
      <w:r>
        <w:rPr>
          <w:rFonts w:hint="eastAsia" w:ascii="宋体" w:hAnsi="宋体"/>
          <w:b/>
          <w:color w:val="000000"/>
          <w:spacing w:val="40"/>
          <w:sz w:val="72"/>
          <w:szCs w:val="72"/>
          <w:highlight w:val="none"/>
        </w:rPr>
        <w:t>件</w:t>
      </w:r>
    </w:p>
    <w:p w14:paraId="06EE48D8">
      <w:pPr>
        <w:spacing w:line="500" w:lineRule="exact"/>
        <w:ind w:right="532"/>
        <w:jc w:val="center"/>
        <w:rPr>
          <w:rFonts w:ascii="宋体" w:hAnsi="宋体"/>
          <w:sz w:val="36"/>
          <w:szCs w:val="36"/>
          <w:highlight w:val="none"/>
        </w:rPr>
      </w:pPr>
    </w:p>
    <w:p w14:paraId="24A35C89">
      <w:pPr>
        <w:spacing w:line="500" w:lineRule="exact"/>
        <w:ind w:right="532" w:firstLine="640" w:firstLineChars="200"/>
        <w:rPr>
          <w:rFonts w:ascii="宋体" w:hAnsi="宋体"/>
          <w:sz w:val="32"/>
          <w:szCs w:val="32"/>
          <w:highlight w:val="none"/>
        </w:rPr>
      </w:pPr>
      <w:r>
        <w:rPr>
          <w:rFonts w:hint="eastAsia" w:ascii="宋体" w:hAnsi="宋体"/>
          <w:sz w:val="32"/>
          <w:szCs w:val="32"/>
          <w:highlight w:val="none"/>
        </w:rPr>
        <w:t>供应商全称（公章或CA签章）：</w:t>
      </w:r>
    </w:p>
    <w:p w14:paraId="67C388B3">
      <w:pPr>
        <w:wordWrap w:val="0"/>
        <w:spacing w:line="500" w:lineRule="exact"/>
        <w:ind w:right="-108" w:firstLine="640" w:firstLineChars="200"/>
        <w:rPr>
          <w:rFonts w:ascii="宋体" w:hAnsi="宋体"/>
          <w:sz w:val="32"/>
          <w:szCs w:val="32"/>
          <w:highlight w:val="none"/>
        </w:rPr>
      </w:pPr>
      <w:r>
        <w:rPr>
          <w:rFonts w:hint="eastAsia" w:ascii="宋体" w:hAnsi="宋体"/>
          <w:sz w:val="32"/>
          <w:szCs w:val="32"/>
          <w:highlight w:val="none"/>
        </w:rPr>
        <w:t>地    址：</w:t>
      </w:r>
    </w:p>
    <w:p w14:paraId="5ED54E9A">
      <w:pPr>
        <w:wordWrap w:val="0"/>
        <w:spacing w:line="500" w:lineRule="exact"/>
        <w:ind w:right="-108" w:firstLine="640" w:firstLineChars="200"/>
        <w:rPr>
          <w:rFonts w:ascii="宋体" w:hAnsi="宋体"/>
          <w:b/>
          <w:bCs/>
          <w:color w:val="000000"/>
          <w:sz w:val="28"/>
          <w:szCs w:val="28"/>
          <w:highlight w:val="none"/>
        </w:rPr>
      </w:pPr>
      <w:r>
        <w:rPr>
          <w:rFonts w:hint="eastAsia" w:ascii="宋体" w:hAnsi="宋体"/>
          <w:sz w:val="32"/>
          <w:szCs w:val="32"/>
          <w:highlight w:val="none"/>
        </w:rPr>
        <w:t>时    间：</w:t>
      </w:r>
    </w:p>
    <w:p w14:paraId="5AA89526">
      <w:pPr>
        <w:snapToGrid w:val="0"/>
        <w:spacing w:before="50" w:after="50" w:line="360" w:lineRule="auto"/>
        <w:jc w:val="center"/>
        <w:rPr>
          <w:rFonts w:ascii="宋体" w:hAnsi="宋体"/>
          <w:b/>
          <w:bCs/>
          <w:color w:val="000000"/>
          <w:sz w:val="36"/>
          <w:szCs w:val="36"/>
          <w:highlight w:val="none"/>
        </w:rPr>
      </w:pPr>
    </w:p>
    <w:p w14:paraId="6FFD1D8C">
      <w:pPr>
        <w:shd w:val="clear"/>
        <w:spacing w:line="360" w:lineRule="auto"/>
        <w:jc w:val="center"/>
        <w:rPr>
          <w:rFonts w:ascii="宋体" w:hAnsi="宋体" w:cs="宋体"/>
          <w:b/>
          <w:bCs/>
          <w:color w:val="auto"/>
          <w:sz w:val="36"/>
          <w:szCs w:val="44"/>
          <w:highlight w:val="none"/>
        </w:rPr>
      </w:pPr>
      <w:r>
        <w:rPr>
          <w:rFonts w:hint="eastAsia" w:ascii="宋体" w:hAnsi="宋体" w:cs="宋体"/>
          <w:b/>
          <w:bCs/>
          <w:color w:val="auto"/>
          <w:sz w:val="36"/>
          <w:szCs w:val="44"/>
          <w:highlight w:val="none"/>
        </w:rPr>
        <w:t>磋商响应文件目录</w:t>
      </w:r>
    </w:p>
    <w:p w14:paraId="3DCFF27D">
      <w:pPr>
        <w:shd w:val="clea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第一部分 资格证明部分</w:t>
      </w:r>
    </w:p>
    <w:p w14:paraId="6AFFC358">
      <w:pPr>
        <w:shd w:val="clear"/>
        <w:spacing w:line="360" w:lineRule="auto"/>
        <w:ind w:firstLine="240" w:firstLineChars="100"/>
        <w:jc w:val="left"/>
        <w:rPr>
          <w:rFonts w:hint="eastAsia" w:ascii="宋体" w:hAnsi="宋体" w:eastAsia="宋体" w:cs="宋体"/>
          <w:color w:val="auto"/>
          <w:sz w:val="24"/>
          <w:highlight w:val="none"/>
          <w:lang w:val="en-US" w:eastAsia="zh-CN"/>
        </w:rPr>
      </w:pPr>
      <w:r>
        <w:rPr>
          <w:rFonts w:hint="eastAsia" w:ascii="宋体" w:hAnsi="宋体" w:cs="宋体"/>
          <w:color w:val="auto"/>
          <w:sz w:val="24"/>
          <w:szCs w:val="32"/>
          <w:highlight w:val="none"/>
        </w:rPr>
        <w:t>（1）磋商声明书</w:t>
      </w:r>
      <w:r>
        <w:rPr>
          <w:rFonts w:hint="eastAsia" w:ascii="宋体" w:hAnsi="宋体" w:eastAsia="宋体" w:cs="宋体"/>
          <w:color w:val="auto"/>
          <w:sz w:val="24"/>
          <w:highlight w:val="none"/>
          <w:lang w:val="en-US" w:eastAsia="zh-CN"/>
        </w:rPr>
        <w:t>（附件</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w:t>
      </w:r>
    </w:p>
    <w:p w14:paraId="10855B45">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（2）授权委托书（附件</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lang w:val="en-US" w:eastAsia="zh-CN"/>
        </w:rPr>
        <w:t>）；</w:t>
      </w:r>
    </w:p>
    <w:p w14:paraId="574FC373">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（3）法人或者其他组织的营业执照等证明文件，自然人的身份证明（附件4）；</w:t>
      </w:r>
    </w:p>
    <w:p w14:paraId="7B4AB0A7">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（4）具有良好的商业信誉和健全的财务会计制度的承诺（附件5）；</w:t>
      </w:r>
    </w:p>
    <w:p w14:paraId="662B4C76">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（5）依法缴纳税收和社会保障资金的承诺（附件6）；</w:t>
      </w:r>
    </w:p>
    <w:p w14:paraId="531DDED8">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（6）参加政府采购活动前三年内，在经营活动中没有重大违法记录（附件7）；</w:t>
      </w:r>
    </w:p>
    <w:p w14:paraId="5B56DF98">
      <w:pPr>
        <w:spacing w:line="360" w:lineRule="auto"/>
        <w:ind w:firstLine="240" w:firstLineChars="1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（7）</w:t>
      </w:r>
      <w:r>
        <w:rPr>
          <w:rFonts w:hint="default" w:ascii="宋体" w:hAnsi="宋体" w:eastAsia="宋体" w:cs="宋体"/>
          <w:color w:val="auto"/>
          <w:sz w:val="24"/>
          <w:highlight w:val="none"/>
          <w:lang w:val="en-US" w:eastAsia="zh-CN"/>
        </w:rPr>
        <w:t>中小企业声明函(格式详见附件</w:t>
      </w:r>
      <w:r>
        <w:rPr>
          <w:rFonts w:hint="eastAsia" w:ascii="宋体" w:hAnsi="宋体" w:cs="宋体"/>
          <w:color w:val="auto"/>
          <w:sz w:val="24"/>
          <w:highlight w:val="none"/>
          <w:lang w:val="en-US" w:eastAsia="zh-CN"/>
        </w:rPr>
        <w:t>8</w:t>
      </w:r>
      <w:r>
        <w:rPr>
          <w:rFonts w:hint="default" w:ascii="宋体" w:hAnsi="宋体" w:eastAsia="宋体" w:cs="宋体"/>
          <w:color w:val="auto"/>
          <w:sz w:val="24"/>
          <w:highlight w:val="none"/>
          <w:lang w:val="en-US" w:eastAsia="zh-CN"/>
        </w:rPr>
        <w:t>)。</w:t>
      </w:r>
    </w:p>
    <w:p w14:paraId="4A0AB4EE">
      <w:pPr>
        <w:spacing w:line="360" w:lineRule="auto"/>
        <w:ind w:firstLine="240" w:firstLineChars="1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lang w:val="en-US" w:eastAsia="zh-CN"/>
        </w:rPr>
        <w:t>）需要说明的其他资料。</w:t>
      </w:r>
    </w:p>
    <w:p w14:paraId="67ABA84E">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lang w:val="zh-CN"/>
        </w:rPr>
        <w:t>第二部分</w:t>
      </w:r>
      <w:r>
        <w:rPr>
          <w:rFonts w:hint="eastAsia" w:ascii="宋体" w:hAnsi="宋体" w:cs="宋体"/>
          <w:b/>
          <w:bCs/>
          <w:color w:val="auto"/>
          <w:sz w:val="28"/>
          <w:szCs w:val="36"/>
          <w:highlight w:val="none"/>
        </w:rPr>
        <w:t xml:space="preserve"> </w:t>
      </w:r>
      <w:r>
        <w:rPr>
          <w:rFonts w:hint="eastAsia" w:ascii="宋体" w:hAnsi="宋体" w:cs="宋体"/>
          <w:b/>
          <w:bCs/>
          <w:color w:val="auto"/>
          <w:sz w:val="28"/>
          <w:szCs w:val="36"/>
          <w:highlight w:val="none"/>
          <w:lang w:val="zh-CN"/>
        </w:rPr>
        <w:t>商务与技术</w:t>
      </w:r>
      <w:r>
        <w:rPr>
          <w:rFonts w:hint="eastAsia" w:ascii="宋体" w:hAnsi="宋体" w:cs="宋体"/>
          <w:b/>
          <w:bCs/>
          <w:color w:val="auto"/>
          <w:sz w:val="28"/>
          <w:szCs w:val="36"/>
          <w:highlight w:val="none"/>
        </w:rPr>
        <w:t>部分</w:t>
      </w:r>
    </w:p>
    <w:p w14:paraId="0349DF91">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1、供应商情况介绍（附件</w:t>
      </w:r>
      <w:r>
        <w:rPr>
          <w:rFonts w:hint="eastAsia" w:ascii="宋体" w:hAnsi="宋体" w:cs="宋体"/>
          <w:color w:val="auto"/>
          <w:sz w:val="24"/>
          <w:szCs w:val="32"/>
          <w:highlight w:val="none"/>
          <w:lang w:val="en-US" w:eastAsia="zh-CN"/>
        </w:rPr>
        <w:t>10</w:t>
      </w:r>
      <w:r>
        <w:rPr>
          <w:rFonts w:hint="eastAsia" w:ascii="宋体" w:hAnsi="宋体" w:cs="宋体"/>
          <w:color w:val="auto"/>
          <w:sz w:val="24"/>
          <w:szCs w:val="32"/>
          <w:highlight w:val="none"/>
        </w:rPr>
        <w:t>）；</w:t>
      </w:r>
    </w:p>
    <w:p w14:paraId="6634D28C">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2、项目实施人员一览表（附件</w:t>
      </w:r>
      <w:r>
        <w:rPr>
          <w:rFonts w:hint="eastAsia" w:ascii="宋体" w:hAnsi="宋体" w:cs="宋体"/>
          <w:color w:val="auto"/>
          <w:sz w:val="24"/>
          <w:szCs w:val="32"/>
          <w:highlight w:val="none"/>
          <w:lang w:val="en-US" w:eastAsia="zh-CN"/>
        </w:rPr>
        <w:t>11</w:t>
      </w:r>
      <w:r>
        <w:rPr>
          <w:rFonts w:hint="eastAsia" w:ascii="宋体" w:hAnsi="宋体" w:cs="宋体"/>
          <w:color w:val="auto"/>
          <w:sz w:val="24"/>
          <w:szCs w:val="32"/>
          <w:highlight w:val="none"/>
        </w:rPr>
        <w:t xml:space="preserve">）； </w:t>
      </w:r>
    </w:p>
    <w:p w14:paraId="250A71D2">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3</w:t>
      </w:r>
      <w:r>
        <w:rPr>
          <w:rFonts w:hint="eastAsia" w:ascii="宋体" w:hAnsi="宋体" w:cs="宋体"/>
          <w:color w:val="auto"/>
          <w:sz w:val="24"/>
          <w:szCs w:val="32"/>
          <w:highlight w:val="none"/>
        </w:rPr>
        <w:t>、商务及技术响应表（附件</w:t>
      </w:r>
      <w:r>
        <w:rPr>
          <w:rFonts w:hint="eastAsia" w:ascii="宋体" w:hAnsi="宋体" w:cs="宋体"/>
          <w:color w:val="auto"/>
          <w:sz w:val="24"/>
          <w:szCs w:val="32"/>
          <w:highlight w:val="none"/>
          <w:lang w:val="en-US" w:eastAsia="zh-CN"/>
        </w:rPr>
        <w:t>12</w:t>
      </w:r>
      <w:r>
        <w:rPr>
          <w:rFonts w:hint="eastAsia" w:ascii="宋体" w:hAnsi="宋体" w:cs="宋体"/>
          <w:color w:val="auto"/>
          <w:sz w:val="24"/>
          <w:szCs w:val="32"/>
          <w:highlight w:val="none"/>
        </w:rPr>
        <w:t>）；</w:t>
      </w:r>
    </w:p>
    <w:p w14:paraId="69508E4E">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、类似项目业绩一览表（附件</w:t>
      </w:r>
      <w:r>
        <w:rPr>
          <w:rFonts w:hint="eastAsia" w:ascii="宋体" w:hAnsi="宋体" w:cs="宋体"/>
          <w:color w:val="auto"/>
          <w:sz w:val="24"/>
          <w:szCs w:val="32"/>
          <w:highlight w:val="none"/>
          <w:lang w:val="en-US" w:eastAsia="zh-CN"/>
        </w:rPr>
        <w:t>13</w:t>
      </w:r>
      <w:r>
        <w:rPr>
          <w:rFonts w:hint="eastAsia" w:ascii="宋体" w:hAnsi="宋体" w:cs="宋体"/>
          <w:color w:val="auto"/>
          <w:sz w:val="24"/>
          <w:szCs w:val="32"/>
          <w:highlight w:val="none"/>
        </w:rPr>
        <w:t>）；</w:t>
      </w:r>
    </w:p>
    <w:p w14:paraId="30C4865F">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第三部分 报价部分</w:t>
      </w:r>
    </w:p>
    <w:p w14:paraId="6031C8C3">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32"/>
          <w:highlight w:val="none"/>
        </w:rPr>
        <w:t>1、首次报价一览表（附件</w:t>
      </w:r>
      <w:r>
        <w:rPr>
          <w:rFonts w:hint="eastAsia" w:ascii="宋体" w:hAnsi="宋体" w:cs="宋体"/>
          <w:color w:val="auto"/>
          <w:sz w:val="24"/>
          <w:szCs w:val="32"/>
          <w:highlight w:val="none"/>
          <w:lang w:val="en-US" w:eastAsia="zh-CN"/>
        </w:rPr>
        <w:t>14</w:t>
      </w:r>
      <w:r>
        <w:rPr>
          <w:rFonts w:hint="eastAsia" w:ascii="宋体" w:hAnsi="宋体" w:cs="宋体"/>
          <w:color w:val="auto"/>
          <w:sz w:val="24"/>
          <w:szCs w:val="32"/>
          <w:highlight w:val="none"/>
        </w:rPr>
        <w:t>）；</w:t>
      </w:r>
    </w:p>
    <w:p w14:paraId="6F85CB35">
      <w:pPr>
        <w:spacing w:line="360" w:lineRule="auto"/>
        <w:rPr>
          <w:rFonts w:ascii="宋体" w:hAnsi="宋体" w:cs="宋体"/>
          <w:b/>
          <w:bCs/>
          <w:color w:val="auto"/>
          <w:sz w:val="28"/>
          <w:szCs w:val="36"/>
          <w:highlight w:val="none"/>
        </w:rPr>
      </w:pPr>
      <w:r>
        <w:rPr>
          <w:rFonts w:hint="eastAsia" w:ascii="宋体" w:hAnsi="宋体" w:cs="宋体"/>
          <w:b/>
          <w:bCs/>
          <w:color w:val="auto"/>
          <w:sz w:val="28"/>
          <w:szCs w:val="36"/>
          <w:highlight w:val="none"/>
        </w:rPr>
        <w:t>第四部分 其他部分</w:t>
      </w:r>
    </w:p>
    <w:p w14:paraId="3A422E26">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针对磋商，响应供应商认为其他需要说明的（包括可能影响供应商商务与技术评分项的各类证明材料）。</w:t>
      </w:r>
    </w:p>
    <w:p w14:paraId="776485D4">
      <w:pPr>
        <w:snapToGrid w:val="0"/>
        <w:spacing w:line="360" w:lineRule="auto"/>
        <w:ind w:firstLine="420" w:firstLineChars="200"/>
        <w:rPr>
          <w:szCs w:val="21"/>
          <w:highlight w:val="none"/>
        </w:rPr>
      </w:pPr>
    </w:p>
    <w:p w14:paraId="14369867">
      <w:pPr>
        <w:pStyle w:val="9"/>
        <w:rPr>
          <w:szCs w:val="21"/>
          <w:highlight w:val="none"/>
        </w:rPr>
      </w:pPr>
    </w:p>
    <w:p w14:paraId="245936DE">
      <w:pPr>
        <w:pStyle w:val="19"/>
        <w:rPr>
          <w:szCs w:val="21"/>
          <w:highlight w:val="none"/>
        </w:rPr>
      </w:pPr>
    </w:p>
    <w:p w14:paraId="2D4AAF11">
      <w:pPr>
        <w:rPr>
          <w:szCs w:val="21"/>
          <w:highlight w:val="none"/>
        </w:rPr>
      </w:pPr>
    </w:p>
    <w:p w14:paraId="45B0B9BD">
      <w:pPr>
        <w:pStyle w:val="9"/>
        <w:rPr>
          <w:szCs w:val="21"/>
          <w:highlight w:val="none"/>
        </w:rPr>
      </w:pPr>
    </w:p>
    <w:p w14:paraId="7FB03547">
      <w:pPr>
        <w:pStyle w:val="19"/>
        <w:rPr>
          <w:szCs w:val="21"/>
          <w:highlight w:val="none"/>
        </w:rPr>
      </w:pPr>
    </w:p>
    <w:p w14:paraId="09C135F4">
      <w:pPr>
        <w:rPr>
          <w:szCs w:val="21"/>
          <w:highlight w:val="none"/>
        </w:rPr>
      </w:pPr>
    </w:p>
    <w:p w14:paraId="20F2AEC5">
      <w:pPr>
        <w:pStyle w:val="27"/>
        <w:rPr>
          <w:highlight w:val="none"/>
        </w:rPr>
      </w:pPr>
    </w:p>
    <w:p w14:paraId="7AE2C5A7">
      <w:pPr>
        <w:pStyle w:val="9"/>
        <w:rPr>
          <w:highlight w:val="none"/>
        </w:rPr>
      </w:pPr>
    </w:p>
    <w:p w14:paraId="5555047F">
      <w:pPr>
        <w:spacing w:line="360" w:lineRule="auto"/>
        <w:rPr>
          <w:rFonts w:ascii="宋体" w:hAnsi="宋体"/>
          <w:b/>
          <w:sz w:val="28"/>
          <w:highlight w:val="none"/>
        </w:rPr>
      </w:pPr>
      <w:r>
        <w:rPr>
          <w:rFonts w:hint="eastAsia" w:ascii="宋体" w:hAnsi="宋体"/>
          <w:b/>
          <w:sz w:val="28"/>
          <w:highlight w:val="none"/>
        </w:rPr>
        <w:t>附件2</w:t>
      </w:r>
    </w:p>
    <w:p w14:paraId="5600816A">
      <w:pPr>
        <w:snapToGrid w:val="0"/>
        <w:spacing w:beforeLines="50" w:after="50" w:line="240" w:lineRule="auto"/>
        <w:ind w:firstLine="643" w:firstLineChars="200"/>
        <w:jc w:val="center"/>
        <w:rPr>
          <w:rStyle w:val="33"/>
          <w:b/>
          <w:color w:val="000000"/>
          <w:sz w:val="32"/>
          <w:szCs w:val="32"/>
          <w:highlight w:val="none"/>
          <w:u w:val="none"/>
        </w:rPr>
      </w:pPr>
      <w:r>
        <w:rPr>
          <w:rStyle w:val="33"/>
          <w:rFonts w:hint="eastAsia"/>
          <w:b/>
          <w:color w:val="000000"/>
          <w:sz w:val="32"/>
          <w:szCs w:val="32"/>
          <w:highlight w:val="none"/>
          <w:u w:val="none"/>
        </w:rPr>
        <w:t>磋商声明书</w:t>
      </w:r>
    </w:p>
    <w:p w14:paraId="310C26AB">
      <w:pPr>
        <w:keepNext w:val="0"/>
        <w:keepLines w:val="0"/>
        <w:pageBreakBefore w:val="0"/>
        <w:widowControl w:val="0"/>
        <w:kinsoku/>
        <w:wordWrap/>
        <w:overflowPunct/>
        <w:topLinePunct w:val="0"/>
        <w:autoSpaceDE/>
        <w:autoSpaceDN/>
        <w:bidi w:val="0"/>
        <w:snapToGrid w:val="0"/>
        <w:spacing w:beforeLines="50" w:after="50" w:line="312" w:lineRule="auto"/>
        <w:textAlignment w:val="auto"/>
        <w:rPr>
          <w:rFonts w:ascii="Arial" w:hAnsi="Arial" w:cs="Arial"/>
          <w:sz w:val="24"/>
          <w:highlight w:val="none"/>
        </w:rPr>
      </w:pPr>
      <w:r>
        <w:rPr>
          <w:rFonts w:hint="eastAsia" w:ascii="Arial" w:hAnsi="Arial" w:cs="Arial"/>
          <w:sz w:val="24"/>
          <w:highlight w:val="none"/>
          <w:lang w:eastAsia="zh-CN"/>
        </w:rPr>
        <w:t>台州市建航工程管理有限公司</w:t>
      </w:r>
      <w:r>
        <w:rPr>
          <w:rFonts w:hint="eastAsia" w:ascii="Arial" w:hAnsi="Arial" w:cs="Arial"/>
          <w:sz w:val="24"/>
          <w:highlight w:val="none"/>
        </w:rPr>
        <w:t>：</w:t>
      </w:r>
    </w:p>
    <w:p w14:paraId="4C811877">
      <w:pPr>
        <w:keepNext w:val="0"/>
        <w:keepLines w:val="0"/>
        <w:pageBreakBefore w:val="0"/>
        <w:widowControl w:val="0"/>
        <w:kinsoku/>
        <w:wordWrap/>
        <w:overflowPunct/>
        <w:topLinePunct w:val="0"/>
        <w:autoSpaceDE/>
        <w:autoSpaceDN/>
        <w:bidi w:val="0"/>
        <w:snapToGrid w:val="0"/>
        <w:spacing w:beforeLines="50" w:after="50" w:line="312"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u w:val="single"/>
        </w:rPr>
        <w:t>（供应商名称）</w:t>
      </w:r>
      <w:r>
        <w:rPr>
          <w:rFonts w:hint="eastAsia" w:ascii="宋体" w:hAnsi="宋体" w:cs="宋体"/>
          <w:kern w:val="0"/>
          <w:sz w:val="24"/>
          <w:highlight w:val="none"/>
        </w:rPr>
        <w:t>系中华人民共和国合法企业，经营地址。</w:t>
      </w:r>
    </w:p>
    <w:p w14:paraId="5A4E2859">
      <w:pPr>
        <w:keepNext w:val="0"/>
        <w:keepLines w:val="0"/>
        <w:pageBreakBefore w:val="0"/>
        <w:widowControl w:val="0"/>
        <w:kinsoku/>
        <w:wordWrap/>
        <w:overflowPunct/>
        <w:topLinePunct w:val="0"/>
        <w:autoSpaceDE/>
        <w:autoSpaceDN/>
        <w:bidi w:val="0"/>
        <w:snapToGrid w:val="0"/>
        <w:spacing w:beforeLines="50" w:after="50" w:line="312" w:lineRule="auto"/>
        <w:ind w:firstLine="480" w:firstLineChars="200"/>
        <w:textAlignment w:val="auto"/>
        <w:rPr>
          <w:rFonts w:ascii="宋体" w:hAnsi="宋体" w:cs="宋体"/>
          <w:kern w:val="0"/>
          <w:sz w:val="24"/>
          <w:highlight w:val="none"/>
        </w:rPr>
      </w:pPr>
      <w:r>
        <w:rPr>
          <w:rFonts w:hint="eastAsia" w:ascii="宋体" w:hAnsi="宋体" w:cs="宋体"/>
          <w:kern w:val="0"/>
          <w:sz w:val="24"/>
          <w:highlight w:val="none"/>
        </w:rPr>
        <w:t>我（</w:t>
      </w:r>
      <w:r>
        <w:rPr>
          <w:rFonts w:hint="eastAsia" w:ascii="宋体" w:hAnsi="宋体" w:cs="宋体"/>
          <w:kern w:val="0"/>
          <w:sz w:val="24"/>
          <w:highlight w:val="none"/>
          <w:u w:val="single"/>
        </w:rPr>
        <w:t xml:space="preserve"> 姓名 </w:t>
      </w:r>
      <w:r>
        <w:rPr>
          <w:rFonts w:hint="eastAsia" w:ascii="宋体" w:hAnsi="宋体" w:cs="宋体"/>
          <w:kern w:val="0"/>
          <w:sz w:val="24"/>
          <w:highlight w:val="none"/>
        </w:rPr>
        <w:t>）系（</w:t>
      </w:r>
      <w:r>
        <w:rPr>
          <w:rFonts w:hint="eastAsia" w:ascii="宋体" w:hAnsi="宋体" w:cs="宋体"/>
          <w:kern w:val="0"/>
          <w:sz w:val="24"/>
          <w:highlight w:val="none"/>
          <w:u w:val="single"/>
        </w:rPr>
        <w:t xml:space="preserve"> 供应商名称 </w:t>
      </w:r>
      <w:r>
        <w:rPr>
          <w:rFonts w:hint="eastAsia" w:ascii="宋体" w:hAnsi="宋体" w:cs="宋体"/>
          <w:kern w:val="0"/>
          <w:sz w:val="24"/>
          <w:highlight w:val="none"/>
        </w:rPr>
        <w:t>）的法定代表人，我公司自愿参加贵方组织的</w:t>
      </w:r>
      <w:r>
        <w:rPr>
          <w:rFonts w:hint="eastAsia" w:ascii="宋体" w:hAnsi="宋体" w:cs="宋体"/>
          <w:kern w:val="0"/>
          <w:sz w:val="24"/>
          <w:highlight w:val="none"/>
          <w:u w:val="single"/>
        </w:rPr>
        <w:t>（磋商项目名称）</w:t>
      </w:r>
      <w:r>
        <w:rPr>
          <w:rFonts w:hint="eastAsia" w:ascii="宋体" w:hAnsi="宋体" w:cs="宋体"/>
          <w:kern w:val="0"/>
          <w:sz w:val="24"/>
          <w:highlight w:val="none"/>
        </w:rPr>
        <w:t>（编号为</w:t>
      </w:r>
      <w:r>
        <w:rPr>
          <w:rFonts w:hint="eastAsia" w:ascii="宋体" w:hAnsi="宋体" w:cs="宋体"/>
          <w:kern w:val="0"/>
          <w:sz w:val="24"/>
          <w:highlight w:val="none"/>
          <w:u w:val="single"/>
        </w:rPr>
        <w:t>××</w:t>
      </w:r>
      <w:r>
        <w:rPr>
          <w:rFonts w:hint="eastAsia" w:ascii="宋体" w:hAnsi="宋体" w:cs="宋体"/>
          <w:kern w:val="0"/>
          <w:sz w:val="24"/>
          <w:highlight w:val="none"/>
        </w:rPr>
        <w:t>）的磋商，为此，我公司就本次磋商有关事项郑重声明如下：</w:t>
      </w:r>
    </w:p>
    <w:p w14:paraId="47B9D764">
      <w:pPr>
        <w:keepNext w:val="0"/>
        <w:keepLines w:val="0"/>
        <w:pageBreakBefore w:val="0"/>
        <w:widowControl w:val="0"/>
        <w:kinsoku/>
        <w:wordWrap/>
        <w:overflowPunct/>
        <w:topLinePunct w:val="0"/>
        <w:autoSpaceDE/>
        <w:autoSpaceDN/>
        <w:bidi w:val="0"/>
        <w:snapToGrid w:val="0"/>
        <w:spacing w:beforeLines="50" w:after="50" w:line="312" w:lineRule="auto"/>
        <w:ind w:firstLine="480" w:firstLineChars="200"/>
        <w:textAlignment w:val="auto"/>
        <w:rPr>
          <w:rFonts w:ascii="Arial" w:hAnsi="Arial" w:cs="Arial"/>
          <w:sz w:val="24"/>
          <w:highlight w:val="none"/>
        </w:rPr>
      </w:pPr>
      <w:r>
        <w:rPr>
          <w:rFonts w:hint="eastAsia" w:ascii="宋体" w:hAnsi="宋体" w:cs="Arial"/>
          <w:sz w:val="24"/>
          <w:highlight w:val="none"/>
        </w:rPr>
        <w:t>1、</w:t>
      </w:r>
      <w:r>
        <w:rPr>
          <w:rFonts w:hint="eastAsia" w:ascii="Arial" w:hAnsi="Arial" w:cs="Arial"/>
          <w:sz w:val="24"/>
          <w:highlight w:val="none"/>
        </w:rPr>
        <w:t>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14:paraId="79C0D451">
      <w:pPr>
        <w:keepNext w:val="0"/>
        <w:keepLines w:val="0"/>
        <w:pageBreakBefore w:val="0"/>
        <w:widowControl w:val="0"/>
        <w:kinsoku/>
        <w:wordWrap/>
        <w:overflowPunct/>
        <w:topLinePunct w:val="0"/>
        <w:autoSpaceDE/>
        <w:autoSpaceDN/>
        <w:bidi w:val="0"/>
        <w:snapToGrid w:val="0"/>
        <w:spacing w:beforeLines="50" w:after="50" w:line="312" w:lineRule="auto"/>
        <w:ind w:firstLine="480" w:firstLineChars="200"/>
        <w:textAlignment w:val="auto"/>
        <w:rPr>
          <w:rFonts w:ascii="宋体" w:hAnsi="宋体" w:cs="宋体"/>
          <w:kern w:val="0"/>
          <w:sz w:val="24"/>
          <w:highlight w:val="none"/>
        </w:rPr>
      </w:pPr>
      <w:r>
        <w:rPr>
          <w:rFonts w:hint="eastAsia" w:ascii="宋体" w:hAnsi="宋体" w:cs="Arial"/>
          <w:sz w:val="24"/>
          <w:highlight w:val="none"/>
        </w:rPr>
        <w:t>2、</w:t>
      </w:r>
      <w:r>
        <w:rPr>
          <w:rFonts w:hint="eastAsia" w:ascii="宋体" w:hAnsi="宋体" w:cs="宋体"/>
          <w:kern w:val="0"/>
          <w:sz w:val="24"/>
          <w:highlight w:val="none"/>
        </w:rPr>
        <w:t>我公司</w:t>
      </w:r>
      <w:r>
        <w:rPr>
          <w:rFonts w:ascii="宋体" w:hAnsi="宋体" w:cs="宋体"/>
          <w:kern w:val="0"/>
          <w:sz w:val="24"/>
          <w:highlight w:val="none"/>
        </w:rPr>
        <w:t>在参与</w:t>
      </w:r>
      <w:r>
        <w:rPr>
          <w:rFonts w:hint="eastAsia" w:ascii="宋体" w:hAnsi="宋体" w:cs="宋体"/>
          <w:kern w:val="0"/>
          <w:sz w:val="24"/>
          <w:highlight w:val="none"/>
        </w:rPr>
        <w:t>磋商</w:t>
      </w:r>
      <w:r>
        <w:rPr>
          <w:rFonts w:ascii="宋体" w:hAnsi="宋体" w:cs="宋体"/>
          <w:kern w:val="0"/>
          <w:sz w:val="24"/>
          <w:highlight w:val="none"/>
        </w:rPr>
        <w:t>前已</w:t>
      </w:r>
      <w:r>
        <w:rPr>
          <w:rFonts w:hint="eastAsia" w:ascii="宋体" w:hAnsi="宋体" w:cs="宋体"/>
          <w:kern w:val="0"/>
          <w:sz w:val="24"/>
          <w:highlight w:val="none"/>
        </w:rPr>
        <w:t>详细审查</w:t>
      </w:r>
      <w:r>
        <w:rPr>
          <w:rFonts w:ascii="宋体" w:hAnsi="宋体" w:cs="宋体"/>
          <w:kern w:val="0"/>
          <w:sz w:val="24"/>
          <w:highlight w:val="none"/>
        </w:rPr>
        <w:t>了</w:t>
      </w:r>
      <w:r>
        <w:rPr>
          <w:rFonts w:hint="eastAsia" w:ascii="宋体" w:hAnsi="宋体" w:cs="宋体"/>
          <w:kern w:val="0"/>
          <w:sz w:val="24"/>
          <w:highlight w:val="none"/>
        </w:rPr>
        <w:t>磋商采购</w:t>
      </w:r>
      <w:r>
        <w:rPr>
          <w:rFonts w:ascii="宋体" w:hAnsi="宋体" w:cs="宋体"/>
          <w:kern w:val="0"/>
          <w:sz w:val="24"/>
          <w:highlight w:val="none"/>
        </w:rPr>
        <w:t>文件和所有相关资料，我方完全明白并认为此</w:t>
      </w:r>
      <w:r>
        <w:rPr>
          <w:rFonts w:hint="eastAsia" w:ascii="宋体" w:hAnsi="宋体" w:cs="宋体"/>
          <w:kern w:val="0"/>
          <w:sz w:val="24"/>
          <w:highlight w:val="none"/>
        </w:rPr>
        <w:t>磋商采购</w:t>
      </w:r>
      <w:r>
        <w:rPr>
          <w:rFonts w:ascii="宋体" w:hAnsi="宋体" w:cs="宋体"/>
          <w:kern w:val="0"/>
          <w:sz w:val="24"/>
          <w:highlight w:val="none"/>
        </w:rPr>
        <w:t>文件没有倾向性，也没有存在排斥潜在</w:t>
      </w:r>
      <w:r>
        <w:rPr>
          <w:rFonts w:hint="eastAsia" w:ascii="宋体" w:hAnsi="宋体" w:cs="宋体"/>
          <w:kern w:val="0"/>
          <w:sz w:val="24"/>
          <w:highlight w:val="none"/>
        </w:rPr>
        <w:t>供应商</w:t>
      </w:r>
      <w:r>
        <w:rPr>
          <w:rFonts w:ascii="宋体" w:hAnsi="宋体" w:cs="宋体"/>
          <w:kern w:val="0"/>
          <w:sz w:val="24"/>
          <w:highlight w:val="none"/>
        </w:rPr>
        <w:t>的内容，我方同意</w:t>
      </w:r>
      <w:r>
        <w:rPr>
          <w:rFonts w:hint="eastAsia" w:ascii="宋体" w:hAnsi="宋体" w:cs="宋体"/>
          <w:kern w:val="0"/>
          <w:sz w:val="24"/>
          <w:highlight w:val="none"/>
        </w:rPr>
        <w:t>磋商采购</w:t>
      </w:r>
      <w:r>
        <w:rPr>
          <w:rFonts w:ascii="宋体" w:hAnsi="宋体" w:cs="宋体"/>
          <w:kern w:val="0"/>
          <w:sz w:val="24"/>
          <w:highlight w:val="none"/>
        </w:rPr>
        <w:t>文件的相关条款，放弃对</w:t>
      </w:r>
      <w:r>
        <w:rPr>
          <w:rFonts w:hint="eastAsia" w:ascii="宋体" w:hAnsi="宋体" w:cs="宋体"/>
          <w:kern w:val="0"/>
          <w:sz w:val="24"/>
          <w:highlight w:val="none"/>
        </w:rPr>
        <w:t>磋商采购</w:t>
      </w:r>
      <w:r>
        <w:rPr>
          <w:rFonts w:ascii="宋体" w:hAnsi="宋体" w:cs="宋体"/>
          <w:kern w:val="0"/>
          <w:sz w:val="24"/>
          <w:highlight w:val="none"/>
        </w:rPr>
        <w:t>文件提出误解和质疑的一切权</w:t>
      </w:r>
      <w:r>
        <w:rPr>
          <w:rFonts w:hint="eastAsia" w:ascii="宋体" w:hAnsi="宋体" w:cs="宋体"/>
          <w:kern w:val="0"/>
          <w:sz w:val="24"/>
          <w:highlight w:val="none"/>
        </w:rPr>
        <w:t>利。</w:t>
      </w:r>
    </w:p>
    <w:p w14:paraId="3FAC6EA3">
      <w:pPr>
        <w:keepNext w:val="0"/>
        <w:keepLines w:val="0"/>
        <w:pageBreakBefore w:val="0"/>
        <w:widowControl w:val="0"/>
        <w:kinsoku/>
        <w:wordWrap/>
        <w:overflowPunct/>
        <w:topLinePunct w:val="0"/>
        <w:autoSpaceDE/>
        <w:autoSpaceDN/>
        <w:bidi w:val="0"/>
        <w:snapToGrid w:val="0"/>
        <w:spacing w:beforeLines="50" w:after="50" w:line="312" w:lineRule="auto"/>
        <w:ind w:firstLine="480" w:firstLineChars="200"/>
        <w:textAlignment w:val="auto"/>
        <w:rPr>
          <w:rFonts w:ascii="宋体" w:hAnsi="宋体"/>
          <w:sz w:val="24"/>
          <w:highlight w:val="none"/>
        </w:rPr>
      </w:pPr>
      <w:r>
        <w:rPr>
          <w:rFonts w:hint="eastAsia" w:ascii="宋体" w:hAnsi="宋体"/>
          <w:sz w:val="24"/>
          <w:highlight w:val="none"/>
        </w:rPr>
        <w:t>3、我</w:t>
      </w:r>
      <w:r>
        <w:rPr>
          <w:rFonts w:hint="eastAsia" w:ascii="宋体" w:hAnsi="宋体" w:cs="仿宋_GB2312"/>
          <w:kern w:val="0"/>
          <w:sz w:val="24"/>
          <w:highlight w:val="none"/>
          <w:lang w:val="zh-CN"/>
        </w:rPr>
        <w:t>公司</w:t>
      </w:r>
      <w:r>
        <w:rPr>
          <w:rFonts w:hint="eastAsia" w:ascii="宋体" w:hAnsi="宋体"/>
          <w:sz w:val="24"/>
          <w:highlight w:val="none"/>
        </w:rPr>
        <w:t>不是采购人的附属机构；在获知本项目采购信息后，与采购人聘请的为此项目提供咨询服务的公司及其附属机构没有任何联系。</w:t>
      </w:r>
    </w:p>
    <w:p w14:paraId="52B9C3AC">
      <w:pPr>
        <w:keepNext w:val="0"/>
        <w:keepLines w:val="0"/>
        <w:pageBreakBefore w:val="0"/>
        <w:widowControl w:val="0"/>
        <w:kinsoku/>
        <w:wordWrap/>
        <w:overflowPunct/>
        <w:topLinePunct w:val="0"/>
        <w:autoSpaceDE/>
        <w:autoSpaceDN/>
        <w:bidi w:val="0"/>
        <w:snapToGrid w:val="0"/>
        <w:spacing w:beforeLines="50" w:after="50" w:line="312" w:lineRule="auto"/>
        <w:ind w:firstLine="480" w:firstLineChars="200"/>
        <w:textAlignment w:val="auto"/>
        <w:rPr>
          <w:rFonts w:ascii="宋体" w:hAnsi="宋体"/>
          <w:kern w:val="0"/>
          <w:sz w:val="24"/>
          <w:highlight w:val="none"/>
          <w:lang w:val="af-ZA"/>
        </w:rPr>
      </w:pPr>
      <w:r>
        <w:rPr>
          <w:rFonts w:hint="eastAsia" w:ascii="宋体" w:hAnsi="宋体"/>
          <w:sz w:val="24"/>
          <w:highlight w:val="none"/>
        </w:rPr>
        <w:t>4、</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cs="宋体"/>
          <w:kern w:val="0"/>
          <w:sz w:val="24"/>
          <w:highlight w:val="none"/>
        </w:rPr>
        <w:t>保证，</w:t>
      </w:r>
      <w:r>
        <w:rPr>
          <w:rFonts w:hint="eastAsia" w:ascii="宋体" w:hAnsi="宋体"/>
          <w:kern w:val="0"/>
          <w:sz w:val="24"/>
          <w:highlight w:val="none"/>
          <w:lang w:val="af-ZA"/>
        </w:rPr>
        <w:t>采购人在中华人民共和国境内使用</w:t>
      </w:r>
      <w:r>
        <w:rPr>
          <w:rFonts w:hint="eastAsia" w:ascii="宋体" w:hAnsi="宋体" w:cs="宋体"/>
          <w:kern w:val="0"/>
          <w:sz w:val="24"/>
          <w:highlight w:val="none"/>
        </w:rPr>
        <w:t>我</w:t>
      </w:r>
      <w:r>
        <w:rPr>
          <w:rFonts w:hint="eastAsia" w:ascii="宋体" w:hAnsi="宋体" w:cs="仿宋_GB2312"/>
          <w:kern w:val="0"/>
          <w:sz w:val="24"/>
          <w:highlight w:val="none"/>
          <w:lang w:val="zh-CN"/>
        </w:rPr>
        <w:t>公司</w:t>
      </w:r>
      <w:r>
        <w:rPr>
          <w:rFonts w:hint="eastAsia" w:ascii="宋体" w:hAnsi="宋体"/>
          <w:kern w:val="0"/>
          <w:sz w:val="24"/>
          <w:highlight w:val="none"/>
          <w:lang w:val="af-ZA"/>
        </w:rPr>
        <w:t>磋商响应的货物、资料、技术、服务或其任何一部分时，享有不受限制的无偿使用权，如有第三方向采购人提出侵犯其专利权、商标权或其它知识产权的主张，该责任由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highlight w:val="none"/>
          <w:lang w:val="af-ZA"/>
        </w:rPr>
        <w:t>我方</w:t>
      </w:r>
      <w:r>
        <w:rPr>
          <w:rFonts w:hint="eastAsia" w:ascii="宋体" w:hAnsi="宋体"/>
          <w:kern w:val="0"/>
          <w:sz w:val="24"/>
          <w:highlight w:val="none"/>
          <w:lang w:val="af-ZA"/>
        </w:rPr>
        <w:t>承担。</w:t>
      </w:r>
      <w:r>
        <w:rPr>
          <w:rFonts w:hint="eastAsia" w:ascii="宋体" w:hAnsi="宋体" w:cs="宋体"/>
          <w:kern w:val="0"/>
          <w:sz w:val="24"/>
          <w:highlight w:val="none"/>
          <w:lang w:val="af-ZA"/>
        </w:rPr>
        <w:t>我方的</w:t>
      </w:r>
      <w:r>
        <w:rPr>
          <w:rFonts w:hint="eastAsia" w:ascii="宋体" w:hAnsi="宋体"/>
          <w:kern w:val="0"/>
          <w:sz w:val="24"/>
          <w:highlight w:val="none"/>
          <w:lang w:val="af-ZA"/>
        </w:rPr>
        <w:t>总报价</w:t>
      </w:r>
      <w:r>
        <w:rPr>
          <w:rFonts w:hint="eastAsia" w:ascii="宋体" w:hAnsi="宋体" w:cs="宋体"/>
          <w:kern w:val="0"/>
          <w:sz w:val="24"/>
          <w:highlight w:val="none"/>
          <w:lang w:val="af-ZA"/>
        </w:rPr>
        <w:t>已</w:t>
      </w:r>
      <w:r>
        <w:rPr>
          <w:rFonts w:hint="eastAsia" w:ascii="宋体" w:hAnsi="宋体"/>
          <w:kern w:val="0"/>
          <w:sz w:val="24"/>
          <w:highlight w:val="none"/>
          <w:lang w:val="af-ZA"/>
        </w:rPr>
        <w:t>包含所有应向所有权人支付的专利权、商标权或其它知识产权的一切相关费用。</w:t>
      </w:r>
    </w:p>
    <w:p w14:paraId="73E3D354">
      <w:pPr>
        <w:keepNext w:val="0"/>
        <w:keepLines w:val="0"/>
        <w:pageBreakBefore w:val="0"/>
        <w:widowControl w:val="0"/>
        <w:kinsoku/>
        <w:wordWrap/>
        <w:overflowPunct/>
        <w:topLinePunct w:val="0"/>
        <w:autoSpaceDE/>
        <w:autoSpaceDN/>
        <w:bidi w:val="0"/>
        <w:snapToGrid w:val="0"/>
        <w:spacing w:beforeLines="50" w:after="50" w:line="312" w:lineRule="auto"/>
        <w:ind w:firstLine="480" w:firstLineChars="200"/>
        <w:textAlignment w:val="auto"/>
        <w:rPr>
          <w:rFonts w:ascii="宋体" w:hAnsi="宋体" w:cs="宋体"/>
          <w:kern w:val="0"/>
          <w:sz w:val="24"/>
          <w:highlight w:val="none"/>
          <w:lang w:val="af-ZA"/>
        </w:rPr>
      </w:pPr>
      <w:r>
        <w:rPr>
          <w:rFonts w:hint="eastAsia" w:ascii="宋体" w:hAnsi="宋体" w:cs="宋体"/>
          <w:kern w:val="0"/>
          <w:sz w:val="24"/>
          <w:highlight w:val="none"/>
          <w:lang w:val="af-ZA"/>
        </w:rPr>
        <w:t>5、我</w:t>
      </w:r>
      <w:r>
        <w:rPr>
          <w:rFonts w:hint="eastAsia" w:ascii="宋体" w:hAnsi="宋体" w:cs="宋体"/>
          <w:kern w:val="0"/>
          <w:sz w:val="24"/>
          <w:highlight w:val="none"/>
          <w:lang w:val="zh-CN"/>
        </w:rPr>
        <w:t>公司</w:t>
      </w:r>
      <w:r>
        <w:rPr>
          <w:rFonts w:hint="eastAsia" w:ascii="宋体" w:hAnsi="宋体" w:cs="宋体"/>
          <w:kern w:val="0"/>
          <w:sz w:val="24"/>
          <w:highlight w:val="none"/>
          <w:lang w:val="af-ZA"/>
        </w:rPr>
        <w:t>严格履行政府采购合同，不降低合同约定的产品质量和服务，不擅自变更、中止、终止合同，或拒绝履行合同义务；</w:t>
      </w:r>
    </w:p>
    <w:p w14:paraId="460BE4BB">
      <w:pPr>
        <w:keepNext w:val="0"/>
        <w:keepLines w:val="0"/>
        <w:pageBreakBefore w:val="0"/>
        <w:widowControl w:val="0"/>
        <w:kinsoku/>
        <w:wordWrap/>
        <w:overflowPunct/>
        <w:topLinePunct w:val="0"/>
        <w:autoSpaceDE/>
        <w:autoSpaceDN/>
        <w:bidi w:val="0"/>
        <w:snapToGrid w:val="0"/>
        <w:spacing w:beforeLines="50" w:after="50" w:line="312" w:lineRule="auto"/>
        <w:ind w:firstLine="480" w:firstLineChars="200"/>
        <w:textAlignment w:val="auto"/>
        <w:rPr>
          <w:rFonts w:ascii="宋体" w:hAnsi="宋体"/>
          <w:sz w:val="24"/>
          <w:highlight w:val="none"/>
        </w:rPr>
      </w:pPr>
      <w:r>
        <w:rPr>
          <w:rFonts w:hint="eastAsia" w:ascii="宋体" w:hAnsi="宋体"/>
          <w:sz w:val="24"/>
          <w:highlight w:val="none"/>
        </w:rPr>
        <w:t>6、以上事项如有虚假或隐瞒，我</w:t>
      </w:r>
      <w:r>
        <w:rPr>
          <w:rFonts w:hint="eastAsia" w:ascii="宋体" w:hAnsi="宋体" w:cs="仿宋_GB2312"/>
          <w:kern w:val="0"/>
          <w:sz w:val="24"/>
          <w:highlight w:val="none"/>
          <w:lang w:val="zh-CN"/>
        </w:rPr>
        <w:t>公司</w:t>
      </w:r>
      <w:r>
        <w:rPr>
          <w:rFonts w:hint="eastAsia" w:ascii="宋体" w:hAnsi="宋体"/>
          <w:sz w:val="24"/>
          <w:highlight w:val="none"/>
        </w:rPr>
        <w:t>愿意承担一切后果，并不再寻求任何旨在减轻或免除法律责任的辩解。</w:t>
      </w:r>
    </w:p>
    <w:p w14:paraId="7502CDEE">
      <w:pPr>
        <w:keepNext w:val="0"/>
        <w:keepLines w:val="0"/>
        <w:pageBreakBefore w:val="0"/>
        <w:widowControl w:val="0"/>
        <w:kinsoku/>
        <w:wordWrap/>
        <w:overflowPunct/>
        <w:topLinePunct w:val="0"/>
        <w:autoSpaceDE/>
        <w:autoSpaceDN/>
        <w:bidi w:val="0"/>
        <w:adjustRightInd w:val="0"/>
        <w:snapToGrid w:val="0"/>
        <w:spacing w:line="312" w:lineRule="auto"/>
        <w:ind w:firstLine="4680" w:firstLineChars="1950"/>
        <w:textAlignment w:val="auto"/>
        <w:rPr>
          <w:rFonts w:ascii="宋体" w:hAnsi="宋体" w:cs="仿宋_GB2312"/>
          <w:kern w:val="0"/>
          <w:sz w:val="24"/>
          <w:highlight w:val="none"/>
          <w:lang w:val="zh-CN"/>
        </w:rPr>
      </w:pPr>
    </w:p>
    <w:p w14:paraId="3006656B">
      <w:pPr>
        <w:keepNext w:val="0"/>
        <w:keepLines w:val="0"/>
        <w:pageBreakBefore w:val="0"/>
        <w:widowControl w:val="0"/>
        <w:kinsoku/>
        <w:wordWrap/>
        <w:overflowPunct/>
        <w:topLinePunct w:val="0"/>
        <w:autoSpaceDE/>
        <w:autoSpaceDN/>
        <w:bidi w:val="0"/>
        <w:adjustRightInd w:val="0"/>
        <w:snapToGrid w:val="0"/>
        <w:spacing w:line="312" w:lineRule="auto"/>
        <w:ind w:firstLine="4680" w:firstLineChars="1950"/>
        <w:textAlignment w:val="auto"/>
        <w:rPr>
          <w:rFonts w:ascii="宋体" w:hAnsi="宋体" w:cs="仿宋_GB2312"/>
          <w:kern w:val="0"/>
          <w:sz w:val="24"/>
          <w:highlight w:val="none"/>
          <w:lang w:val="zh-CN"/>
        </w:rPr>
      </w:pPr>
      <w:r>
        <w:rPr>
          <w:rFonts w:hint="eastAsia" w:ascii="宋体" w:hAnsi="宋体" w:cs="仿宋_GB2312"/>
          <w:kern w:val="0"/>
          <w:sz w:val="24"/>
          <w:highlight w:val="none"/>
          <w:lang w:val="zh-CN"/>
        </w:rPr>
        <w:t>供应商名称(</w:t>
      </w:r>
      <w:r>
        <w:rPr>
          <w:rFonts w:hint="eastAsia" w:ascii="宋体" w:hAnsi="宋体" w:eastAsia="宋体" w:cs="宋体"/>
          <w:highlight w:val="none"/>
        </w:rPr>
        <w:t>公章或CA签章</w:t>
      </w:r>
      <w:r>
        <w:rPr>
          <w:rFonts w:hint="eastAsia" w:ascii="宋体" w:hAnsi="宋体" w:cs="仿宋_GB2312"/>
          <w:kern w:val="0"/>
          <w:sz w:val="24"/>
          <w:highlight w:val="none"/>
          <w:lang w:val="zh-CN"/>
        </w:rPr>
        <w:t>)：</w:t>
      </w:r>
    </w:p>
    <w:p w14:paraId="3C929716">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法定代表人或授权委托人(签字</w:t>
      </w:r>
      <w:r>
        <w:rPr>
          <w:rFonts w:hint="eastAsia" w:ascii="宋体" w:hAnsi="宋体" w:cs="仿宋_GB2312"/>
          <w:kern w:val="0"/>
          <w:sz w:val="24"/>
          <w:highlight w:val="none"/>
          <w:lang w:val="en-US" w:eastAsia="zh-CN"/>
        </w:rPr>
        <w:t>或盖章</w:t>
      </w:r>
      <w:r>
        <w:rPr>
          <w:rFonts w:hint="eastAsia" w:ascii="宋体" w:hAnsi="宋体" w:cs="仿宋_GB2312"/>
          <w:kern w:val="0"/>
          <w:sz w:val="24"/>
          <w:highlight w:val="none"/>
          <w:lang w:val="zh-CN"/>
        </w:rPr>
        <w:t>)：</w:t>
      </w:r>
    </w:p>
    <w:p w14:paraId="1A4A35E3">
      <w:pPr>
        <w:keepNext w:val="0"/>
        <w:keepLines w:val="0"/>
        <w:pageBreakBefore w:val="0"/>
        <w:widowControl w:val="0"/>
        <w:kinsoku/>
        <w:wordWrap/>
        <w:overflowPunct/>
        <w:topLinePunct w:val="0"/>
        <w:autoSpaceDE/>
        <w:autoSpaceDN/>
        <w:bidi w:val="0"/>
        <w:adjustRightInd w:val="0"/>
        <w:snapToGrid w:val="0"/>
        <w:spacing w:line="312" w:lineRule="auto"/>
        <w:ind w:right="480"/>
        <w:jc w:val="center"/>
        <w:textAlignment w:val="auto"/>
        <w:rPr>
          <w:rFonts w:ascii="宋体" w:hAnsi="宋体" w:cs="仿宋_GB2312"/>
          <w:kern w:val="0"/>
          <w:sz w:val="24"/>
          <w:highlight w:val="none"/>
          <w:lang w:val="zh-CN"/>
        </w:rPr>
      </w:pPr>
      <w:r>
        <w:rPr>
          <w:rFonts w:hint="eastAsia" w:ascii="宋体" w:hAnsi="宋体" w:cs="仿宋_GB2312"/>
          <w:kern w:val="0"/>
          <w:sz w:val="24"/>
          <w:highlight w:val="none"/>
          <w:lang w:val="zh-CN"/>
        </w:rPr>
        <w:t xml:space="preserve">                                    日期：     年   月   日</w:t>
      </w:r>
    </w:p>
    <w:p w14:paraId="316F66D6">
      <w:pPr>
        <w:adjustRightInd w:val="0"/>
        <w:snapToGrid w:val="0"/>
        <w:spacing w:line="360" w:lineRule="auto"/>
        <w:ind w:right="480"/>
        <w:jc w:val="center"/>
        <w:rPr>
          <w:rFonts w:ascii="宋体" w:hAnsi="宋体" w:cs="仿宋_GB2312"/>
          <w:kern w:val="0"/>
          <w:sz w:val="24"/>
          <w:highlight w:val="none"/>
          <w:lang w:val="zh-CN"/>
        </w:rPr>
      </w:pPr>
    </w:p>
    <w:p w14:paraId="21BBC307">
      <w:pPr>
        <w:adjustRightInd w:val="0"/>
        <w:snapToGrid w:val="0"/>
        <w:spacing w:line="360" w:lineRule="auto"/>
        <w:ind w:right="480"/>
        <w:rPr>
          <w:rFonts w:ascii="宋体"/>
          <w:b/>
          <w:sz w:val="30"/>
          <w:szCs w:val="30"/>
          <w:highlight w:val="none"/>
        </w:rPr>
      </w:pPr>
      <w:r>
        <w:rPr>
          <w:rFonts w:hint="eastAsia" w:ascii="宋体" w:hAnsi="宋体"/>
          <w:b/>
          <w:sz w:val="28"/>
          <w:highlight w:val="none"/>
        </w:rPr>
        <w:t>附件3</w:t>
      </w:r>
    </w:p>
    <w:p w14:paraId="0C36DE0B">
      <w:pPr>
        <w:spacing w:line="360" w:lineRule="auto"/>
        <w:ind w:firstLine="321" w:firstLineChars="100"/>
        <w:jc w:val="center"/>
        <w:rPr>
          <w:rFonts w:hAnsi="宋体"/>
          <w:b/>
          <w:sz w:val="32"/>
          <w:szCs w:val="32"/>
          <w:highlight w:val="none"/>
          <w:u w:val="single"/>
        </w:rPr>
      </w:pPr>
      <w:r>
        <w:rPr>
          <w:b/>
          <w:sz w:val="32"/>
          <w:szCs w:val="32"/>
          <w:highlight w:val="none"/>
        </w:rPr>
        <w:t>授权</w:t>
      </w:r>
      <w:r>
        <w:rPr>
          <w:rFonts w:hint="eastAsia"/>
          <w:b/>
          <w:sz w:val="32"/>
          <w:szCs w:val="32"/>
          <w:highlight w:val="none"/>
        </w:rPr>
        <w:t>委托</w:t>
      </w:r>
      <w:r>
        <w:rPr>
          <w:b/>
          <w:sz w:val="32"/>
          <w:szCs w:val="32"/>
          <w:highlight w:val="none"/>
        </w:rPr>
        <w:t>书</w:t>
      </w:r>
    </w:p>
    <w:p w14:paraId="4FFD07DD">
      <w:pPr>
        <w:snapToGrid w:val="0"/>
        <w:spacing w:beforeLines="50" w:after="50" w:line="360" w:lineRule="auto"/>
        <w:rPr>
          <w:rFonts w:ascii="Arial" w:hAnsi="Arial" w:cs="Arial"/>
          <w:sz w:val="24"/>
          <w:highlight w:val="none"/>
        </w:rPr>
      </w:pPr>
      <w:r>
        <w:rPr>
          <w:rFonts w:hint="eastAsia" w:ascii="Arial" w:hAnsi="Arial" w:cs="Arial"/>
          <w:sz w:val="24"/>
          <w:highlight w:val="none"/>
          <w:u w:val="single"/>
          <w:lang w:eastAsia="zh-CN"/>
        </w:rPr>
        <w:t>台州市建航工程管理有限公司</w:t>
      </w:r>
      <w:r>
        <w:rPr>
          <w:rFonts w:hint="eastAsia" w:ascii="Arial" w:hAnsi="Arial" w:cs="Arial"/>
          <w:sz w:val="24"/>
          <w:highlight w:val="none"/>
        </w:rPr>
        <w:t>：</w:t>
      </w:r>
    </w:p>
    <w:p w14:paraId="14CAA0C8">
      <w:pPr>
        <w:snapToGrid w:val="0"/>
        <w:spacing w:beforeLines="50" w:after="50" w:line="360" w:lineRule="auto"/>
        <w:ind w:firstLine="480" w:firstLineChars="200"/>
        <w:rPr>
          <w:rFonts w:hAnsi="宋体"/>
          <w:sz w:val="24"/>
          <w:highlight w:val="none"/>
        </w:rPr>
      </w:pPr>
      <w:r>
        <w:rPr>
          <w:rFonts w:hAnsi="宋体"/>
          <w:sz w:val="24"/>
          <w:highlight w:val="none"/>
          <w:u w:val="single"/>
        </w:rPr>
        <w:t>（</w:t>
      </w:r>
      <w:r>
        <w:rPr>
          <w:rFonts w:hint="eastAsia" w:hAnsi="宋体"/>
          <w:sz w:val="24"/>
          <w:highlight w:val="none"/>
          <w:u w:val="single"/>
        </w:rPr>
        <w:t>供应商</w:t>
      </w:r>
      <w:r>
        <w:rPr>
          <w:rFonts w:hAnsi="宋体"/>
          <w:sz w:val="24"/>
          <w:highlight w:val="none"/>
          <w:u w:val="single"/>
        </w:rPr>
        <w:t>全称）</w:t>
      </w:r>
      <w:r>
        <w:rPr>
          <w:rFonts w:hAnsi="宋体"/>
          <w:sz w:val="24"/>
          <w:highlight w:val="none"/>
        </w:rPr>
        <w:t>法定代表人</w:t>
      </w:r>
      <w:r>
        <w:rPr>
          <w:rFonts w:hAnsi="宋体"/>
          <w:sz w:val="24"/>
          <w:highlight w:val="none"/>
          <w:u w:val="single"/>
        </w:rPr>
        <w:t>（法定代表姓名）</w:t>
      </w:r>
      <w:r>
        <w:rPr>
          <w:rFonts w:hAnsi="宋体"/>
          <w:sz w:val="24"/>
          <w:highlight w:val="none"/>
        </w:rPr>
        <w:t>授权</w:t>
      </w:r>
      <w:r>
        <w:rPr>
          <w:rFonts w:hint="eastAsia" w:hAnsi="宋体"/>
          <w:sz w:val="24"/>
          <w:highlight w:val="none"/>
          <w:u w:val="single"/>
        </w:rPr>
        <w:t>（全权代表</w:t>
      </w:r>
      <w:r>
        <w:rPr>
          <w:rFonts w:hAnsi="宋体"/>
          <w:sz w:val="24"/>
          <w:highlight w:val="none"/>
          <w:u w:val="single"/>
        </w:rPr>
        <w:t>姓名</w:t>
      </w:r>
      <w:r>
        <w:rPr>
          <w:rFonts w:hint="eastAsia" w:hAnsi="宋体"/>
          <w:sz w:val="24"/>
          <w:highlight w:val="none"/>
          <w:u w:val="single"/>
        </w:rPr>
        <w:t>）</w:t>
      </w:r>
      <w:r>
        <w:rPr>
          <w:rFonts w:hAnsi="宋体"/>
          <w:sz w:val="24"/>
          <w:highlight w:val="none"/>
        </w:rPr>
        <w:t>为</w:t>
      </w:r>
      <w:r>
        <w:rPr>
          <w:rFonts w:hint="eastAsia" w:hAnsi="宋体"/>
          <w:sz w:val="24"/>
          <w:highlight w:val="none"/>
        </w:rPr>
        <w:t>全权代表</w:t>
      </w:r>
      <w:r>
        <w:rPr>
          <w:rFonts w:hAnsi="宋体"/>
          <w:sz w:val="24"/>
          <w:highlight w:val="none"/>
        </w:rPr>
        <w:t>，参加贵单位组织的</w:t>
      </w:r>
      <w:r>
        <w:rPr>
          <w:rFonts w:hAnsi="宋体"/>
          <w:sz w:val="24"/>
          <w:highlight w:val="none"/>
          <w:u w:val="single"/>
        </w:rPr>
        <w:tab/>
      </w:r>
      <w:r>
        <w:rPr>
          <w:rFonts w:hint="eastAsia" w:hAnsi="宋体"/>
          <w:sz w:val="24"/>
          <w:highlight w:val="none"/>
          <w:u w:val="single"/>
          <w:lang w:val="en-US" w:eastAsia="zh-CN"/>
        </w:rPr>
        <w:t xml:space="preserve">     </w:t>
      </w:r>
      <w:r>
        <w:rPr>
          <w:rFonts w:hAnsi="宋体"/>
          <w:sz w:val="24"/>
          <w:highlight w:val="none"/>
        </w:rPr>
        <w:t>项目的采购活动，并代表我方全权办理针对上述项目的磋商、签约等具体事务和签署相关文件。</w:t>
      </w:r>
      <w:r>
        <w:rPr>
          <w:rFonts w:hint="eastAsia" w:hAnsi="宋体"/>
          <w:sz w:val="24"/>
          <w:highlight w:val="none"/>
        </w:rPr>
        <w:t>我方对全权代表的签字事项负全部责任。</w:t>
      </w:r>
    </w:p>
    <w:p w14:paraId="162D25A3">
      <w:pPr>
        <w:snapToGrid w:val="0"/>
        <w:spacing w:beforeLines="50" w:after="50" w:line="360" w:lineRule="auto"/>
        <w:ind w:firstLine="480" w:firstLineChars="200"/>
        <w:rPr>
          <w:rFonts w:hAnsi="宋体"/>
          <w:sz w:val="24"/>
          <w:highlight w:val="none"/>
        </w:rPr>
      </w:pPr>
      <w:r>
        <w:rPr>
          <w:rFonts w:hint="eastAsia" w:hAnsi="宋体"/>
          <w:sz w:val="24"/>
          <w:highlight w:val="none"/>
        </w:rPr>
        <w:t>在撤销授权的书面通知以前，本授权书一直有效。全权代表在授权委托书有效期内签署的所有文件不因授权的撤销而失效。</w:t>
      </w:r>
    </w:p>
    <w:p w14:paraId="75AE2CB5">
      <w:pPr>
        <w:pStyle w:val="11"/>
        <w:spacing w:line="500" w:lineRule="exact"/>
        <w:ind w:left="139" w:leftChars="66" w:firstLine="480" w:firstLineChars="200"/>
        <w:rPr>
          <w:rFonts w:hAnsi="宋体"/>
          <w:sz w:val="24"/>
          <w:highlight w:val="none"/>
        </w:rPr>
      </w:pPr>
      <w:r>
        <w:rPr>
          <w:rFonts w:hint="eastAsia" w:hAnsi="宋体"/>
          <w:sz w:val="24"/>
          <w:highlight w:val="none"/>
        </w:rPr>
        <w:t>全权代表无转委托权，特此委托。</w:t>
      </w:r>
    </w:p>
    <w:p w14:paraId="4EE651BD">
      <w:pPr>
        <w:pStyle w:val="11"/>
        <w:spacing w:line="500" w:lineRule="exact"/>
        <w:ind w:left="139" w:leftChars="66" w:firstLine="480" w:firstLineChars="200"/>
        <w:rPr>
          <w:sz w:val="24"/>
          <w:highlight w:val="none"/>
        </w:rPr>
      </w:pPr>
    </w:p>
    <w:p w14:paraId="135B3367">
      <w:pPr>
        <w:spacing w:line="360" w:lineRule="auto"/>
        <w:rPr>
          <w:sz w:val="24"/>
          <w:highlight w:val="none"/>
        </w:rPr>
      </w:pPr>
      <w:r>
        <w:rPr>
          <w:rFonts w:hint="eastAsia" w:ascii="宋体"/>
          <w:sz w:val="24"/>
          <w:highlight w:val="none"/>
        </w:rPr>
        <w:t>法定代表人签字或盖章：</w:t>
      </w:r>
    </w:p>
    <w:p w14:paraId="45EE4030">
      <w:pPr>
        <w:spacing w:line="360" w:lineRule="auto"/>
        <w:rPr>
          <w:sz w:val="24"/>
          <w:highlight w:val="none"/>
        </w:rPr>
      </w:pPr>
    </w:p>
    <w:p w14:paraId="489BA721">
      <w:pPr>
        <w:spacing w:line="360" w:lineRule="auto"/>
        <w:rPr>
          <w:sz w:val="24"/>
          <w:highlight w:val="none"/>
        </w:rPr>
      </w:pPr>
      <w:r>
        <w:rPr>
          <w:rFonts w:hint="eastAsia" w:ascii="宋体"/>
          <w:sz w:val="24"/>
          <w:highlight w:val="none"/>
        </w:rPr>
        <w:t>供应商全称（</w:t>
      </w:r>
      <w:r>
        <w:rPr>
          <w:rFonts w:hint="eastAsia" w:ascii="宋体" w:hAnsi="宋体" w:eastAsia="宋体" w:cs="宋体"/>
          <w:highlight w:val="none"/>
        </w:rPr>
        <w:t>公章或CA签章</w:t>
      </w:r>
      <w:r>
        <w:rPr>
          <w:rFonts w:hint="eastAsia" w:ascii="宋体"/>
          <w:sz w:val="24"/>
          <w:highlight w:val="none"/>
        </w:rPr>
        <w:t>）：             日期：</w:t>
      </w:r>
      <w:r>
        <w:rPr>
          <w:rFonts w:hint="eastAsia" w:ascii="宋体" w:hAnsi="宋体" w:cs="仿宋_GB2312"/>
          <w:kern w:val="0"/>
          <w:sz w:val="24"/>
          <w:highlight w:val="none"/>
          <w:lang w:val="zh-CN"/>
        </w:rPr>
        <w:t xml:space="preserve">     年   月   日</w:t>
      </w:r>
    </w:p>
    <w:p w14:paraId="364A1CFD">
      <w:pPr>
        <w:spacing w:line="360" w:lineRule="auto"/>
        <w:rPr>
          <w:b/>
          <w:sz w:val="24"/>
          <w:highlight w:val="none"/>
        </w:rPr>
      </w:pPr>
      <w:r>
        <w:rPr>
          <w:rFonts w:hint="eastAsia" w:ascii="宋体"/>
          <w:b/>
          <w:sz w:val="24"/>
          <w:highlight w:val="none"/>
        </w:rPr>
        <w:t>附：</w:t>
      </w: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DEF3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5CCF74F7">
            <w:pPr>
              <w:spacing w:line="360" w:lineRule="auto"/>
              <w:rPr>
                <w:rFonts w:ascii="宋体"/>
                <w:b/>
                <w:sz w:val="24"/>
                <w:highlight w:val="none"/>
              </w:rPr>
            </w:pPr>
          </w:p>
          <w:p w14:paraId="6AC2FDBC">
            <w:pPr>
              <w:spacing w:line="360" w:lineRule="auto"/>
              <w:ind w:firstLine="236" w:firstLineChars="98"/>
              <w:rPr>
                <w:rFonts w:ascii="宋体"/>
                <w:b/>
                <w:sz w:val="24"/>
                <w:highlight w:val="none"/>
              </w:rPr>
            </w:pPr>
            <w:r>
              <w:rPr>
                <w:rFonts w:hint="eastAsia" w:ascii="宋体"/>
                <w:b/>
                <w:sz w:val="24"/>
                <w:highlight w:val="none"/>
              </w:rPr>
              <w:t>法定代表人身份证复印件粘贴处</w:t>
            </w:r>
          </w:p>
        </w:tc>
      </w:tr>
    </w:tbl>
    <w:p w14:paraId="25FDC3EA">
      <w:pPr>
        <w:spacing w:line="360" w:lineRule="auto"/>
        <w:rPr>
          <w:sz w:val="24"/>
          <w:highlight w:val="none"/>
        </w:rPr>
      </w:pPr>
      <w:r>
        <w:rPr>
          <w:rFonts w:hint="eastAsia" w:ascii="宋体"/>
          <w:sz w:val="24"/>
          <w:highlight w:val="none"/>
        </w:rPr>
        <w:t xml:space="preserve">法定代表人姓名：                                 </w:t>
      </w:r>
    </w:p>
    <w:p w14:paraId="279141F1">
      <w:pPr>
        <w:spacing w:line="360" w:lineRule="auto"/>
        <w:rPr>
          <w:sz w:val="24"/>
          <w:highlight w:val="none"/>
        </w:rPr>
      </w:pPr>
      <w:r>
        <w:rPr>
          <w:rFonts w:hint="eastAsia" w:ascii="宋体"/>
          <w:sz w:val="24"/>
          <w:highlight w:val="none"/>
        </w:rPr>
        <w:t>传真：</w:t>
      </w:r>
    </w:p>
    <w:p w14:paraId="071850B8">
      <w:pPr>
        <w:spacing w:line="360" w:lineRule="auto"/>
        <w:rPr>
          <w:rFonts w:ascii="宋体"/>
          <w:sz w:val="24"/>
          <w:highlight w:val="none"/>
        </w:rPr>
      </w:pPr>
      <w:r>
        <w:rPr>
          <w:rFonts w:hint="eastAsia" w:ascii="宋体"/>
          <w:sz w:val="24"/>
          <w:highlight w:val="none"/>
        </w:rPr>
        <w:t>电话：</w:t>
      </w:r>
    </w:p>
    <w:p w14:paraId="41D9C167">
      <w:pPr>
        <w:spacing w:line="360" w:lineRule="auto"/>
        <w:rPr>
          <w:sz w:val="24"/>
          <w:highlight w:val="none"/>
        </w:rPr>
      </w:pPr>
      <w:r>
        <w:rPr>
          <w:rFonts w:hint="eastAsia" w:ascii="宋体"/>
          <w:sz w:val="24"/>
          <w:highlight w:val="none"/>
        </w:rPr>
        <w:t>详细通讯地址：</w:t>
      </w:r>
    </w:p>
    <w:p w14:paraId="7C850095">
      <w:pPr>
        <w:spacing w:line="360" w:lineRule="auto"/>
        <w:rPr>
          <w:rFonts w:ascii="宋体"/>
          <w:sz w:val="24"/>
          <w:highlight w:val="none"/>
        </w:rPr>
      </w:pPr>
      <w:r>
        <w:rPr>
          <w:rFonts w:hint="eastAsia" w:ascii="宋体"/>
          <w:sz w:val="24"/>
          <w:highlight w:val="none"/>
        </w:rPr>
        <w:t>邮政编码：</w:t>
      </w:r>
    </w:p>
    <w:p w14:paraId="65B6C56D">
      <w:pPr>
        <w:spacing w:line="360" w:lineRule="auto"/>
        <w:rPr>
          <w:b/>
          <w:sz w:val="24"/>
          <w:highlight w:val="none"/>
        </w:rPr>
      </w:pPr>
    </w:p>
    <w:tbl>
      <w:tblPr>
        <w:tblStyle w:val="28"/>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5499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14:paraId="6E68E874">
            <w:pPr>
              <w:spacing w:line="360" w:lineRule="auto"/>
              <w:rPr>
                <w:rFonts w:ascii="宋体"/>
                <w:b/>
                <w:sz w:val="24"/>
                <w:highlight w:val="none"/>
              </w:rPr>
            </w:pPr>
          </w:p>
          <w:p w14:paraId="6C197BC4">
            <w:pPr>
              <w:spacing w:line="360" w:lineRule="auto"/>
              <w:ind w:firstLine="361" w:firstLineChars="150"/>
              <w:rPr>
                <w:rFonts w:ascii="宋体"/>
                <w:b/>
                <w:sz w:val="24"/>
                <w:highlight w:val="none"/>
              </w:rPr>
            </w:pPr>
            <w:r>
              <w:rPr>
                <w:rFonts w:hint="eastAsia" w:ascii="宋体"/>
                <w:b/>
                <w:sz w:val="24"/>
                <w:highlight w:val="none"/>
              </w:rPr>
              <w:t>全权代表身份证复印件粘贴处</w:t>
            </w:r>
          </w:p>
        </w:tc>
      </w:tr>
    </w:tbl>
    <w:p w14:paraId="3205A179">
      <w:pPr>
        <w:spacing w:line="360" w:lineRule="auto"/>
        <w:rPr>
          <w:rFonts w:ascii="宋体"/>
          <w:sz w:val="24"/>
          <w:highlight w:val="none"/>
        </w:rPr>
      </w:pPr>
      <w:r>
        <w:rPr>
          <w:rFonts w:hint="eastAsia" w:ascii="宋体"/>
          <w:sz w:val="24"/>
          <w:highlight w:val="none"/>
        </w:rPr>
        <w:t xml:space="preserve">全权代表姓名：       </w:t>
      </w:r>
    </w:p>
    <w:p w14:paraId="6745A449">
      <w:pPr>
        <w:spacing w:line="360" w:lineRule="auto"/>
        <w:rPr>
          <w:sz w:val="24"/>
          <w:highlight w:val="none"/>
        </w:rPr>
      </w:pPr>
      <w:r>
        <w:rPr>
          <w:rFonts w:hint="eastAsia" w:ascii="宋体"/>
          <w:sz w:val="24"/>
          <w:highlight w:val="none"/>
        </w:rPr>
        <w:t xml:space="preserve">职务：                           </w:t>
      </w:r>
    </w:p>
    <w:p w14:paraId="76CAD088">
      <w:pPr>
        <w:spacing w:line="360" w:lineRule="auto"/>
        <w:rPr>
          <w:sz w:val="24"/>
          <w:highlight w:val="none"/>
        </w:rPr>
      </w:pPr>
      <w:r>
        <w:rPr>
          <w:rFonts w:hint="eastAsia" w:ascii="宋体"/>
          <w:sz w:val="24"/>
          <w:highlight w:val="none"/>
        </w:rPr>
        <w:t>传真：</w:t>
      </w:r>
    </w:p>
    <w:p w14:paraId="25A365D5">
      <w:pPr>
        <w:spacing w:line="360" w:lineRule="auto"/>
        <w:rPr>
          <w:rFonts w:ascii="宋体"/>
          <w:sz w:val="24"/>
          <w:highlight w:val="none"/>
        </w:rPr>
      </w:pPr>
      <w:r>
        <w:rPr>
          <w:rFonts w:hint="eastAsia" w:ascii="宋体"/>
          <w:sz w:val="24"/>
          <w:highlight w:val="none"/>
        </w:rPr>
        <w:t>电话：</w:t>
      </w:r>
    </w:p>
    <w:p w14:paraId="18D41ECD">
      <w:pPr>
        <w:spacing w:line="360" w:lineRule="auto"/>
        <w:rPr>
          <w:sz w:val="24"/>
          <w:highlight w:val="none"/>
        </w:rPr>
      </w:pPr>
      <w:r>
        <w:rPr>
          <w:rFonts w:hint="eastAsia" w:ascii="宋体"/>
          <w:sz w:val="24"/>
          <w:highlight w:val="none"/>
        </w:rPr>
        <w:t>详细通讯地址：</w:t>
      </w:r>
    </w:p>
    <w:p w14:paraId="17C973EE">
      <w:pPr>
        <w:spacing w:line="360" w:lineRule="auto"/>
        <w:rPr>
          <w:rFonts w:ascii="宋体"/>
          <w:b/>
          <w:bCs/>
          <w:sz w:val="32"/>
          <w:szCs w:val="32"/>
          <w:highlight w:val="none"/>
          <w:lang w:val="zh-CN"/>
        </w:rPr>
      </w:pPr>
      <w:r>
        <w:rPr>
          <w:rFonts w:hint="eastAsia" w:ascii="宋体"/>
          <w:sz w:val="24"/>
          <w:highlight w:val="none"/>
        </w:rPr>
        <w:t>邮政编码：</w:t>
      </w:r>
    </w:p>
    <w:p w14:paraId="75FB0C2F">
      <w:pPr>
        <w:pStyle w:val="49"/>
        <w:shd w:val="clear" w:color="auto" w:fill="FFFFFF"/>
        <w:spacing w:before="0" w:beforeAutospacing="0" w:after="0" w:afterAutospacing="0" w:line="360" w:lineRule="auto"/>
        <w:rPr>
          <w:b/>
          <w:color w:val="000000"/>
          <w:sz w:val="28"/>
          <w:highlight w:val="none"/>
        </w:rPr>
      </w:pPr>
    </w:p>
    <w:p w14:paraId="746F3A15">
      <w:pPr>
        <w:pStyle w:val="21"/>
        <w:spacing w:line="360" w:lineRule="auto"/>
        <w:ind w:left="0" w:firstLine="0" w:firstLineChars="0"/>
        <w:outlineLvl w:val="2"/>
        <w:rPr>
          <w:rFonts w:ascii="宋体" w:hAnsi="宋体" w:cs="宋体"/>
          <w:b/>
          <w:color w:val="auto"/>
          <w:sz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4</w:t>
      </w:r>
      <w:r>
        <w:rPr>
          <w:rFonts w:hint="eastAsia" w:ascii="宋体" w:hAnsi="宋体" w:cs="宋体"/>
          <w:b/>
          <w:color w:val="auto"/>
          <w:sz w:val="28"/>
          <w:highlight w:val="none"/>
        </w:rPr>
        <w:t xml:space="preserve">               </w:t>
      </w:r>
    </w:p>
    <w:p w14:paraId="6CAC8B7C">
      <w:pPr>
        <w:pStyle w:val="21"/>
        <w:spacing w:line="360" w:lineRule="auto"/>
        <w:ind w:left="0" w:firstLine="0" w:firstLineChars="0"/>
        <w:jc w:val="center"/>
        <w:outlineLvl w:val="2"/>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有效的法人或者其他组织的营业执照等证明文件（复印件），自然人的身份证明</w:t>
      </w:r>
    </w:p>
    <w:p w14:paraId="3152A501">
      <w:pPr>
        <w:pStyle w:val="21"/>
        <w:spacing w:line="360" w:lineRule="auto"/>
        <w:ind w:left="0" w:firstLine="0" w:firstLineChars="0"/>
        <w:jc w:val="center"/>
        <w:rPr>
          <w:rFonts w:asciiTheme="minorEastAsia" w:hAnsiTheme="minorEastAsia" w:eastAsiaTheme="minorEastAsia" w:cstheme="minorEastAsia"/>
          <w:b/>
          <w:color w:val="auto"/>
          <w:spacing w:val="-6"/>
          <w:sz w:val="24"/>
          <w:highlight w:val="none"/>
        </w:rPr>
      </w:pPr>
    </w:p>
    <w:p w14:paraId="526E9FAC">
      <w:pPr>
        <w:pStyle w:val="21"/>
        <w:spacing w:line="360" w:lineRule="auto"/>
        <w:ind w:left="0" w:firstLine="0" w:firstLineChars="0"/>
        <w:jc w:val="center"/>
        <w:rPr>
          <w:rFonts w:asciiTheme="minorEastAsia" w:hAnsiTheme="minorEastAsia" w:eastAsiaTheme="minorEastAsia" w:cstheme="minorEastAsia"/>
          <w:b/>
          <w:color w:val="auto"/>
          <w:spacing w:val="-6"/>
          <w:sz w:val="24"/>
          <w:highlight w:val="none"/>
        </w:rPr>
      </w:pPr>
    </w:p>
    <w:p w14:paraId="2C583F18">
      <w:pPr>
        <w:pStyle w:val="21"/>
        <w:spacing w:line="360" w:lineRule="auto"/>
        <w:ind w:left="0" w:firstLine="0" w:firstLineChars="0"/>
        <w:jc w:val="center"/>
        <w:rPr>
          <w:rFonts w:asciiTheme="minorEastAsia" w:hAnsiTheme="minorEastAsia" w:eastAsiaTheme="minorEastAsia" w:cstheme="minorEastAsia"/>
          <w:b/>
          <w:color w:val="auto"/>
          <w:spacing w:val="-6"/>
          <w:sz w:val="24"/>
          <w:highlight w:val="none"/>
        </w:rPr>
      </w:pPr>
    </w:p>
    <w:p w14:paraId="7E9ECE31">
      <w:pPr>
        <w:spacing w:line="360" w:lineRule="auto"/>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说明：</w:t>
      </w:r>
    </w:p>
    <w:p w14:paraId="48CBB73A">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1.如供应商是企业（包括合伙企业），提供在工商部门注册的有效“企业法人营业执照”或“营业执照”；</w:t>
      </w:r>
    </w:p>
    <w:p w14:paraId="2CC15677">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2.如供应商是事业单位，提供有效的“事业单位法人证书”；</w:t>
      </w:r>
    </w:p>
    <w:p w14:paraId="36E657D6">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3.如供应商是非企业专业服务机构的，提供执业许可证等证明文件；</w:t>
      </w:r>
    </w:p>
    <w:p w14:paraId="48328E33">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4.如供应商是个体工商户，提供有效的“个体工商户营业执照”；</w:t>
      </w:r>
    </w:p>
    <w:p w14:paraId="433C0662">
      <w:pPr>
        <w:spacing w:line="360" w:lineRule="auto"/>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5.如供应商是自然人，提供有效的自然人身份证明。</w:t>
      </w:r>
    </w:p>
    <w:p w14:paraId="67CFD2C5">
      <w:pPr>
        <w:pStyle w:val="49"/>
        <w:shd w:val="clear" w:color="auto" w:fill="FFFFFF"/>
        <w:spacing w:before="0" w:beforeAutospacing="0" w:after="0" w:afterAutospacing="0" w:line="360" w:lineRule="auto"/>
        <w:rPr>
          <w:rFonts w:hint="eastAsia"/>
          <w:b/>
          <w:color w:val="000000"/>
          <w:sz w:val="28"/>
          <w:highlight w:val="none"/>
        </w:rPr>
        <w:sectPr>
          <w:pgSz w:w="11906" w:h="16838"/>
          <w:pgMar w:top="1440" w:right="1800" w:bottom="1440" w:left="1800" w:header="851" w:footer="992" w:gutter="0"/>
          <w:cols w:space="425" w:num="1"/>
          <w:docGrid w:type="lines" w:linePitch="312" w:charSpace="0"/>
        </w:sectPr>
      </w:pPr>
    </w:p>
    <w:p w14:paraId="13809ECE">
      <w:pPr>
        <w:rPr>
          <w:rFonts w:hint="eastAsia" w:eastAsia="宋体"/>
          <w:b/>
          <w:bCs/>
          <w:color w:val="auto"/>
          <w:sz w:val="28"/>
          <w:szCs w:val="28"/>
          <w:highlight w:val="none"/>
          <w:lang w:eastAsia="zh-CN"/>
        </w:rPr>
      </w:pPr>
      <w:r>
        <w:rPr>
          <w:rFonts w:hint="eastAsia"/>
          <w:b/>
          <w:bCs/>
          <w:color w:val="auto"/>
          <w:sz w:val="28"/>
          <w:szCs w:val="28"/>
          <w:highlight w:val="none"/>
        </w:rPr>
        <w:t>附件</w:t>
      </w:r>
      <w:r>
        <w:rPr>
          <w:rFonts w:hint="eastAsia"/>
          <w:b/>
          <w:bCs/>
          <w:color w:val="auto"/>
          <w:sz w:val="28"/>
          <w:szCs w:val="28"/>
          <w:highlight w:val="none"/>
          <w:lang w:val="en-US" w:eastAsia="zh-CN"/>
        </w:rPr>
        <w:t>5</w:t>
      </w:r>
    </w:p>
    <w:p w14:paraId="555ECC8B">
      <w:pPr>
        <w:spacing w:after="312" w:afterLines="100" w:line="48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lang w:val="zh-CN"/>
        </w:rPr>
        <w:t>具备健全的财务会计制度的承诺函</w:t>
      </w:r>
    </w:p>
    <w:p w14:paraId="2AC58330">
      <w:pPr>
        <w:widowControl/>
        <w:spacing w:line="600" w:lineRule="exact"/>
        <w:rPr>
          <w:rFonts w:asciiTheme="minorEastAsia" w:hAnsiTheme="minorEastAsia" w:eastAsiaTheme="minorEastAsia" w:cstheme="minorEastAsia"/>
          <w:color w:val="auto"/>
          <w:kern w:val="0"/>
          <w:sz w:val="24"/>
          <w:highlight w:val="none"/>
        </w:rPr>
      </w:pPr>
    </w:p>
    <w:p w14:paraId="7E0E368C">
      <w:pPr>
        <w:widowControl/>
        <w:spacing w:line="600" w:lineRule="exac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sz w:val="24"/>
          <w:highlight w:val="none"/>
          <w:u w:val="single"/>
          <w:lang w:eastAsia="zh-CN"/>
        </w:rPr>
        <w:t>台州市建航工程管理有限公司</w:t>
      </w:r>
    </w:p>
    <w:p w14:paraId="215B01FC">
      <w:pPr>
        <w:pStyle w:val="2"/>
        <w:spacing w:line="6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我公司参加</w:t>
      </w:r>
      <w:r>
        <w:rPr>
          <w:rFonts w:hint="eastAsia" w:ascii="宋体" w:hAnsi="宋体" w:cs="宋体"/>
          <w:color w:val="auto"/>
          <w:sz w:val="24"/>
          <w:szCs w:val="32"/>
          <w:highlight w:val="none"/>
          <w:u w:val="single"/>
          <w:lang w:eastAsia="zh-CN"/>
        </w:rPr>
        <w:t>台州湾新区消安委办购买消防安全服务项目</w:t>
      </w:r>
      <w:r>
        <w:rPr>
          <w:rFonts w:hint="eastAsia" w:asciiTheme="minorEastAsia" w:hAnsiTheme="minorEastAsia" w:eastAsiaTheme="minorEastAsia" w:cstheme="minorEastAsia"/>
          <w:color w:val="auto"/>
          <w:highlight w:val="none"/>
          <w:u w:val="single"/>
        </w:rPr>
        <w:t>（编号为</w:t>
      </w:r>
      <w:r>
        <w:rPr>
          <w:rFonts w:hint="eastAsia" w:ascii="宋体" w:hAnsi="宋体" w:cs="宋体"/>
          <w:color w:val="auto"/>
          <w:sz w:val="24"/>
          <w:szCs w:val="32"/>
          <w:highlight w:val="none"/>
          <w:u w:val="single"/>
          <w:lang w:eastAsia="zh-CN"/>
        </w:rPr>
        <w:t>TZJH-2025-010号</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的投标活动，作如下承诺：</w:t>
      </w:r>
    </w:p>
    <w:p w14:paraId="0EA4EF63">
      <w:pPr>
        <w:pStyle w:val="2"/>
        <w:spacing w:line="6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w:t>
      </w:r>
      <w:r>
        <w:rPr>
          <w:rFonts w:hint="eastAsia" w:asciiTheme="minorEastAsia" w:hAnsiTheme="minorEastAsia" w:eastAsiaTheme="minorEastAsia" w:cstheme="minorEastAsia"/>
          <w:color w:val="auto"/>
          <w:kern w:val="0"/>
          <w:highlight w:val="none"/>
        </w:rPr>
        <w:t>没有处于被责令停产、财产被接管、冻结或破产状态，具有足够的流动资金，有能力履行合同；我公司</w:t>
      </w:r>
      <w:r>
        <w:rPr>
          <w:rFonts w:hint="eastAsia" w:asciiTheme="minorEastAsia" w:hAnsiTheme="minorEastAsia" w:eastAsiaTheme="minorEastAsia" w:cstheme="minorEastAsia"/>
          <w:color w:val="auto"/>
          <w:highlight w:val="none"/>
        </w:rPr>
        <w:t>具有良好的商业信誉和健全的财务会计制度。</w:t>
      </w:r>
    </w:p>
    <w:p w14:paraId="6D4AB6E0">
      <w:pPr>
        <w:spacing w:line="60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14:paraId="3D959C42">
      <w:pPr>
        <w:spacing w:line="360" w:lineRule="auto"/>
        <w:rPr>
          <w:rFonts w:asciiTheme="minorEastAsia" w:hAnsiTheme="minorEastAsia" w:eastAsiaTheme="minorEastAsia" w:cstheme="minorEastAsia"/>
          <w:color w:val="auto"/>
          <w:sz w:val="24"/>
          <w:highlight w:val="none"/>
          <w:lang w:val="zh-CN"/>
        </w:rPr>
      </w:pPr>
    </w:p>
    <w:p w14:paraId="2FF6F119">
      <w:pPr>
        <w:pStyle w:val="2"/>
        <w:rPr>
          <w:rFonts w:asciiTheme="minorEastAsia" w:hAnsiTheme="minorEastAsia" w:eastAsiaTheme="minorEastAsia" w:cstheme="minorEastAsia"/>
          <w:color w:val="auto"/>
          <w:highlight w:val="none"/>
          <w:lang w:val="zh-CN"/>
        </w:rPr>
      </w:pPr>
    </w:p>
    <w:p w14:paraId="28F11449">
      <w:pPr>
        <w:pStyle w:val="2"/>
        <w:rPr>
          <w:rFonts w:asciiTheme="minorEastAsia" w:hAnsiTheme="minorEastAsia" w:eastAsiaTheme="minorEastAsia" w:cstheme="minorEastAsia"/>
          <w:color w:val="auto"/>
          <w:highlight w:val="none"/>
          <w:lang w:val="zh-CN"/>
        </w:rPr>
      </w:pPr>
    </w:p>
    <w:p w14:paraId="63773D2C">
      <w:pPr>
        <w:pStyle w:val="2"/>
        <w:rPr>
          <w:rFonts w:asciiTheme="minorEastAsia" w:hAnsiTheme="minorEastAsia" w:eastAsiaTheme="minorEastAsia" w:cstheme="minorEastAsia"/>
          <w:color w:val="auto"/>
          <w:highlight w:val="none"/>
          <w:lang w:val="zh-CN"/>
        </w:rPr>
      </w:pPr>
    </w:p>
    <w:p w14:paraId="1BE01415">
      <w:pPr>
        <w:widowControl/>
        <w:wordWrap w:val="0"/>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kern w:val="0"/>
          <w:sz w:val="24"/>
          <w:highlight w:val="none"/>
        </w:rPr>
        <w:t xml:space="preserve">(公章)：             </w:t>
      </w:r>
    </w:p>
    <w:p w14:paraId="5D1FCABE">
      <w:pPr>
        <w:widowControl/>
        <w:spacing w:line="360" w:lineRule="auto"/>
        <w:jc w:val="left"/>
        <w:rPr>
          <w:rFonts w:asciiTheme="minorEastAsia" w:hAnsiTheme="minorEastAsia" w:eastAsiaTheme="minorEastAsia" w:cstheme="minorEastAsia"/>
          <w:color w:val="auto"/>
          <w:kern w:val="0"/>
          <w:sz w:val="24"/>
          <w:highlight w:val="none"/>
        </w:rPr>
      </w:pPr>
    </w:p>
    <w:p w14:paraId="6956EF0C">
      <w:pPr>
        <w:widowControl/>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p>
    <w:p w14:paraId="65463410">
      <w:pPr>
        <w:widowControl/>
        <w:spacing w:line="360" w:lineRule="auto"/>
        <w:jc w:val="left"/>
        <w:rPr>
          <w:rFonts w:asciiTheme="minorEastAsia" w:hAnsiTheme="minorEastAsia" w:eastAsiaTheme="minorEastAsia" w:cstheme="minorEastAsia"/>
          <w:color w:val="auto"/>
          <w:kern w:val="0"/>
          <w:sz w:val="24"/>
          <w:highlight w:val="none"/>
        </w:rPr>
      </w:pPr>
    </w:p>
    <w:p w14:paraId="6B7A0715">
      <w:pPr>
        <w:spacing w:line="360" w:lineRule="auto"/>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w:t>
      </w:r>
    </w:p>
    <w:p w14:paraId="67310E1C">
      <w:pPr>
        <w:spacing w:line="360" w:lineRule="auto"/>
        <w:rPr>
          <w:rFonts w:asciiTheme="minorEastAsia" w:hAnsiTheme="minorEastAsia" w:eastAsiaTheme="minorEastAsia" w:cstheme="minorEastAsia"/>
          <w:b/>
          <w:bCs/>
          <w:color w:val="auto"/>
          <w:spacing w:val="-6"/>
          <w:sz w:val="24"/>
          <w:highlight w:val="none"/>
        </w:rPr>
      </w:pPr>
    </w:p>
    <w:p w14:paraId="5B9CDFDB">
      <w:pPr>
        <w:rPr>
          <w:rFonts w:hint="eastAsia" w:ascii="宋体" w:hAnsi="宋体" w:cs="宋体"/>
          <w:b/>
          <w:bCs/>
          <w:color w:val="auto"/>
          <w:sz w:val="28"/>
          <w:szCs w:val="36"/>
          <w:highlight w:val="none"/>
        </w:rPr>
      </w:pPr>
    </w:p>
    <w:p w14:paraId="55E8D975">
      <w:pPr>
        <w:rPr>
          <w:rFonts w:hint="eastAsia" w:ascii="宋体" w:hAnsi="宋体" w:cs="宋体"/>
          <w:b/>
          <w:bCs/>
          <w:color w:val="auto"/>
          <w:sz w:val="28"/>
          <w:szCs w:val="36"/>
          <w:highlight w:val="none"/>
        </w:rPr>
      </w:pPr>
    </w:p>
    <w:p w14:paraId="44BC2D4D">
      <w:pPr>
        <w:rPr>
          <w:rFonts w:hint="eastAsia" w:ascii="宋体" w:hAnsi="宋体" w:cs="宋体"/>
          <w:b/>
          <w:bCs/>
          <w:color w:val="auto"/>
          <w:sz w:val="28"/>
          <w:szCs w:val="36"/>
          <w:highlight w:val="none"/>
        </w:rPr>
      </w:pPr>
    </w:p>
    <w:p w14:paraId="3B688661">
      <w:pPr>
        <w:rPr>
          <w:rFonts w:hint="eastAsia" w:ascii="宋体" w:hAnsi="宋体" w:cs="宋体"/>
          <w:b/>
          <w:bCs/>
          <w:color w:val="auto"/>
          <w:sz w:val="28"/>
          <w:szCs w:val="36"/>
          <w:highlight w:val="none"/>
        </w:rPr>
      </w:pPr>
    </w:p>
    <w:p w14:paraId="2DEAAE1E">
      <w:pPr>
        <w:rPr>
          <w:rFonts w:hint="eastAsia" w:eastAsia="宋体" w:asciiTheme="minorEastAsia" w:hAnsiTheme="minorEastAsia" w:cstheme="minorEastAsia"/>
          <w:b/>
          <w:color w:val="auto"/>
          <w:sz w:val="24"/>
          <w:highlight w:val="none"/>
          <w:lang w:eastAsia="zh-CN"/>
        </w:rPr>
      </w:pPr>
      <w:r>
        <w:rPr>
          <w:rFonts w:hint="eastAsia"/>
          <w:b/>
          <w:bCs/>
          <w:color w:val="auto"/>
          <w:sz w:val="28"/>
          <w:szCs w:val="28"/>
          <w:highlight w:val="none"/>
        </w:rPr>
        <w:t>附件</w:t>
      </w:r>
      <w:r>
        <w:rPr>
          <w:rFonts w:hint="eastAsia"/>
          <w:b/>
          <w:bCs/>
          <w:color w:val="auto"/>
          <w:sz w:val="28"/>
          <w:szCs w:val="28"/>
          <w:highlight w:val="none"/>
          <w:lang w:val="en-US" w:eastAsia="zh-CN"/>
        </w:rPr>
        <w:t>6</w:t>
      </w:r>
    </w:p>
    <w:p w14:paraId="22E0F6CE">
      <w:pPr>
        <w:spacing w:after="312" w:afterLines="100" w:line="48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kern w:val="0"/>
          <w:sz w:val="24"/>
          <w:highlight w:val="none"/>
          <w:lang w:val="zh-CN"/>
        </w:rPr>
        <w:t>无税收缴纳、社会保障等方面的失信记录的承诺函</w:t>
      </w:r>
    </w:p>
    <w:p w14:paraId="104B06B7">
      <w:pPr>
        <w:widowControl/>
        <w:spacing w:line="600" w:lineRule="exact"/>
        <w:rPr>
          <w:rFonts w:asciiTheme="minorEastAsia" w:hAnsiTheme="minorEastAsia" w:eastAsiaTheme="minorEastAsia" w:cstheme="minorEastAsia"/>
          <w:color w:val="auto"/>
          <w:kern w:val="0"/>
          <w:sz w:val="24"/>
          <w:highlight w:val="none"/>
        </w:rPr>
      </w:pPr>
    </w:p>
    <w:p w14:paraId="17240019">
      <w:pPr>
        <w:widowControl/>
        <w:spacing w:line="600" w:lineRule="exact"/>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kern w:val="0"/>
          <w:sz w:val="24"/>
          <w:highlight w:val="none"/>
        </w:rPr>
        <w:t>致：</w:t>
      </w:r>
      <w:r>
        <w:rPr>
          <w:rFonts w:hint="eastAsia" w:asciiTheme="minorEastAsia" w:hAnsiTheme="minorEastAsia" w:eastAsiaTheme="minorEastAsia" w:cstheme="minorEastAsia"/>
          <w:color w:val="auto"/>
          <w:sz w:val="24"/>
          <w:highlight w:val="none"/>
          <w:u w:val="single"/>
          <w:lang w:eastAsia="zh-CN"/>
        </w:rPr>
        <w:t>台州市建航工程管理有限公司</w:t>
      </w:r>
    </w:p>
    <w:p w14:paraId="7F4DF7D2">
      <w:pPr>
        <w:pStyle w:val="2"/>
        <w:spacing w:line="6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我公司参加</w:t>
      </w:r>
      <w:r>
        <w:rPr>
          <w:rFonts w:hint="eastAsia" w:ascii="宋体" w:hAnsi="宋体" w:cs="宋体"/>
          <w:color w:val="auto"/>
          <w:sz w:val="24"/>
          <w:szCs w:val="32"/>
          <w:highlight w:val="none"/>
          <w:u w:val="single"/>
          <w:lang w:eastAsia="zh-CN"/>
        </w:rPr>
        <w:t>台州湾新区消安委办购买消防安全服务项目</w:t>
      </w:r>
      <w:r>
        <w:rPr>
          <w:rFonts w:hint="eastAsia" w:asciiTheme="minorEastAsia" w:hAnsiTheme="minorEastAsia" w:eastAsiaTheme="minorEastAsia" w:cstheme="minorEastAsia"/>
          <w:color w:val="auto"/>
          <w:highlight w:val="none"/>
          <w:u w:val="single"/>
        </w:rPr>
        <w:t>（编号为</w:t>
      </w:r>
      <w:r>
        <w:rPr>
          <w:rFonts w:hint="eastAsia" w:ascii="宋体" w:hAnsi="宋体" w:cs="宋体"/>
          <w:color w:val="auto"/>
          <w:sz w:val="24"/>
          <w:szCs w:val="32"/>
          <w:highlight w:val="none"/>
          <w:u w:val="single"/>
          <w:lang w:eastAsia="zh-CN"/>
        </w:rPr>
        <w:t>TZJH-2025-010号</w:t>
      </w:r>
      <w:r>
        <w:rPr>
          <w:rFonts w:hint="eastAsia" w:asciiTheme="minorEastAsia" w:hAnsiTheme="minorEastAsia" w:eastAsiaTheme="minorEastAsia" w:cstheme="minorEastAsia"/>
          <w:color w:val="auto"/>
          <w:highlight w:val="none"/>
          <w:u w:val="single"/>
        </w:rPr>
        <w:t>）</w:t>
      </w:r>
      <w:r>
        <w:rPr>
          <w:rFonts w:hint="eastAsia" w:asciiTheme="minorEastAsia" w:hAnsiTheme="minorEastAsia" w:eastAsiaTheme="minorEastAsia" w:cstheme="minorEastAsia"/>
          <w:color w:val="auto"/>
          <w:highlight w:val="none"/>
        </w:rPr>
        <w:t>的投标活动，作如下承诺：</w:t>
      </w:r>
    </w:p>
    <w:p w14:paraId="35CABB16">
      <w:pPr>
        <w:pStyle w:val="2"/>
        <w:spacing w:line="600" w:lineRule="exact"/>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14:paraId="110C9817">
      <w:pPr>
        <w:spacing w:line="60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14:paraId="00D22C12">
      <w:pPr>
        <w:spacing w:line="360" w:lineRule="auto"/>
        <w:rPr>
          <w:rFonts w:asciiTheme="minorEastAsia" w:hAnsiTheme="minorEastAsia" w:eastAsiaTheme="minorEastAsia" w:cstheme="minorEastAsia"/>
          <w:color w:val="auto"/>
          <w:sz w:val="24"/>
          <w:highlight w:val="none"/>
          <w:lang w:val="zh-CN"/>
        </w:rPr>
      </w:pPr>
    </w:p>
    <w:p w14:paraId="60B5E862">
      <w:pPr>
        <w:pStyle w:val="2"/>
        <w:rPr>
          <w:rFonts w:asciiTheme="minorEastAsia" w:hAnsiTheme="minorEastAsia" w:eastAsiaTheme="minorEastAsia" w:cstheme="minorEastAsia"/>
          <w:color w:val="auto"/>
          <w:highlight w:val="none"/>
          <w:lang w:val="zh-CN"/>
        </w:rPr>
      </w:pPr>
    </w:p>
    <w:p w14:paraId="1EE75CDD">
      <w:pPr>
        <w:pStyle w:val="2"/>
        <w:rPr>
          <w:rFonts w:asciiTheme="minorEastAsia" w:hAnsiTheme="minorEastAsia" w:eastAsiaTheme="minorEastAsia" w:cstheme="minorEastAsia"/>
          <w:color w:val="auto"/>
          <w:highlight w:val="none"/>
          <w:lang w:val="zh-CN"/>
        </w:rPr>
      </w:pPr>
    </w:p>
    <w:p w14:paraId="4D844274">
      <w:pPr>
        <w:widowControl/>
        <w:wordWrap w:val="0"/>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投标人名称</w:t>
      </w:r>
      <w:r>
        <w:rPr>
          <w:rFonts w:hint="eastAsia" w:asciiTheme="minorEastAsia" w:hAnsiTheme="minorEastAsia" w:eastAsiaTheme="minorEastAsia" w:cstheme="minorEastAsia"/>
          <w:color w:val="auto"/>
          <w:kern w:val="0"/>
          <w:sz w:val="24"/>
          <w:highlight w:val="none"/>
        </w:rPr>
        <w:t xml:space="preserve">(公章)：             </w:t>
      </w:r>
    </w:p>
    <w:p w14:paraId="581F41EA">
      <w:pPr>
        <w:widowControl/>
        <w:spacing w:line="360" w:lineRule="auto"/>
        <w:jc w:val="left"/>
        <w:rPr>
          <w:rFonts w:asciiTheme="minorEastAsia" w:hAnsiTheme="minorEastAsia" w:eastAsiaTheme="minorEastAsia" w:cstheme="minorEastAsia"/>
          <w:color w:val="auto"/>
          <w:kern w:val="0"/>
          <w:sz w:val="24"/>
          <w:highlight w:val="none"/>
        </w:rPr>
      </w:pPr>
    </w:p>
    <w:p w14:paraId="41290DF4">
      <w:pPr>
        <w:widowControl/>
        <w:spacing w:line="360" w:lineRule="auto"/>
        <w:jc w:val="righ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p>
    <w:p w14:paraId="58D266A9">
      <w:pPr>
        <w:widowControl/>
        <w:spacing w:line="360" w:lineRule="auto"/>
        <w:jc w:val="left"/>
        <w:rPr>
          <w:rFonts w:asciiTheme="minorEastAsia" w:hAnsiTheme="minorEastAsia" w:eastAsiaTheme="minorEastAsia" w:cstheme="minorEastAsia"/>
          <w:color w:val="auto"/>
          <w:kern w:val="0"/>
          <w:sz w:val="24"/>
          <w:highlight w:val="none"/>
        </w:rPr>
      </w:pPr>
    </w:p>
    <w:p w14:paraId="7992B97E">
      <w:pPr>
        <w:spacing w:line="360" w:lineRule="auto"/>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lang w:val="zh-CN"/>
        </w:rPr>
        <w:t>日</w:t>
      </w:r>
    </w:p>
    <w:p w14:paraId="717D6221">
      <w:pPr>
        <w:pStyle w:val="49"/>
        <w:shd w:val="clear" w:color="auto" w:fill="FFFFFF"/>
        <w:spacing w:before="0" w:beforeAutospacing="0" w:after="0" w:afterAutospacing="0" w:line="360" w:lineRule="auto"/>
        <w:rPr>
          <w:rFonts w:asciiTheme="minorEastAsia" w:hAnsiTheme="minorEastAsia" w:eastAsiaTheme="minorEastAsia" w:cstheme="minorEastAsia"/>
          <w:b/>
          <w:color w:val="auto"/>
          <w:highlight w:val="none"/>
        </w:rPr>
      </w:pPr>
    </w:p>
    <w:p w14:paraId="0B61CB00">
      <w:pPr>
        <w:spacing w:line="360" w:lineRule="auto"/>
        <w:rPr>
          <w:rFonts w:asciiTheme="minorEastAsia" w:hAnsiTheme="minorEastAsia" w:eastAsiaTheme="minorEastAsia" w:cstheme="minorEastAsia"/>
          <w:b/>
          <w:color w:val="auto"/>
          <w:sz w:val="24"/>
          <w:highlight w:val="none"/>
        </w:rPr>
      </w:pPr>
    </w:p>
    <w:p w14:paraId="4FE55973">
      <w:pPr>
        <w:pStyle w:val="6"/>
        <w:numPr>
          <w:ilvl w:val="3"/>
          <w:numId w:val="0"/>
        </w:numPr>
        <w:ind w:leftChars="0"/>
        <w:rPr>
          <w:rFonts w:asciiTheme="minorEastAsia" w:hAnsiTheme="minorEastAsia" w:eastAsiaTheme="minorEastAsia" w:cstheme="minorEastAsia"/>
          <w:b/>
          <w:color w:val="auto"/>
          <w:sz w:val="24"/>
          <w:highlight w:val="none"/>
        </w:rPr>
      </w:pPr>
    </w:p>
    <w:p w14:paraId="39C83036">
      <w:pPr>
        <w:rPr>
          <w:rFonts w:asciiTheme="minorEastAsia" w:hAnsiTheme="minorEastAsia" w:eastAsiaTheme="minorEastAsia" w:cstheme="minorEastAsia"/>
          <w:b/>
          <w:color w:val="auto"/>
          <w:sz w:val="24"/>
          <w:highlight w:val="none"/>
        </w:rPr>
      </w:pPr>
    </w:p>
    <w:p w14:paraId="207C1BA5">
      <w:pPr>
        <w:rPr>
          <w:rFonts w:hint="eastAsia"/>
          <w:b/>
          <w:bCs/>
          <w:color w:val="auto"/>
          <w:sz w:val="28"/>
          <w:szCs w:val="28"/>
          <w:highlight w:val="none"/>
        </w:rPr>
      </w:pPr>
    </w:p>
    <w:p w14:paraId="2DE7396A">
      <w:pPr>
        <w:pStyle w:val="9"/>
        <w:rPr>
          <w:rFonts w:hint="eastAsia"/>
          <w:highlight w:val="none"/>
        </w:rPr>
      </w:pPr>
    </w:p>
    <w:p w14:paraId="4E456BD4">
      <w:pPr>
        <w:rPr>
          <w:rFonts w:hint="eastAsia" w:eastAsia="宋体"/>
          <w:b/>
          <w:bCs/>
          <w:color w:val="auto"/>
          <w:sz w:val="28"/>
          <w:szCs w:val="28"/>
          <w:highlight w:val="none"/>
          <w:lang w:eastAsia="zh-CN"/>
        </w:rPr>
      </w:pPr>
      <w:r>
        <w:rPr>
          <w:rFonts w:hint="eastAsia"/>
          <w:b/>
          <w:bCs/>
          <w:color w:val="auto"/>
          <w:sz w:val="28"/>
          <w:szCs w:val="28"/>
          <w:highlight w:val="none"/>
        </w:rPr>
        <w:t>附件</w:t>
      </w:r>
      <w:r>
        <w:rPr>
          <w:rFonts w:hint="eastAsia"/>
          <w:b/>
          <w:bCs/>
          <w:color w:val="auto"/>
          <w:sz w:val="28"/>
          <w:szCs w:val="28"/>
          <w:highlight w:val="none"/>
          <w:lang w:val="en-US" w:eastAsia="zh-CN"/>
        </w:rPr>
        <w:t>7</w:t>
      </w:r>
    </w:p>
    <w:p w14:paraId="1A755CB7">
      <w:pPr>
        <w:widowControl/>
        <w:spacing w:line="360" w:lineRule="auto"/>
        <w:jc w:val="center"/>
        <w:outlineLvl w:val="2"/>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参加政府采购活动前3年内在经营活动中没有重大违法记录的书面声明</w:t>
      </w:r>
    </w:p>
    <w:p w14:paraId="667AAFBB">
      <w:pPr>
        <w:pStyle w:val="21"/>
        <w:spacing w:line="360" w:lineRule="auto"/>
        <w:ind w:left="169" w:hanging="169" w:hangingChars="74"/>
        <w:jc w:val="center"/>
        <w:rPr>
          <w:rFonts w:asciiTheme="minorEastAsia" w:hAnsiTheme="minorEastAsia" w:eastAsiaTheme="minorEastAsia" w:cstheme="minorEastAsia"/>
          <w:b/>
          <w:color w:val="auto"/>
          <w:spacing w:val="-6"/>
          <w:sz w:val="24"/>
          <w:highlight w:val="none"/>
        </w:rPr>
      </w:pPr>
      <w:r>
        <w:rPr>
          <w:rFonts w:hint="eastAsia" w:asciiTheme="minorEastAsia" w:hAnsiTheme="minorEastAsia" w:eastAsiaTheme="minorEastAsia" w:cstheme="minorEastAsia"/>
          <w:b/>
          <w:color w:val="auto"/>
          <w:spacing w:val="-6"/>
          <w:sz w:val="24"/>
          <w:highlight w:val="none"/>
        </w:rPr>
        <w:t>声明函</w:t>
      </w:r>
    </w:p>
    <w:p w14:paraId="003E55B4">
      <w:pPr>
        <w:spacing w:line="360" w:lineRule="auto"/>
        <w:rPr>
          <w:rFonts w:hint="eastAsia" w:asciiTheme="minorEastAsia" w:hAnsiTheme="minorEastAsia" w:eastAsiaTheme="minorEastAsia" w:cstheme="minorEastAsia"/>
          <w:color w:val="auto"/>
          <w:spacing w:val="-6"/>
          <w:sz w:val="24"/>
          <w:highlight w:val="none"/>
          <w:lang w:eastAsia="zh-CN"/>
        </w:rPr>
      </w:pPr>
      <w:r>
        <w:rPr>
          <w:rFonts w:hint="eastAsia" w:asciiTheme="minorEastAsia" w:hAnsiTheme="minorEastAsia" w:eastAsiaTheme="minorEastAsia" w:cstheme="minorEastAsia"/>
          <w:color w:val="auto"/>
          <w:spacing w:val="-6"/>
          <w:sz w:val="24"/>
          <w:highlight w:val="none"/>
        </w:rPr>
        <w:t>致：</w:t>
      </w:r>
      <w:r>
        <w:rPr>
          <w:rFonts w:hint="eastAsia" w:asciiTheme="minorEastAsia" w:hAnsiTheme="minorEastAsia" w:eastAsiaTheme="minorEastAsia" w:cstheme="minorEastAsia"/>
          <w:color w:val="auto"/>
          <w:spacing w:val="-6"/>
          <w:sz w:val="24"/>
          <w:highlight w:val="none"/>
          <w:u w:val="single"/>
          <w:lang w:eastAsia="zh-CN"/>
        </w:rPr>
        <w:t>台州市建航工程管理有限公司</w:t>
      </w:r>
    </w:p>
    <w:p w14:paraId="1FD3650D">
      <w:pPr>
        <w:spacing w:line="360" w:lineRule="auto"/>
        <w:ind w:firstLine="456"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我公司郑重承诺在参加本项目政府采购活动前三年内，在经营活动中</w:t>
      </w:r>
      <w:r>
        <w:rPr>
          <w:rFonts w:hint="eastAsia" w:asciiTheme="minorEastAsia" w:hAnsiTheme="minorEastAsia" w:eastAsiaTheme="minorEastAsia" w:cstheme="minorEastAsia"/>
          <w:b/>
          <w:color w:val="auto"/>
          <w:spacing w:val="-6"/>
          <w:sz w:val="24"/>
          <w:highlight w:val="none"/>
          <w:u w:val="single"/>
        </w:rPr>
        <w:t xml:space="preserve">     </w:t>
      </w:r>
      <w:r>
        <w:rPr>
          <w:rFonts w:hint="eastAsia" w:asciiTheme="minorEastAsia" w:hAnsiTheme="minorEastAsia" w:eastAsiaTheme="minorEastAsia" w:cstheme="minorEastAsia"/>
          <w:b/>
          <w:color w:val="auto"/>
          <w:spacing w:val="-6"/>
          <w:sz w:val="24"/>
          <w:highlight w:val="none"/>
        </w:rPr>
        <w:t>（填写“有”或“没有”，如实填写，如不填写视同未提供本声明函）</w:t>
      </w:r>
      <w:r>
        <w:rPr>
          <w:rFonts w:hint="eastAsia" w:asciiTheme="minorEastAsia" w:hAnsiTheme="minorEastAsia" w:eastAsiaTheme="minorEastAsia" w:cstheme="minorEastAsia"/>
          <w:color w:val="auto"/>
          <w:spacing w:val="-6"/>
          <w:sz w:val="24"/>
          <w:highlight w:val="none"/>
        </w:rPr>
        <w:t>重大违法记录，重大违法记录是指供应商因违法经营受到刑事处罚或者责令停产停业、吊销许可证或者执照、较大数额罚款等行政处罚。</w:t>
      </w:r>
    </w:p>
    <w:p w14:paraId="431171F8">
      <w:pPr>
        <w:spacing w:line="360" w:lineRule="auto"/>
        <w:ind w:firstLine="456"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以上事项如有虚假或隐瞒，我方愿意承担一切后果和责任。</w:t>
      </w:r>
    </w:p>
    <w:p w14:paraId="4E9CCC88">
      <w:pPr>
        <w:spacing w:line="360" w:lineRule="auto"/>
        <w:ind w:firstLine="456" w:firstLineChars="20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特此声明。</w:t>
      </w:r>
    </w:p>
    <w:p w14:paraId="100DF2D1">
      <w:pPr>
        <w:spacing w:line="360" w:lineRule="auto"/>
        <w:rPr>
          <w:rFonts w:asciiTheme="minorEastAsia" w:hAnsiTheme="minorEastAsia" w:eastAsiaTheme="minorEastAsia" w:cstheme="minorEastAsia"/>
          <w:color w:val="auto"/>
          <w:spacing w:val="-6"/>
          <w:sz w:val="24"/>
          <w:highlight w:val="none"/>
        </w:rPr>
      </w:pPr>
    </w:p>
    <w:p w14:paraId="013979FC">
      <w:pPr>
        <w:pStyle w:val="69"/>
        <w:spacing w:line="360" w:lineRule="auto"/>
        <w:rPr>
          <w:rFonts w:asciiTheme="minorEastAsia" w:hAnsiTheme="minorEastAsia" w:eastAsiaTheme="minorEastAsia" w:cstheme="minorEastAsia"/>
          <w:color w:val="auto"/>
          <w:spacing w:val="-6"/>
          <w:highlight w:val="none"/>
        </w:rPr>
      </w:pPr>
    </w:p>
    <w:p w14:paraId="1B0EB52B">
      <w:pPr>
        <w:pStyle w:val="70"/>
        <w:spacing w:line="360" w:lineRule="auto"/>
        <w:ind w:left="0"/>
        <w:rPr>
          <w:rFonts w:asciiTheme="minorEastAsia" w:hAnsiTheme="minorEastAsia" w:eastAsiaTheme="minorEastAsia" w:cstheme="minorEastAsia"/>
          <w:color w:val="auto"/>
          <w:sz w:val="24"/>
          <w:szCs w:val="24"/>
          <w:highlight w:val="none"/>
        </w:rPr>
      </w:pPr>
    </w:p>
    <w:p w14:paraId="55A71CD5">
      <w:pPr>
        <w:spacing w:line="360" w:lineRule="auto"/>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供应商名称（盖章）：</w:t>
      </w:r>
    </w:p>
    <w:p w14:paraId="2CA361B5">
      <w:pPr>
        <w:spacing w:line="360" w:lineRule="auto"/>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r>
        <w:rPr>
          <w:rFonts w:hint="eastAsia" w:asciiTheme="minorEastAsia" w:hAnsiTheme="minorEastAsia" w:eastAsiaTheme="minorEastAsia" w:cstheme="minorEastAsia"/>
          <w:color w:val="auto"/>
          <w:spacing w:val="-6"/>
          <w:sz w:val="24"/>
          <w:highlight w:val="none"/>
        </w:rPr>
        <w:t>：</w:t>
      </w:r>
    </w:p>
    <w:p w14:paraId="6B72E05C">
      <w:pPr>
        <w:widowControl/>
        <w:tabs>
          <w:tab w:val="left" w:pos="3225"/>
        </w:tabs>
        <w:spacing w:line="360" w:lineRule="auto"/>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日期：     年   月   日</w:t>
      </w:r>
    </w:p>
    <w:p w14:paraId="7379FA66">
      <w:pPr>
        <w:snapToGrid w:val="0"/>
        <w:spacing w:line="360" w:lineRule="auto"/>
        <w:ind w:firstLine="2160" w:firstLineChars="900"/>
        <w:rPr>
          <w:rFonts w:asciiTheme="minorEastAsia" w:hAnsiTheme="minorEastAsia" w:eastAsiaTheme="minorEastAsia" w:cstheme="minorEastAsia"/>
          <w:color w:val="auto"/>
          <w:sz w:val="24"/>
          <w:highlight w:val="none"/>
          <w:lang w:val="zh-CN"/>
        </w:rPr>
      </w:pPr>
    </w:p>
    <w:p w14:paraId="4B9DF8F0">
      <w:pPr>
        <w:spacing w:line="360" w:lineRule="auto"/>
        <w:rPr>
          <w:rFonts w:ascii="宋体" w:hAnsi="宋体" w:cs="宋体"/>
          <w:color w:val="auto"/>
          <w:sz w:val="24"/>
          <w:szCs w:val="32"/>
          <w:highlight w:val="none"/>
        </w:rPr>
      </w:pPr>
    </w:p>
    <w:p w14:paraId="06E88D6D">
      <w:pPr>
        <w:rPr>
          <w:rFonts w:hint="eastAsia" w:ascii="宋体" w:hAnsi="宋体" w:cs="宋体"/>
          <w:b/>
          <w:bCs/>
          <w:color w:val="auto"/>
          <w:sz w:val="28"/>
          <w:szCs w:val="36"/>
          <w:highlight w:val="none"/>
        </w:rPr>
      </w:pPr>
    </w:p>
    <w:p w14:paraId="3FF5163A">
      <w:pPr>
        <w:rPr>
          <w:rFonts w:hint="eastAsia" w:ascii="宋体" w:hAnsi="宋体" w:cs="宋体"/>
          <w:b/>
          <w:bCs/>
          <w:color w:val="auto"/>
          <w:sz w:val="28"/>
          <w:szCs w:val="36"/>
          <w:highlight w:val="none"/>
        </w:rPr>
      </w:pPr>
    </w:p>
    <w:p w14:paraId="25268FE1">
      <w:pPr>
        <w:rPr>
          <w:rFonts w:hint="eastAsia" w:ascii="宋体" w:hAnsi="宋体" w:cs="宋体"/>
          <w:b/>
          <w:bCs/>
          <w:color w:val="auto"/>
          <w:sz w:val="28"/>
          <w:szCs w:val="36"/>
          <w:highlight w:val="none"/>
        </w:rPr>
      </w:pPr>
    </w:p>
    <w:p w14:paraId="269A2B4D">
      <w:pPr>
        <w:rPr>
          <w:rFonts w:hint="eastAsia" w:ascii="宋体" w:hAnsi="宋体" w:cs="宋体"/>
          <w:b/>
          <w:bCs/>
          <w:color w:val="auto"/>
          <w:sz w:val="28"/>
          <w:szCs w:val="36"/>
          <w:highlight w:val="none"/>
        </w:rPr>
      </w:pPr>
    </w:p>
    <w:p w14:paraId="6B1EC346">
      <w:pPr>
        <w:rPr>
          <w:rFonts w:hint="eastAsia" w:ascii="宋体" w:hAnsi="宋体" w:cs="宋体"/>
          <w:b/>
          <w:bCs/>
          <w:color w:val="auto"/>
          <w:sz w:val="28"/>
          <w:szCs w:val="36"/>
          <w:highlight w:val="none"/>
        </w:rPr>
      </w:pPr>
    </w:p>
    <w:p w14:paraId="52E076C0">
      <w:pPr>
        <w:rPr>
          <w:rFonts w:hint="eastAsia" w:ascii="宋体" w:hAnsi="宋体" w:cs="宋体"/>
          <w:b/>
          <w:bCs/>
          <w:color w:val="auto"/>
          <w:sz w:val="28"/>
          <w:szCs w:val="36"/>
          <w:highlight w:val="none"/>
        </w:rPr>
      </w:pPr>
    </w:p>
    <w:p w14:paraId="28C3E65F">
      <w:pPr>
        <w:rPr>
          <w:rFonts w:hint="eastAsia" w:ascii="宋体" w:hAnsi="宋体" w:cs="宋体"/>
          <w:b/>
          <w:bCs/>
          <w:color w:val="auto"/>
          <w:sz w:val="28"/>
          <w:szCs w:val="36"/>
          <w:highlight w:val="none"/>
        </w:rPr>
      </w:pPr>
    </w:p>
    <w:p w14:paraId="0B226BA0">
      <w:pPr>
        <w:rPr>
          <w:rFonts w:hint="eastAsia" w:ascii="宋体" w:hAnsi="宋体" w:cs="宋体"/>
          <w:b/>
          <w:bCs/>
          <w:color w:val="auto"/>
          <w:sz w:val="28"/>
          <w:szCs w:val="36"/>
          <w:highlight w:val="none"/>
        </w:rPr>
      </w:pPr>
    </w:p>
    <w:p w14:paraId="7C0D47CF">
      <w:pPr>
        <w:rPr>
          <w:rFonts w:hint="eastAsia" w:ascii="宋体" w:hAnsi="宋体" w:eastAsia="宋体" w:cs="宋体"/>
          <w:b/>
          <w:bCs/>
          <w:color w:val="auto"/>
          <w:spacing w:val="21"/>
          <w:kern w:val="0"/>
          <w:sz w:val="32"/>
          <w:szCs w:val="32"/>
          <w:highlight w:val="none"/>
          <w:lang w:val="en-US" w:eastAsia="zh-CN"/>
        </w:rPr>
      </w:pPr>
      <w:r>
        <w:rPr>
          <w:rFonts w:hint="eastAsia"/>
          <w:b/>
          <w:bCs/>
          <w:color w:val="auto"/>
          <w:sz w:val="28"/>
          <w:szCs w:val="28"/>
          <w:highlight w:val="none"/>
        </w:rPr>
        <w:t>附件</w:t>
      </w:r>
      <w:r>
        <w:rPr>
          <w:rFonts w:hint="eastAsia"/>
          <w:b/>
          <w:bCs/>
          <w:color w:val="auto"/>
          <w:sz w:val="28"/>
          <w:szCs w:val="28"/>
          <w:highlight w:val="none"/>
          <w:lang w:val="en-US" w:eastAsia="zh-CN"/>
        </w:rPr>
        <w:t>8</w:t>
      </w:r>
    </w:p>
    <w:p w14:paraId="3834B8E7">
      <w:pPr>
        <w:spacing w:line="360" w:lineRule="auto"/>
        <w:ind w:right="-110"/>
        <w:jc w:val="center"/>
        <w:rPr>
          <w:rFonts w:ascii="宋体" w:hAnsi="宋体" w:cs="宋体"/>
          <w:b/>
          <w:bCs/>
          <w:color w:val="auto"/>
          <w:spacing w:val="21"/>
          <w:kern w:val="0"/>
          <w:sz w:val="32"/>
          <w:szCs w:val="32"/>
          <w:highlight w:val="none"/>
        </w:rPr>
      </w:pPr>
      <w:r>
        <w:rPr>
          <w:rFonts w:hint="eastAsia" w:ascii="宋体" w:hAnsi="宋体" w:cs="宋体"/>
          <w:b/>
          <w:bCs/>
          <w:color w:val="auto"/>
          <w:spacing w:val="21"/>
          <w:kern w:val="0"/>
          <w:sz w:val="32"/>
          <w:szCs w:val="32"/>
          <w:highlight w:val="none"/>
        </w:rPr>
        <w:t>中小企业声明函</w:t>
      </w:r>
    </w:p>
    <w:p w14:paraId="284E924F">
      <w:pPr>
        <w:spacing w:line="360" w:lineRule="auto"/>
        <w:ind w:right="-110"/>
        <w:jc w:val="center"/>
        <w:rPr>
          <w:rFonts w:ascii="宋体"/>
          <w:b/>
          <w:bCs/>
          <w:color w:val="auto"/>
          <w:spacing w:val="21"/>
          <w:kern w:val="0"/>
          <w:sz w:val="32"/>
          <w:szCs w:val="32"/>
          <w:highlight w:val="none"/>
        </w:rPr>
      </w:pPr>
    </w:p>
    <w:p w14:paraId="745845B2">
      <w:pPr>
        <w:pStyle w:val="5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本公司（联合体）郑重声明，根据《政府采购促进中小企业发展管理办法》（财库﹝2020﹞46 号）的规定，本公司（联合体）参加</w:t>
      </w:r>
      <w:r>
        <w:rPr>
          <w:rFonts w:hint="eastAsia" w:ascii="宋体" w:hAnsi="宋体"/>
          <w:color w:val="auto"/>
          <w:spacing w:val="6"/>
          <w:sz w:val="24"/>
          <w:highlight w:val="none"/>
          <w:u w:val="single"/>
        </w:rPr>
        <w:t>（单位名称）的（项目名称）</w:t>
      </w:r>
      <w:r>
        <w:rPr>
          <w:rFonts w:hint="eastAsia" w:ascii="宋体" w:hAnsi="宋体"/>
          <w:color w:val="auto"/>
          <w:spacing w:val="6"/>
          <w:sz w:val="24"/>
          <w:highlight w:val="none"/>
        </w:rPr>
        <w:t>采购活动，</w:t>
      </w:r>
      <w:r>
        <w:rPr>
          <w:rFonts w:hint="eastAsia" w:ascii="宋体" w:hAnsi="宋体"/>
          <w:color w:val="auto"/>
          <w:spacing w:val="6"/>
          <w:sz w:val="24"/>
          <w:highlight w:val="none"/>
          <w:lang w:val="en-US" w:eastAsia="zh-CN"/>
        </w:rPr>
        <w:t>工程、服务</w:t>
      </w:r>
      <w:r>
        <w:rPr>
          <w:rFonts w:hint="eastAsia" w:ascii="宋体" w:hAnsi="宋体"/>
          <w:color w:val="auto"/>
          <w:spacing w:val="6"/>
          <w:sz w:val="24"/>
          <w:highlight w:val="none"/>
        </w:rPr>
        <w:t>全部由符合政策要求的中小企业承接。相关企业（含联合体中的中小企业、签订分包意向协议的中小企业）的具体情况如下：</w:t>
      </w:r>
    </w:p>
    <w:p w14:paraId="2AA0DD37">
      <w:pPr>
        <w:pStyle w:val="5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 xml:space="preserve">1. </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 xml:space="preserve"> ，属于</w:t>
      </w:r>
      <w:r>
        <w:rPr>
          <w:rFonts w:hint="eastAsia" w:ascii="宋体" w:hAnsi="宋体"/>
          <w:color w:val="auto"/>
          <w:spacing w:val="6"/>
          <w:sz w:val="24"/>
          <w:highlight w:val="none"/>
          <w:u w:val="single"/>
        </w:rPr>
        <w:t>（采购文件中明确的所属行业）</w:t>
      </w:r>
      <w:r>
        <w:rPr>
          <w:rFonts w:hint="eastAsia" w:ascii="宋体" w:hAnsi="宋体"/>
          <w:color w:val="auto"/>
          <w:spacing w:val="6"/>
          <w:sz w:val="24"/>
          <w:highlight w:val="none"/>
        </w:rPr>
        <w:t>行业；承接企业为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万元（注），属于</w:t>
      </w:r>
      <w:r>
        <w:rPr>
          <w:rFonts w:hint="eastAsia" w:ascii="宋体" w:hAnsi="宋体"/>
          <w:color w:val="auto"/>
          <w:spacing w:val="6"/>
          <w:sz w:val="24"/>
          <w:highlight w:val="none"/>
          <w:u w:val="single"/>
        </w:rPr>
        <w:t>（中型企业、小型企业、微型企业）</w:t>
      </w:r>
      <w:r>
        <w:rPr>
          <w:rFonts w:hint="eastAsia" w:ascii="宋体" w:hAnsi="宋体"/>
          <w:color w:val="auto"/>
          <w:spacing w:val="6"/>
          <w:sz w:val="24"/>
          <w:highlight w:val="none"/>
        </w:rPr>
        <w:t>；</w:t>
      </w:r>
    </w:p>
    <w:p w14:paraId="333A7F4D">
      <w:pPr>
        <w:pStyle w:val="5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 xml:space="preserve">2. </w:t>
      </w:r>
      <w:r>
        <w:rPr>
          <w:rFonts w:hint="eastAsia" w:ascii="宋体" w:hAnsi="宋体"/>
          <w:color w:val="auto"/>
          <w:spacing w:val="6"/>
          <w:sz w:val="24"/>
          <w:highlight w:val="none"/>
          <w:u w:val="single"/>
        </w:rPr>
        <w:t>（标的名称）</w:t>
      </w:r>
      <w:r>
        <w:rPr>
          <w:rFonts w:hint="eastAsia" w:ascii="宋体" w:hAnsi="宋体"/>
          <w:color w:val="auto"/>
          <w:spacing w:val="6"/>
          <w:sz w:val="24"/>
          <w:highlight w:val="none"/>
        </w:rPr>
        <w:t xml:space="preserve"> ，属于</w:t>
      </w:r>
      <w:r>
        <w:rPr>
          <w:rFonts w:hint="eastAsia" w:ascii="宋体" w:hAnsi="宋体"/>
          <w:color w:val="auto"/>
          <w:spacing w:val="6"/>
          <w:sz w:val="24"/>
          <w:highlight w:val="none"/>
          <w:u w:val="single"/>
        </w:rPr>
        <w:t>（采购文件中明确的所属行业）</w:t>
      </w:r>
      <w:r>
        <w:rPr>
          <w:rFonts w:hint="eastAsia" w:ascii="宋体" w:hAnsi="宋体"/>
          <w:color w:val="auto"/>
          <w:spacing w:val="6"/>
          <w:sz w:val="24"/>
          <w:highlight w:val="none"/>
        </w:rPr>
        <w:t>行业；承接企业为</w:t>
      </w:r>
      <w:r>
        <w:rPr>
          <w:rFonts w:hint="eastAsia" w:ascii="宋体" w:hAnsi="宋体"/>
          <w:color w:val="auto"/>
          <w:spacing w:val="6"/>
          <w:sz w:val="24"/>
          <w:highlight w:val="none"/>
          <w:u w:val="single"/>
        </w:rPr>
        <w:t>（企业名称）</w:t>
      </w:r>
      <w:r>
        <w:rPr>
          <w:rFonts w:hint="eastAsia" w:ascii="宋体" w:hAnsi="宋体"/>
          <w:color w:val="auto"/>
          <w:spacing w:val="6"/>
          <w:sz w:val="24"/>
          <w:highlight w:val="none"/>
        </w:rPr>
        <w:t>，从业人员</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人，营业收入为</w:t>
      </w:r>
      <w:r>
        <w:rPr>
          <w:rFonts w:hint="eastAsia" w:ascii="宋体" w:hAnsi="宋体"/>
          <w:color w:val="auto"/>
          <w:spacing w:val="6"/>
          <w:sz w:val="24"/>
          <w:highlight w:val="none"/>
          <w:u w:val="single"/>
        </w:rPr>
        <w:t xml:space="preserve"> </w:t>
      </w:r>
      <w:r>
        <w:rPr>
          <w:rFonts w:ascii="宋体" w:hAnsi="宋体"/>
          <w:color w:val="auto"/>
          <w:spacing w:val="6"/>
          <w:sz w:val="24"/>
          <w:highlight w:val="none"/>
          <w:u w:val="single"/>
        </w:rPr>
        <w:t xml:space="preserve"> </w:t>
      </w:r>
      <w:r>
        <w:rPr>
          <w:rFonts w:hint="eastAsia" w:ascii="宋体" w:hAnsi="宋体"/>
          <w:color w:val="auto"/>
          <w:spacing w:val="6"/>
          <w:sz w:val="24"/>
          <w:highlight w:val="none"/>
          <w:u w:val="single"/>
        </w:rPr>
        <w:t xml:space="preserve"> </w:t>
      </w:r>
      <w:r>
        <w:rPr>
          <w:rFonts w:hint="eastAsia" w:ascii="宋体" w:hAnsi="宋体"/>
          <w:color w:val="auto"/>
          <w:spacing w:val="6"/>
          <w:sz w:val="24"/>
          <w:highlight w:val="none"/>
        </w:rPr>
        <w:t>万元，资产总额为</w:t>
      </w:r>
      <w:r>
        <w:rPr>
          <w:rFonts w:ascii="宋体" w:hAnsi="宋体"/>
          <w:color w:val="auto"/>
          <w:spacing w:val="6"/>
          <w:sz w:val="24"/>
          <w:highlight w:val="none"/>
          <w:u w:val="single"/>
        </w:rPr>
        <w:t xml:space="preserve">   </w:t>
      </w:r>
      <w:r>
        <w:rPr>
          <w:rFonts w:hint="eastAsia" w:ascii="宋体" w:hAnsi="宋体"/>
          <w:color w:val="auto"/>
          <w:spacing w:val="6"/>
          <w:sz w:val="24"/>
          <w:highlight w:val="none"/>
        </w:rPr>
        <w:t>万元，属于</w:t>
      </w:r>
      <w:r>
        <w:rPr>
          <w:rFonts w:hint="eastAsia" w:ascii="宋体" w:hAnsi="宋体"/>
          <w:color w:val="auto"/>
          <w:spacing w:val="6"/>
          <w:sz w:val="24"/>
          <w:highlight w:val="none"/>
          <w:u w:val="single"/>
        </w:rPr>
        <w:t>（中型企业、小型企业、微型企业）</w:t>
      </w:r>
      <w:r>
        <w:rPr>
          <w:rFonts w:hint="eastAsia" w:ascii="宋体" w:hAnsi="宋体"/>
          <w:color w:val="auto"/>
          <w:spacing w:val="6"/>
          <w:sz w:val="24"/>
          <w:highlight w:val="none"/>
        </w:rPr>
        <w:t>；</w:t>
      </w:r>
    </w:p>
    <w:p w14:paraId="79C3DF85">
      <w:pPr>
        <w:pStyle w:val="5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w:t>
      </w:r>
    </w:p>
    <w:p w14:paraId="5A5DF045">
      <w:pPr>
        <w:pStyle w:val="5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以上企业，不属于大企业的分支机构，不存在控股股东为大企业的情形，也不存在与大企业的负责人为同一人的情形。</w:t>
      </w:r>
    </w:p>
    <w:p w14:paraId="458AB43D">
      <w:pPr>
        <w:pStyle w:val="59"/>
        <w:spacing w:line="360" w:lineRule="auto"/>
        <w:ind w:firstLine="504" w:firstLineChars="200"/>
        <w:rPr>
          <w:rFonts w:ascii="宋体" w:hAnsi="宋体"/>
          <w:color w:val="auto"/>
          <w:spacing w:val="6"/>
          <w:sz w:val="24"/>
          <w:highlight w:val="none"/>
        </w:rPr>
      </w:pPr>
      <w:r>
        <w:rPr>
          <w:rFonts w:hint="eastAsia" w:ascii="宋体" w:hAnsi="宋体"/>
          <w:color w:val="auto"/>
          <w:spacing w:val="6"/>
          <w:sz w:val="24"/>
          <w:highlight w:val="none"/>
        </w:rPr>
        <w:t>本企业对上述声明内容的真实性负责。如有虚假，将依法承担相应责任。</w:t>
      </w:r>
    </w:p>
    <w:p w14:paraId="09D0BE6F">
      <w:pPr>
        <w:pStyle w:val="59"/>
        <w:spacing w:line="360" w:lineRule="auto"/>
        <w:ind w:left="4253" w:leftChars="2025"/>
        <w:rPr>
          <w:rFonts w:ascii="宋体" w:hAnsi="宋体" w:cs="宋体"/>
          <w:color w:val="auto"/>
          <w:sz w:val="24"/>
          <w:highlight w:val="none"/>
        </w:rPr>
      </w:pPr>
    </w:p>
    <w:p w14:paraId="2DCA0809">
      <w:pPr>
        <w:pStyle w:val="59"/>
        <w:spacing w:line="360" w:lineRule="auto"/>
        <w:ind w:left="4253" w:leftChars="2025"/>
        <w:rPr>
          <w:rFonts w:ascii="宋体"/>
          <w:color w:val="auto"/>
          <w:sz w:val="24"/>
          <w:highlight w:val="none"/>
        </w:rPr>
      </w:pPr>
      <w:r>
        <w:rPr>
          <w:rFonts w:hint="eastAsia" w:ascii="宋体" w:hAnsi="宋体" w:cs="宋体"/>
          <w:color w:val="auto"/>
          <w:sz w:val="24"/>
          <w:highlight w:val="none"/>
        </w:rPr>
        <w:t>企业名称（公章或CA签章）：</w:t>
      </w:r>
    </w:p>
    <w:p w14:paraId="6DDC6EE4">
      <w:pPr>
        <w:pStyle w:val="59"/>
        <w:wordWrap w:val="0"/>
        <w:spacing w:line="360" w:lineRule="auto"/>
        <w:ind w:left="4253" w:leftChars="2025" w:right="360"/>
        <w:jc w:val="right"/>
        <w:rPr>
          <w:rFonts w:hint="eastAsia" w:ascii="宋体" w:hAnsi="宋体" w:cs="宋体"/>
          <w:color w:val="auto"/>
          <w:sz w:val="24"/>
          <w:highlight w:val="none"/>
        </w:rPr>
      </w:pPr>
      <w:r>
        <w:rPr>
          <w:rFonts w:hint="eastAsia" w:ascii="宋体" w:hAnsi="宋体" w:cs="宋体"/>
          <w:color w:val="auto"/>
          <w:sz w:val="24"/>
          <w:highlight w:val="none"/>
        </w:rPr>
        <w:t>日期：   年  月  日</w:t>
      </w:r>
    </w:p>
    <w:p w14:paraId="1EAC1770">
      <w:pPr>
        <w:pStyle w:val="59"/>
        <w:wordWrap/>
        <w:spacing w:line="360" w:lineRule="auto"/>
        <w:ind w:left="4253" w:leftChars="2025" w:right="360"/>
        <w:jc w:val="right"/>
        <w:rPr>
          <w:rFonts w:hint="eastAsia" w:ascii="宋体" w:hAnsi="宋体" w:cs="宋体"/>
          <w:color w:val="auto"/>
          <w:sz w:val="24"/>
          <w:highlight w:val="none"/>
        </w:rPr>
      </w:pPr>
    </w:p>
    <w:p w14:paraId="7086B6CB">
      <w:pPr>
        <w:pStyle w:val="59"/>
        <w:wordWrap/>
        <w:spacing w:line="360" w:lineRule="auto"/>
        <w:ind w:left="4253" w:leftChars="2025" w:right="360"/>
        <w:jc w:val="right"/>
        <w:rPr>
          <w:rFonts w:hint="eastAsia" w:ascii="宋体" w:hAnsi="宋体" w:cs="宋体"/>
          <w:color w:val="auto"/>
          <w:sz w:val="24"/>
          <w:highlight w:val="none"/>
        </w:rPr>
        <w:sectPr>
          <w:pgSz w:w="11906" w:h="16838"/>
          <w:pgMar w:top="1440" w:right="1800" w:bottom="1440" w:left="1800" w:header="851" w:footer="992" w:gutter="0"/>
          <w:cols w:space="425" w:num="1"/>
          <w:docGrid w:type="lines" w:linePitch="312" w:charSpace="0"/>
        </w:sectPr>
      </w:pPr>
    </w:p>
    <w:p w14:paraId="2886C381">
      <w:pPr>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rPr>
        <w:t>附件</w:t>
      </w:r>
      <w:r>
        <w:rPr>
          <w:rFonts w:hint="eastAsia" w:ascii="宋体" w:hAnsi="宋体" w:cs="宋体"/>
          <w:b/>
          <w:bCs/>
          <w:color w:val="auto"/>
          <w:sz w:val="28"/>
          <w:szCs w:val="36"/>
          <w:highlight w:val="none"/>
          <w:lang w:val="en-US" w:eastAsia="zh-CN"/>
        </w:rPr>
        <w:t>9</w:t>
      </w:r>
    </w:p>
    <w:p w14:paraId="7CB5260C">
      <w:pPr>
        <w:spacing w:line="360" w:lineRule="auto"/>
        <w:ind w:left="-2" w:hanging="2"/>
        <w:jc w:val="center"/>
        <w:rPr>
          <w:rFonts w:hint="eastAsia" w:ascii="宋体" w:hAnsi="宋体" w:cs="宋体"/>
          <w:b/>
          <w:color w:val="auto"/>
          <w:sz w:val="32"/>
          <w:szCs w:val="32"/>
          <w:highlight w:val="none"/>
        </w:rPr>
      </w:pPr>
    </w:p>
    <w:p w14:paraId="174B3EDC">
      <w:pPr>
        <w:spacing w:line="360" w:lineRule="auto"/>
        <w:ind w:left="-2" w:hanging="2"/>
        <w:jc w:val="center"/>
        <w:rPr>
          <w:rFonts w:ascii="宋体" w:hAnsi="宋体" w:cs="宋体"/>
          <w:b/>
          <w:color w:val="auto"/>
          <w:sz w:val="32"/>
          <w:szCs w:val="32"/>
          <w:highlight w:val="none"/>
        </w:rPr>
      </w:pPr>
      <w:r>
        <w:rPr>
          <w:rFonts w:hint="eastAsia" w:ascii="宋体" w:hAnsi="宋体" w:cs="宋体"/>
          <w:b/>
          <w:color w:val="auto"/>
          <w:sz w:val="32"/>
          <w:szCs w:val="32"/>
          <w:highlight w:val="none"/>
        </w:rPr>
        <w:t>残疾人福利性单位声明函</w:t>
      </w:r>
    </w:p>
    <w:p w14:paraId="65A6EEA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0A48A6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64520026">
      <w:pPr>
        <w:spacing w:line="360" w:lineRule="auto"/>
        <w:ind w:firstLine="480" w:firstLineChars="200"/>
        <w:rPr>
          <w:rFonts w:ascii="宋体" w:hAnsi="宋体" w:cs="宋体"/>
          <w:color w:val="auto"/>
          <w:sz w:val="24"/>
          <w:highlight w:val="none"/>
        </w:rPr>
      </w:pPr>
    </w:p>
    <w:p w14:paraId="287D0143">
      <w:pPr>
        <w:spacing w:line="360" w:lineRule="auto"/>
        <w:ind w:firstLine="2640" w:firstLineChars="1100"/>
        <w:rPr>
          <w:rFonts w:ascii="宋体" w:hAnsi="宋体" w:cs="宋体"/>
          <w:color w:val="auto"/>
          <w:sz w:val="24"/>
          <w:szCs w:val="32"/>
          <w:highlight w:val="none"/>
        </w:rPr>
      </w:pPr>
      <w:r>
        <w:rPr>
          <w:rFonts w:hint="eastAsia" w:ascii="宋体" w:hAnsi="宋体" w:cs="宋体"/>
          <w:color w:val="auto"/>
          <w:sz w:val="24"/>
          <w:szCs w:val="32"/>
          <w:highlight w:val="none"/>
        </w:rPr>
        <w:t>磋商供应商（单位公章）：</w:t>
      </w:r>
    </w:p>
    <w:p w14:paraId="5FA513FB">
      <w:pPr>
        <w:spacing w:line="360" w:lineRule="auto"/>
        <w:ind w:firstLine="4800" w:firstLineChars="2000"/>
        <w:rPr>
          <w:rFonts w:ascii="宋体" w:hAnsi="宋体" w:cs="宋体"/>
          <w:color w:val="auto"/>
          <w:sz w:val="24"/>
          <w:szCs w:val="32"/>
          <w:highlight w:val="none"/>
        </w:rPr>
      </w:pPr>
      <w:r>
        <w:rPr>
          <w:rFonts w:hint="eastAsia" w:ascii="宋体" w:hAnsi="宋体" w:cs="宋体"/>
          <w:color w:val="auto"/>
          <w:sz w:val="24"/>
          <w:szCs w:val="32"/>
          <w:highlight w:val="none"/>
        </w:rPr>
        <w:t xml:space="preserve">日期：     </w:t>
      </w:r>
    </w:p>
    <w:p w14:paraId="25028E4C">
      <w:pPr>
        <w:pStyle w:val="59"/>
        <w:wordWrap/>
        <w:spacing w:line="360" w:lineRule="auto"/>
        <w:ind w:left="4253" w:leftChars="2025" w:right="360"/>
        <w:jc w:val="right"/>
        <w:rPr>
          <w:rFonts w:hint="eastAsia" w:ascii="宋体" w:hAnsi="宋体" w:cs="宋体"/>
          <w:color w:val="auto"/>
          <w:sz w:val="24"/>
          <w:highlight w:val="none"/>
        </w:rPr>
        <w:sectPr>
          <w:pgSz w:w="11906" w:h="16838"/>
          <w:pgMar w:top="1440" w:right="1800" w:bottom="1440" w:left="1800" w:header="851" w:footer="992" w:gutter="0"/>
          <w:cols w:space="425" w:num="1"/>
          <w:docGrid w:type="lines" w:linePitch="312" w:charSpace="0"/>
        </w:sectPr>
      </w:pPr>
    </w:p>
    <w:p w14:paraId="1AB9FA56">
      <w:pPr>
        <w:pStyle w:val="59"/>
        <w:wordWrap/>
        <w:spacing w:line="360" w:lineRule="auto"/>
        <w:ind w:right="360"/>
        <w:jc w:val="both"/>
        <w:rPr>
          <w:rFonts w:hint="default" w:ascii="宋体" w:hAnsi="宋体" w:eastAsia="宋体" w:cs="宋体"/>
          <w:b/>
          <w:bCs/>
          <w:color w:val="auto"/>
          <w:kern w:val="2"/>
          <w:sz w:val="28"/>
          <w:szCs w:val="36"/>
          <w:highlight w:val="none"/>
          <w:lang w:val="en-US" w:eastAsia="zh-CN" w:bidi="ar-SA"/>
        </w:rPr>
      </w:pPr>
      <w:r>
        <w:rPr>
          <w:rFonts w:hint="eastAsia" w:ascii="宋体" w:hAnsi="宋体" w:eastAsia="宋体" w:cs="宋体"/>
          <w:b/>
          <w:bCs/>
          <w:color w:val="auto"/>
          <w:kern w:val="2"/>
          <w:sz w:val="28"/>
          <w:szCs w:val="36"/>
          <w:highlight w:val="none"/>
          <w:lang w:val="en-US" w:eastAsia="zh-CN" w:bidi="ar-SA"/>
        </w:rPr>
        <w:t>附件10</w:t>
      </w:r>
    </w:p>
    <w:p w14:paraId="217882F7">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供应商基本情况表</w:t>
      </w:r>
    </w:p>
    <w:tbl>
      <w:tblPr>
        <w:tblStyle w:val="28"/>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14:paraId="4717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14:paraId="244B79B1">
            <w:pPr>
              <w:pStyle w:val="49"/>
              <w:keepNext w:val="0"/>
              <w:keepLines w:val="0"/>
              <w:suppressLineNumbers w:val="0"/>
              <w:shd w:val="clear" w:color="auto" w:fill="FFFFFF"/>
              <w:spacing w:line="360" w:lineRule="auto"/>
              <w:ind w:left="0" w:right="0"/>
              <w:jc w:val="both"/>
              <w:rPr>
                <w:rFonts w:hint="default"/>
                <w:bCs/>
                <w:color w:val="auto"/>
                <w:highlight w:val="none"/>
              </w:rPr>
            </w:pPr>
            <w:r>
              <w:rPr>
                <w:rFonts w:hint="eastAsia"/>
                <w:bCs/>
                <w:color w:val="auto"/>
                <w:spacing w:val="27"/>
                <w:highlight w:val="none"/>
              </w:rPr>
              <w:t>企业名称</w:t>
            </w:r>
          </w:p>
        </w:tc>
        <w:tc>
          <w:tcPr>
            <w:tcW w:w="3765" w:type="dxa"/>
            <w:gridSpan w:val="6"/>
            <w:vAlign w:val="center"/>
          </w:tcPr>
          <w:p w14:paraId="6D6FFA51">
            <w:pPr>
              <w:pStyle w:val="49"/>
              <w:keepNext w:val="0"/>
              <w:keepLines w:val="0"/>
              <w:suppressLineNumbers w:val="0"/>
              <w:shd w:val="clear" w:color="auto" w:fill="FFFFFF"/>
              <w:spacing w:line="360" w:lineRule="auto"/>
              <w:ind w:left="0" w:right="0"/>
              <w:jc w:val="both"/>
              <w:rPr>
                <w:rFonts w:hint="default"/>
                <w:bCs/>
                <w:color w:val="auto"/>
                <w:highlight w:val="none"/>
              </w:rPr>
            </w:pPr>
          </w:p>
        </w:tc>
        <w:tc>
          <w:tcPr>
            <w:tcW w:w="1560" w:type="dxa"/>
            <w:vAlign w:val="center"/>
          </w:tcPr>
          <w:p w14:paraId="2F1BC1AE">
            <w:pPr>
              <w:pStyle w:val="49"/>
              <w:keepNext w:val="0"/>
              <w:keepLines w:val="0"/>
              <w:suppressLineNumbers w:val="0"/>
              <w:shd w:val="clear" w:color="auto" w:fill="FFFFFF"/>
              <w:spacing w:line="360" w:lineRule="auto"/>
              <w:ind w:left="0" w:right="0"/>
              <w:jc w:val="center"/>
              <w:rPr>
                <w:rFonts w:hint="default"/>
                <w:bCs/>
                <w:color w:val="auto"/>
                <w:highlight w:val="none"/>
              </w:rPr>
            </w:pPr>
            <w:r>
              <w:rPr>
                <w:rFonts w:hint="eastAsia"/>
                <w:bCs/>
                <w:color w:val="auto"/>
                <w:spacing w:val="16"/>
                <w:highlight w:val="none"/>
              </w:rPr>
              <w:t>法人代表</w:t>
            </w:r>
          </w:p>
        </w:tc>
        <w:tc>
          <w:tcPr>
            <w:tcW w:w="2608" w:type="dxa"/>
            <w:gridSpan w:val="3"/>
            <w:vAlign w:val="center"/>
          </w:tcPr>
          <w:p w14:paraId="5A37B596">
            <w:pPr>
              <w:pStyle w:val="49"/>
              <w:keepNext w:val="0"/>
              <w:keepLines w:val="0"/>
              <w:suppressLineNumbers w:val="0"/>
              <w:shd w:val="clear" w:color="auto" w:fill="FFFFFF"/>
              <w:spacing w:line="360" w:lineRule="auto"/>
              <w:ind w:left="0" w:right="0"/>
              <w:jc w:val="both"/>
              <w:rPr>
                <w:rFonts w:hint="default"/>
                <w:bCs/>
                <w:color w:val="auto"/>
                <w:highlight w:val="none"/>
              </w:rPr>
            </w:pPr>
          </w:p>
        </w:tc>
      </w:tr>
      <w:tr w14:paraId="6724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14:paraId="10BE0796">
            <w:pPr>
              <w:pStyle w:val="49"/>
              <w:keepNext w:val="0"/>
              <w:keepLines w:val="0"/>
              <w:suppressLineNumbers w:val="0"/>
              <w:shd w:val="clear" w:color="auto" w:fill="FFFFFF"/>
              <w:spacing w:line="360" w:lineRule="auto"/>
              <w:ind w:left="0" w:right="0"/>
              <w:jc w:val="both"/>
              <w:rPr>
                <w:rFonts w:hint="default"/>
                <w:bCs/>
                <w:color w:val="auto"/>
                <w:spacing w:val="16"/>
                <w:highlight w:val="none"/>
              </w:rPr>
            </w:pPr>
            <w:r>
              <w:rPr>
                <w:rFonts w:hint="eastAsia"/>
                <w:bCs/>
                <w:color w:val="auto"/>
                <w:spacing w:val="27"/>
                <w:highlight w:val="none"/>
              </w:rPr>
              <w:t>地址</w:t>
            </w:r>
          </w:p>
        </w:tc>
        <w:tc>
          <w:tcPr>
            <w:tcW w:w="3765" w:type="dxa"/>
            <w:gridSpan w:val="6"/>
            <w:tcBorders>
              <w:bottom w:val="single" w:color="auto" w:sz="4" w:space="0"/>
            </w:tcBorders>
            <w:vAlign w:val="center"/>
          </w:tcPr>
          <w:p w14:paraId="3D4A8A1A">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c>
          <w:tcPr>
            <w:tcW w:w="1560" w:type="dxa"/>
            <w:vAlign w:val="center"/>
          </w:tcPr>
          <w:p w14:paraId="33E7E589">
            <w:pPr>
              <w:pStyle w:val="49"/>
              <w:keepNext w:val="0"/>
              <w:keepLines w:val="0"/>
              <w:suppressLineNumbers w:val="0"/>
              <w:shd w:val="clear" w:color="auto" w:fill="FFFFFF"/>
              <w:spacing w:line="360" w:lineRule="auto"/>
              <w:ind w:left="0" w:right="0"/>
              <w:jc w:val="center"/>
              <w:rPr>
                <w:rFonts w:hint="default"/>
                <w:bCs/>
                <w:color w:val="auto"/>
                <w:spacing w:val="16"/>
                <w:highlight w:val="none"/>
              </w:rPr>
            </w:pPr>
            <w:r>
              <w:rPr>
                <w:rFonts w:hint="eastAsia"/>
                <w:bCs/>
                <w:color w:val="auto"/>
                <w:spacing w:val="16"/>
                <w:highlight w:val="none"/>
              </w:rPr>
              <w:t>企业性质</w:t>
            </w:r>
          </w:p>
        </w:tc>
        <w:tc>
          <w:tcPr>
            <w:tcW w:w="2608" w:type="dxa"/>
            <w:gridSpan w:val="3"/>
            <w:vAlign w:val="center"/>
          </w:tcPr>
          <w:p w14:paraId="6C7EFE06">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r>
      <w:tr w14:paraId="5212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14:paraId="04E2DA8A">
            <w:pPr>
              <w:pStyle w:val="49"/>
              <w:keepNext w:val="0"/>
              <w:keepLines w:val="0"/>
              <w:suppressLineNumbers w:val="0"/>
              <w:shd w:val="clear" w:color="auto" w:fill="FFFFFF"/>
              <w:spacing w:line="360" w:lineRule="auto"/>
              <w:ind w:left="0" w:right="0"/>
              <w:jc w:val="both"/>
              <w:rPr>
                <w:rFonts w:hint="default"/>
                <w:bCs/>
                <w:color w:val="auto"/>
                <w:spacing w:val="16"/>
                <w:highlight w:val="none"/>
              </w:rPr>
            </w:pPr>
            <w:r>
              <w:rPr>
                <w:rFonts w:hint="eastAsia"/>
                <w:bCs/>
                <w:color w:val="auto"/>
                <w:spacing w:val="27"/>
                <w:highlight w:val="none"/>
              </w:rPr>
              <w:t>股东姓名</w:t>
            </w:r>
          </w:p>
        </w:tc>
        <w:tc>
          <w:tcPr>
            <w:tcW w:w="690" w:type="dxa"/>
            <w:tcBorders>
              <w:bottom w:val="single" w:color="auto" w:sz="4" w:space="0"/>
            </w:tcBorders>
            <w:vAlign w:val="center"/>
          </w:tcPr>
          <w:p w14:paraId="6D379279">
            <w:pPr>
              <w:pStyle w:val="49"/>
              <w:keepNext w:val="0"/>
              <w:keepLines w:val="0"/>
              <w:suppressLineNumbers w:val="0"/>
              <w:shd w:val="clear" w:color="auto" w:fill="FFFFFF"/>
              <w:spacing w:before="0" w:beforeAutospacing="0" w:after="0" w:afterAutospacing="0" w:line="360" w:lineRule="auto"/>
              <w:ind w:left="0" w:right="0"/>
              <w:jc w:val="both"/>
              <w:rPr>
                <w:rFonts w:hint="default"/>
                <w:bCs/>
                <w:color w:val="auto"/>
                <w:spacing w:val="16"/>
                <w:highlight w:val="none"/>
              </w:rPr>
            </w:pPr>
          </w:p>
        </w:tc>
        <w:tc>
          <w:tcPr>
            <w:tcW w:w="960" w:type="dxa"/>
            <w:gridSpan w:val="2"/>
            <w:tcBorders>
              <w:bottom w:val="single" w:color="auto" w:sz="4" w:space="0"/>
            </w:tcBorders>
            <w:vAlign w:val="center"/>
          </w:tcPr>
          <w:p w14:paraId="76999878">
            <w:pPr>
              <w:pStyle w:val="49"/>
              <w:keepNext w:val="0"/>
              <w:keepLines w:val="0"/>
              <w:suppressLineNumbers w:val="0"/>
              <w:shd w:val="clear" w:color="auto" w:fill="FFFFFF"/>
              <w:spacing w:line="360" w:lineRule="auto"/>
              <w:ind w:left="0" w:right="0"/>
              <w:jc w:val="both"/>
              <w:rPr>
                <w:rFonts w:hint="default"/>
                <w:bCs/>
                <w:color w:val="auto"/>
                <w:spacing w:val="16"/>
                <w:highlight w:val="none"/>
              </w:rPr>
            </w:pPr>
            <w:r>
              <w:rPr>
                <w:rFonts w:hint="eastAsia"/>
                <w:bCs/>
                <w:color w:val="auto"/>
                <w:spacing w:val="16"/>
                <w:highlight w:val="none"/>
              </w:rPr>
              <w:t>股权结构（%）</w:t>
            </w:r>
          </w:p>
        </w:tc>
        <w:tc>
          <w:tcPr>
            <w:tcW w:w="2115" w:type="dxa"/>
            <w:gridSpan w:val="3"/>
            <w:tcBorders>
              <w:bottom w:val="single" w:color="auto" w:sz="4" w:space="0"/>
            </w:tcBorders>
            <w:vAlign w:val="center"/>
          </w:tcPr>
          <w:p w14:paraId="6D56AF32">
            <w:pPr>
              <w:keepNext w:val="0"/>
              <w:keepLines w:val="0"/>
              <w:widowControl/>
              <w:suppressLineNumbers w:val="0"/>
              <w:spacing w:before="0" w:beforeAutospacing="0" w:after="0" w:afterAutospacing="0" w:line="360" w:lineRule="auto"/>
              <w:ind w:left="0" w:right="0"/>
              <w:rPr>
                <w:rFonts w:hint="default" w:ascii="宋体" w:hAnsi="宋体" w:cs="宋体"/>
                <w:bCs/>
                <w:color w:val="auto"/>
                <w:spacing w:val="16"/>
                <w:kern w:val="0"/>
                <w:sz w:val="24"/>
                <w:highlight w:val="none"/>
              </w:rPr>
            </w:pPr>
          </w:p>
          <w:p w14:paraId="30243B1F">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c>
          <w:tcPr>
            <w:tcW w:w="1560" w:type="dxa"/>
            <w:vAlign w:val="center"/>
          </w:tcPr>
          <w:p w14:paraId="5648F7FD">
            <w:pPr>
              <w:pStyle w:val="49"/>
              <w:keepNext w:val="0"/>
              <w:keepLines w:val="0"/>
              <w:suppressLineNumbers w:val="0"/>
              <w:shd w:val="clear" w:color="auto" w:fill="FFFFFF"/>
              <w:spacing w:line="360" w:lineRule="auto"/>
              <w:ind w:left="107" w:right="0"/>
              <w:jc w:val="center"/>
              <w:rPr>
                <w:rFonts w:hint="default"/>
                <w:bCs/>
                <w:color w:val="auto"/>
                <w:spacing w:val="16"/>
                <w:highlight w:val="none"/>
              </w:rPr>
            </w:pPr>
            <w:r>
              <w:rPr>
                <w:rFonts w:hint="eastAsia"/>
                <w:bCs/>
                <w:color w:val="auto"/>
                <w:spacing w:val="16"/>
                <w:highlight w:val="none"/>
              </w:rPr>
              <w:t>股东关系</w:t>
            </w:r>
          </w:p>
        </w:tc>
        <w:tc>
          <w:tcPr>
            <w:tcW w:w="2608" w:type="dxa"/>
            <w:gridSpan w:val="3"/>
            <w:vAlign w:val="center"/>
          </w:tcPr>
          <w:p w14:paraId="00C71520">
            <w:pPr>
              <w:pStyle w:val="49"/>
              <w:keepNext w:val="0"/>
              <w:keepLines w:val="0"/>
              <w:suppressLineNumbers w:val="0"/>
              <w:shd w:val="clear" w:color="auto" w:fill="FFFFFF"/>
              <w:spacing w:line="360" w:lineRule="auto"/>
              <w:ind w:left="107" w:right="0"/>
              <w:jc w:val="both"/>
              <w:rPr>
                <w:rFonts w:hint="default"/>
                <w:bCs/>
                <w:color w:val="auto"/>
                <w:spacing w:val="16"/>
                <w:highlight w:val="none"/>
              </w:rPr>
            </w:pPr>
          </w:p>
        </w:tc>
      </w:tr>
      <w:tr w14:paraId="3224A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14:paraId="5438851E">
            <w:pPr>
              <w:pStyle w:val="49"/>
              <w:keepNext w:val="0"/>
              <w:keepLines w:val="0"/>
              <w:suppressLineNumbers w:val="0"/>
              <w:shd w:val="clear" w:color="auto" w:fill="FFFFFF"/>
              <w:spacing w:line="360" w:lineRule="auto"/>
              <w:ind w:left="0" w:right="0"/>
              <w:jc w:val="both"/>
              <w:rPr>
                <w:rFonts w:hint="default"/>
                <w:bCs/>
                <w:color w:val="auto"/>
                <w:spacing w:val="16"/>
                <w:highlight w:val="none"/>
              </w:rPr>
            </w:pPr>
            <w:r>
              <w:rPr>
                <w:rFonts w:hint="eastAsia"/>
                <w:bCs/>
                <w:color w:val="auto"/>
                <w:spacing w:val="12"/>
                <w:highlight w:val="none"/>
              </w:rPr>
              <w:t>联系人</w:t>
            </w:r>
            <w:r>
              <w:rPr>
                <w:rFonts w:hint="eastAsia"/>
                <w:bCs/>
                <w:color w:val="auto"/>
                <w:spacing w:val="27"/>
                <w:highlight w:val="none"/>
              </w:rPr>
              <w:t>姓名</w:t>
            </w:r>
          </w:p>
        </w:tc>
        <w:tc>
          <w:tcPr>
            <w:tcW w:w="690" w:type="dxa"/>
            <w:vMerge w:val="restart"/>
            <w:tcBorders>
              <w:top w:val="nil"/>
            </w:tcBorders>
            <w:vAlign w:val="center"/>
          </w:tcPr>
          <w:p w14:paraId="0A84F888">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c>
          <w:tcPr>
            <w:tcW w:w="960" w:type="dxa"/>
            <w:gridSpan w:val="2"/>
            <w:tcBorders>
              <w:top w:val="nil"/>
              <w:bottom w:val="single" w:color="auto" w:sz="4" w:space="0"/>
            </w:tcBorders>
            <w:vAlign w:val="center"/>
          </w:tcPr>
          <w:p w14:paraId="6A6043A3">
            <w:pPr>
              <w:pStyle w:val="49"/>
              <w:keepNext w:val="0"/>
              <w:keepLines w:val="0"/>
              <w:suppressLineNumbers w:val="0"/>
              <w:shd w:val="clear" w:color="auto" w:fill="FFFFFF"/>
              <w:spacing w:line="360" w:lineRule="auto"/>
              <w:ind w:left="0" w:right="0"/>
              <w:jc w:val="both"/>
              <w:rPr>
                <w:rFonts w:hint="default"/>
                <w:bCs/>
                <w:color w:val="auto"/>
                <w:spacing w:val="16"/>
                <w:highlight w:val="none"/>
              </w:rPr>
            </w:pPr>
            <w:r>
              <w:rPr>
                <w:rFonts w:hint="eastAsia"/>
                <w:bCs/>
                <w:color w:val="auto"/>
                <w:spacing w:val="16"/>
                <w:highlight w:val="none"/>
              </w:rPr>
              <w:t>固定电话</w:t>
            </w:r>
          </w:p>
        </w:tc>
        <w:tc>
          <w:tcPr>
            <w:tcW w:w="2115" w:type="dxa"/>
            <w:gridSpan w:val="3"/>
            <w:tcBorders>
              <w:top w:val="nil"/>
              <w:bottom w:val="single" w:color="auto" w:sz="4" w:space="0"/>
            </w:tcBorders>
            <w:vAlign w:val="center"/>
          </w:tcPr>
          <w:p w14:paraId="256A6C96">
            <w:pPr>
              <w:keepNext w:val="0"/>
              <w:keepLines w:val="0"/>
              <w:widowControl/>
              <w:suppressLineNumbers w:val="0"/>
              <w:spacing w:before="0" w:beforeAutospacing="0" w:after="0" w:afterAutospacing="0" w:line="360" w:lineRule="auto"/>
              <w:ind w:left="0" w:right="0"/>
              <w:rPr>
                <w:rFonts w:hint="default" w:ascii="宋体" w:hAnsi="宋体" w:cs="宋体"/>
                <w:bCs/>
                <w:color w:val="auto"/>
                <w:spacing w:val="16"/>
                <w:kern w:val="0"/>
                <w:sz w:val="24"/>
                <w:highlight w:val="none"/>
              </w:rPr>
            </w:pPr>
          </w:p>
          <w:p w14:paraId="13F1FFA0">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c>
          <w:tcPr>
            <w:tcW w:w="1560" w:type="dxa"/>
            <w:vMerge w:val="restart"/>
            <w:vAlign w:val="center"/>
          </w:tcPr>
          <w:p w14:paraId="33E6DE8E">
            <w:pPr>
              <w:pStyle w:val="49"/>
              <w:keepNext w:val="0"/>
              <w:keepLines w:val="0"/>
              <w:suppressLineNumbers w:val="0"/>
              <w:shd w:val="clear" w:color="auto" w:fill="FFFFFF"/>
              <w:spacing w:before="0" w:beforeAutospacing="0" w:after="0" w:afterAutospacing="0" w:line="360" w:lineRule="auto"/>
              <w:ind w:left="0" w:right="0"/>
              <w:jc w:val="center"/>
              <w:rPr>
                <w:rFonts w:hint="default"/>
                <w:bCs/>
                <w:color w:val="auto"/>
                <w:spacing w:val="16"/>
                <w:highlight w:val="none"/>
              </w:rPr>
            </w:pPr>
            <w:r>
              <w:rPr>
                <w:rFonts w:hint="eastAsia"/>
                <w:bCs/>
                <w:color w:val="auto"/>
                <w:spacing w:val="16"/>
                <w:highlight w:val="none"/>
              </w:rPr>
              <w:t>传真</w:t>
            </w:r>
          </w:p>
        </w:tc>
        <w:tc>
          <w:tcPr>
            <w:tcW w:w="2608" w:type="dxa"/>
            <w:gridSpan w:val="3"/>
            <w:vMerge w:val="restart"/>
            <w:vAlign w:val="center"/>
          </w:tcPr>
          <w:p w14:paraId="094E3494">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r>
      <w:tr w14:paraId="147BC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14:paraId="2B09A02B">
            <w:pPr>
              <w:pStyle w:val="49"/>
              <w:keepNext w:val="0"/>
              <w:keepLines w:val="0"/>
              <w:suppressLineNumbers w:val="0"/>
              <w:shd w:val="clear" w:color="auto" w:fill="FFFFFF"/>
              <w:spacing w:line="360" w:lineRule="auto"/>
              <w:ind w:left="107" w:right="0"/>
              <w:jc w:val="both"/>
              <w:rPr>
                <w:rFonts w:hint="default"/>
                <w:bCs/>
                <w:color w:val="auto"/>
                <w:highlight w:val="none"/>
              </w:rPr>
            </w:pPr>
          </w:p>
        </w:tc>
        <w:tc>
          <w:tcPr>
            <w:tcW w:w="690" w:type="dxa"/>
            <w:vMerge w:val="continue"/>
            <w:tcBorders>
              <w:bottom w:val="single" w:color="auto" w:sz="4" w:space="0"/>
            </w:tcBorders>
            <w:vAlign w:val="center"/>
          </w:tcPr>
          <w:p w14:paraId="41D28AD2">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c>
          <w:tcPr>
            <w:tcW w:w="960" w:type="dxa"/>
            <w:gridSpan w:val="2"/>
            <w:tcBorders>
              <w:bottom w:val="single" w:color="auto" w:sz="4" w:space="0"/>
            </w:tcBorders>
            <w:vAlign w:val="center"/>
          </w:tcPr>
          <w:p w14:paraId="167FEBD5">
            <w:pPr>
              <w:pStyle w:val="49"/>
              <w:keepNext w:val="0"/>
              <w:keepLines w:val="0"/>
              <w:suppressLineNumbers w:val="0"/>
              <w:shd w:val="clear" w:color="auto" w:fill="FFFFFF"/>
              <w:spacing w:line="360" w:lineRule="auto"/>
              <w:ind w:left="0" w:right="0"/>
              <w:jc w:val="both"/>
              <w:rPr>
                <w:rFonts w:hint="default"/>
                <w:bCs/>
                <w:color w:val="auto"/>
                <w:spacing w:val="16"/>
                <w:highlight w:val="none"/>
              </w:rPr>
            </w:pPr>
            <w:r>
              <w:rPr>
                <w:rFonts w:hint="eastAsia"/>
                <w:bCs/>
                <w:color w:val="auto"/>
                <w:spacing w:val="27"/>
                <w:highlight w:val="none"/>
              </w:rPr>
              <w:t>手机</w:t>
            </w:r>
          </w:p>
        </w:tc>
        <w:tc>
          <w:tcPr>
            <w:tcW w:w="2115" w:type="dxa"/>
            <w:gridSpan w:val="3"/>
            <w:tcBorders>
              <w:bottom w:val="single" w:color="auto" w:sz="4" w:space="0"/>
            </w:tcBorders>
            <w:vAlign w:val="center"/>
          </w:tcPr>
          <w:p w14:paraId="266FEEB9">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c>
          <w:tcPr>
            <w:tcW w:w="1560" w:type="dxa"/>
            <w:vMerge w:val="continue"/>
            <w:vAlign w:val="center"/>
          </w:tcPr>
          <w:p w14:paraId="2098E401">
            <w:pPr>
              <w:pStyle w:val="49"/>
              <w:keepNext w:val="0"/>
              <w:keepLines w:val="0"/>
              <w:suppressLineNumbers w:val="0"/>
              <w:shd w:val="clear" w:color="auto" w:fill="FFFFFF"/>
              <w:spacing w:line="360" w:lineRule="auto"/>
              <w:ind w:left="0" w:right="0"/>
              <w:jc w:val="center"/>
              <w:rPr>
                <w:rFonts w:hint="default"/>
                <w:bCs/>
                <w:color w:val="auto"/>
                <w:spacing w:val="16"/>
                <w:highlight w:val="none"/>
              </w:rPr>
            </w:pPr>
          </w:p>
        </w:tc>
        <w:tc>
          <w:tcPr>
            <w:tcW w:w="2608" w:type="dxa"/>
            <w:gridSpan w:val="3"/>
            <w:vMerge w:val="continue"/>
            <w:vAlign w:val="center"/>
          </w:tcPr>
          <w:p w14:paraId="231AF0A3">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r>
      <w:tr w14:paraId="105BB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14:paraId="7828F9E5">
            <w:pPr>
              <w:pStyle w:val="49"/>
              <w:keepNext w:val="0"/>
              <w:keepLines w:val="0"/>
              <w:suppressLineNumbers w:val="0"/>
              <w:shd w:val="clear" w:color="auto" w:fill="FFFFFF"/>
              <w:spacing w:line="360" w:lineRule="auto"/>
              <w:ind w:left="107" w:right="0"/>
              <w:jc w:val="both"/>
              <w:rPr>
                <w:rFonts w:hint="default"/>
                <w:bCs/>
                <w:color w:val="auto"/>
                <w:highlight w:val="none"/>
              </w:rPr>
            </w:pPr>
            <w:r>
              <w:rPr>
                <w:rFonts w:hint="eastAsia"/>
                <w:bCs/>
                <w:color w:val="auto"/>
                <w:highlight w:val="none"/>
              </w:rPr>
              <w:t>1.</w:t>
            </w:r>
          </w:p>
          <w:p w14:paraId="07EFAD20">
            <w:pPr>
              <w:pStyle w:val="49"/>
              <w:keepNext w:val="0"/>
              <w:keepLines w:val="0"/>
              <w:suppressLineNumbers w:val="0"/>
              <w:shd w:val="clear" w:color="auto" w:fill="FFFFFF"/>
              <w:spacing w:line="360" w:lineRule="auto"/>
              <w:ind w:left="107" w:right="0"/>
              <w:jc w:val="both"/>
              <w:rPr>
                <w:rFonts w:hint="default"/>
                <w:bCs/>
                <w:color w:val="auto"/>
                <w:highlight w:val="none"/>
              </w:rPr>
            </w:pPr>
            <w:r>
              <w:rPr>
                <w:rFonts w:hint="eastAsia"/>
                <w:bCs/>
                <w:color w:val="auto"/>
                <w:highlight w:val="none"/>
              </w:rPr>
              <w:t>企</w:t>
            </w:r>
          </w:p>
          <w:p w14:paraId="09F54AC0">
            <w:pPr>
              <w:pStyle w:val="49"/>
              <w:keepNext w:val="0"/>
              <w:keepLines w:val="0"/>
              <w:suppressLineNumbers w:val="0"/>
              <w:shd w:val="clear" w:color="auto" w:fill="FFFFFF"/>
              <w:spacing w:line="360" w:lineRule="auto"/>
              <w:ind w:left="107" w:right="0"/>
              <w:jc w:val="both"/>
              <w:rPr>
                <w:rFonts w:hint="default"/>
                <w:bCs/>
                <w:color w:val="auto"/>
                <w:highlight w:val="none"/>
              </w:rPr>
            </w:pPr>
            <w:r>
              <w:rPr>
                <w:rFonts w:hint="eastAsia"/>
                <w:bCs/>
                <w:color w:val="auto"/>
                <w:highlight w:val="none"/>
              </w:rPr>
              <w:t>业</w:t>
            </w:r>
          </w:p>
          <w:p w14:paraId="67B8F8CB">
            <w:pPr>
              <w:pStyle w:val="49"/>
              <w:keepNext w:val="0"/>
              <w:keepLines w:val="0"/>
              <w:suppressLineNumbers w:val="0"/>
              <w:shd w:val="clear" w:color="auto" w:fill="FFFFFF"/>
              <w:spacing w:line="360" w:lineRule="auto"/>
              <w:ind w:left="107" w:right="0"/>
              <w:jc w:val="both"/>
              <w:rPr>
                <w:rFonts w:hint="default"/>
                <w:bCs/>
                <w:color w:val="auto"/>
                <w:spacing w:val="27"/>
                <w:highlight w:val="none"/>
              </w:rPr>
            </w:pPr>
            <w:r>
              <w:rPr>
                <w:rFonts w:hint="eastAsia"/>
                <w:bCs/>
                <w:color w:val="auto"/>
                <w:spacing w:val="27"/>
                <w:highlight w:val="none"/>
              </w:rPr>
              <w:t>概</w:t>
            </w:r>
          </w:p>
          <w:p w14:paraId="293DD20C">
            <w:pPr>
              <w:pStyle w:val="49"/>
              <w:keepNext w:val="0"/>
              <w:keepLines w:val="0"/>
              <w:suppressLineNumbers w:val="0"/>
              <w:shd w:val="clear" w:color="auto" w:fill="FFFFFF"/>
              <w:spacing w:line="360" w:lineRule="auto"/>
              <w:ind w:left="107" w:right="0"/>
              <w:jc w:val="both"/>
              <w:rPr>
                <w:rFonts w:hint="default"/>
                <w:bCs/>
                <w:color w:val="auto"/>
                <w:highlight w:val="none"/>
              </w:rPr>
            </w:pPr>
            <w:r>
              <w:rPr>
                <w:rFonts w:hint="eastAsia"/>
                <w:bCs/>
                <w:color w:val="auto"/>
                <w:spacing w:val="27"/>
                <w:highlight w:val="none"/>
              </w:rPr>
              <w:t>况</w:t>
            </w:r>
          </w:p>
        </w:tc>
        <w:tc>
          <w:tcPr>
            <w:tcW w:w="690" w:type="dxa"/>
            <w:tcBorders>
              <w:top w:val="nil"/>
            </w:tcBorders>
            <w:vAlign w:val="center"/>
          </w:tcPr>
          <w:p w14:paraId="17613383">
            <w:pPr>
              <w:pStyle w:val="49"/>
              <w:keepNext w:val="0"/>
              <w:keepLines w:val="0"/>
              <w:suppressLineNumbers w:val="0"/>
              <w:shd w:val="clear" w:color="auto" w:fill="FFFFFF"/>
              <w:spacing w:line="360" w:lineRule="auto"/>
              <w:ind w:left="0" w:right="0"/>
              <w:jc w:val="both"/>
              <w:rPr>
                <w:rFonts w:hint="default"/>
                <w:bCs/>
                <w:color w:val="auto"/>
                <w:spacing w:val="16"/>
                <w:highlight w:val="none"/>
              </w:rPr>
            </w:pPr>
            <w:r>
              <w:rPr>
                <w:rFonts w:hint="eastAsia"/>
                <w:bCs/>
                <w:color w:val="auto"/>
                <w:spacing w:val="16"/>
                <w:highlight w:val="none"/>
              </w:rPr>
              <w:t>职工人数</w:t>
            </w:r>
          </w:p>
        </w:tc>
        <w:tc>
          <w:tcPr>
            <w:tcW w:w="960" w:type="dxa"/>
            <w:gridSpan w:val="2"/>
            <w:tcBorders>
              <w:top w:val="nil"/>
            </w:tcBorders>
            <w:vAlign w:val="center"/>
          </w:tcPr>
          <w:p w14:paraId="6BC4F13B">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c>
          <w:tcPr>
            <w:tcW w:w="926" w:type="dxa"/>
            <w:tcBorders>
              <w:top w:val="nil"/>
            </w:tcBorders>
            <w:vAlign w:val="center"/>
          </w:tcPr>
          <w:p w14:paraId="63F48827">
            <w:pPr>
              <w:pStyle w:val="49"/>
              <w:keepNext w:val="0"/>
              <w:keepLines w:val="0"/>
              <w:suppressLineNumbers w:val="0"/>
              <w:shd w:val="clear" w:color="auto" w:fill="FFFFFF"/>
              <w:spacing w:before="0" w:beforeAutospacing="0" w:after="0" w:afterAutospacing="0" w:line="360" w:lineRule="auto"/>
              <w:ind w:left="0" w:right="0"/>
              <w:jc w:val="both"/>
              <w:rPr>
                <w:rFonts w:hint="default"/>
                <w:bCs/>
                <w:color w:val="auto"/>
                <w:highlight w:val="none"/>
              </w:rPr>
            </w:pPr>
            <w:r>
              <w:rPr>
                <w:rFonts w:hint="eastAsia"/>
                <w:bCs/>
                <w:color w:val="auto"/>
                <w:spacing w:val="18"/>
                <w:highlight w:val="none"/>
              </w:rPr>
              <w:t>具备大专以</w:t>
            </w:r>
            <w:r>
              <w:rPr>
                <w:rFonts w:hint="eastAsia"/>
                <w:bCs/>
                <w:color w:val="auto"/>
                <w:spacing w:val="12"/>
                <w:highlight w:val="none"/>
              </w:rPr>
              <w:t>上学历人数</w:t>
            </w:r>
          </w:p>
        </w:tc>
        <w:tc>
          <w:tcPr>
            <w:tcW w:w="1189" w:type="dxa"/>
            <w:gridSpan w:val="2"/>
            <w:tcBorders>
              <w:top w:val="nil"/>
            </w:tcBorders>
            <w:vAlign w:val="center"/>
          </w:tcPr>
          <w:p w14:paraId="36B705C1">
            <w:pPr>
              <w:keepNext w:val="0"/>
              <w:keepLines w:val="0"/>
              <w:widowControl/>
              <w:suppressLineNumbers w:val="0"/>
              <w:spacing w:before="0" w:beforeAutospacing="0" w:after="0" w:afterAutospacing="0" w:line="360" w:lineRule="auto"/>
              <w:ind w:left="0" w:right="0"/>
              <w:rPr>
                <w:rFonts w:hint="default" w:ascii="宋体" w:hAnsi="宋体" w:cs="宋体"/>
                <w:bCs/>
                <w:color w:val="auto"/>
                <w:spacing w:val="16"/>
                <w:kern w:val="0"/>
                <w:sz w:val="24"/>
                <w:highlight w:val="none"/>
              </w:rPr>
            </w:pPr>
          </w:p>
          <w:p w14:paraId="5A8BE956">
            <w:pPr>
              <w:keepNext w:val="0"/>
              <w:keepLines w:val="0"/>
              <w:widowControl/>
              <w:suppressLineNumbers w:val="0"/>
              <w:spacing w:before="0" w:beforeAutospacing="0" w:after="0" w:afterAutospacing="0" w:line="360" w:lineRule="auto"/>
              <w:ind w:left="0" w:right="0"/>
              <w:rPr>
                <w:rFonts w:hint="default" w:ascii="宋体" w:hAnsi="宋体" w:cs="宋体"/>
                <w:bCs/>
                <w:color w:val="auto"/>
                <w:spacing w:val="16"/>
                <w:kern w:val="0"/>
                <w:sz w:val="24"/>
                <w:highlight w:val="none"/>
              </w:rPr>
            </w:pPr>
          </w:p>
          <w:p w14:paraId="6871A1DA">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c>
          <w:tcPr>
            <w:tcW w:w="1560" w:type="dxa"/>
            <w:vAlign w:val="center"/>
          </w:tcPr>
          <w:p w14:paraId="7F92F8EE">
            <w:pPr>
              <w:pStyle w:val="49"/>
              <w:keepNext w:val="0"/>
              <w:keepLines w:val="0"/>
              <w:suppressLineNumbers w:val="0"/>
              <w:shd w:val="clear" w:color="auto" w:fill="FFFFFF"/>
              <w:spacing w:line="360" w:lineRule="auto"/>
              <w:ind w:left="0" w:right="0"/>
              <w:jc w:val="center"/>
              <w:rPr>
                <w:rFonts w:hint="default"/>
                <w:bCs/>
                <w:color w:val="auto"/>
                <w:spacing w:val="16"/>
                <w:highlight w:val="none"/>
              </w:rPr>
            </w:pPr>
            <w:r>
              <w:rPr>
                <w:rFonts w:hint="eastAsia"/>
                <w:bCs/>
                <w:color w:val="auto"/>
                <w:spacing w:val="65"/>
                <w:highlight w:val="none"/>
              </w:rPr>
              <w:t>国家授予技</w:t>
            </w:r>
            <w:r>
              <w:rPr>
                <w:rFonts w:hint="eastAsia"/>
                <w:bCs/>
                <w:color w:val="auto"/>
                <w:spacing w:val="12"/>
                <w:highlight w:val="none"/>
              </w:rPr>
              <w:t>术职称人数</w:t>
            </w:r>
          </w:p>
        </w:tc>
        <w:tc>
          <w:tcPr>
            <w:tcW w:w="2608" w:type="dxa"/>
            <w:gridSpan w:val="3"/>
            <w:vAlign w:val="center"/>
          </w:tcPr>
          <w:p w14:paraId="313B0CA9">
            <w:pPr>
              <w:keepNext w:val="0"/>
              <w:keepLines w:val="0"/>
              <w:widowControl/>
              <w:suppressLineNumbers w:val="0"/>
              <w:spacing w:before="0" w:beforeAutospacing="0" w:after="0" w:afterAutospacing="0" w:line="360" w:lineRule="auto"/>
              <w:ind w:left="0" w:right="0"/>
              <w:rPr>
                <w:rFonts w:hint="default" w:ascii="宋体" w:hAnsi="宋体" w:cs="宋体"/>
                <w:bCs/>
                <w:color w:val="auto"/>
                <w:spacing w:val="16"/>
                <w:kern w:val="0"/>
                <w:sz w:val="24"/>
                <w:highlight w:val="none"/>
              </w:rPr>
            </w:pPr>
          </w:p>
          <w:p w14:paraId="0FA6063B">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r>
      <w:tr w14:paraId="2986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14:paraId="38AC145F">
            <w:pPr>
              <w:pStyle w:val="49"/>
              <w:keepNext w:val="0"/>
              <w:keepLines w:val="0"/>
              <w:suppressLineNumbers w:val="0"/>
              <w:shd w:val="clear" w:color="auto" w:fill="FFFFFF"/>
              <w:spacing w:line="360" w:lineRule="auto"/>
              <w:ind w:left="107" w:right="0"/>
              <w:jc w:val="both"/>
              <w:rPr>
                <w:rFonts w:hint="default"/>
                <w:bCs/>
                <w:color w:val="auto"/>
                <w:highlight w:val="none"/>
              </w:rPr>
            </w:pPr>
          </w:p>
        </w:tc>
        <w:tc>
          <w:tcPr>
            <w:tcW w:w="690" w:type="dxa"/>
            <w:vAlign w:val="center"/>
          </w:tcPr>
          <w:p w14:paraId="22916317">
            <w:pPr>
              <w:pStyle w:val="49"/>
              <w:keepNext w:val="0"/>
              <w:keepLines w:val="0"/>
              <w:suppressLineNumbers w:val="0"/>
              <w:shd w:val="clear" w:color="auto" w:fill="FFFFFF"/>
              <w:spacing w:line="360" w:lineRule="auto"/>
              <w:ind w:left="0" w:right="0"/>
              <w:jc w:val="both"/>
              <w:rPr>
                <w:rFonts w:hint="default"/>
                <w:bCs/>
                <w:color w:val="auto"/>
                <w:highlight w:val="none"/>
              </w:rPr>
            </w:pPr>
            <w:r>
              <w:rPr>
                <w:rFonts w:hint="eastAsia"/>
                <w:bCs/>
                <w:color w:val="auto"/>
                <w:spacing w:val="16"/>
                <w:highlight w:val="none"/>
              </w:rPr>
              <w:t>占地面积</w:t>
            </w:r>
          </w:p>
        </w:tc>
        <w:tc>
          <w:tcPr>
            <w:tcW w:w="960" w:type="dxa"/>
            <w:gridSpan w:val="2"/>
            <w:vAlign w:val="center"/>
          </w:tcPr>
          <w:p w14:paraId="0DD248B3">
            <w:pPr>
              <w:pStyle w:val="49"/>
              <w:keepNext w:val="0"/>
              <w:keepLines w:val="0"/>
              <w:suppressLineNumbers w:val="0"/>
              <w:shd w:val="clear" w:color="auto" w:fill="FFFFFF"/>
              <w:spacing w:line="360" w:lineRule="auto"/>
              <w:ind w:left="0" w:right="0"/>
              <w:jc w:val="both"/>
              <w:rPr>
                <w:rFonts w:hint="default"/>
                <w:bCs/>
                <w:color w:val="auto"/>
                <w:highlight w:val="none"/>
              </w:rPr>
            </w:pPr>
          </w:p>
        </w:tc>
        <w:tc>
          <w:tcPr>
            <w:tcW w:w="926" w:type="dxa"/>
            <w:vAlign w:val="center"/>
          </w:tcPr>
          <w:p w14:paraId="16173019">
            <w:pPr>
              <w:pStyle w:val="49"/>
              <w:keepNext w:val="0"/>
              <w:keepLines w:val="0"/>
              <w:suppressLineNumbers w:val="0"/>
              <w:shd w:val="clear" w:color="auto" w:fill="FFFFFF"/>
              <w:spacing w:line="360" w:lineRule="auto"/>
              <w:ind w:left="0" w:right="0"/>
              <w:jc w:val="both"/>
              <w:rPr>
                <w:rFonts w:hint="default"/>
                <w:bCs/>
                <w:color w:val="auto"/>
                <w:highlight w:val="none"/>
              </w:rPr>
            </w:pPr>
            <w:r>
              <w:rPr>
                <w:rFonts w:hint="eastAsia"/>
                <w:bCs/>
                <w:color w:val="auto"/>
                <w:spacing w:val="16"/>
                <w:highlight w:val="none"/>
              </w:rPr>
              <w:t>建筑面积</w:t>
            </w:r>
          </w:p>
        </w:tc>
        <w:tc>
          <w:tcPr>
            <w:tcW w:w="1189" w:type="dxa"/>
            <w:gridSpan w:val="2"/>
            <w:vAlign w:val="center"/>
          </w:tcPr>
          <w:p w14:paraId="1D7AF89E">
            <w:pPr>
              <w:pStyle w:val="49"/>
              <w:keepNext w:val="0"/>
              <w:keepLines w:val="0"/>
              <w:suppressLineNumbers w:val="0"/>
              <w:shd w:val="clear" w:color="auto" w:fill="FFFFFF"/>
              <w:spacing w:line="360" w:lineRule="auto"/>
              <w:ind w:left="0" w:right="0"/>
              <w:jc w:val="both"/>
              <w:rPr>
                <w:rFonts w:hint="default"/>
                <w:bCs/>
                <w:color w:val="auto"/>
                <w:highlight w:val="none"/>
              </w:rPr>
            </w:pPr>
            <w:r>
              <w:rPr>
                <w:rFonts w:hint="eastAsia"/>
                <w:bCs/>
                <w:color w:val="auto"/>
                <w:highlight w:val="none"/>
              </w:rPr>
              <w:t>平方米</w:t>
            </w:r>
          </w:p>
          <w:p w14:paraId="422EB589">
            <w:pPr>
              <w:pStyle w:val="49"/>
              <w:keepNext w:val="0"/>
              <w:keepLines w:val="0"/>
              <w:suppressLineNumbers w:val="0"/>
              <w:shd w:val="clear" w:color="auto" w:fill="FFFFFF"/>
              <w:spacing w:line="360" w:lineRule="auto"/>
              <w:ind w:left="0" w:right="0"/>
              <w:jc w:val="both"/>
              <w:rPr>
                <w:rFonts w:hint="default"/>
                <w:bCs/>
                <w:color w:val="auto"/>
                <w:highlight w:val="none"/>
              </w:rPr>
            </w:pPr>
            <w:r>
              <w:rPr>
                <w:rFonts w:hint="eastAsia"/>
                <w:bCs/>
                <w:color w:val="auto"/>
                <w:spacing w:val="16"/>
                <w:highlight w:val="none"/>
              </w:rPr>
              <w:t>□自有□租赁</w:t>
            </w:r>
          </w:p>
        </w:tc>
        <w:tc>
          <w:tcPr>
            <w:tcW w:w="1560" w:type="dxa"/>
            <w:vAlign w:val="center"/>
          </w:tcPr>
          <w:p w14:paraId="467F6C3B">
            <w:pPr>
              <w:pStyle w:val="49"/>
              <w:keepNext w:val="0"/>
              <w:keepLines w:val="0"/>
              <w:suppressLineNumbers w:val="0"/>
              <w:shd w:val="clear" w:color="auto" w:fill="FFFFFF"/>
              <w:spacing w:line="360" w:lineRule="auto"/>
              <w:ind w:left="0" w:right="0"/>
              <w:jc w:val="center"/>
              <w:rPr>
                <w:rFonts w:hint="default"/>
                <w:bCs/>
                <w:color w:val="auto"/>
                <w:highlight w:val="none"/>
              </w:rPr>
            </w:pPr>
            <w:r>
              <w:rPr>
                <w:rFonts w:hint="eastAsia"/>
                <w:bCs/>
                <w:color w:val="auto"/>
                <w:spacing w:val="16"/>
                <w:highlight w:val="none"/>
              </w:rPr>
              <w:t>生产经营场所及场所的设施与设备</w:t>
            </w:r>
          </w:p>
        </w:tc>
        <w:tc>
          <w:tcPr>
            <w:tcW w:w="2608" w:type="dxa"/>
            <w:gridSpan w:val="3"/>
            <w:vAlign w:val="center"/>
          </w:tcPr>
          <w:p w14:paraId="74997B4F">
            <w:pPr>
              <w:pStyle w:val="49"/>
              <w:keepNext w:val="0"/>
              <w:keepLines w:val="0"/>
              <w:suppressLineNumbers w:val="0"/>
              <w:shd w:val="clear" w:color="auto" w:fill="FFFFFF"/>
              <w:spacing w:before="0" w:beforeAutospacing="0" w:after="0" w:afterAutospacing="0" w:line="360" w:lineRule="auto"/>
              <w:ind w:left="0" w:right="0"/>
              <w:jc w:val="both"/>
              <w:rPr>
                <w:rFonts w:hint="default"/>
                <w:bCs/>
                <w:color w:val="auto"/>
                <w:spacing w:val="16"/>
                <w:highlight w:val="none"/>
              </w:rPr>
            </w:pPr>
          </w:p>
        </w:tc>
      </w:tr>
      <w:tr w14:paraId="2EF51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14:paraId="78E8F7DA">
            <w:pPr>
              <w:pStyle w:val="49"/>
              <w:keepNext w:val="0"/>
              <w:keepLines w:val="0"/>
              <w:suppressLineNumbers w:val="0"/>
              <w:shd w:val="clear" w:color="auto" w:fill="FFFFFF"/>
              <w:spacing w:line="360" w:lineRule="auto"/>
              <w:ind w:left="107" w:right="0"/>
              <w:jc w:val="both"/>
              <w:rPr>
                <w:rFonts w:hint="default"/>
                <w:bCs/>
                <w:color w:val="auto"/>
                <w:highlight w:val="none"/>
              </w:rPr>
            </w:pPr>
          </w:p>
        </w:tc>
        <w:tc>
          <w:tcPr>
            <w:tcW w:w="690" w:type="dxa"/>
            <w:vAlign w:val="center"/>
          </w:tcPr>
          <w:p w14:paraId="63534319">
            <w:pPr>
              <w:pStyle w:val="49"/>
              <w:keepNext w:val="0"/>
              <w:keepLines w:val="0"/>
              <w:suppressLineNumbers w:val="0"/>
              <w:shd w:val="clear" w:color="auto" w:fill="FFFFFF"/>
              <w:spacing w:line="360" w:lineRule="auto"/>
              <w:ind w:left="2" w:right="0"/>
              <w:jc w:val="both"/>
              <w:rPr>
                <w:rFonts w:hint="default"/>
                <w:bCs/>
                <w:color w:val="auto"/>
                <w:spacing w:val="16"/>
                <w:highlight w:val="none"/>
              </w:rPr>
            </w:pPr>
            <w:r>
              <w:rPr>
                <w:rFonts w:hint="eastAsia"/>
                <w:bCs/>
                <w:color w:val="auto"/>
                <w:spacing w:val="16"/>
                <w:highlight w:val="none"/>
              </w:rPr>
              <w:t>注册资金</w:t>
            </w:r>
          </w:p>
        </w:tc>
        <w:tc>
          <w:tcPr>
            <w:tcW w:w="960" w:type="dxa"/>
            <w:gridSpan w:val="2"/>
            <w:vAlign w:val="center"/>
          </w:tcPr>
          <w:p w14:paraId="14F0DCAD">
            <w:pPr>
              <w:pStyle w:val="49"/>
              <w:keepNext w:val="0"/>
              <w:keepLines w:val="0"/>
              <w:suppressLineNumbers w:val="0"/>
              <w:shd w:val="clear" w:color="auto" w:fill="FFFFFF"/>
              <w:spacing w:line="360" w:lineRule="auto"/>
              <w:ind w:left="2" w:right="0"/>
              <w:jc w:val="both"/>
              <w:rPr>
                <w:rFonts w:hint="default"/>
                <w:bCs/>
                <w:color w:val="auto"/>
                <w:highlight w:val="none"/>
              </w:rPr>
            </w:pPr>
          </w:p>
        </w:tc>
        <w:tc>
          <w:tcPr>
            <w:tcW w:w="926" w:type="dxa"/>
            <w:vAlign w:val="center"/>
          </w:tcPr>
          <w:p w14:paraId="67D1932B">
            <w:pPr>
              <w:pStyle w:val="49"/>
              <w:keepNext w:val="0"/>
              <w:keepLines w:val="0"/>
              <w:suppressLineNumbers w:val="0"/>
              <w:shd w:val="clear" w:color="auto" w:fill="FFFFFF"/>
              <w:spacing w:line="360" w:lineRule="auto"/>
              <w:ind w:left="107" w:right="0"/>
              <w:jc w:val="both"/>
              <w:rPr>
                <w:rFonts w:hint="default"/>
                <w:bCs/>
                <w:color w:val="auto"/>
                <w:highlight w:val="none"/>
              </w:rPr>
            </w:pPr>
            <w:r>
              <w:rPr>
                <w:rFonts w:hint="eastAsia"/>
                <w:bCs/>
                <w:color w:val="auto"/>
                <w:spacing w:val="16"/>
                <w:highlight w:val="none"/>
              </w:rPr>
              <w:t>注册发证</w:t>
            </w:r>
            <w:r>
              <w:rPr>
                <w:rFonts w:hint="eastAsia"/>
                <w:bCs/>
                <w:color w:val="auto"/>
                <w:spacing w:val="27"/>
                <w:highlight w:val="none"/>
              </w:rPr>
              <w:t>机关</w:t>
            </w:r>
          </w:p>
        </w:tc>
        <w:tc>
          <w:tcPr>
            <w:tcW w:w="2749" w:type="dxa"/>
            <w:gridSpan w:val="3"/>
            <w:vAlign w:val="center"/>
          </w:tcPr>
          <w:p w14:paraId="6036AA73">
            <w:pPr>
              <w:keepNext w:val="0"/>
              <w:keepLines w:val="0"/>
              <w:widowControl/>
              <w:suppressLineNumbers w:val="0"/>
              <w:spacing w:before="0" w:beforeAutospacing="0" w:after="0" w:afterAutospacing="0" w:line="360" w:lineRule="auto"/>
              <w:ind w:left="0" w:right="0"/>
              <w:rPr>
                <w:rFonts w:hint="default" w:ascii="宋体" w:hAnsi="宋体" w:cs="宋体"/>
                <w:bCs/>
                <w:color w:val="auto"/>
                <w:kern w:val="0"/>
                <w:sz w:val="24"/>
                <w:highlight w:val="none"/>
              </w:rPr>
            </w:pPr>
          </w:p>
          <w:p w14:paraId="65BD4D90">
            <w:pPr>
              <w:pStyle w:val="49"/>
              <w:keepNext w:val="0"/>
              <w:keepLines w:val="0"/>
              <w:suppressLineNumbers w:val="0"/>
              <w:shd w:val="clear" w:color="auto" w:fill="FFFFFF"/>
              <w:spacing w:line="360" w:lineRule="auto"/>
              <w:ind w:left="107" w:right="0"/>
              <w:jc w:val="both"/>
              <w:rPr>
                <w:rFonts w:hint="default"/>
                <w:bCs/>
                <w:color w:val="auto"/>
                <w:highlight w:val="none"/>
              </w:rPr>
            </w:pPr>
          </w:p>
        </w:tc>
        <w:tc>
          <w:tcPr>
            <w:tcW w:w="1675" w:type="dxa"/>
            <w:gridSpan w:val="2"/>
            <w:vAlign w:val="center"/>
          </w:tcPr>
          <w:p w14:paraId="64CB423A">
            <w:pPr>
              <w:pStyle w:val="49"/>
              <w:keepNext w:val="0"/>
              <w:keepLines w:val="0"/>
              <w:suppressLineNumbers w:val="0"/>
              <w:shd w:val="clear" w:color="auto" w:fill="FFFFFF"/>
              <w:spacing w:line="360" w:lineRule="auto"/>
              <w:ind w:left="107" w:right="0"/>
              <w:jc w:val="both"/>
              <w:rPr>
                <w:rFonts w:hint="default"/>
                <w:bCs/>
                <w:color w:val="auto"/>
                <w:highlight w:val="none"/>
              </w:rPr>
            </w:pPr>
            <w:r>
              <w:rPr>
                <w:rFonts w:hint="eastAsia"/>
                <w:bCs/>
                <w:color w:val="auto"/>
                <w:highlight w:val="none"/>
              </w:rPr>
              <w:t>公司成</w:t>
            </w:r>
            <w:r>
              <w:rPr>
                <w:rFonts w:hint="eastAsia"/>
                <w:bCs/>
                <w:color w:val="auto"/>
                <w:spacing w:val="12"/>
                <w:highlight w:val="none"/>
              </w:rPr>
              <w:t>立时间</w:t>
            </w:r>
          </w:p>
        </w:tc>
        <w:tc>
          <w:tcPr>
            <w:tcW w:w="933" w:type="dxa"/>
            <w:vAlign w:val="center"/>
          </w:tcPr>
          <w:p w14:paraId="0E797B00">
            <w:pPr>
              <w:pStyle w:val="49"/>
              <w:keepNext w:val="0"/>
              <w:keepLines w:val="0"/>
              <w:suppressLineNumbers w:val="0"/>
              <w:shd w:val="clear" w:color="auto" w:fill="FFFFFF"/>
              <w:spacing w:line="360" w:lineRule="auto"/>
              <w:ind w:left="107" w:right="0"/>
              <w:jc w:val="both"/>
              <w:rPr>
                <w:rFonts w:hint="default"/>
                <w:bCs/>
                <w:color w:val="auto"/>
                <w:highlight w:val="none"/>
              </w:rPr>
            </w:pPr>
          </w:p>
        </w:tc>
      </w:tr>
      <w:tr w14:paraId="5C72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14:paraId="05D89511">
            <w:pPr>
              <w:pStyle w:val="49"/>
              <w:keepNext w:val="0"/>
              <w:keepLines w:val="0"/>
              <w:suppressLineNumbers w:val="0"/>
              <w:shd w:val="clear" w:color="auto" w:fill="FFFFFF"/>
              <w:spacing w:line="360" w:lineRule="auto"/>
              <w:ind w:left="107" w:right="0"/>
              <w:jc w:val="both"/>
              <w:rPr>
                <w:rFonts w:hint="default"/>
                <w:bCs/>
                <w:color w:val="auto"/>
                <w:highlight w:val="none"/>
              </w:rPr>
            </w:pPr>
          </w:p>
        </w:tc>
        <w:tc>
          <w:tcPr>
            <w:tcW w:w="690" w:type="dxa"/>
            <w:vAlign w:val="center"/>
          </w:tcPr>
          <w:p w14:paraId="0A6E798D">
            <w:pPr>
              <w:pStyle w:val="49"/>
              <w:keepNext w:val="0"/>
              <w:keepLines w:val="0"/>
              <w:suppressLineNumbers w:val="0"/>
              <w:shd w:val="clear" w:color="auto" w:fill="FFFFFF"/>
              <w:spacing w:line="360" w:lineRule="auto"/>
              <w:ind w:left="2" w:right="0"/>
              <w:jc w:val="both"/>
              <w:rPr>
                <w:rFonts w:hint="default"/>
                <w:bCs/>
                <w:color w:val="auto"/>
                <w:highlight w:val="none"/>
              </w:rPr>
            </w:pPr>
            <w:r>
              <w:rPr>
                <w:rFonts w:hint="eastAsia"/>
                <w:bCs/>
                <w:color w:val="auto"/>
                <w:highlight w:val="none"/>
              </w:rPr>
              <w:t>核准经营范围</w:t>
            </w:r>
          </w:p>
        </w:tc>
        <w:tc>
          <w:tcPr>
            <w:tcW w:w="7243" w:type="dxa"/>
            <w:gridSpan w:val="9"/>
            <w:vAlign w:val="center"/>
          </w:tcPr>
          <w:p w14:paraId="6E405117">
            <w:pPr>
              <w:pStyle w:val="49"/>
              <w:keepNext w:val="0"/>
              <w:keepLines w:val="0"/>
              <w:suppressLineNumbers w:val="0"/>
              <w:shd w:val="clear" w:color="auto" w:fill="FFFFFF"/>
              <w:spacing w:line="360" w:lineRule="auto"/>
              <w:ind w:left="107" w:right="0"/>
              <w:jc w:val="both"/>
              <w:rPr>
                <w:rFonts w:hint="default"/>
                <w:bCs/>
                <w:color w:val="auto"/>
                <w:highlight w:val="none"/>
              </w:rPr>
            </w:pPr>
          </w:p>
        </w:tc>
      </w:tr>
      <w:tr w14:paraId="508A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14:paraId="16520231">
            <w:pPr>
              <w:pStyle w:val="49"/>
              <w:keepNext w:val="0"/>
              <w:keepLines w:val="0"/>
              <w:suppressLineNumbers w:val="0"/>
              <w:shd w:val="clear" w:color="auto" w:fill="FFFFFF"/>
              <w:spacing w:line="360" w:lineRule="auto"/>
              <w:ind w:left="107" w:right="0"/>
              <w:jc w:val="both"/>
              <w:rPr>
                <w:rFonts w:hint="default"/>
                <w:bCs/>
                <w:color w:val="auto"/>
                <w:highlight w:val="none"/>
              </w:rPr>
            </w:pPr>
          </w:p>
        </w:tc>
        <w:tc>
          <w:tcPr>
            <w:tcW w:w="7933" w:type="dxa"/>
            <w:gridSpan w:val="10"/>
            <w:vAlign w:val="center"/>
          </w:tcPr>
          <w:p w14:paraId="18B02147">
            <w:pPr>
              <w:pStyle w:val="49"/>
              <w:keepNext w:val="0"/>
              <w:keepLines w:val="0"/>
              <w:suppressLineNumbers w:val="0"/>
              <w:shd w:val="clear" w:color="auto" w:fill="FFFFFF"/>
              <w:spacing w:line="360" w:lineRule="auto"/>
              <w:ind w:left="0" w:right="0"/>
              <w:jc w:val="both"/>
              <w:rPr>
                <w:rFonts w:hint="default"/>
                <w:bCs/>
                <w:color w:val="auto"/>
                <w:spacing w:val="13"/>
                <w:highlight w:val="none"/>
              </w:rPr>
            </w:pPr>
            <w:r>
              <w:rPr>
                <w:rFonts w:hint="eastAsia"/>
                <w:bCs/>
                <w:color w:val="auto"/>
                <w:spacing w:val="13"/>
                <w:highlight w:val="none"/>
              </w:rPr>
              <w:t>发展历程及主要荣誉：</w:t>
            </w:r>
          </w:p>
        </w:tc>
      </w:tr>
      <w:tr w14:paraId="73249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14:paraId="4A4EFA60">
            <w:pPr>
              <w:pStyle w:val="49"/>
              <w:keepNext w:val="0"/>
              <w:keepLines w:val="0"/>
              <w:suppressLineNumbers w:val="0"/>
              <w:shd w:val="clear" w:color="auto" w:fill="FFFFFF"/>
              <w:spacing w:line="360" w:lineRule="auto"/>
              <w:ind w:left="107" w:right="0"/>
              <w:jc w:val="both"/>
              <w:rPr>
                <w:rFonts w:hint="default"/>
                <w:bCs/>
                <w:color w:val="auto"/>
                <w:highlight w:val="none"/>
              </w:rPr>
            </w:pPr>
            <w:r>
              <w:rPr>
                <w:rFonts w:hint="eastAsia"/>
                <w:bCs/>
                <w:color w:val="auto"/>
                <w:highlight w:val="none"/>
              </w:rPr>
              <w:t>2.</w:t>
            </w:r>
          </w:p>
          <w:p w14:paraId="6A0584D9">
            <w:pPr>
              <w:pStyle w:val="49"/>
              <w:keepNext w:val="0"/>
              <w:keepLines w:val="0"/>
              <w:suppressLineNumbers w:val="0"/>
              <w:shd w:val="clear" w:color="auto" w:fill="FFFFFF"/>
              <w:spacing w:line="360" w:lineRule="auto"/>
              <w:ind w:left="107" w:right="0"/>
              <w:jc w:val="both"/>
              <w:rPr>
                <w:rFonts w:hint="default"/>
                <w:bCs/>
                <w:color w:val="auto"/>
                <w:spacing w:val="16"/>
                <w:highlight w:val="none"/>
              </w:rPr>
            </w:pPr>
            <w:r>
              <w:rPr>
                <w:rFonts w:hint="eastAsia"/>
                <w:bCs/>
                <w:color w:val="auto"/>
                <w:highlight w:val="none"/>
              </w:rPr>
              <w:t>企</w:t>
            </w:r>
            <w:r>
              <w:rPr>
                <w:rFonts w:hint="eastAsia"/>
                <w:bCs/>
                <w:color w:val="auto"/>
                <w:spacing w:val="12"/>
                <w:highlight w:val="none"/>
              </w:rPr>
              <w:t>业有关资质获证情况</w:t>
            </w:r>
          </w:p>
        </w:tc>
        <w:tc>
          <w:tcPr>
            <w:tcW w:w="1355" w:type="dxa"/>
            <w:gridSpan w:val="2"/>
            <w:vMerge w:val="restart"/>
            <w:vAlign w:val="center"/>
          </w:tcPr>
          <w:p w14:paraId="3431BBEA">
            <w:pPr>
              <w:pStyle w:val="49"/>
              <w:keepNext w:val="0"/>
              <w:keepLines w:val="0"/>
              <w:suppressLineNumbers w:val="0"/>
              <w:shd w:val="clear" w:color="auto" w:fill="FFFFFF"/>
              <w:spacing w:before="0" w:beforeAutospacing="0" w:after="0" w:afterAutospacing="0" w:line="360" w:lineRule="auto"/>
              <w:ind w:left="0" w:right="0"/>
              <w:jc w:val="both"/>
              <w:rPr>
                <w:rFonts w:hint="default"/>
                <w:bCs/>
                <w:color w:val="auto"/>
                <w:spacing w:val="16"/>
                <w:highlight w:val="none"/>
              </w:rPr>
            </w:pPr>
            <w:r>
              <w:rPr>
                <w:rFonts w:hint="eastAsia"/>
                <w:bCs/>
                <w:color w:val="auto"/>
                <w:spacing w:val="12"/>
                <w:highlight w:val="none"/>
              </w:rPr>
              <w:t>产品生产许可证情况</w:t>
            </w:r>
            <w:r>
              <w:rPr>
                <w:rFonts w:hint="eastAsia"/>
                <w:bCs/>
                <w:color w:val="auto"/>
                <w:spacing w:val="41"/>
                <w:highlight w:val="none"/>
              </w:rPr>
              <w:t>（对需获得生产许可证的</w:t>
            </w:r>
            <w:r>
              <w:rPr>
                <w:rFonts w:hint="eastAsia"/>
                <w:bCs/>
                <w:color w:val="auto"/>
                <w:spacing w:val="11"/>
                <w:highlight w:val="none"/>
              </w:rPr>
              <w:t>产品要填写此栏）</w:t>
            </w:r>
          </w:p>
        </w:tc>
        <w:tc>
          <w:tcPr>
            <w:tcW w:w="1333" w:type="dxa"/>
            <w:gridSpan w:val="3"/>
            <w:vAlign w:val="center"/>
          </w:tcPr>
          <w:p w14:paraId="18874449">
            <w:pPr>
              <w:pStyle w:val="49"/>
              <w:keepNext w:val="0"/>
              <w:keepLines w:val="0"/>
              <w:suppressLineNumbers w:val="0"/>
              <w:shd w:val="clear" w:color="auto" w:fill="FFFFFF"/>
              <w:spacing w:line="360" w:lineRule="auto"/>
              <w:ind w:left="0" w:right="-78" w:rightChars="-37"/>
              <w:jc w:val="both"/>
              <w:rPr>
                <w:rFonts w:hint="default"/>
                <w:bCs/>
                <w:color w:val="auto"/>
                <w:spacing w:val="16"/>
                <w:highlight w:val="none"/>
              </w:rPr>
            </w:pPr>
            <w:r>
              <w:rPr>
                <w:rFonts w:hint="eastAsia"/>
                <w:bCs/>
                <w:color w:val="auto"/>
                <w:spacing w:val="16"/>
                <w:highlight w:val="none"/>
              </w:rPr>
              <w:t>产品名称</w:t>
            </w:r>
          </w:p>
        </w:tc>
        <w:tc>
          <w:tcPr>
            <w:tcW w:w="1077" w:type="dxa"/>
            <w:vAlign w:val="center"/>
          </w:tcPr>
          <w:p w14:paraId="78957072">
            <w:pPr>
              <w:pStyle w:val="49"/>
              <w:keepNext w:val="0"/>
              <w:keepLines w:val="0"/>
              <w:suppressLineNumbers w:val="0"/>
              <w:shd w:val="clear" w:color="auto" w:fill="FFFFFF"/>
              <w:spacing w:before="0" w:beforeAutospacing="0" w:after="0" w:afterAutospacing="0" w:line="360" w:lineRule="auto"/>
              <w:ind w:left="0" w:right="0"/>
              <w:jc w:val="both"/>
              <w:rPr>
                <w:rFonts w:hint="default"/>
                <w:bCs/>
                <w:color w:val="auto"/>
                <w:highlight w:val="none"/>
              </w:rPr>
            </w:pPr>
            <w:r>
              <w:rPr>
                <w:rFonts w:hint="eastAsia"/>
                <w:bCs/>
                <w:color w:val="auto"/>
                <w:spacing w:val="16"/>
                <w:highlight w:val="none"/>
              </w:rPr>
              <w:t>发证机关</w:t>
            </w:r>
          </w:p>
        </w:tc>
        <w:tc>
          <w:tcPr>
            <w:tcW w:w="1617" w:type="dxa"/>
            <w:gridSpan w:val="2"/>
            <w:vAlign w:val="center"/>
          </w:tcPr>
          <w:p w14:paraId="10685469">
            <w:pPr>
              <w:pStyle w:val="49"/>
              <w:keepNext w:val="0"/>
              <w:keepLines w:val="0"/>
              <w:suppressLineNumbers w:val="0"/>
              <w:shd w:val="clear" w:color="auto" w:fill="FFFFFF"/>
              <w:spacing w:line="360" w:lineRule="auto"/>
              <w:ind w:left="0" w:right="0"/>
              <w:jc w:val="both"/>
              <w:rPr>
                <w:rFonts w:hint="default"/>
                <w:bCs/>
                <w:color w:val="auto"/>
                <w:highlight w:val="none"/>
              </w:rPr>
            </w:pPr>
            <w:r>
              <w:rPr>
                <w:rFonts w:hint="eastAsia"/>
                <w:bCs/>
                <w:color w:val="auto"/>
                <w:spacing w:val="27"/>
                <w:highlight w:val="none"/>
              </w:rPr>
              <w:t>编号</w:t>
            </w:r>
          </w:p>
        </w:tc>
        <w:tc>
          <w:tcPr>
            <w:tcW w:w="1618" w:type="dxa"/>
            <w:vAlign w:val="center"/>
          </w:tcPr>
          <w:p w14:paraId="02C88CB9">
            <w:pPr>
              <w:pStyle w:val="49"/>
              <w:keepNext w:val="0"/>
              <w:keepLines w:val="0"/>
              <w:suppressLineNumbers w:val="0"/>
              <w:shd w:val="clear" w:color="auto" w:fill="FFFFFF"/>
              <w:spacing w:line="360" w:lineRule="auto"/>
              <w:ind w:left="0" w:right="0"/>
              <w:jc w:val="both"/>
              <w:rPr>
                <w:rFonts w:hint="default"/>
                <w:bCs/>
                <w:color w:val="auto"/>
                <w:highlight w:val="none"/>
              </w:rPr>
            </w:pPr>
            <w:r>
              <w:rPr>
                <w:rFonts w:hint="eastAsia"/>
                <w:bCs/>
                <w:color w:val="auto"/>
                <w:spacing w:val="16"/>
                <w:highlight w:val="none"/>
              </w:rPr>
              <w:t>发证时间</w:t>
            </w:r>
          </w:p>
        </w:tc>
        <w:tc>
          <w:tcPr>
            <w:tcW w:w="933" w:type="dxa"/>
            <w:vAlign w:val="center"/>
          </w:tcPr>
          <w:p w14:paraId="4C95BA08">
            <w:pPr>
              <w:pStyle w:val="49"/>
              <w:keepNext w:val="0"/>
              <w:keepLines w:val="0"/>
              <w:suppressLineNumbers w:val="0"/>
              <w:shd w:val="clear" w:color="auto" w:fill="FFFFFF"/>
              <w:spacing w:before="0" w:beforeAutospacing="0" w:after="0" w:afterAutospacing="0" w:line="360" w:lineRule="auto"/>
              <w:ind w:left="0" w:right="0"/>
              <w:jc w:val="both"/>
              <w:rPr>
                <w:rFonts w:hint="default"/>
                <w:bCs/>
                <w:color w:val="auto"/>
                <w:highlight w:val="none"/>
              </w:rPr>
            </w:pPr>
            <w:r>
              <w:rPr>
                <w:rFonts w:hint="eastAsia"/>
                <w:bCs/>
                <w:color w:val="auto"/>
                <w:spacing w:val="27"/>
                <w:highlight w:val="none"/>
              </w:rPr>
              <w:t>期限</w:t>
            </w:r>
          </w:p>
        </w:tc>
      </w:tr>
      <w:tr w14:paraId="6FC68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14:paraId="50C94ECA">
            <w:pPr>
              <w:pStyle w:val="49"/>
              <w:keepNext w:val="0"/>
              <w:keepLines w:val="0"/>
              <w:suppressLineNumbers w:val="0"/>
              <w:shd w:val="clear" w:color="auto" w:fill="FFFFFF"/>
              <w:spacing w:line="360" w:lineRule="auto"/>
              <w:ind w:left="107" w:right="0"/>
              <w:jc w:val="both"/>
              <w:rPr>
                <w:rFonts w:hint="default"/>
                <w:bCs/>
                <w:color w:val="auto"/>
                <w:highlight w:val="none"/>
              </w:rPr>
            </w:pPr>
          </w:p>
        </w:tc>
        <w:tc>
          <w:tcPr>
            <w:tcW w:w="1355" w:type="dxa"/>
            <w:gridSpan w:val="2"/>
            <w:vMerge w:val="continue"/>
            <w:vAlign w:val="center"/>
          </w:tcPr>
          <w:p w14:paraId="43C03133">
            <w:pPr>
              <w:pStyle w:val="49"/>
              <w:keepNext w:val="0"/>
              <w:keepLines w:val="0"/>
              <w:suppressLineNumbers w:val="0"/>
              <w:shd w:val="clear" w:color="auto" w:fill="FFFFFF"/>
              <w:spacing w:line="360" w:lineRule="auto"/>
              <w:ind w:left="0" w:right="0"/>
              <w:jc w:val="both"/>
              <w:rPr>
                <w:rFonts w:hint="default"/>
                <w:bCs/>
                <w:color w:val="auto"/>
                <w:highlight w:val="none"/>
              </w:rPr>
            </w:pPr>
          </w:p>
        </w:tc>
        <w:tc>
          <w:tcPr>
            <w:tcW w:w="1333" w:type="dxa"/>
            <w:gridSpan w:val="3"/>
            <w:vAlign w:val="center"/>
          </w:tcPr>
          <w:p w14:paraId="7ED8256E">
            <w:pPr>
              <w:pStyle w:val="49"/>
              <w:keepNext w:val="0"/>
              <w:keepLines w:val="0"/>
              <w:suppressLineNumbers w:val="0"/>
              <w:shd w:val="clear" w:color="auto" w:fill="FFFFFF"/>
              <w:spacing w:line="360" w:lineRule="auto"/>
              <w:ind w:left="0" w:right="0"/>
              <w:jc w:val="both"/>
              <w:rPr>
                <w:rFonts w:hint="default"/>
                <w:bCs/>
                <w:color w:val="auto"/>
                <w:highlight w:val="none"/>
              </w:rPr>
            </w:pPr>
          </w:p>
        </w:tc>
        <w:tc>
          <w:tcPr>
            <w:tcW w:w="1077" w:type="dxa"/>
            <w:vAlign w:val="center"/>
          </w:tcPr>
          <w:p w14:paraId="1ADB6A7C">
            <w:pPr>
              <w:pStyle w:val="49"/>
              <w:keepNext w:val="0"/>
              <w:keepLines w:val="0"/>
              <w:suppressLineNumbers w:val="0"/>
              <w:shd w:val="clear" w:color="auto" w:fill="FFFFFF"/>
              <w:spacing w:line="360" w:lineRule="auto"/>
              <w:ind w:left="0" w:right="0"/>
              <w:jc w:val="both"/>
              <w:rPr>
                <w:rFonts w:hint="default"/>
                <w:bCs/>
                <w:color w:val="auto"/>
                <w:highlight w:val="none"/>
              </w:rPr>
            </w:pPr>
          </w:p>
        </w:tc>
        <w:tc>
          <w:tcPr>
            <w:tcW w:w="1617" w:type="dxa"/>
            <w:gridSpan w:val="2"/>
            <w:vAlign w:val="center"/>
          </w:tcPr>
          <w:p w14:paraId="77261BD9">
            <w:pPr>
              <w:pStyle w:val="49"/>
              <w:keepNext w:val="0"/>
              <w:keepLines w:val="0"/>
              <w:suppressLineNumbers w:val="0"/>
              <w:shd w:val="clear" w:color="auto" w:fill="FFFFFF"/>
              <w:spacing w:line="360" w:lineRule="auto"/>
              <w:ind w:left="0" w:right="0"/>
              <w:jc w:val="both"/>
              <w:rPr>
                <w:rFonts w:hint="default"/>
                <w:bCs/>
                <w:color w:val="auto"/>
                <w:highlight w:val="none"/>
              </w:rPr>
            </w:pPr>
          </w:p>
        </w:tc>
        <w:tc>
          <w:tcPr>
            <w:tcW w:w="2551" w:type="dxa"/>
            <w:gridSpan w:val="2"/>
            <w:vAlign w:val="center"/>
          </w:tcPr>
          <w:p w14:paraId="0B203B6D">
            <w:pPr>
              <w:pStyle w:val="49"/>
              <w:keepNext w:val="0"/>
              <w:keepLines w:val="0"/>
              <w:suppressLineNumbers w:val="0"/>
              <w:shd w:val="clear" w:color="auto" w:fill="FFFFFF"/>
              <w:spacing w:line="360" w:lineRule="auto"/>
              <w:ind w:left="0" w:right="0"/>
              <w:jc w:val="both"/>
              <w:rPr>
                <w:rFonts w:hint="default"/>
                <w:bCs/>
                <w:color w:val="auto"/>
                <w:highlight w:val="none"/>
              </w:rPr>
            </w:pPr>
          </w:p>
        </w:tc>
      </w:tr>
      <w:tr w14:paraId="0ED25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14:paraId="5474AE79">
            <w:pPr>
              <w:pStyle w:val="49"/>
              <w:keepNext w:val="0"/>
              <w:keepLines w:val="0"/>
              <w:suppressLineNumbers w:val="0"/>
              <w:shd w:val="clear" w:color="auto" w:fill="FFFFFF"/>
              <w:spacing w:line="360" w:lineRule="auto"/>
              <w:ind w:left="107" w:right="0"/>
              <w:jc w:val="both"/>
              <w:rPr>
                <w:rFonts w:hint="default"/>
                <w:bCs/>
                <w:color w:val="auto"/>
                <w:spacing w:val="16"/>
                <w:highlight w:val="none"/>
              </w:rPr>
            </w:pPr>
          </w:p>
        </w:tc>
        <w:tc>
          <w:tcPr>
            <w:tcW w:w="1355" w:type="dxa"/>
            <w:gridSpan w:val="2"/>
            <w:vAlign w:val="center"/>
          </w:tcPr>
          <w:p w14:paraId="58015F29">
            <w:pPr>
              <w:pStyle w:val="49"/>
              <w:keepNext w:val="0"/>
              <w:keepLines w:val="0"/>
              <w:suppressLineNumbers w:val="0"/>
              <w:shd w:val="clear" w:color="auto" w:fill="FFFFFF"/>
              <w:spacing w:before="0" w:beforeAutospacing="0" w:after="0" w:afterAutospacing="0" w:line="360" w:lineRule="auto"/>
              <w:ind w:left="0" w:right="-107" w:rightChars="-51"/>
              <w:jc w:val="both"/>
              <w:rPr>
                <w:rFonts w:hint="default"/>
                <w:bCs/>
                <w:color w:val="auto"/>
                <w:spacing w:val="41"/>
                <w:highlight w:val="none"/>
              </w:rPr>
            </w:pPr>
            <w:r>
              <w:rPr>
                <w:rFonts w:hint="eastAsia"/>
                <w:bCs/>
                <w:color w:val="auto"/>
                <w:spacing w:val="41"/>
                <w:highlight w:val="none"/>
              </w:rPr>
              <w:t>企业通过质量体系、环保</w:t>
            </w:r>
            <w:r>
              <w:rPr>
                <w:rFonts w:hint="eastAsia"/>
                <w:bCs/>
                <w:color w:val="auto"/>
                <w:spacing w:val="11"/>
                <w:highlight w:val="none"/>
              </w:rPr>
              <w:t>体系、计量等认证情况</w:t>
            </w:r>
          </w:p>
        </w:tc>
        <w:tc>
          <w:tcPr>
            <w:tcW w:w="6578" w:type="dxa"/>
            <w:gridSpan w:val="8"/>
            <w:vAlign w:val="center"/>
          </w:tcPr>
          <w:p w14:paraId="6568944D">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r>
      <w:tr w14:paraId="67C23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14:paraId="373EC196">
            <w:pPr>
              <w:pStyle w:val="49"/>
              <w:keepNext w:val="0"/>
              <w:keepLines w:val="0"/>
              <w:suppressLineNumbers w:val="0"/>
              <w:shd w:val="clear" w:color="auto" w:fill="FFFFFF"/>
              <w:spacing w:line="360" w:lineRule="auto"/>
              <w:ind w:left="107" w:right="0"/>
              <w:jc w:val="both"/>
              <w:rPr>
                <w:rFonts w:hint="default"/>
                <w:bCs/>
                <w:color w:val="auto"/>
                <w:spacing w:val="27"/>
                <w:highlight w:val="none"/>
              </w:rPr>
            </w:pPr>
          </w:p>
        </w:tc>
        <w:tc>
          <w:tcPr>
            <w:tcW w:w="1355" w:type="dxa"/>
            <w:gridSpan w:val="2"/>
            <w:vAlign w:val="center"/>
          </w:tcPr>
          <w:p w14:paraId="546EBC28">
            <w:pPr>
              <w:pStyle w:val="49"/>
              <w:keepNext w:val="0"/>
              <w:keepLines w:val="0"/>
              <w:suppressLineNumbers w:val="0"/>
              <w:shd w:val="clear" w:color="auto" w:fill="FFFFFF"/>
              <w:spacing w:line="360" w:lineRule="auto"/>
              <w:ind w:left="0" w:right="0"/>
              <w:jc w:val="both"/>
              <w:rPr>
                <w:rFonts w:hint="default"/>
                <w:bCs/>
                <w:color w:val="auto"/>
                <w:spacing w:val="16"/>
                <w:highlight w:val="none"/>
              </w:rPr>
            </w:pPr>
            <w:r>
              <w:rPr>
                <w:rFonts w:hint="eastAsia"/>
                <w:bCs/>
                <w:color w:val="auto"/>
                <w:spacing w:val="10"/>
                <w:highlight w:val="none"/>
              </w:rPr>
              <w:t>企业获得专利情况</w:t>
            </w:r>
          </w:p>
        </w:tc>
        <w:tc>
          <w:tcPr>
            <w:tcW w:w="6578" w:type="dxa"/>
            <w:gridSpan w:val="8"/>
            <w:vAlign w:val="center"/>
          </w:tcPr>
          <w:p w14:paraId="61AE57DD">
            <w:pPr>
              <w:pStyle w:val="49"/>
              <w:keepNext w:val="0"/>
              <w:keepLines w:val="0"/>
              <w:suppressLineNumbers w:val="0"/>
              <w:shd w:val="clear" w:color="auto" w:fill="FFFFFF"/>
              <w:spacing w:line="360" w:lineRule="auto"/>
              <w:ind w:left="0" w:right="0"/>
              <w:jc w:val="both"/>
              <w:rPr>
                <w:rFonts w:hint="default"/>
                <w:bCs/>
                <w:color w:val="auto"/>
                <w:spacing w:val="16"/>
                <w:highlight w:val="none"/>
              </w:rPr>
            </w:pPr>
          </w:p>
        </w:tc>
      </w:tr>
    </w:tbl>
    <w:p w14:paraId="1EAD5FCA">
      <w:pPr>
        <w:spacing w:line="360" w:lineRule="auto"/>
        <w:rPr>
          <w:rFonts w:ascii="宋体" w:hAnsi="宋体" w:cs="宋体"/>
          <w:color w:val="auto"/>
          <w:sz w:val="24"/>
          <w:szCs w:val="32"/>
          <w:highlight w:val="none"/>
        </w:rPr>
      </w:pPr>
    </w:p>
    <w:p w14:paraId="2BEBBA31">
      <w:pPr>
        <w:spacing w:line="360" w:lineRule="auto"/>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2D9D46E7">
      <w:pPr>
        <w:spacing w:line="360" w:lineRule="auto"/>
        <w:rPr>
          <w:rFonts w:ascii="宋体" w:hAnsi="宋体" w:cs="宋体"/>
          <w:color w:val="auto"/>
          <w:sz w:val="24"/>
          <w:szCs w:val="32"/>
          <w:highlight w:val="none"/>
        </w:rPr>
      </w:pPr>
      <w:r>
        <w:rPr>
          <w:rFonts w:hint="eastAsia" w:ascii="宋体" w:hAnsi="宋体" w:cs="宋体"/>
          <w:color w:val="auto"/>
          <w:sz w:val="24"/>
          <w:szCs w:val="32"/>
          <w:highlight w:val="none"/>
        </w:rPr>
        <w:t>1.姓名栏必须将所有股东都统计在内，若非股份公司此行（第三行）无需填写；</w:t>
      </w:r>
    </w:p>
    <w:p w14:paraId="13D66128">
      <w:pPr>
        <w:spacing w:line="360" w:lineRule="auto"/>
        <w:rPr>
          <w:rFonts w:ascii="宋体" w:hAnsi="宋体" w:cs="宋体"/>
          <w:color w:val="auto"/>
          <w:sz w:val="24"/>
          <w:szCs w:val="32"/>
          <w:highlight w:val="none"/>
        </w:rPr>
      </w:pPr>
    </w:p>
    <w:p w14:paraId="18FAB7CC">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746DE31D">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B65AC62">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45F9031A">
      <w:pPr>
        <w:spacing w:line="360" w:lineRule="auto"/>
        <w:rPr>
          <w:rFonts w:ascii="宋体" w:hAnsi="宋体" w:cs="宋体"/>
          <w:color w:val="auto"/>
          <w:sz w:val="24"/>
          <w:szCs w:val="32"/>
          <w:highlight w:val="none"/>
        </w:rPr>
      </w:pPr>
    </w:p>
    <w:p w14:paraId="31250683">
      <w:pPr>
        <w:pStyle w:val="9"/>
        <w:rPr>
          <w:highlight w:val="none"/>
        </w:rPr>
      </w:pPr>
    </w:p>
    <w:p w14:paraId="16DC6E15">
      <w:pPr>
        <w:spacing w:line="360" w:lineRule="auto"/>
        <w:rPr>
          <w:rFonts w:hint="default" w:ascii="宋体" w:hAnsi="宋体" w:eastAsia="宋体" w:cs="宋体"/>
          <w:color w:val="auto"/>
          <w:sz w:val="24"/>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11</w:t>
      </w:r>
    </w:p>
    <w:p w14:paraId="67582B78">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项目实施人员一览表（标段）</w:t>
      </w:r>
    </w:p>
    <w:p w14:paraId="6BC255E8">
      <w:pPr>
        <w:spacing w:line="360" w:lineRule="auto"/>
        <w:jc w:val="center"/>
        <w:rPr>
          <w:rFonts w:ascii="宋体" w:hAnsi="宋体" w:cs="宋体"/>
          <w:color w:val="auto"/>
          <w:sz w:val="24"/>
          <w:szCs w:val="32"/>
          <w:highlight w:val="none"/>
        </w:rPr>
      </w:pPr>
      <w:r>
        <w:rPr>
          <w:rFonts w:hint="eastAsia" w:ascii="宋体" w:hAnsi="宋体" w:cs="宋体"/>
          <w:color w:val="auto"/>
          <w:sz w:val="24"/>
          <w:szCs w:val="32"/>
          <w:highlight w:val="none"/>
        </w:rPr>
        <w:t>（主要从业人员及其技术资格）</w:t>
      </w:r>
    </w:p>
    <w:tbl>
      <w:tblPr>
        <w:tblStyle w:val="28"/>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76968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14:paraId="4F167B3C">
            <w:pPr>
              <w:keepNext w:val="0"/>
              <w:keepLines w:val="0"/>
              <w:suppressLineNumbers w:val="0"/>
              <w:snapToGrid w:val="0"/>
              <w:spacing w:before="158" w:beforeLines="50" w:beforeAutospacing="0" w:after="5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1AD2D979">
            <w:pPr>
              <w:keepNext w:val="0"/>
              <w:keepLines w:val="0"/>
              <w:suppressLineNumbers w:val="0"/>
              <w:snapToGrid w:val="0"/>
              <w:spacing w:before="158" w:beforeLines="50" w:beforeAutospacing="0" w:after="5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3625C59C">
            <w:pPr>
              <w:keepNext w:val="0"/>
              <w:keepLines w:val="0"/>
              <w:suppressLineNumbers w:val="0"/>
              <w:snapToGrid w:val="0"/>
              <w:spacing w:before="158" w:beforeLines="50" w:beforeAutospacing="0" w:after="5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3E0606CB">
            <w:pPr>
              <w:keepNext w:val="0"/>
              <w:keepLines w:val="0"/>
              <w:suppressLineNumbers w:val="0"/>
              <w:snapToGrid w:val="0"/>
              <w:spacing w:before="158" w:beforeLines="50" w:beforeAutospacing="0" w:after="5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52E1470B">
            <w:pPr>
              <w:keepNext w:val="0"/>
              <w:keepLines w:val="0"/>
              <w:suppressLineNumbers w:val="0"/>
              <w:snapToGrid w:val="0"/>
              <w:spacing w:before="158" w:beforeLines="50" w:beforeAutospacing="0" w:after="5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50EDD4AA">
            <w:pPr>
              <w:keepNext w:val="0"/>
              <w:keepLines w:val="0"/>
              <w:suppressLineNumbers w:val="0"/>
              <w:snapToGrid w:val="0"/>
              <w:spacing w:before="158" w:beforeLines="50" w:beforeAutospacing="0" w:after="50" w:afterAutospacing="0" w:line="360" w:lineRule="auto"/>
              <w:ind w:left="0" w:right="0"/>
              <w:jc w:val="center"/>
              <w:rPr>
                <w:rFonts w:hint="default" w:ascii="宋体" w:hAnsi="宋体" w:cs="宋体"/>
                <w:b/>
                <w:color w:val="auto"/>
                <w:sz w:val="24"/>
                <w:szCs w:val="20"/>
                <w:highlight w:val="none"/>
              </w:rPr>
            </w:pPr>
            <w:r>
              <w:rPr>
                <w:rFonts w:hint="eastAsia" w:ascii="宋体" w:hAnsi="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DDF9F35">
            <w:pPr>
              <w:keepNext w:val="0"/>
              <w:keepLines w:val="0"/>
              <w:suppressLineNumbers w:val="0"/>
              <w:snapToGrid w:val="0"/>
              <w:spacing w:before="158" w:beforeLines="50" w:beforeAutospacing="0" w:after="50" w:afterAutospacing="0" w:line="360" w:lineRule="auto"/>
              <w:ind w:left="0" w:right="0"/>
              <w:jc w:val="center"/>
              <w:rPr>
                <w:rFonts w:hint="default" w:ascii="宋体" w:hAnsi="宋体" w:cs="宋体"/>
                <w:b/>
                <w:bCs/>
                <w:color w:val="auto"/>
                <w:sz w:val="24"/>
                <w:szCs w:val="20"/>
                <w:highlight w:val="none"/>
              </w:rPr>
            </w:pPr>
            <w:r>
              <w:rPr>
                <w:rFonts w:hint="eastAsia" w:ascii="宋体" w:hAnsi="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14:paraId="28BCE77E">
            <w:pPr>
              <w:keepNext w:val="0"/>
              <w:keepLines w:val="0"/>
              <w:suppressLineNumbers w:val="0"/>
              <w:snapToGrid w:val="0"/>
              <w:spacing w:before="158" w:beforeLines="50" w:beforeAutospacing="0" w:after="50" w:afterAutospacing="0" w:line="360" w:lineRule="auto"/>
              <w:ind w:left="0" w:right="0"/>
              <w:jc w:val="center"/>
              <w:rPr>
                <w:rFonts w:hint="default" w:ascii="宋体" w:hAnsi="宋体" w:cs="宋体"/>
                <w:b/>
                <w:bCs/>
                <w:color w:val="auto"/>
                <w:sz w:val="24"/>
                <w:szCs w:val="20"/>
                <w:highlight w:val="none"/>
              </w:rPr>
            </w:pPr>
            <w:r>
              <w:rPr>
                <w:rFonts w:hint="eastAsia" w:ascii="宋体" w:hAnsi="宋体" w:cs="宋体"/>
                <w:b/>
                <w:color w:val="auto"/>
                <w:sz w:val="24"/>
                <w:highlight w:val="none"/>
              </w:rPr>
              <w:t>劳动合同编号</w:t>
            </w:r>
          </w:p>
        </w:tc>
      </w:tr>
      <w:tr w14:paraId="15B5EC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F8B10A2">
            <w:pPr>
              <w:keepNext w:val="0"/>
              <w:keepLines w:val="0"/>
              <w:suppressLineNumbers w:val="0"/>
              <w:snapToGrid w:val="0"/>
              <w:spacing w:before="158" w:beforeLines="50" w:beforeAutospacing="0" w:after="50" w:afterAutospacing="0" w:line="360" w:lineRule="auto"/>
              <w:ind w:left="0" w:right="0"/>
              <w:rPr>
                <w:rFonts w:hint="default"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29CB259E">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D45B681">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7C203C20">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618E71C">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6359FA52">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BF87E05">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6DB961C">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r>
      <w:tr w14:paraId="7EDFF7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54FE7C1">
            <w:pPr>
              <w:keepNext w:val="0"/>
              <w:keepLines w:val="0"/>
              <w:suppressLineNumbers w:val="0"/>
              <w:snapToGrid w:val="0"/>
              <w:spacing w:before="158" w:beforeLines="50" w:beforeAutospacing="0" w:after="50" w:afterAutospacing="0" w:line="360" w:lineRule="auto"/>
              <w:ind w:left="0" w:right="0"/>
              <w:rPr>
                <w:rFonts w:hint="default"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C1C3EDA">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B28644F">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DE458B7">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2C929FE">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BA542E3">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095BDFA9">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151180CC">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r>
      <w:tr w14:paraId="0FCC0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0925715B">
            <w:pPr>
              <w:keepNext w:val="0"/>
              <w:keepLines w:val="0"/>
              <w:suppressLineNumbers w:val="0"/>
              <w:snapToGrid w:val="0"/>
              <w:spacing w:before="158" w:beforeLines="50" w:beforeAutospacing="0" w:after="50" w:afterAutospacing="0" w:line="360" w:lineRule="auto"/>
              <w:ind w:left="0" w:right="0"/>
              <w:rPr>
                <w:rFonts w:hint="default"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0E6B4F6D">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16D63F8">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5C041FA">
            <w:pPr>
              <w:pStyle w:val="12"/>
              <w:keepNext w:val="0"/>
              <w:keepLines w:val="0"/>
              <w:suppressLineNumbers w:val="0"/>
              <w:snapToGrid w:val="0"/>
              <w:spacing w:before="158" w:beforeLines="50" w:beforeAutospacing="0" w:after="50" w:afterAutospacing="0" w:line="360" w:lineRule="auto"/>
              <w:ind w:left="5250" w:right="0"/>
              <w:rPr>
                <w:rFonts w:hint="default"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2CF26C6C">
            <w:pPr>
              <w:pStyle w:val="12"/>
              <w:keepNext w:val="0"/>
              <w:keepLines w:val="0"/>
              <w:suppressLineNumbers w:val="0"/>
              <w:snapToGrid w:val="0"/>
              <w:spacing w:before="158" w:beforeLines="50" w:beforeAutospacing="0" w:after="50" w:afterAutospacing="0" w:line="360" w:lineRule="auto"/>
              <w:ind w:left="5250" w:right="0"/>
              <w:rPr>
                <w:rFonts w:hint="default"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4B15243F">
            <w:pPr>
              <w:pStyle w:val="12"/>
              <w:keepNext w:val="0"/>
              <w:keepLines w:val="0"/>
              <w:suppressLineNumbers w:val="0"/>
              <w:spacing w:before="0" w:beforeAutospacing="0" w:after="0" w:afterAutospacing="0" w:line="360" w:lineRule="auto"/>
              <w:ind w:left="5250" w:right="0"/>
              <w:rPr>
                <w:rFonts w:hint="default"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tcPr>
          <w:p w14:paraId="66196184">
            <w:pPr>
              <w:keepNext w:val="0"/>
              <w:keepLines w:val="0"/>
              <w:suppressLineNumbers w:val="0"/>
              <w:snapToGrid w:val="0"/>
              <w:spacing w:before="158" w:beforeLines="50" w:beforeAutospacing="0" w:after="50" w:afterAutospacing="0" w:line="360" w:lineRule="auto"/>
              <w:ind w:left="0" w:right="0"/>
              <w:rPr>
                <w:rFonts w:hint="default" w:ascii="宋体" w:hAnsi="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9288425">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r>
      <w:tr w14:paraId="44C81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5C4297A0">
            <w:pPr>
              <w:keepNext w:val="0"/>
              <w:keepLines w:val="0"/>
              <w:suppressLineNumbers w:val="0"/>
              <w:snapToGrid w:val="0"/>
              <w:spacing w:before="158" w:beforeLines="50" w:beforeAutospacing="0" w:after="50" w:afterAutospacing="0" w:line="360" w:lineRule="auto"/>
              <w:ind w:left="0" w:right="0"/>
              <w:rPr>
                <w:rFonts w:hint="default"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98FC951">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7A99AF5">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FF8F8FC">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D3F9894">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DFEF48C">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F44408E">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366D6374">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r>
      <w:tr w14:paraId="4BACEA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38CBFE4C">
            <w:pPr>
              <w:keepNext w:val="0"/>
              <w:keepLines w:val="0"/>
              <w:suppressLineNumbers w:val="0"/>
              <w:snapToGrid w:val="0"/>
              <w:spacing w:before="158" w:beforeLines="50" w:beforeAutospacing="0" w:after="50" w:afterAutospacing="0" w:line="360" w:lineRule="auto"/>
              <w:ind w:left="0" w:right="0"/>
              <w:rPr>
                <w:rFonts w:hint="default"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797D4A3A">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30B60DC">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9E03151">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7F464A01">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1400DCDE">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4510EA5">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7722FD4B">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r>
      <w:tr w14:paraId="70062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19BD3F98">
            <w:pPr>
              <w:keepNext w:val="0"/>
              <w:keepLines w:val="0"/>
              <w:suppressLineNumbers w:val="0"/>
              <w:snapToGrid w:val="0"/>
              <w:spacing w:before="158" w:beforeLines="50" w:beforeAutospacing="0" w:after="50" w:afterAutospacing="0" w:line="360" w:lineRule="auto"/>
              <w:ind w:left="0" w:right="0"/>
              <w:rPr>
                <w:rFonts w:hint="default"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58C03EE6">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1974BDF">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351FBA5">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651083B">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24025C3">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072F4E0">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55BD8BD7">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r>
      <w:tr w14:paraId="263A99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4E9B6265">
            <w:pPr>
              <w:keepNext w:val="0"/>
              <w:keepLines w:val="0"/>
              <w:suppressLineNumbers w:val="0"/>
              <w:snapToGrid w:val="0"/>
              <w:spacing w:before="158" w:beforeLines="50" w:beforeAutospacing="0" w:after="50" w:afterAutospacing="0" w:line="360" w:lineRule="auto"/>
              <w:ind w:left="0" w:right="0"/>
              <w:rPr>
                <w:rFonts w:hint="default"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617F3540">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35A44661">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D50DE61">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6A3E1156">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BA73007">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852A1B5">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285B0AEB">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r>
      <w:tr w14:paraId="2F256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tcPr>
          <w:p w14:paraId="75FB9D4A">
            <w:pPr>
              <w:keepNext w:val="0"/>
              <w:keepLines w:val="0"/>
              <w:suppressLineNumbers w:val="0"/>
              <w:snapToGrid w:val="0"/>
              <w:spacing w:before="158" w:beforeLines="50" w:beforeAutospacing="0" w:after="50" w:afterAutospacing="0" w:line="360" w:lineRule="auto"/>
              <w:ind w:left="0" w:right="0"/>
              <w:rPr>
                <w:rFonts w:hint="default" w:ascii="宋体" w:hAnsi="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tcPr>
          <w:p w14:paraId="3B612265">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4963F66">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C7F4F19">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4BF33A41">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C1EC9BE">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D674C99">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tcPr>
          <w:p w14:paraId="67D9F0ED">
            <w:pPr>
              <w:keepNext w:val="0"/>
              <w:keepLines w:val="0"/>
              <w:suppressLineNumbers w:val="0"/>
              <w:snapToGrid w:val="0"/>
              <w:spacing w:before="158" w:beforeLines="50" w:beforeAutospacing="0" w:after="50" w:afterAutospacing="0" w:line="360" w:lineRule="auto"/>
              <w:ind w:left="0" w:right="0"/>
              <w:rPr>
                <w:rFonts w:hint="default" w:ascii="宋体" w:hAnsi="宋体" w:cs="宋体"/>
                <w:b/>
                <w:color w:val="auto"/>
                <w:kern w:val="44"/>
                <w:sz w:val="24"/>
                <w:szCs w:val="20"/>
                <w:highlight w:val="none"/>
              </w:rPr>
            </w:pPr>
          </w:p>
        </w:tc>
      </w:tr>
    </w:tbl>
    <w:p w14:paraId="67C3EB06">
      <w:pPr>
        <w:spacing w:line="360" w:lineRule="auto"/>
        <w:jc w:val="left"/>
        <w:rPr>
          <w:rFonts w:ascii="宋体" w:hAnsi="宋体" w:cs="宋体"/>
          <w:b/>
          <w:bCs/>
          <w:color w:val="auto"/>
          <w:sz w:val="24"/>
          <w:szCs w:val="32"/>
          <w:highlight w:val="none"/>
        </w:rPr>
      </w:pPr>
      <w:r>
        <w:rPr>
          <w:rFonts w:hint="eastAsia" w:ascii="宋体" w:hAnsi="宋体" w:cs="宋体"/>
          <w:b/>
          <w:bCs/>
          <w:color w:val="auto"/>
          <w:sz w:val="24"/>
          <w:szCs w:val="32"/>
          <w:highlight w:val="none"/>
        </w:rPr>
        <w:t>要求：</w:t>
      </w:r>
    </w:p>
    <w:p w14:paraId="0D91D28F">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1.在填写时，如本表格不适合供应商的实际情况，可根据本表格式自行划表填写。</w:t>
      </w:r>
    </w:p>
    <w:p w14:paraId="367714FE">
      <w:pPr>
        <w:spacing w:line="360" w:lineRule="auto"/>
        <w:ind w:firstLine="480" w:firstLineChars="200"/>
        <w:jc w:val="left"/>
        <w:rPr>
          <w:rFonts w:ascii="宋体" w:hAnsi="宋体" w:cs="宋体"/>
          <w:color w:val="auto"/>
          <w:sz w:val="24"/>
          <w:szCs w:val="32"/>
          <w:highlight w:val="none"/>
        </w:rPr>
      </w:pPr>
      <w:r>
        <w:rPr>
          <w:rFonts w:hint="eastAsia" w:ascii="宋体" w:hAnsi="宋体" w:cs="宋体"/>
          <w:color w:val="auto"/>
          <w:sz w:val="24"/>
          <w:szCs w:val="32"/>
          <w:highlight w:val="none"/>
        </w:rPr>
        <w:t>2.附人员证书复印件；</w:t>
      </w:r>
    </w:p>
    <w:p w14:paraId="0B268A02">
      <w:pPr>
        <w:spacing w:line="360" w:lineRule="auto"/>
        <w:jc w:val="left"/>
        <w:rPr>
          <w:rFonts w:ascii="宋体" w:hAnsi="宋体" w:cs="宋体"/>
          <w:color w:val="auto"/>
          <w:sz w:val="24"/>
          <w:szCs w:val="32"/>
          <w:highlight w:val="none"/>
        </w:rPr>
      </w:pPr>
      <w:r>
        <w:rPr>
          <w:rFonts w:hint="eastAsia" w:ascii="宋体" w:hAnsi="宋体" w:cs="宋体"/>
          <w:color w:val="auto"/>
          <w:sz w:val="24"/>
          <w:szCs w:val="32"/>
          <w:highlight w:val="none"/>
        </w:rPr>
        <w:t>　　3.出具上述人员在本单位服务的外部证明，如：投标截止日之前</w:t>
      </w:r>
      <w:r>
        <w:rPr>
          <w:rFonts w:hint="eastAsia" w:ascii="宋体" w:hAnsi="宋体" w:cs="宋体"/>
          <w:color w:val="auto"/>
          <w:sz w:val="24"/>
          <w:szCs w:val="32"/>
          <w:highlight w:val="none"/>
          <w:lang w:eastAsia="zh-CN"/>
        </w:rPr>
        <w:t>三</w:t>
      </w:r>
      <w:r>
        <w:rPr>
          <w:rFonts w:hint="eastAsia" w:ascii="宋体" w:hAnsi="宋体" w:cs="宋体"/>
          <w:color w:val="auto"/>
          <w:sz w:val="24"/>
          <w:szCs w:val="32"/>
          <w:highlight w:val="none"/>
        </w:rPr>
        <w:t>个月以内的代缴个税税单、参加社会保险的《投保单》或《社会保险参保人员证明》等。</w:t>
      </w:r>
    </w:p>
    <w:p w14:paraId="12B84325">
      <w:pPr>
        <w:spacing w:line="360" w:lineRule="auto"/>
        <w:rPr>
          <w:rFonts w:ascii="宋体" w:hAnsi="宋体" w:cs="宋体"/>
          <w:color w:val="auto"/>
          <w:sz w:val="24"/>
          <w:szCs w:val="32"/>
          <w:highlight w:val="none"/>
        </w:rPr>
      </w:pPr>
    </w:p>
    <w:p w14:paraId="784A642D">
      <w:pPr>
        <w:spacing w:line="36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44EB8C40">
      <w:pPr>
        <w:spacing w:line="36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79F5921">
      <w:pPr>
        <w:spacing w:line="36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8CA2B86">
      <w:pPr>
        <w:spacing w:line="360" w:lineRule="auto"/>
        <w:jc w:val="left"/>
        <w:rPr>
          <w:rFonts w:ascii="宋体" w:hAnsi="宋体" w:cs="宋体"/>
          <w:b/>
          <w:bCs/>
          <w:color w:val="auto"/>
          <w:sz w:val="24"/>
          <w:szCs w:val="32"/>
          <w:highlight w:val="none"/>
          <w:lang w:val="zh-CN"/>
        </w:rPr>
      </w:pPr>
    </w:p>
    <w:p w14:paraId="2328A570">
      <w:pP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12</w:t>
      </w:r>
    </w:p>
    <w:p w14:paraId="11A0FE0D">
      <w:pPr>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商务及技术响应表</w:t>
      </w:r>
    </w:p>
    <w:p w14:paraId="205D22AD">
      <w:pPr>
        <w:spacing w:line="360" w:lineRule="auto"/>
        <w:rPr>
          <w:rFonts w:ascii="宋体" w:hAnsi="宋体" w:cs="宋体"/>
          <w:color w:val="auto"/>
          <w:sz w:val="24"/>
          <w:highlight w:val="none"/>
        </w:rPr>
      </w:pPr>
    </w:p>
    <w:tbl>
      <w:tblPr>
        <w:tblStyle w:val="28"/>
        <w:tblW w:w="8792" w:type="dxa"/>
        <w:jc w:val="center"/>
        <w:tblLayout w:type="fixed"/>
        <w:tblCellMar>
          <w:top w:w="0" w:type="dxa"/>
          <w:left w:w="108" w:type="dxa"/>
          <w:bottom w:w="0" w:type="dxa"/>
          <w:right w:w="108" w:type="dxa"/>
        </w:tblCellMar>
      </w:tblPr>
      <w:tblGrid>
        <w:gridCol w:w="1202"/>
        <w:gridCol w:w="1831"/>
        <w:gridCol w:w="2160"/>
        <w:gridCol w:w="2127"/>
        <w:gridCol w:w="1472"/>
      </w:tblGrid>
      <w:tr w14:paraId="36E16517">
        <w:tblPrEx>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14:paraId="3CAEEFC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14:paraId="6061968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14:paraId="5CFC8FF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14:paraId="063C961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磋商响应文件响应</w:t>
            </w:r>
          </w:p>
        </w:tc>
        <w:tc>
          <w:tcPr>
            <w:tcW w:w="1472" w:type="dxa"/>
            <w:tcBorders>
              <w:top w:val="single" w:color="auto" w:sz="4" w:space="0"/>
              <w:left w:val="single" w:color="auto" w:sz="4" w:space="0"/>
              <w:bottom w:val="single" w:color="auto" w:sz="4" w:space="0"/>
              <w:right w:val="single" w:color="auto" w:sz="4" w:space="0"/>
            </w:tcBorders>
            <w:vAlign w:val="center"/>
          </w:tcPr>
          <w:p w14:paraId="155FD4E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偏离情况</w:t>
            </w:r>
          </w:p>
        </w:tc>
      </w:tr>
      <w:tr w14:paraId="7C9B4624">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right w:val="single" w:color="auto" w:sz="4" w:space="0"/>
            </w:tcBorders>
            <w:vAlign w:val="center"/>
          </w:tcPr>
          <w:p w14:paraId="2ED93C8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23A484B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14:paraId="3B19A7F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74580D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06C38E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4AA89FB2">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3896D1A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F64CDF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完成时间</w:t>
            </w:r>
          </w:p>
        </w:tc>
        <w:tc>
          <w:tcPr>
            <w:tcW w:w="2160" w:type="dxa"/>
            <w:tcBorders>
              <w:top w:val="single" w:color="auto" w:sz="4" w:space="0"/>
              <w:left w:val="single" w:color="auto" w:sz="4" w:space="0"/>
              <w:bottom w:val="single" w:color="auto" w:sz="4" w:space="0"/>
              <w:right w:val="single" w:color="auto" w:sz="4" w:space="0"/>
            </w:tcBorders>
            <w:vAlign w:val="center"/>
          </w:tcPr>
          <w:p w14:paraId="5D23D33F">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0008B52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59F0B1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2FDC3E87">
        <w:tblPrEx>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14:paraId="656E46D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6413FE6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p>
        </w:tc>
        <w:tc>
          <w:tcPr>
            <w:tcW w:w="2160" w:type="dxa"/>
            <w:tcBorders>
              <w:top w:val="single" w:color="auto" w:sz="4" w:space="0"/>
              <w:left w:val="single" w:color="auto" w:sz="4" w:space="0"/>
              <w:bottom w:val="single" w:color="auto" w:sz="4" w:space="0"/>
              <w:right w:val="single" w:color="auto" w:sz="4" w:space="0"/>
            </w:tcBorders>
            <w:vAlign w:val="center"/>
          </w:tcPr>
          <w:p w14:paraId="34E4A4D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D79E71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0891069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5A597D04">
        <w:tblPrEx>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14:paraId="3961DB8E">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FACFB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w:t>
            </w:r>
          </w:p>
        </w:tc>
        <w:tc>
          <w:tcPr>
            <w:tcW w:w="2160" w:type="dxa"/>
            <w:tcBorders>
              <w:top w:val="single" w:color="auto" w:sz="4" w:space="0"/>
              <w:left w:val="single" w:color="auto" w:sz="4" w:space="0"/>
              <w:bottom w:val="single" w:color="auto" w:sz="4" w:space="0"/>
              <w:right w:val="single" w:color="auto" w:sz="4" w:space="0"/>
            </w:tcBorders>
            <w:vAlign w:val="center"/>
          </w:tcPr>
          <w:p w14:paraId="3DE9B6B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86B6FC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3818839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6369DA8E">
        <w:tblPrEx>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14:paraId="725F39B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14:paraId="3523675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D1785E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1AB76A6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70C487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22829AFC">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4098B82">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29DF100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1EADD75D">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4B49404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9714875">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81CA315">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48C4314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89BB82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59E5B3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0C6558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CA10698">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3F524F81">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1330082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2EDED383">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4E00CC4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7BFA3FC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72CD773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0A3A9BF4">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7031AD4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401FBAF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7D8DF7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36815F76">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123896A9">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104A926F">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2F6BE35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27864CB1">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0BC443B7">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D24BDBA">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636776AC">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r w14:paraId="35686514">
        <w:tblPrEx>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14:paraId="66170A9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14:paraId="51787C24">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14:paraId="7738A82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2C949230">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14:paraId="3223999B">
            <w:pPr>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p>
        </w:tc>
      </w:tr>
    </w:tbl>
    <w:p w14:paraId="2036DDB5">
      <w:pPr>
        <w:spacing w:line="360" w:lineRule="auto"/>
        <w:rPr>
          <w:rFonts w:ascii="宋体" w:hAnsi="宋体" w:cs="宋体"/>
          <w:color w:val="auto"/>
          <w:sz w:val="24"/>
          <w:highlight w:val="none"/>
        </w:rPr>
      </w:pPr>
    </w:p>
    <w:p w14:paraId="735F9494">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2059E791">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B38F7EE">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00B4F3BD">
      <w:pPr>
        <w:spacing w:line="360" w:lineRule="auto"/>
        <w:rPr>
          <w:rFonts w:ascii="宋体" w:hAnsi="宋体" w:cs="宋体"/>
          <w:color w:val="auto"/>
          <w:sz w:val="24"/>
          <w:highlight w:val="none"/>
        </w:rPr>
      </w:pPr>
    </w:p>
    <w:p w14:paraId="4FAD0198">
      <w:pPr>
        <w:spacing w:line="360" w:lineRule="auto"/>
        <w:rPr>
          <w:rFonts w:ascii="宋体" w:hAnsi="宋体" w:cs="宋体"/>
          <w:color w:val="auto"/>
          <w:sz w:val="24"/>
          <w:highlight w:val="none"/>
        </w:rPr>
      </w:pPr>
    </w:p>
    <w:p w14:paraId="67C7214C">
      <w:pPr>
        <w:spacing w:line="360" w:lineRule="auto"/>
        <w:rPr>
          <w:rFonts w:ascii="宋体" w:hAnsi="宋体" w:cs="宋体"/>
          <w:color w:val="auto"/>
          <w:sz w:val="24"/>
          <w:highlight w:val="none"/>
        </w:rPr>
      </w:pPr>
    </w:p>
    <w:p w14:paraId="10E0DBB2">
      <w:pPr>
        <w:spacing w:line="360" w:lineRule="auto"/>
        <w:rPr>
          <w:rFonts w:ascii="宋体" w:hAnsi="宋体" w:cs="宋体"/>
          <w:color w:val="auto"/>
          <w:sz w:val="24"/>
          <w:highlight w:val="none"/>
        </w:rPr>
      </w:pPr>
    </w:p>
    <w:p w14:paraId="4E3CA388">
      <w:pPr>
        <w:spacing w:line="360" w:lineRule="auto"/>
        <w:rPr>
          <w:rFonts w:ascii="宋体" w:hAnsi="宋体" w:cs="宋体"/>
          <w:color w:val="auto"/>
          <w:sz w:val="24"/>
          <w:highlight w:val="none"/>
        </w:rPr>
      </w:pPr>
    </w:p>
    <w:p w14:paraId="2639460F">
      <w:pPr>
        <w:spacing w:line="360" w:lineRule="auto"/>
        <w:rPr>
          <w:rFonts w:ascii="宋体" w:hAnsi="宋体" w:cs="宋体"/>
          <w:color w:val="auto"/>
          <w:sz w:val="24"/>
          <w:highlight w:val="none"/>
        </w:rPr>
      </w:pPr>
    </w:p>
    <w:p w14:paraId="79FB19D7">
      <w:pPr>
        <w:spacing w:line="360" w:lineRule="auto"/>
        <w:rPr>
          <w:rFonts w:ascii="宋体" w:hAnsi="宋体" w:cs="宋体"/>
          <w:color w:val="auto"/>
          <w:sz w:val="24"/>
          <w:highlight w:val="none"/>
        </w:rPr>
      </w:pPr>
    </w:p>
    <w:p w14:paraId="1F655E0B">
      <w:pPr>
        <w:spacing w:line="360" w:lineRule="auto"/>
        <w:jc w:val="left"/>
        <w:rPr>
          <w:rFonts w:hint="default" w:ascii="宋体" w:hAnsi="宋体" w:eastAsia="宋体" w:cs="宋体"/>
          <w:b/>
          <w:bCs/>
          <w:color w:val="auto"/>
          <w:sz w:val="28"/>
          <w:szCs w:val="36"/>
          <w:highlight w:val="none"/>
          <w:lang w:val="en-US" w:eastAsia="zh-CN"/>
        </w:rPr>
      </w:pPr>
      <w:r>
        <w:rPr>
          <w:rFonts w:hint="eastAsia" w:ascii="宋体" w:hAnsi="宋体" w:cs="宋体"/>
          <w:b/>
          <w:bCs/>
          <w:color w:val="auto"/>
          <w:sz w:val="28"/>
          <w:szCs w:val="36"/>
          <w:highlight w:val="none"/>
          <w:lang w:val="zh-CN"/>
        </w:rPr>
        <w:t>附件</w:t>
      </w:r>
      <w:r>
        <w:rPr>
          <w:rFonts w:hint="eastAsia" w:ascii="宋体" w:hAnsi="宋体" w:cs="宋体"/>
          <w:b/>
          <w:bCs/>
          <w:color w:val="auto"/>
          <w:sz w:val="28"/>
          <w:szCs w:val="36"/>
          <w:highlight w:val="none"/>
          <w:lang w:val="en-US" w:eastAsia="zh-CN"/>
        </w:rPr>
        <w:t>13</w:t>
      </w:r>
    </w:p>
    <w:p w14:paraId="542CC46A">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供应商类似项目实施情况一览表</w:t>
      </w:r>
    </w:p>
    <w:p w14:paraId="5F8547C0">
      <w:pPr>
        <w:spacing w:line="360" w:lineRule="auto"/>
        <w:rPr>
          <w:rFonts w:ascii="宋体" w:hAnsi="宋体" w:cs="宋体"/>
          <w:b/>
          <w:bCs/>
          <w:color w:val="auto"/>
          <w:sz w:val="24"/>
          <w:highlight w:val="none"/>
        </w:rPr>
      </w:pPr>
    </w:p>
    <w:tbl>
      <w:tblPr>
        <w:tblStyle w:val="28"/>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6DFE1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483A9947">
            <w:pPr>
              <w:pStyle w:val="52"/>
              <w:keepNext w:val="0"/>
              <w:keepLines w:val="0"/>
              <w:suppressLineNumbers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52203416">
            <w:pPr>
              <w:pStyle w:val="52"/>
              <w:keepNext w:val="0"/>
              <w:keepLines w:val="0"/>
              <w:suppressLineNumbers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43CD8E71">
            <w:pPr>
              <w:pStyle w:val="52"/>
              <w:keepNext w:val="0"/>
              <w:keepLines w:val="0"/>
              <w:suppressLineNumbers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31DCCD17">
            <w:pPr>
              <w:pStyle w:val="52"/>
              <w:keepNext w:val="0"/>
              <w:keepLines w:val="0"/>
              <w:suppressLineNumbers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A1C02A2">
            <w:pPr>
              <w:pStyle w:val="52"/>
              <w:keepNext w:val="0"/>
              <w:keepLines w:val="0"/>
              <w:suppressLineNumbers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0508E615">
            <w:pPr>
              <w:pStyle w:val="52"/>
              <w:keepNext w:val="0"/>
              <w:keepLines w:val="0"/>
              <w:suppressLineNumbers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C943D3F">
            <w:pPr>
              <w:pStyle w:val="52"/>
              <w:keepNext w:val="0"/>
              <w:keepLines w:val="0"/>
              <w:suppressLineNumbers w:val="0"/>
              <w:spacing w:before="0" w:beforeAutospacing="0" w:after="0" w:afterAutospacing="0" w:line="360" w:lineRule="auto"/>
              <w:ind w:left="0" w:right="0"/>
              <w:jc w:val="center"/>
              <w:rPr>
                <w:rFonts w:hint="default" w:ascii="宋体" w:hAnsi="宋体" w:cs="宋体"/>
                <w:b/>
                <w:bCs/>
                <w:color w:val="auto"/>
                <w:sz w:val="24"/>
                <w:highlight w:val="none"/>
              </w:rPr>
            </w:pPr>
            <w:r>
              <w:rPr>
                <w:rFonts w:hint="eastAsia" w:ascii="宋体" w:hAnsi="宋体" w:cs="宋体"/>
                <w:b/>
                <w:bCs/>
                <w:color w:val="auto"/>
                <w:sz w:val="24"/>
                <w:highlight w:val="none"/>
              </w:rPr>
              <w:t>项目单位名称及其联系人电话</w:t>
            </w:r>
          </w:p>
        </w:tc>
      </w:tr>
      <w:tr w14:paraId="452652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9010F01">
            <w:pPr>
              <w:pStyle w:val="52"/>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51E5FE5">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6658815">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03A2C18">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C7F58AA">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3D57735C">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3F0C7C8">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5C19C1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8520C77">
            <w:pPr>
              <w:pStyle w:val="52"/>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364D6019">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21E7134">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C5A3EAD">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885D9C4">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2B3945B">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BF44B5E">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22E14F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79C593DE">
            <w:pPr>
              <w:pStyle w:val="52"/>
              <w:keepNext w:val="0"/>
              <w:keepLines w:val="0"/>
              <w:suppressLineNumbers w:val="0"/>
              <w:spacing w:before="0" w:beforeAutospacing="0" w:after="0" w:afterAutospacing="0" w:line="360" w:lineRule="auto"/>
              <w:ind w:left="0" w:right="0"/>
              <w:jc w:val="center"/>
              <w:rPr>
                <w:rFonts w:hint="default" w:ascii="宋体" w:hAnsi="宋体" w:cs="宋体"/>
                <w:color w:val="auto"/>
                <w:sz w:val="24"/>
                <w:highlight w:val="none"/>
              </w:rPr>
            </w:pPr>
            <w:r>
              <w:rPr>
                <w:rFonts w:hint="eastAsia" w:ascii="宋体" w:hAnsi="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0AFD5D05">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F1026AE">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7019A7FD">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7A8B73D4">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E4AA165">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58D0823F">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396F1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F1C5E70">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r>
              <w:rPr>
                <w:rFonts w:hint="eastAsia" w:ascii="宋体" w:hAnsi="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20A4055B">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CBA7D01">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889A98A">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79F7004">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4BA4C0C4">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56B89E5">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76469A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58FE45D">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54ACABAD">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1237CBD">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A59FCEC">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CD9AF7F">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A8E552F">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33CB3A1">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00EAE6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DC06C12">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2D35E651">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5B700EF">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D960DB4">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C33924B">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325596A">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2A967B18">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r w14:paraId="46B43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688D80F9">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45B64773">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A511E32">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67DE91">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3F8D7D7">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78292E1">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4F477E92">
            <w:pPr>
              <w:pStyle w:val="52"/>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r>
    </w:tbl>
    <w:p w14:paraId="2B0C2ED1">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要求：</w:t>
      </w:r>
    </w:p>
    <w:p w14:paraId="1FF018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1.业绩证明应提供证明材料（合同复印件可只提供首页、含金额页、盖章页并加盖供应商公章）；</w:t>
      </w:r>
    </w:p>
    <w:p w14:paraId="49DC743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2.供应商可按此表格式复制。</w:t>
      </w:r>
    </w:p>
    <w:p w14:paraId="5FFA97E6">
      <w:pPr>
        <w:spacing w:line="360" w:lineRule="auto"/>
        <w:ind w:firstLine="480" w:firstLineChars="200"/>
        <w:rPr>
          <w:rFonts w:ascii="宋体" w:hAnsi="宋体" w:cs="宋体"/>
          <w:color w:val="auto"/>
          <w:sz w:val="24"/>
          <w:highlight w:val="none"/>
        </w:rPr>
      </w:pPr>
    </w:p>
    <w:p w14:paraId="1C5DBCA6">
      <w:pPr>
        <w:spacing w:line="360" w:lineRule="auto"/>
        <w:ind w:firstLine="480" w:firstLineChars="200"/>
        <w:rPr>
          <w:rFonts w:ascii="宋体" w:hAnsi="宋体" w:cs="宋体"/>
          <w:color w:val="auto"/>
          <w:sz w:val="24"/>
          <w:highlight w:val="none"/>
        </w:rPr>
      </w:pPr>
    </w:p>
    <w:p w14:paraId="7910EAFA">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204A995D">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4E2BBDFB">
      <w:pPr>
        <w:spacing w:line="480" w:lineRule="auto"/>
        <w:rPr>
          <w:rFonts w:ascii="宋体" w:hAnsi="宋体" w:cs="宋体"/>
          <w:b/>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2D99AD7C">
      <w:pPr>
        <w:spacing w:line="360" w:lineRule="auto"/>
        <w:rPr>
          <w:rFonts w:ascii="宋体" w:hAnsi="宋体" w:cs="宋体"/>
          <w:b/>
          <w:color w:val="auto"/>
          <w:sz w:val="24"/>
          <w:highlight w:val="none"/>
        </w:rPr>
      </w:pPr>
    </w:p>
    <w:p w14:paraId="48F3C8D9">
      <w:pPr>
        <w:spacing w:line="360" w:lineRule="auto"/>
        <w:rPr>
          <w:rFonts w:ascii="宋体" w:hAnsi="宋体" w:cs="宋体"/>
          <w:b/>
          <w:color w:val="auto"/>
          <w:sz w:val="24"/>
          <w:highlight w:val="none"/>
        </w:rPr>
      </w:pPr>
    </w:p>
    <w:p w14:paraId="51A1C910">
      <w:pPr>
        <w:pStyle w:val="9"/>
        <w:rPr>
          <w:rFonts w:ascii="宋体" w:hAnsi="宋体" w:cs="宋体"/>
          <w:b/>
          <w:color w:val="auto"/>
          <w:sz w:val="24"/>
          <w:highlight w:val="none"/>
        </w:rPr>
      </w:pPr>
    </w:p>
    <w:p w14:paraId="50340419">
      <w:pPr>
        <w:pStyle w:val="19"/>
        <w:rPr>
          <w:rFonts w:ascii="宋体" w:hAnsi="宋体" w:cs="宋体"/>
          <w:b/>
          <w:color w:val="auto"/>
          <w:sz w:val="24"/>
          <w:highlight w:val="none"/>
        </w:rPr>
      </w:pPr>
    </w:p>
    <w:p w14:paraId="779411E6">
      <w:pPr>
        <w:rPr>
          <w:highlight w:val="none"/>
        </w:rPr>
      </w:pPr>
    </w:p>
    <w:p w14:paraId="239AF5DC">
      <w:pPr>
        <w:spacing w:line="360" w:lineRule="auto"/>
        <w:rPr>
          <w:rFonts w:ascii="宋体" w:hAnsi="宋体" w:cs="宋体"/>
          <w:b/>
          <w:color w:val="auto"/>
          <w:sz w:val="24"/>
          <w:highlight w:val="none"/>
        </w:rPr>
      </w:pPr>
    </w:p>
    <w:p w14:paraId="7DB3A8CD">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14</w:t>
      </w:r>
    </w:p>
    <w:p w14:paraId="7A4FBCFC">
      <w:pPr>
        <w:spacing w:line="360" w:lineRule="auto"/>
        <w:jc w:val="center"/>
        <w:rPr>
          <w:rFonts w:ascii="宋体" w:hAnsi="宋体" w:cs="宋体"/>
          <w:b/>
          <w:bCs/>
          <w:color w:val="auto"/>
          <w:sz w:val="32"/>
          <w:szCs w:val="40"/>
          <w:highlight w:val="none"/>
          <w:lang w:val="zh-CN"/>
        </w:rPr>
      </w:pPr>
      <w:r>
        <w:rPr>
          <w:rFonts w:hint="eastAsia" w:ascii="宋体" w:hAnsi="宋体" w:cs="宋体"/>
          <w:b/>
          <w:bCs/>
          <w:color w:val="auto"/>
          <w:sz w:val="32"/>
          <w:szCs w:val="40"/>
          <w:highlight w:val="none"/>
          <w:lang w:val="zh-CN"/>
        </w:rPr>
        <w:t>首次报价一览表</w:t>
      </w:r>
    </w:p>
    <w:p w14:paraId="421C73F6">
      <w:pPr>
        <w:spacing w:line="360" w:lineRule="auto"/>
        <w:rPr>
          <w:rFonts w:ascii="宋体" w:hAnsi="宋体" w:cs="宋体"/>
          <w:b/>
          <w:color w:val="auto"/>
          <w:sz w:val="24"/>
          <w:szCs w:val="22"/>
          <w:highlight w:val="none"/>
        </w:rPr>
      </w:pPr>
      <w:r>
        <w:rPr>
          <w:rFonts w:hint="eastAsia" w:ascii="宋体" w:hAnsi="宋体" w:cs="宋体"/>
          <w:b/>
          <w:color w:val="auto"/>
          <w:sz w:val="24"/>
          <w:szCs w:val="22"/>
          <w:highlight w:val="none"/>
        </w:rPr>
        <w:t>项目编号：</w:t>
      </w:r>
    </w:p>
    <w:p w14:paraId="4052A416">
      <w:pPr>
        <w:spacing w:line="360" w:lineRule="auto"/>
        <w:rPr>
          <w:rFonts w:ascii="宋体" w:hAnsi="宋体" w:cs="宋体"/>
          <w:b/>
          <w:color w:val="auto"/>
          <w:sz w:val="24"/>
          <w:szCs w:val="22"/>
          <w:highlight w:val="none"/>
        </w:rPr>
      </w:pPr>
      <w:r>
        <w:rPr>
          <w:rFonts w:hint="eastAsia" w:ascii="宋体" w:hAnsi="宋体" w:cs="宋体"/>
          <w:b/>
          <w:color w:val="auto"/>
          <w:sz w:val="24"/>
          <w:szCs w:val="22"/>
          <w:highlight w:val="none"/>
        </w:rPr>
        <w:t>项目名称：                                     [货币单位：人民币/元]</w:t>
      </w:r>
    </w:p>
    <w:tbl>
      <w:tblPr>
        <w:tblStyle w:val="28"/>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14:paraId="328C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vAlign w:val="center"/>
          </w:tcPr>
          <w:p w14:paraId="28749F9A">
            <w:pPr>
              <w:keepNext w:val="0"/>
              <w:keepLines w:val="0"/>
              <w:suppressLineNumbers w:val="0"/>
              <w:autoSpaceDE w:val="0"/>
              <w:autoSpaceDN w:val="0"/>
              <w:spacing w:before="0" w:beforeAutospacing="0" w:after="0" w:afterAutospacing="0" w:line="360" w:lineRule="auto"/>
              <w:ind w:left="0" w:right="0"/>
              <w:jc w:val="center"/>
              <w:textAlignment w:val="bottom"/>
              <w:rPr>
                <w:rFonts w:hint="default" w:ascii="宋体" w:hAnsi="宋体" w:cs="宋体"/>
                <w:color w:val="auto"/>
                <w:sz w:val="24"/>
                <w:highlight w:val="none"/>
              </w:rPr>
            </w:pPr>
            <w:r>
              <w:rPr>
                <w:rFonts w:hint="eastAsia" w:ascii="宋体" w:hAnsi="宋体" w:cs="宋体"/>
                <w:color w:val="auto"/>
                <w:sz w:val="24"/>
                <w:highlight w:val="none"/>
              </w:rPr>
              <w:t>投标总报价（元）</w:t>
            </w:r>
          </w:p>
        </w:tc>
        <w:tc>
          <w:tcPr>
            <w:tcW w:w="1349" w:type="dxa"/>
            <w:vAlign w:val="center"/>
          </w:tcPr>
          <w:p w14:paraId="174DF215">
            <w:pPr>
              <w:keepNext w:val="0"/>
              <w:keepLines w:val="0"/>
              <w:suppressLineNumbers w:val="0"/>
              <w:autoSpaceDE w:val="0"/>
              <w:autoSpaceDN w:val="0"/>
              <w:spacing w:before="0" w:beforeAutospacing="0" w:after="0" w:afterAutospacing="0" w:line="360" w:lineRule="auto"/>
              <w:ind w:left="0" w:right="0"/>
              <w:jc w:val="center"/>
              <w:textAlignment w:val="bottom"/>
              <w:rPr>
                <w:rFonts w:hint="default" w:ascii="宋体" w:hAnsi="宋体" w:cs="宋体"/>
                <w:color w:val="auto"/>
                <w:sz w:val="24"/>
                <w:highlight w:val="none"/>
              </w:rPr>
            </w:pPr>
            <w:r>
              <w:rPr>
                <w:rFonts w:hint="eastAsia" w:ascii="宋体" w:hAnsi="宋体" w:cs="宋体"/>
                <w:color w:val="auto"/>
                <w:sz w:val="24"/>
                <w:highlight w:val="none"/>
              </w:rPr>
              <w:t>大写</w:t>
            </w:r>
          </w:p>
        </w:tc>
        <w:tc>
          <w:tcPr>
            <w:tcW w:w="4629" w:type="dxa"/>
            <w:vAlign w:val="center"/>
          </w:tcPr>
          <w:p w14:paraId="54C65971">
            <w:pPr>
              <w:keepNext w:val="0"/>
              <w:keepLines w:val="0"/>
              <w:suppressLineNumbers w:val="0"/>
              <w:autoSpaceDE w:val="0"/>
              <w:autoSpaceDN w:val="0"/>
              <w:spacing w:before="0" w:beforeAutospacing="0" w:after="0" w:afterAutospacing="0" w:line="360" w:lineRule="auto"/>
              <w:ind w:left="0" w:right="0"/>
              <w:jc w:val="center"/>
              <w:textAlignment w:val="bottom"/>
              <w:rPr>
                <w:rFonts w:hint="default" w:ascii="宋体" w:hAnsi="宋体" w:cs="宋体"/>
                <w:color w:val="auto"/>
                <w:sz w:val="24"/>
                <w:highlight w:val="none"/>
              </w:rPr>
            </w:pPr>
          </w:p>
        </w:tc>
      </w:tr>
      <w:tr w14:paraId="69E12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vAlign w:val="center"/>
          </w:tcPr>
          <w:p w14:paraId="004A32DA">
            <w:pPr>
              <w:keepNext w:val="0"/>
              <w:keepLines w:val="0"/>
              <w:suppressLineNumbers w:val="0"/>
              <w:spacing w:before="0" w:beforeAutospacing="0" w:after="0" w:afterAutospacing="0" w:line="360" w:lineRule="auto"/>
              <w:ind w:left="0" w:right="0"/>
              <w:rPr>
                <w:rFonts w:hint="default" w:ascii="宋体" w:hAnsi="宋体" w:cs="宋体"/>
                <w:color w:val="auto"/>
                <w:sz w:val="24"/>
                <w:highlight w:val="none"/>
              </w:rPr>
            </w:pPr>
          </w:p>
        </w:tc>
        <w:tc>
          <w:tcPr>
            <w:tcW w:w="1349" w:type="dxa"/>
            <w:vAlign w:val="center"/>
          </w:tcPr>
          <w:p w14:paraId="5E7CDD9E">
            <w:pPr>
              <w:keepNext w:val="0"/>
              <w:keepLines w:val="0"/>
              <w:suppressLineNumbers w:val="0"/>
              <w:autoSpaceDE w:val="0"/>
              <w:autoSpaceDN w:val="0"/>
              <w:spacing w:before="0" w:beforeAutospacing="0" w:after="0" w:afterAutospacing="0" w:line="360" w:lineRule="auto"/>
              <w:ind w:left="0" w:right="0"/>
              <w:jc w:val="center"/>
              <w:textAlignment w:val="bottom"/>
              <w:rPr>
                <w:rFonts w:hint="default" w:ascii="宋体" w:hAnsi="宋体" w:cs="宋体"/>
                <w:color w:val="auto"/>
                <w:sz w:val="24"/>
                <w:highlight w:val="none"/>
              </w:rPr>
            </w:pPr>
            <w:r>
              <w:rPr>
                <w:rFonts w:hint="eastAsia" w:ascii="宋体" w:hAnsi="宋体" w:cs="宋体"/>
                <w:color w:val="auto"/>
                <w:sz w:val="24"/>
                <w:highlight w:val="none"/>
              </w:rPr>
              <w:t>小写</w:t>
            </w:r>
          </w:p>
        </w:tc>
        <w:tc>
          <w:tcPr>
            <w:tcW w:w="4629" w:type="dxa"/>
            <w:vAlign w:val="center"/>
          </w:tcPr>
          <w:p w14:paraId="1DE5CAA9">
            <w:pPr>
              <w:keepNext w:val="0"/>
              <w:keepLines w:val="0"/>
              <w:suppressLineNumbers w:val="0"/>
              <w:autoSpaceDE w:val="0"/>
              <w:autoSpaceDN w:val="0"/>
              <w:spacing w:before="0" w:beforeAutospacing="0" w:after="0" w:afterAutospacing="0" w:line="360" w:lineRule="auto"/>
              <w:ind w:left="0" w:right="0"/>
              <w:jc w:val="center"/>
              <w:textAlignment w:val="bottom"/>
              <w:rPr>
                <w:rFonts w:hint="default" w:ascii="宋体" w:hAnsi="宋体" w:cs="宋体"/>
                <w:color w:val="auto"/>
                <w:sz w:val="24"/>
                <w:highlight w:val="none"/>
              </w:rPr>
            </w:pPr>
          </w:p>
        </w:tc>
      </w:tr>
      <w:tr w14:paraId="6EB3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4043" w:type="dxa"/>
            <w:gridSpan w:val="2"/>
            <w:vAlign w:val="center"/>
          </w:tcPr>
          <w:p w14:paraId="5E68B616">
            <w:pPr>
              <w:keepNext w:val="0"/>
              <w:keepLines w:val="0"/>
              <w:suppressLineNumbers w:val="0"/>
              <w:autoSpaceDE w:val="0"/>
              <w:autoSpaceDN w:val="0"/>
              <w:spacing w:before="0" w:beforeAutospacing="0" w:after="0" w:afterAutospacing="0" w:line="360" w:lineRule="auto"/>
              <w:ind w:left="0" w:right="0"/>
              <w:jc w:val="center"/>
              <w:textAlignment w:val="bottom"/>
              <w:rPr>
                <w:rFonts w:hint="default" w:ascii="宋体" w:hAnsi="宋体" w:cs="宋体"/>
                <w:color w:val="auto"/>
                <w:sz w:val="24"/>
                <w:highlight w:val="none"/>
              </w:rPr>
            </w:pPr>
            <w:r>
              <w:rPr>
                <w:rFonts w:hint="eastAsia" w:ascii="宋体" w:hAnsi="宋体" w:cs="宋体"/>
                <w:color w:val="auto"/>
                <w:sz w:val="24"/>
                <w:highlight w:val="none"/>
              </w:rPr>
              <w:t>服务期</w:t>
            </w:r>
          </w:p>
        </w:tc>
        <w:tc>
          <w:tcPr>
            <w:tcW w:w="4629" w:type="dxa"/>
            <w:vAlign w:val="center"/>
          </w:tcPr>
          <w:p w14:paraId="172E67FB">
            <w:pPr>
              <w:keepNext w:val="0"/>
              <w:keepLines w:val="0"/>
              <w:suppressLineNumbers w:val="0"/>
              <w:autoSpaceDE w:val="0"/>
              <w:autoSpaceDN w:val="0"/>
              <w:spacing w:before="0" w:beforeAutospacing="0" w:after="0" w:afterAutospacing="0" w:line="360" w:lineRule="auto"/>
              <w:ind w:left="0" w:right="0"/>
              <w:jc w:val="center"/>
              <w:textAlignment w:val="bottom"/>
              <w:rPr>
                <w:rFonts w:hint="default" w:ascii="宋体" w:hAnsi="宋体" w:cs="宋体"/>
                <w:color w:val="auto"/>
                <w:sz w:val="24"/>
                <w:highlight w:val="none"/>
              </w:rPr>
            </w:pPr>
            <w:r>
              <w:rPr>
                <w:rFonts w:hint="eastAsia" w:ascii="宋体" w:hAnsi="宋体"/>
                <w:bCs/>
                <w:color w:val="auto"/>
                <w:sz w:val="24"/>
                <w:highlight w:val="none"/>
              </w:rPr>
              <w:t xml:space="preserve"> </w:t>
            </w:r>
          </w:p>
        </w:tc>
      </w:tr>
    </w:tbl>
    <w:p w14:paraId="702E680D">
      <w:pPr>
        <w:spacing w:line="360" w:lineRule="auto"/>
        <w:rPr>
          <w:rFonts w:ascii="宋体" w:hAnsi="宋体" w:cs="宋体"/>
          <w:b/>
          <w:color w:val="auto"/>
          <w:sz w:val="24"/>
          <w:szCs w:val="22"/>
          <w:highlight w:val="none"/>
        </w:rPr>
      </w:pPr>
      <w:r>
        <w:rPr>
          <w:rFonts w:hint="eastAsia" w:ascii="宋体" w:hAnsi="宋体" w:cs="宋体"/>
          <w:b/>
          <w:color w:val="auto"/>
          <w:sz w:val="24"/>
          <w:szCs w:val="22"/>
          <w:highlight w:val="none"/>
        </w:rPr>
        <w:t>填报要求：</w:t>
      </w:r>
    </w:p>
    <w:p w14:paraId="4F1CC95A">
      <w:pPr>
        <w:spacing w:line="360" w:lineRule="auto"/>
        <w:ind w:firstLine="480" w:firstLineChars="200"/>
        <w:rPr>
          <w:rFonts w:ascii="宋体" w:hAnsi="宋体" w:cs="宋体"/>
          <w:bCs/>
          <w:color w:val="auto"/>
          <w:sz w:val="24"/>
          <w:szCs w:val="22"/>
          <w:highlight w:val="none"/>
          <w:lang w:val="zh-CN"/>
        </w:rPr>
      </w:pPr>
      <w:r>
        <w:rPr>
          <w:rFonts w:hint="eastAsia" w:ascii="宋体" w:hAnsi="宋体" w:cs="宋体"/>
          <w:bCs/>
          <w:color w:val="auto"/>
          <w:sz w:val="24"/>
          <w:szCs w:val="22"/>
          <w:highlight w:val="none"/>
          <w:lang w:val="zh-CN"/>
        </w:rPr>
        <w:t>投标报价为完成本项目服务及要求所包含的所有费用。</w:t>
      </w:r>
    </w:p>
    <w:p w14:paraId="0F903FD5">
      <w:pPr>
        <w:spacing w:line="360" w:lineRule="auto"/>
        <w:ind w:firstLine="480" w:firstLineChars="200"/>
        <w:rPr>
          <w:rFonts w:ascii="宋体" w:hAnsi="宋体" w:cs="宋体"/>
          <w:bCs/>
          <w:color w:val="auto"/>
          <w:sz w:val="24"/>
          <w:szCs w:val="22"/>
          <w:highlight w:val="none"/>
          <w:lang w:val="zh-CN"/>
        </w:rPr>
      </w:pPr>
      <w:r>
        <w:rPr>
          <w:rFonts w:hint="eastAsia" w:ascii="宋体" w:hAnsi="宋体" w:cs="宋体"/>
          <w:bCs/>
          <w:color w:val="auto"/>
          <w:sz w:val="24"/>
          <w:szCs w:val="22"/>
          <w:highlight w:val="none"/>
          <w:lang w:val="zh-CN"/>
        </w:rPr>
        <w:t>响应文件只允许有一个报价，有选择的或有条件的报价将不予接受。供应商应考虑企业自身实力、经验及项目实施过程中的各种因素，在投标报价中应充分考虑所有可能发生的费用，否则采购人将视投标总价中已包括所有费用。</w:t>
      </w:r>
    </w:p>
    <w:p w14:paraId="4D0845D5">
      <w:pPr>
        <w:spacing w:line="360" w:lineRule="auto"/>
        <w:ind w:firstLine="480" w:firstLineChars="200"/>
        <w:rPr>
          <w:rFonts w:ascii="宋体" w:hAnsi="宋体" w:cs="宋体"/>
          <w:bCs/>
          <w:color w:val="auto"/>
          <w:sz w:val="24"/>
          <w:szCs w:val="22"/>
          <w:highlight w:val="none"/>
          <w:lang w:val="zh-CN"/>
        </w:rPr>
      </w:pPr>
      <w:r>
        <w:rPr>
          <w:rFonts w:hint="eastAsia" w:ascii="宋体" w:hAnsi="宋体" w:cs="宋体"/>
          <w:bCs/>
          <w:color w:val="auto"/>
          <w:sz w:val="24"/>
          <w:szCs w:val="22"/>
          <w:highlight w:val="none"/>
          <w:lang w:val="zh-CN"/>
        </w:rPr>
        <w:t>注：开标一览表，要求按格式填写，统一规范，不得自行增减内容。</w:t>
      </w:r>
    </w:p>
    <w:p w14:paraId="0B7A70EB">
      <w:pPr>
        <w:spacing w:line="360" w:lineRule="auto"/>
        <w:ind w:firstLine="480" w:firstLineChars="200"/>
        <w:rPr>
          <w:rFonts w:ascii="宋体" w:hAnsi="宋体" w:cs="宋体"/>
          <w:bCs/>
          <w:color w:val="auto"/>
          <w:sz w:val="24"/>
          <w:szCs w:val="22"/>
          <w:highlight w:val="none"/>
          <w:lang w:val="zh-CN"/>
        </w:rPr>
      </w:pPr>
    </w:p>
    <w:p w14:paraId="7D94F7EC">
      <w:pPr>
        <w:spacing w:line="480" w:lineRule="auto"/>
        <w:rPr>
          <w:rFonts w:ascii="宋体" w:hAnsi="宋体" w:cs="宋体"/>
          <w:color w:val="auto"/>
          <w:sz w:val="24"/>
          <w:highlight w:val="none"/>
        </w:rPr>
      </w:pPr>
      <w:r>
        <w:rPr>
          <w:rFonts w:hint="eastAsia" w:ascii="宋体" w:hAnsi="宋体" w:cs="宋体"/>
          <w:color w:val="auto"/>
          <w:sz w:val="24"/>
          <w:highlight w:val="none"/>
        </w:rPr>
        <w:t>磋商供应商名称（盖章）：</w:t>
      </w:r>
      <w:r>
        <w:rPr>
          <w:rFonts w:hint="eastAsia" w:ascii="宋体" w:hAnsi="宋体" w:cs="宋体"/>
          <w:color w:val="auto"/>
          <w:sz w:val="24"/>
          <w:highlight w:val="none"/>
          <w:u w:val="single"/>
        </w:rPr>
        <w:t xml:space="preserve">                         </w:t>
      </w:r>
    </w:p>
    <w:p w14:paraId="2F21CFB1">
      <w:pPr>
        <w:spacing w:line="480" w:lineRule="auto"/>
        <w:rPr>
          <w:rFonts w:ascii="宋体" w:hAnsi="宋体" w:cs="宋体"/>
          <w:color w:val="auto"/>
          <w:sz w:val="24"/>
          <w:highlight w:val="none"/>
        </w:rPr>
      </w:pPr>
      <w:r>
        <w:rPr>
          <w:rFonts w:hint="eastAsia" w:ascii="宋体" w:hAnsi="宋体" w:cs="宋体"/>
          <w:color w:val="auto"/>
          <w:sz w:val="24"/>
          <w:highlight w:val="none"/>
        </w:rPr>
        <w:t>授权委托代理人签字或盖章：</w:t>
      </w:r>
      <w:r>
        <w:rPr>
          <w:rFonts w:hint="eastAsia" w:ascii="宋体" w:hAnsi="宋体" w:cs="宋体"/>
          <w:color w:val="auto"/>
          <w:sz w:val="24"/>
          <w:highlight w:val="none"/>
          <w:u w:val="single"/>
        </w:rPr>
        <w:t xml:space="preserve">                   </w:t>
      </w:r>
    </w:p>
    <w:p w14:paraId="61FC295E">
      <w:pPr>
        <w:spacing w:line="480" w:lineRule="auto"/>
        <w:rPr>
          <w:rFonts w:ascii="宋体" w:hAnsi="宋体" w:cs="宋体"/>
          <w:color w:val="auto"/>
          <w:sz w:val="24"/>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p>
    <w:p w14:paraId="168B6787">
      <w:pPr>
        <w:spacing w:line="360" w:lineRule="auto"/>
        <w:rPr>
          <w:rFonts w:ascii="宋体" w:hAnsi="宋体" w:cs="宋体"/>
          <w:color w:val="auto"/>
          <w:sz w:val="24"/>
          <w:szCs w:val="32"/>
          <w:highlight w:val="none"/>
        </w:rPr>
      </w:pPr>
    </w:p>
    <w:p w14:paraId="7DBA9D2F">
      <w:pPr>
        <w:spacing w:line="360" w:lineRule="auto"/>
        <w:rPr>
          <w:rFonts w:ascii="宋体" w:hAnsi="宋体" w:cs="宋体"/>
          <w:b/>
          <w:color w:val="auto"/>
          <w:sz w:val="24"/>
          <w:highlight w:val="none"/>
        </w:rPr>
      </w:pPr>
    </w:p>
    <w:p w14:paraId="147AC36B">
      <w:pPr>
        <w:spacing w:line="360" w:lineRule="auto"/>
        <w:rPr>
          <w:rFonts w:ascii="宋体" w:hAnsi="宋体" w:cs="宋体"/>
          <w:b/>
          <w:color w:val="auto"/>
          <w:sz w:val="24"/>
          <w:highlight w:val="none"/>
        </w:rPr>
      </w:pPr>
    </w:p>
    <w:p w14:paraId="04856A09">
      <w:pPr>
        <w:spacing w:line="400" w:lineRule="exact"/>
        <w:rPr>
          <w:rFonts w:ascii="宋体" w:hAnsi="宋体"/>
          <w:b/>
          <w:sz w:val="28"/>
          <w:highlight w:val="none"/>
        </w:rPr>
      </w:pPr>
    </w:p>
    <w:p w14:paraId="64174EAC">
      <w:pPr>
        <w:pStyle w:val="9"/>
        <w:rPr>
          <w:highlight w:val="none"/>
        </w:rPr>
      </w:pPr>
    </w:p>
    <w:p w14:paraId="5C24EC2F">
      <w:pPr>
        <w:pStyle w:val="19"/>
        <w:rPr>
          <w:highlight w:val="none"/>
        </w:rPr>
      </w:pPr>
    </w:p>
    <w:p w14:paraId="3DF2F30D">
      <w:pPr>
        <w:pStyle w:val="2"/>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B66C7">
    <w:pPr>
      <w:pStyle w:val="1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7ED7F6">
                          <w:pPr>
                            <w:pStyle w:val="16"/>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1E7ED7F6">
                    <w:pPr>
                      <w:pStyle w:val="16"/>
                    </w:pPr>
                    <w:r>
                      <w:rPr>
                        <w:rFonts w:hint="eastAsia"/>
                      </w:rPr>
                      <w:fldChar w:fldCharType="begin"/>
                    </w:r>
                    <w:r>
                      <w:rPr>
                        <w:rFonts w:hint="eastAsia"/>
                      </w:rPr>
                      <w:instrText xml:space="preserve"> PAGE  \* MERGEFORMAT </w:instrText>
                    </w:r>
                    <w:r>
                      <w:rPr>
                        <w:rFonts w:hint="eastAsia"/>
                      </w:rPr>
                      <w:fldChar w:fldCharType="separate"/>
                    </w:r>
                    <w:r>
                      <w:t>29</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55E22">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58854F">
                          <w:pPr>
                            <w:pStyle w:val="16"/>
                            <w:rPr>
                              <w:rFonts w:eastAsia="宋体"/>
                            </w:rPr>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558854F">
                    <w:pPr>
                      <w:pStyle w:val="16"/>
                      <w:rPr>
                        <w:rFonts w:eastAsia="宋体"/>
                      </w:rPr>
                    </w:pPr>
                    <w:r>
                      <w:rPr>
                        <w:rFonts w:hint="eastAsia"/>
                      </w:rPr>
                      <w:fldChar w:fldCharType="begin"/>
                    </w:r>
                    <w:r>
                      <w:rPr>
                        <w:rFonts w:hint="eastAsia"/>
                      </w:rPr>
                      <w:instrText xml:space="preserve"> PAGE  \* MERGEFORMAT </w:instrText>
                    </w:r>
                    <w:r>
                      <w:rPr>
                        <w:rFonts w:hint="eastAsia"/>
                      </w:rPr>
                      <w:fldChar w:fldCharType="separate"/>
                    </w:r>
                    <w:r>
                      <w:t>36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67E58">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237B">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A42F1">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CFB0C">
    <w:pPr>
      <w:pStyle w:val="1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99C03">
    <w:pPr>
      <w:pStyle w:val="1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F0CF14"/>
    <w:multiLevelType w:val="singleLevel"/>
    <w:tmpl w:val="8BF0CF14"/>
    <w:lvl w:ilvl="0" w:tentative="0">
      <w:start w:val="3"/>
      <w:numFmt w:val="chineseCounting"/>
      <w:suff w:val="nothing"/>
      <w:lvlText w:val="%1、"/>
      <w:lvlJc w:val="left"/>
      <w:rPr>
        <w:rFonts w:hint="eastAsia"/>
      </w:rPr>
    </w:lvl>
  </w:abstractNum>
  <w:abstractNum w:abstractNumId="1">
    <w:nsid w:val="DDEE70F4"/>
    <w:multiLevelType w:val="singleLevel"/>
    <w:tmpl w:val="DDEE70F4"/>
    <w:lvl w:ilvl="0" w:tentative="0">
      <w:start w:val="1"/>
      <w:numFmt w:val="chineseCounting"/>
      <w:suff w:val="space"/>
      <w:lvlText w:val="第%1章"/>
      <w:lvlJc w:val="left"/>
      <w:rPr>
        <w:rFonts w:hint="eastAsia"/>
      </w:rPr>
    </w:lvl>
  </w:abstractNum>
  <w:abstractNum w:abstractNumId="2">
    <w:nsid w:val="EB1BD96B"/>
    <w:multiLevelType w:val="singleLevel"/>
    <w:tmpl w:val="EB1BD96B"/>
    <w:lvl w:ilvl="0" w:tentative="0">
      <w:start w:val="2"/>
      <w:numFmt w:val="decimal"/>
      <w:suff w:val="nothing"/>
      <w:lvlText w:val="（%1）"/>
      <w:lvlJc w:val="left"/>
    </w:lvl>
  </w:abstractNum>
  <w:abstractNum w:abstractNumId="3">
    <w:nsid w:val="FC84BE04"/>
    <w:multiLevelType w:val="singleLevel"/>
    <w:tmpl w:val="FC84BE04"/>
    <w:lvl w:ilvl="0" w:tentative="0">
      <w:start w:val="1"/>
      <w:numFmt w:val="decimal"/>
      <w:suff w:val="nothing"/>
      <w:lvlText w:val="（%1）"/>
      <w:lvlJc w:val="left"/>
      <w:pPr>
        <w:ind w:left="0"/>
      </w:pPr>
      <w:rPr>
        <w:rFonts w:hint="default"/>
        <w:b w:val="0"/>
        <w:bCs w:val="0"/>
      </w:rPr>
    </w:lvl>
  </w:abstractNum>
  <w:abstractNum w:abstractNumId="4">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5">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6">
    <w:nsid w:val="5AED76EB"/>
    <w:multiLevelType w:val="multilevel"/>
    <w:tmpl w:val="5AED76EB"/>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6"/>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7">
    <w:nsid w:val="76DBCC66"/>
    <w:multiLevelType w:val="singleLevel"/>
    <w:tmpl w:val="76DBCC66"/>
    <w:lvl w:ilvl="0" w:tentative="0">
      <w:start w:val="1"/>
      <w:numFmt w:val="decimal"/>
      <w:lvlText w:val="%1."/>
      <w:lvlJc w:val="left"/>
      <w:pPr>
        <w:ind w:left="425" w:hanging="425"/>
      </w:pPr>
      <w:rPr>
        <w:rFonts w:hint="default"/>
      </w:rPr>
    </w:lvl>
  </w:abstractNum>
  <w:abstractNum w:abstractNumId="8">
    <w:nsid w:val="770A450F"/>
    <w:multiLevelType w:val="singleLevel"/>
    <w:tmpl w:val="770A450F"/>
    <w:lvl w:ilvl="0" w:tentative="0">
      <w:start w:val="2"/>
      <w:numFmt w:val="chineseCounting"/>
      <w:suff w:val="space"/>
      <w:lvlText w:val="（%1）"/>
      <w:lvlJc w:val="left"/>
      <w:rPr>
        <w:rFonts w:hint="eastAsia"/>
      </w:rPr>
    </w:lvl>
  </w:abstractNum>
  <w:num w:numId="1">
    <w:abstractNumId w:val="6"/>
  </w:num>
  <w:num w:numId="2">
    <w:abstractNumId w:val="5"/>
  </w:num>
  <w:num w:numId="3">
    <w:abstractNumId w:val="1"/>
  </w:num>
  <w:num w:numId="4">
    <w:abstractNumId w:val="0"/>
  </w:num>
  <w:num w:numId="5">
    <w:abstractNumId w:val="7"/>
  </w:num>
  <w:num w:numId="6">
    <w:abstractNumId w:val="4"/>
  </w:num>
  <w:num w:numId="7">
    <w:abstractNumId w:val="2"/>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MTZkNmE0NDQ3ODIwN2JmZmU5NDI1OTJmMTY1ZjIifQ=="/>
  </w:docVars>
  <w:rsids>
    <w:rsidRoot w:val="00BE3149"/>
    <w:rsid w:val="0008396C"/>
    <w:rsid w:val="001C4C58"/>
    <w:rsid w:val="003C6577"/>
    <w:rsid w:val="00532108"/>
    <w:rsid w:val="006F31DF"/>
    <w:rsid w:val="009B7365"/>
    <w:rsid w:val="009C6908"/>
    <w:rsid w:val="009E7B9B"/>
    <w:rsid w:val="00BD0D50"/>
    <w:rsid w:val="00BE3149"/>
    <w:rsid w:val="00D27694"/>
    <w:rsid w:val="00DC4C65"/>
    <w:rsid w:val="00E04ED8"/>
    <w:rsid w:val="00FF74E6"/>
    <w:rsid w:val="013E2855"/>
    <w:rsid w:val="01772927"/>
    <w:rsid w:val="01C62A79"/>
    <w:rsid w:val="01E23722"/>
    <w:rsid w:val="02380D19"/>
    <w:rsid w:val="036C1E9F"/>
    <w:rsid w:val="037E6533"/>
    <w:rsid w:val="043F7FC4"/>
    <w:rsid w:val="049D142D"/>
    <w:rsid w:val="04B114C1"/>
    <w:rsid w:val="05AA50E5"/>
    <w:rsid w:val="06D83F2F"/>
    <w:rsid w:val="07134100"/>
    <w:rsid w:val="07685A63"/>
    <w:rsid w:val="08390248"/>
    <w:rsid w:val="09001A02"/>
    <w:rsid w:val="096C14B0"/>
    <w:rsid w:val="09E03F7D"/>
    <w:rsid w:val="09F33DD0"/>
    <w:rsid w:val="0A6D5D40"/>
    <w:rsid w:val="0A8071ED"/>
    <w:rsid w:val="0AF64F0D"/>
    <w:rsid w:val="0B31181A"/>
    <w:rsid w:val="0C181AC6"/>
    <w:rsid w:val="0CFA4EFD"/>
    <w:rsid w:val="0D1247B3"/>
    <w:rsid w:val="0D1F4CD0"/>
    <w:rsid w:val="0E0F138C"/>
    <w:rsid w:val="0E621EB8"/>
    <w:rsid w:val="0E92208C"/>
    <w:rsid w:val="0EC6046D"/>
    <w:rsid w:val="0ED2632B"/>
    <w:rsid w:val="0F7E6199"/>
    <w:rsid w:val="0FE74D1C"/>
    <w:rsid w:val="10452B67"/>
    <w:rsid w:val="109F080C"/>
    <w:rsid w:val="111829D6"/>
    <w:rsid w:val="11300749"/>
    <w:rsid w:val="11965A59"/>
    <w:rsid w:val="11E77423"/>
    <w:rsid w:val="121665CB"/>
    <w:rsid w:val="12210D0F"/>
    <w:rsid w:val="12704EB7"/>
    <w:rsid w:val="12EC03CE"/>
    <w:rsid w:val="14084994"/>
    <w:rsid w:val="14C02E16"/>
    <w:rsid w:val="15AC7AD2"/>
    <w:rsid w:val="168339D9"/>
    <w:rsid w:val="16D70F66"/>
    <w:rsid w:val="16EF549E"/>
    <w:rsid w:val="17047DD8"/>
    <w:rsid w:val="171D6CDD"/>
    <w:rsid w:val="17461D47"/>
    <w:rsid w:val="17D2330C"/>
    <w:rsid w:val="181D466A"/>
    <w:rsid w:val="1832698E"/>
    <w:rsid w:val="191533D1"/>
    <w:rsid w:val="1BC0155F"/>
    <w:rsid w:val="1C41039A"/>
    <w:rsid w:val="1C522FF9"/>
    <w:rsid w:val="1CA07BD6"/>
    <w:rsid w:val="1CBF0303"/>
    <w:rsid w:val="1CC61F19"/>
    <w:rsid w:val="1D0232F8"/>
    <w:rsid w:val="1D2A0313"/>
    <w:rsid w:val="1D465475"/>
    <w:rsid w:val="1DDE7EA1"/>
    <w:rsid w:val="1E3C6C3A"/>
    <w:rsid w:val="1F162724"/>
    <w:rsid w:val="1F4F69F4"/>
    <w:rsid w:val="201C7B31"/>
    <w:rsid w:val="20AA0083"/>
    <w:rsid w:val="20ED3C16"/>
    <w:rsid w:val="21492AD8"/>
    <w:rsid w:val="2167516C"/>
    <w:rsid w:val="21E65D4C"/>
    <w:rsid w:val="224700DF"/>
    <w:rsid w:val="235821E9"/>
    <w:rsid w:val="236955E3"/>
    <w:rsid w:val="23FA686C"/>
    <w:rsid w:val="2494136E"/>
    <w:rsid w:val="255B67E8"/>
    <w:rsid w:val="27D14DD5"/>
    <w:rsid w:val="284B2C47"/>
    <w:rsid w:val="28D80E9E"/>
    <w:rsid w:val="29E63530"/>
    <w:rsid w:val="2C934D84"/>
    <w:rsid w:val="2F607C49"/>
    <w:rsid w:val="2F6E0A16"/>
    <w:rsid w:val="2F7B1BB4"/>
    <w:rsid w:val="2F8C3EC3"/>
    <w:rsid w:val="2FCC2EC1"/>
    <w:rsid w:val="30150257"/>
    <w:rsid w:val="309703E8"/>
    <w:rsid w:val="30CF5D28"/>
    <w:rsid w:val="31813005"/>
    <w:rsid w:val="323740AF"/>
    <w:rsid w:val="3278565C"/>
    <w:rsid w:val="328B6879"/>
    <w:rsid w:val="334254E6"/>
    <w:rsid w:val="347351F6"/>
    <w:rsid w:val="34772ADD"/>
    <w:rsid w:val="3529034F"/>
    <w:rsid w:val="362A1767"/>
    <w:rsid w:val="36B2500A"/>
    <w:rsid w:val="36D706BD"/>
    <w:rsid w:val="36DB71B3"/>
    <w:rsid w:val="389741E1"/>
    <w:rsid w:val="38CF418A"/>
    <w:rsid w:val="3A316D41"/>
    <w:rsid w:val="3A791AB3"/>
    <w:rsid w:val="3A7A6F1E"/>
    <w:rsid w:val="3C203FE1"/>
    <w:rsid w:val="3D326006"/>
    <w:rsid w:val="3D843DB4"/>
    <w:rsid w:val="3DA2580B"/>
    <w:rsid w:val="3DB82B27"/>
    <w:rsid w:val="3E4E6F02"/>
    <w:rsid w:val="3F95513E"/>
    <w:rsid w:val="40294375"/>
    <w:rsid w:val="416F0E3A"/>
    <w:rsid w:val="41CC3490"/>
    <w:rsid w:val="42021658"/>
    <w:rsid w:val="42090FD3"/>
    <w:rsid w:val="4412111F"/>
    <w:rsid w:val="45185FC7"/>
    <w:rsid w:val="45715F49"/>
    <w:rsid w:val="470216C0"/>
    <w:rsid w:val="47C11F07"/>
    <w:rsid w:val="47E83667"/>
    <w:rsid w:val="48742271"/>
    <w:rsid w:val="48F53DE0"/>
    <w:rsid w:val="4A007A95"/>
    <w:rsid w:val="4A6A77A1"/>
    <w:rsid w:val="4A802F02"/>
    <w:rsid w:val="4C0755D3"/>
    <w:rsid w:val="4C392F39"/>
    <w:rsid w:val="4CF72E0A"/>
    <w:rsid w:val="4D190A3D"/>
    <w:rsid w:val="4D6707DB"/>
    <w:rsid w:val="4D6F2E73"/>
    <w:rsid w:val="4DB50C0F"/>
    <w:rsid w:val="4E3623E0"/>
    <w:rsid w:val="4E4249FD"/>
    <w:rsid w:val="4EF650E6"/>
    <w:rsid w:val="4F4966DE"/>
    <w:rsid w:val="4F580F7B"/>
    <w:rsid w:val="513371C0"/>
    <w:rsid w:val="53240DE2"/>
    <w:rsid w:val="53621CF0"/>
    <w:rsid w:val="54133591"/>
    <w:rsid w:val="54382099"/>
    <w:rsid w:val="54CF56D2"/>
    <w:rsid w:val="550A76BE"/>
    <w:rsid w:val="554479B3"/>
    <w:rsid w:val="55840E1E"/>
    <w:rsid w:val="55B76BD8"/>
    <w:rsid w:val="55FC25AC"/>
    <w:rsid w:val="57977A16"/>
    <w:rsid w:val="588E4B13"/>
    <w:rsid w:val="58C0456C"/>
    <w:rsid w:val="58F84E40"/>
    <w:rsid w:val="5AFA0CD5"/>
    <w:rsid w:val="5BBC3082"/>
    <w:rsid w:val="5C8A42C3"/>
    <w:rsid w:val="5D413B7F"/>
    <w:rsid w:val="5DFD195A"/>
    <w:rsid w:val="5E984F3E"/>
    <w:rsid w:val="5E9C5841"/>
    <w:rsid w:val="5F0D2C6F"/>
    <w:rsid w:val="5F6A69E6"/>
    <w:rsid w:val="60637EF4"/>
    <w:rsid w:val="60BD1FFE"/>
    <w:rsid w:val="62B653D3"/>
    <w:rsid w:val="632F3A57"/>
    <w:rsid w:val="63D31683"/>
    <w:rsid w:val="63EF6096"/>
    <w:rsid w:val="64F43D3B"/>
    <w:rsid w:val="657809F0"/>
    <w:rsid w:val="658A7ADF"/>
    <w:rsid w:val="66950943"/>
    <w:rsid w:val="66C14B5B"/>
    <w:rsid w:val="678542B1"/>
    <w:rsid w:val="68877B1A"/>
    <w:rsid w:val="69807C50"/>
    <w:rsid w:val="6A035AFF"/>
    <w:rsid w:val="6AAB5773"/>
    <w:rsid w:val="6B0242A5"/>
    <w:rsid w:val="6C556A73"/>
    <w:rsid w:val="6D1014FE"/>
    <w:rsid w:val="6DA018A4"/>
    <w:rsid w:val="6DB16EEC"/>
    <w:rsid w:val="6F156B47"/>
    <w:rsid w:val="6F4126A8"/>
    <w:rsid w:val="6F43554E"/>
    <w:rsid w:val="6F52577A"/>
    <w:rsid w:val="71F11042"/>
    <w:rsid w:val="72E74500"/>
    <w:rsid w:val="737A2DBB"/>
    <w:rsid w:val="74270D57"/>
    <w:rsid w:val="748266FC"/>
    <w:rsid w:val="74A565DD"/>
    <w:rsid w:val="75BB0C3B"/>
    <w:rsid w:val="767D593D"/>
    <w:rsid w:val="76D43F8B"/>
    <w:rsid w:val="770A7D21"/>
    <w:rsid w:val="77B0242F"/>
    <w:rsid w:val="785D58C3"/>
    <w:rsid w:val="78E41C51"/>
    <w:rsid w:val="78FA1692"/>
    <w:rsid w:val="792D6B6B"/>
    <w:rsid w:val="798C072C"/>
    <w:rsid w:val="7AE07CFD"/>
    <w:rsid w:val="7B376CA9"/>
    <w:rsid w:val="7BB47CE7"/>
    <w:rsid w:val="7C1306AE"/>
    <w:rsid w:val="7DAA5FB8"/>
    <w:rsid w:val="7DB61C41"/>
    <w:rsid w:val="7E4E7602"/>
    <w:rsid w:val="7E723EF0"/>
    <w:rsid w:val="7E7570EF"/>
    <w:rsid w:val="7ECE10A0"/>
    <w:rsid w:val="7FE41B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qFormat="1" w:uiPriority="39" w:semiHidden="0" w:name="toc 4"/>
    <w:lsdException w:uiPriority="39" w:name="toc 5"/>
    <w:lsdException w:uiPriority="39" w:name="toc 6"/>
    <w:lsdException w:uiPriority="39" w:name="toc 7"/>
    <w:lsdException w:qFormat="1" w:uiPriority="39" w:semiHidden="0"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5"/>
    <w:next w:val="7"/>
    <w:autoRedefine/>
    <w:semiHidden/>
    <w:unhideWhenUsed/>
    <w:qFormat/>
    <w:uiPriority w:val="9"/>
    <w:pPr>
      <w:keepNext/>
      <w:keepLines/>
      <w:numPr>
        <w:ilvl w:val="3"/>
        <w:numId w:val="1"/>
      </w:numPr>
      <w:spacing w:before="280" w:after="290" w:line="376" w:lineRule="auto"/>
      <w:outlineLvl w:val="3"/>
    </w:pPr>
    <w:rPr>
      <w:rFonts w:asciiTheme="majorHAnsi" w:hAnsiTheme="majorHAnsi" w:eastAsiaTheme="majorEastAsia" w:cstheme="majorBidi"/>
      <w:sz w:val="28"/>
      <w:szCs w:val="28"/>
    </w:rPr>
  </w:style>
  <w:style w:type="paragraph" w:styleId="8">
    <w:name w:val="heading 5"/>
    <w:basedOn w:val="1"/>
    <w:next w:val="1"/>
    <w:autoRedefine/>
    <w:qFormat/>
    <w:uiPriority w:val="9"/>
    <w:pPr>
      <w:keepNext/>
      <w:keepLines/>
      <w:spacing w:before="280" w:after="290" w:line="376" w:lineRule="auto"/>
      <w:outlineLvl w:val="4"/>
    </w:pPr>
    <w:rPr>
      <w:b/>
      <w:bCs/>
      <w:kern w:val="0"/>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3"/>
    <w:autoRedefine/>
    <w:semiHidden/>
    <w:unhideWhenUsed/>
    <w:qFormat/>
    <w:uiPriority w:val="99"/>
    <w:pPr>
      <w:spacing w:after="120"/>
    </w:pPr>
  </w:style>
  <w:style w:type="paragraph" w:styleId="3">
    <w:name w:val="Body Text First Indent"/>
    <w:basedOn w:val="2"/>
    <w:next w:val="1"/>
    <w:autoRedefine/>
    <w:qFormat/>
    <w:uiPriority w:val="0"/>
    <w:pPr>
      <w:ind w:firstLine="420" w:firstLineChars="100"/>
    </w:pPr>
  </w:style>
  <w:style w:type="paragraph" w:customStyle="1" w:styleId="7">
    <w:name w:val="my正文"/>
    <w:basedOn w:val="1"/>
    <w:autoRedefine/>
    <w:qFormat/>
    <w:uiPriority w:val="0"/>
    <w:pPr>
      <w:spacing w:before="156" w:after="156" w:line="360" w:lineRule="auto"/>
      <w:ind w:firstLine="480" w:firstLineChars="200"/>
    </w:pPr>
    <w:rPr>
      <w:rFonts w:ascii="Times New Roman" w:hAnsi="Times New Roman" w:eastAsia="宋体" w:cs="Times New Roman"/>
      <w:sz w:val="24"/>
      <w:szCs w:val="24"/>
    </w:rPr>
  </w:style>
  <w:style w:type="paragraph" w:styleId="9">
    <w:name w:val="Normal Indent"/>
    <w:basedOn w:val="1"/>
    <w:next w:val="1"/>
    <w:autoRedefine/>
    <w:qFormat/>
    <w:uiPriority w:val="0"/>
    <w:pPr>
      <w:ind w:firstLine="420"/>
    </w:pPr>
    <w:rPr>
      <w:szCs w:val="20"/>
    </w:rPr>
  </w:style>
  <w:style w:type="paragraph" w:styleId="10">
    <w:name w:val="Body Text Indent"/>
    <w:basedOn w:val="1"/>
    <w:next w:val="1"/>
    <w:link w:val="44"/>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toc 8"/>
    <w:basedOn w:val="1"/>
    <w:next w:val="1"/>
    <w:autoRedefine/>
    <w:unhideWhenUsed/>
    <w:qFormat/>
    <w:uiPriority w:val="39"/>
    <w:pPr>
      <w:widowControl/>
      <w:ind w:left="2940" w:leftChars="1400"/>
      <w:jc w:val="left"/>
    </w:pPr>
    <w:rPr>
      <w:rFonts w:ascii="宋体" w:hAnsi="宋体" w:cs="宋体"/>
      <w:kern w:val="0"/>
      <w:sz w:val="24"/>
    </w:rPr>
  </w:style>
  <w:style w:type="paragraph" w:styleId="14">
    <w:name w:val="Body Text Indent 2"/>
    <w:basedOn w:val="1"/>
    <w:autoRedefine/>
    <w:qFormat/>
    <w:uiPriority w:val="0"/>
    <w:pPr>
      <w:spacing w:line="480" w:lineRule="auto"/>
      <w:ind w:left="420" w:leftChars="200"/>
    </w:pPr>
  </w:style>
  <w:style w:type="paragraph" w:styleId="15">
    <w:name w:val="Balloon Text"/>
    <w:basedOn w:val="1"/>
    <w:link w:val="45"/>
    <w:autoRedefine/>
    <w:semiHidden/>
    <w:unhideWhenUsed/>
    <w:qFormat/>
    <w:uiPriority w:val="99"/>
    <w:rPr>
      <w:sz w:val="18"/>
      <w:szCs w:val="18"/>
    </w:rPr>
  </w:style>
  <w:style w:type="paragraph" w:styleId="16">
    <w:name w:val="footer"/>
    <w:basedOn w:val="1"/>
    <w:link w:val="42"/>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4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toc 1"/>
    <w:basedOn w:val="1"/>
    <w:next w:val="1"/>
    <w:autoRedefine/>
    <w:qFormat/>
    <w:uiPriority w:val="39"/>
  </w:style>
  <w:style w:type="paragraph" w:styleId="19">
    <w:name w:val="toc 4"/>
    <w:basedOn w:val="1"/>
    <w:next w:val="1"/>
    <w:autoRedefine/>
    <w:unhideWhenUsed/>
    <w:qFormat/>
    <w:uiPriority w:val="39"/>
    <w:pPr>
      <w:ind w:left="630"/>
      <w:jc w:val="left"/>
    </w:pPr>
    <w:rPr>
      <w:rFonts w:ascii="Calibri" w:hAnsi="Calibri"/>
      <w:sz w:val="18"/>
      <w:szCs w:val="18"/>
    </w:rPr>
  </w:style>
  <w:style w:type="paragraph" w:styleId="20">
    <w:name w:val="Subtitle"/>
    <w:basedOn w:val="1"/>
    <w:next w:val="1"/>
    <w:autoRedefine/>
    <w:qFormat/>
    <w:uiPriority w:val="0"/>
    <w:pPr>
      <w:spacing w:before="240" w:after="60" w:line="312" w:lineRule="auto"/>
      <w:jc w:val="center"/>
      <w:outlineLvl w:val="1"/>
    </w:pPr>
    <w:rPr>
      <w:rFonts w:ascii="Cambria" w:hAnsi="Cambria" w:eastAsia="宋体"/>
      <w:b/>
      <w:bCs/>
      <w:kern w:val="28"/>
      <w:szCs w:val="32"/>
    </w:rPr>
  </w:style>
  <w:style w:type="paragraph" w:styleId="21">
    <w:name w:val="List"/>
    <w:basedOn w:val="1"/>
    <w:autoRedefine/>
    <w:qFormat/>
    <w:uiPriority w:val="0"/>
    <w:pPr>
      <w:ind w:left="200" w:hanging="200" w:hangingChars="200"/>
    </w:pPr>
  </w:style>
  <w:style w:type="paragraph" w:styleId="22">
    <w:name w:val="footnote text"/>
    <w:basedOn w:val="1"/>
    <w:autoRedefine/>
    <w:qFormat/>
    <w:uiPriority w:val="0"/>
    <w:pPr>
      <w:snapToGrid w:val="0"/>
      <w:jc w:val="left"/>
    </w:pPr>
    <w:rPr>
      <w:rFonts w:eastAsia="仿宋_GB2312"/>
      <w:sz w:val="18"/>
      <w:szCs w:val="20"/>
    </w:rPr>
  </w:style>
  <w:style w:type="paragraph" w:styleId="23">
    <w:name w:val="table of figures"/>
    <w:basedOn w:val="1"/>
    <w:next w:val="1"/>
    <w:autoRedefine/>
    <w:semiHidden/>
    <w:qFormat/>
    <w:uiPriority w:val="0"/>
    <w:pPr>
      <w:spacing w:line="560" w:lineRule="exact"/>
    </w:pPr>
    <w:rPr>
      <w:b/>
      <w:sz w:val="28"/>
    </w:rPr>
  </w:style>
  <w:style w:type="paragraph" w:styleId="24">
    <w:name w:val="toc 2"/>
    <w:basedOn w:val="1"/>
    <w:next w:val="1"/>
    <w:autoRedefine/>
    <w:qFormat/>
    <w:uiPriority w:val="0"/>
    <w:pPr>
      <w:tabs>
        <w:tab w:val="right" w:leader="dot" w:pos="10070"/>
      </w:tabs>
      <w:spacing w:line="480" w:lineRule="auto"/>
      <w:ind w:left="200" w:leftChars="200"/>
    </w:p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next w:val="24"/>
    <w:autoRedefine/>
    <w:qFormat/>
    <w:uiPriority w:val="99"/>
    <w:pPr>
      <w:widowControl/>
      <w:spacing w:before="100" w:beforeAutospacing="1" w:after="100" w:afterAutospacing="1"/>
      <w:jc w:val="left"/>
    </w:pPr>
    <w:rPr>
      <w:rFonts w:ascii="宋体" w:hAnsi="宋体"/>
      <w:kern w:val="0"/>
      <w:sz w:val="24"/>
    </w:rPr>
  </w:style>
  <w:style w:type="paragraph" w:styleId="27">
    <w:name w:val="Body Text First Indent 2"/>
    <w:basedOn w:val="10"/>
    <w:next w:val="1"/>
    <w:autoRedefine/>
    <w:unhideWhenUsed/>
    <w:qFormat/>
    <w:uiPriority w:val="99"/>
    <w:pPr>
      <w:ind w:firstLine="420" w:firstLineChars="200"/>
    </w:pPr>
  </w:style>
  <w:style w:type="table" w:styleId="29">
    <w:name w:val="Table Grid"/>
    <w:basedOn w:val="2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autoRedefine/>
    <w:qFormat/>
    <w:uiPriority w:val="0"/>
    <w:rPr>
      <w:rFonts w:ascii="Tahoma" w:hAnsi="Tahoma" w:cs="Tahoma"/>
      <w:b/>
      <w:sz w:val="24"/>
    </w:rPr>
  </w:style>
  <w:style w:type="character" w:styleId="32">
    <w:name w:val="page number"/>
    <w:basedOn w:val="30"/>
    <w:autoRedefine/>
    <w:qFormat/>
    <w:uiPriority w:val="0"/>
  </w:style>
  <w:style w:type="character" w:styleId="33">
    <w:name w:val="Hyperlink"/>
    <w:basedOn w:val="30"/>
    <w:autoRedefine/>
    <w:unhideWhenUsed/>
    <w:qFormat/>
    <w:uiPriority w:val="0"/>
    <w:rPr>
      <w:color w:val="0000FF"/>
      <w:u w:val="single"/>
    </w:rPr>
  </w:style>
  <w:style w:type="character" w:styleId="34">
    <w:name w:val="footnote reference"/>
    <w:autoRedefine/>
    <w:qFormat/>
    <w:uiPriority w:val="0"/>
    <w:rPr>
      <w:vertAlign w:val="superscript"/>
    </w:rPr>
  </w:style>
  <w:style w:type="paragraph" w:customStyle="1" w:styleId="35">
    <w:name w:val="NormalIndent"/>
    <w:basedOn w:val="1"/>
    <w:autoRedefine/>
    <w:qFormat/>
    <w:uiPriority w:val="0"/>
    <w:pPr>
      <w:ind w:firstLine="420"/>
    </w:pPr>
    <w:rPr>
      <w:szCs w:val="20"/>
    </w:rPr>
  </w:style>
  <w:style w:type="paragraph" w:customStyle="1" w:styleId="36">
    <w:name w:val="表格文字"/>
    <w:basedOn w:val="1"/>
    <w:next w:val="2"/>
    <w:autoRedefine/>
    <w:qFormat/>
    <w:uiPriority w:val="99"/>
    <w:pPr>
      <w:adjustRightInd w:val="0"/>
      <w:spacing w:line="420" w:lineRule="atLeast"/>
      <w:jc w:val="left"/>
      <w:textAlignment w:val="baseline"/>
    </w:pPr>
    <w:rPr>
      <w:kern w:val="0"/>
    </w:rPr>
  </w:style>
  <w:style w:type="paragraph" w:customStyle="1" w:styleId="37">
    <w:name w:val="[Normal]"/>
    <w:autoRedefine/>
    <w:qFormat/>
    <w:uiPriority w:val="0"/>
    <w:rPr>
      <w:rFonts w:ascii="宋体" w:hAnsi="宋体" w:eastAsia="宋体" w:cs="Times New Roman"/>
      <w:sz w:val="24"/>
      <w:szCs w:val="22"/>
      <w:lang w:val="zh-CN" w:eastAsia="zh-CN" w:bidi="ar-SA"/>
    </w:rPr>
  </w:style>
  <w:style w:type="paragraph" w:customStyle="1" w:styleId="38">
    <w:name w:val="章正文"/>
    <w:basedOn w:val="1"/>
    <w:autoRedefine/>
    <w:qFormat/>
    <w:uiPriority w:val="0"/>
    <w:pPr>
      <w:spacing w:beforeLines="50" w:after="120" w:line="300" w:lineRule="auto"/>
      <w:ind w:firstLine="480"/>
    </w:pPr>
    <w:rPr>
      <w:rFonts w:ascii="Helvetica" w:hAnsi="Helvetica"/>
      <w:kern w:val="0"/>
      <w:sz w:val="24"/>
    </w:rPr>
  </w:style>
  <w:style w:type="paragraph" w:customStyle="1" w:styleId="39">
    <w:name w:val="正文首行缩进1"/>
    <w:basedOn w:val="2"/>
    <w:autoRedefine/>
    <w:qFormat/>
    <w:uiPriority w:val="0"/>
    <w:pPr>
      <w:ind w:firstLine="420" w:firstLineChars="100"/>
    </w:pPr>
  </w:style>
  <w:style w:type="paragraph" w:customStyle="1" w:styleId="40">
    <w:name w:val="正文（首行缩进2字符）"/>
    <w:basedOn w:val="1"/>
    <w:autoRedefine/>
    <w:qFormat/>
    <w:uiPriority w:val="0"/>
    <w:pPr>
      <w:ind w:firstLine="480" w:firstLineChars="200"/>
    </w:pPr>
    <w:rPr>
      <w:sz w:val="24"/>
      <w:szCs w:val="20"/>
    </w:rPr>
  </w:style>
  <w:style w:type="character" w:customStyle="1" w:styleId="41">
    <w:name w:val="页眉 Char"/>
    <w:basedOn w:val="30"/>
    <w:link w:val="17"/>
    <w:autoRedefine/>
    <w:semiHidden/>
    <w:qFormat/>
    <w:uiPriority w:val="99"/>
    <w:rPr>
      <w:sz w:val="18"/>
      <w:szCs w:val="18"/>
    </w:rPr>
  </w:style>
  <w:style w:type="character" w:customStyle="1" w:styleId="42">
    <w:name w:val="页脚 Char"/>
    <w:basedOn w:val="30"/>
    <w:link w:val="16"/>
    <w:autoRedefine/>
    <w:semiHidden/>
    <w:qFormat/>
    <w:uiPriority w:val="99"/>
    <w:rPr>
      <w:sz w:val="18"/>
      <w:szCs w:val="18"/>
    </w:rPr>
  </w:style>
  <w:style w:type="character" w:customStyle="1" w:styleId="43">
    <w:name w:val="正文文本 Char"/>
    <w:basedOn w:val="30"/>
    <w:link w:val="2"/>
    <w:autoRedefine/>
    <w:semiHidden/>
    <w:qFormat/>
    <w:uiPriority w:val="99"/>
    <w:rPr>
      <w:rFonts w:ascii="Times New Roman" w:hAnsi="Times New Roman" w:eastAsia="宋体" w:cs="Times New Roman"/>
      <w:szCs w:val="24"/>
    </w:rPr>
  </w:style>
  <w:style w:type="character" w:customStyle="1" w:styleId="44">
    <w:name w:val="正文文本缩进 Char"/>
    <w:basedOn w:val="30"/>
    <w:link w:val="10"/>
    <w:autoRedefine/>
    <w:qFormat/>
    <w:uiPriority w:val="99"/>
    <w:rPr>
      <w:rFonts w:ascii="Times New Roman" w:hAnsi="Times New Roman" w:eastAsia="宋体" w:cs="Times New Roman"/>
      <w:szCs w:val="24"/>
    </w:rPr>
  </w:style>
  <w:style w:type="character" w:customStyle="1" w:styleId="45">
    <w:name w:val="批注框文本 Char"/>
    <w:basedOn w:val="30"/>
    <w:link w:val="15"/>
    <w:autoRedefine/>
    <w:semiHidden/>
    <w:qFormat/>
    <w:uiPriority w:val="99"/>
    <w:rPr>
      <w:rFonts w:ascii="Times New Roman" w:hAnsi="Times New Roman" w:eastAsia="宋体" w:cs="Times New Roman"/>
      <w:sz w:val="18"/>
      <w:szCs w:val="18"/>
    </w:rPr>
  </w:style>
  <w:style w:type="character" w:customStyle="1" w:styleId="46">
    <w:name w:val="无"/>
    <w:autoRedefine/>
    <w:qFormat/>
    <w:uiPriority w:val="99"/>
  </w:style>
  <w:style w:type="paragraph" w:customStyle="1" w:styleId="47">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50">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4"/>
    <w:autoRedefine/>
    <w:qFormat/>
    <w:uiPriority w:val="99"/>
    <w:rPr>
      <w:rFonts w:ascii="Times New Roman" w:hAnsi="Times New Roman" w:eastAsia="宋体" w:cs="Times New Roman"/>
      <w:sz w:val="21"/>
      <w:szCs w:val="22"/>
      <w:lang w:val="en-US" w:eastAsia="zh-CN" w:bidi="ar-SA"/>
    </w:rPr>
  </w:style>
  <w:style w:type="paragraph" w:customStyle="1" w:styleId="52">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纯文本_3"/>
    <w:basedOn w:val="54"/>
    <w:autoRedefine/>
    <w:qFormat/>
    <w:uiPriority w:val="99"/>
    <w:pPr>
      <w:widowControl/>
      <w:jc w:val="left"/>
    </w:pPr>
    <w:rPr>
      <w:rFonts w:ascii="宋体" w:hAnsi="Courier New"/>
      <w:szCs w:val="21"/>
    </w:rPr>
  </w:style>
  <w:style w:type="paragraph" w:customStyle="1" w:styleId="56">
    <w:name w:val="纯文本_0_1"/>
    <w:basedOn w:val="1"/>
    <w:autoRedefine/>
    <w:qFormat/>
    <w:uiPriority w:val="99"/>
    <w:pPr>
      <w:widowControl/>
      <w:jc w:val="left"/>
    </w:pPr>
    <w:rPr>
      <w:rFonts w:ascii="宋体" w:hAnsi="Courier New"/>
      <w:szCs w:val="21"/>
    </w:rPr>
  </w:style>
  <w:style w:type="paragraph" w:customStyle="1" w:styleId="57">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8">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61">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62">
    <w:name w:val="p0"/>
    <w:basedOn w:val="1"/>
    <w:autoRedefine/>
    <w:qFormat/>
    <w:uiPriority w:val="0"/>
    <w:pPr>
      <w:widowControl/>
    </w:pPr>
    <w:rPr>
      <w:rFonts w:ascii="Calibri" w:hAnsi="Calibri" w:cs="宋体"/>
      <w:kern w:val="0"/>
      <w:szCs w:val="21"/>
    </w:rPr>
  </w:style>
  <w:style w:type="paragraph" w:styleId="63">
    <w:name w:val="List Paragraph"/>
    <w:basedOn w:val="1"/>
    <w:autoRedefine/>
    <w:qFormat/>
    <w:uiPriority w:val="0"/>
    <w:pPr>
      <w:ind w:firstLine="420" w:firstLineChars="200"/>
    </w:pPr>
  </w:style>
  <w:style w:type="paragraph" w:customStyle="1" w:styleId="64">
    <w:name w:val="纯文本1"/>
    <w:basedOn w:val="61"/>
    <w:autoRedefine/>
    <w:qFormat/>
    <w:uiPriority w:val="0"/>
    <w:pPr>
      <w:widowControl/>
      <w:jc w:val="left"/>
    </w:pPr>
    <w:rPr>
      <w:rFonts w:hAnsi="Courier New"/>
    </w:rPr>
  </w:style>
  <w:style w:type="paragraph" w:customStyle="1" w:styleId="65">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customStyle="1" w:styleId="6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一级无"/>
    <w:basedOn w:val="1"/>
    <w:autoRedefine/>
    <w:qFormat/>
    <w:uiPriority w:val="0"/>
    <w:pPr>
      <w:widowControl/>
      <w:jc w:val="left"/>
      <w:outlineLvl w:val="2"/>
    </w:pPr>
    <w:rPr>
      <w:rFonts w:ascii="宋体"/>
      <w:kern w:val="0"/>
      <w:szCs w:val="21"/>
    </w:rPr>
  </w:style>
  <w:style w:type="paragraph" w:customStyle="1" w:styleId="69">
    <w:name w:val="Default"/>
    <w:autoRedefine/>
    <w:qFormat/>
    <w:uiPriority w:val="0"/>
    <w:pPr>
      <w:autoSpaceDE w:val="0"/>
      <w:autoSpaceDN w:val="0"/>
      <w:adjustRightInd w:val="0"/>
    </w:pPr>
    <w:rPr>
      <w:rFonts w:ascii="Arial" w:hAnsi="Arial" w:eastAsia="宋体" w:cs="Arial"/>
      <w:color w:val="000000"/>
      <w:kern w:val="0"/>
      <w:sz w:val="24"/>
      <w:szCs w:val="24"/>
      <w:lang w:val="en-US" w:eastAsia="zh-CN" w:bidi="ar-SA"/>
    </w:rPr>
  </w:style>
  <w:style w:type="paragraph" w:customStyle="1" w:styleId="70">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52</Pages>
  <Words>22681</Words>
  <Characters>23962</Characters>
  <Lines>220</Lines>
  <Paragraphs>62</Paragraphs>
  <TotalTime>1435</TotalTime>
  <ScaleCrop>false</ScaleCrop>
  <LinksUpToDate>false</LinksUpToDate>
  <CharactersWithSpaces>24548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2021-11-16T07:54:00Z</dcterms:created>
  <dc:creator>苏彬</dc:creator>
  <cp:lastModifiedBy>ushop</cp:lastModifiedBy>
  <cp:lastPrinted>2021-11-29T01:49:00Z</cp:lastPrinted>
  <dcterms:modified xsi:type="dcterms:W3CDTF">2025-03-10T02:59:09Z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1B82A8790CC243BDBCA60FF3A578DA0E_13</vt:lpwstr>
  </property>
  <property fmtid="{D5CDD505-2E9C-101B-9397-08002B2CF9AE}" pid="4" name="KSOTemplateDocerSaveRecord">
    <vt:lpwstr>eyJoZGlkIjoiNWM4MTczYTkxNjQxNTZmZDJkMjkyZjJjNjUxMzRhMzgiLCJ1c2VySWQiOiI3MjUwNjk1MzIifQ==</vt:lpwstr>
  </property>
</Properties>
</file>