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cs="宋体"/>
          <w:b/>
          <w:bCs/>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ascii="宋体" w:cs="宋体"/>
          <w:b/>
          <w:bCs/>
          <w:kern w:val="0"/>
          <w:sz w:val="48"/>
          <w:szCs w:val="48"/>
          <w:highlight w:val="none"/>
        </w:rPr>
      </w:pPr>
    </w:p>
    <w:p>
      <w:pPr>
        <w:pStyle w:val="22"/>
        <w:rPr>
          <w:rFonts w:hint="eastAsia"/>
          <w:highlight w:val="none"/>
          <w:lang w:eastAsia="zh-CN"/>
        </w:rPr>
      </w:pPr>
      <w:r>
        <w:rPr>
          <w:rFonts w:hint="eastAsia" w:ascii="宋体" w:cs="宋体"/>
          <w:b/>
          <w:bCs/>
          <w:kern w:val="0"/>
          <w:sz w:val="44"/>
          <w:szCs w:val="44"/>
          <w:highlight w:val="none"/>
          <w:lang w:eastAsia="zh-CN"/>
        </w:rPr>
        <w:t>温岭市2024年度农业水价综合改革技术支撑</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cs="宋体"/>
          <w:b/>
          <w:bCs/>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cs="宋体"/>
          <w:b/>
          <w:bCs/>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sz w:val="36"/>
          <w:highlight w:val="none"/>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ascii="宋体" w:cs="宋体"/>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ascii="宋体" w:cs="宋体"/>
          <w:kern w:val="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hint="eastAsia" w:ascii="宋体" w:eastAsia="宋体"/>
          <w:kern w:val="0"/>
          <w:sz w:val="32"/>
          <w:szCs w:val="32"/>
          <w:highlight w:val="none"/>
          <w:lang w:eastAsia="zh-CN"/>
        </w:rPr>
      </w:pPr>
      <w:r>
        <w:rPr>
          <w:rFonts w:hint="eastAsia" w:ascii="宋体" w:cs="宋体"/>
          <w:kern w:val="0"/>
          <w:sz w:val="32"/>
          <w:szCs w:val="32"/>
          <w:highlight w:val="none"/>
        </w:rPr>
        <w:t>项目编号：</w:t>
      </w:r>
      <w:r>
        <w:rPr>
          <w:rFonts w:hint="eastAsia" w:ascii="宋体" w:hAnsi="宋体" w:cs="宋体"/>
          <w:kern w:val="0"/>
          <w:sz w:val="32"/>
          <w:szCs w:val="32"/>
          <w:highlight w:val="none"/>
          <w:lang w:eastAsia="zh-CN"/>
        </w:rPr>
        <w:t>JJWL240425122</w:t>
      </w:r>
    </w:p>
    <w:p>
      <w:pPr>
        <w:autoSpaceDE w:val="0"/>
        <w:autoSpaceDN w:val="0"/>
        <w:adjustRightInd w:val="0"/>
        <w:spacing w:line="360" w:lineRule="auto"/>
        <w:jc w:val="left"/>
        <w:rPr>
          <w:rFonts w:ascii="宋体"/>
          <w:kern w:val="0"/>
          <w:sz w:val="32"/>
          <w:szCs w:val="32"/>
          <w:highlight w:val="none"/>
        </w:rPr>
      </w:pPr>
    </w:p>
    <w:p>
      <w:pPr>
        <w:autoSpaceDE w:val="0"/>
        <w:autoSpaceDN w:val="0"/>
        <w:adjustRightInd w:val="0"/>
        <w:spacing w:line="360" w:lineRule="auto"/>
        <w:jc w:val="left"/>
        <w:rPr>
          <w:rFonts w:ascii="宋体"/>
          <w:kern w:val="0"/>
          <w:sz w:val="32"/>
          <w:szCs w:val="32"/>
          <w:highlight w:val="none"/>
        </w:rPr>
      </w:pPr>
    </w:p>
    <w:p>
      <w:pPr>
        <w:autoSpaceDE w:val="0"/>
        <w:autoSpaceDN w:val="0"/>
        <w:adjustRightInd w:val="0"/>
        <w:spacing w:line="360" w:lineRule="auto"/>
        <w:jc w:val="left"/>
        <w:rPr>
          <w:rFonts w:ascii="宋体"/>
          <w:kern w:val="0"/>
          <w:sz w:val="32"/>
          <w:szCs w:val="32"/>
          <w:highlight w:val="none"/>
        </w:rPr>
      </w:pPr>
    </w:p>
    <w:p>
      <w:pPr>
        <w:autoSpaceDE w:val="0"/>
        <w:autoSpaceDN w:val="0"/>
        <w:adjustRightInd w:val="0"/>
        <w:spacing w:line="360" w:lineRule="auto"/>
        <w:jc w:val="left"/>
        <w:rPr>
          <w:rFonts w:ascii="宋体"/>
          <w:kern w:val="0"/>
          <w:sz w:val="32"/>
          <w:szCs w:val="32"/>
          <w:highlight w:val="none"/>
        </w:rPr>
      </w:pPr>
    </w:p>
    <w:tbl>
      <w:tblPr>
        <w:tblStyle w:val="25"/>
        <w:tblW w:w="0" w:type="auto"/>
        <w:tblInd w:w="697" w:type="dxa"/>
        <w:tblLayout w:type="fixed"/>
        <w:tblCellMar>
          <w:top w:w="0" w:type="dxa"/>
          <w:left w:w="108" w:type="dxa"/>
          <w:bottom w:w="0" w:type="dxa"/>
          <w:right w:w="108" w:type="dxa"/>
        </w:tblCellMar>
      </w:tblPr>
      <w:tblGrid>
        <w:gridCol w:w="2340"/>
        <w:gridCol w:w="5003"/>
      </w:tblGrid>
      <w:tr>
        <w:tblPrEx>
          <w:tblCellMar>
            <w:top w:w="0" w:type="dxa"/>
            <w:left w:w="108" w:type="dxa"/>
            <w:bottom w:w="0" w:type="dxa"/>
            <w:right w:w="108" w:type="dxa"/>
          </w:tblCellMar>
        </w:tblPrEx>
        <w:tc>
          <w:tcPr>
            <w:tcW w:w="2340" w:type="dxa"/>
          </w:tcPr>
          <w:p>
            <w:pPr>
              <w:widowControl/>
              <w:snapToGrid w:val="0"/>
              <w:spacing w:line="500" w:lineRule="exact"/>
              <w:jc w:val="distribute"/>
              <w:rPr>
                <w:rFonts w:ascii="宋体" w:cs="宋体"/>
                <w:sz w:val="32"/>
                <w:szCs w:val="32"/>
                <w:highlight w:val="none"/>
              </w:rPr>
            </w:pPr>
            <w:r>
              <w:rPr>
                <w:rFonts w:hint="eastAsia" w:ascii="宋体" w:hAnsi="宋体" w:cs="宋体"/>
                <w:kern w:val="0"/>
                <w:sz w:val="32"/>
                <w:szCs w:val="32"/>
                <w:highlight w:val="none"/>
              </w:rPr>
              <w:t>采购人：</w:t>
            </w:r>
          </w:p>
        </w:tc>
        <w:tc>
          <w:tcPr>
            <w:tcW w:w="5003" w:type="dxa"/>
          </w:tcPr>
          <w:p>
            <w:pPr>
              <w:snapToGrid w:val="0"/>
              <w:spacing w:line="500" w:lineRule="exact"/>
              <w:rPr>
                <w:rFonts w:ascii="宋体" w:cs="宋体"/>
                <w:sz w:val="32"/>
                <w:szCs w:val="32"/>
                <w:highlight w:val="none"/>
              </w:rPr>
            </w:pPr>
            <w:r>
              <w:rPr>
                <w:rFonts w:hint="eastAsia" w:hAnsi="宋体"/>
                <w:sz w:val="32"/>
                <w:szCs w:val="32"/>
                <w:highlight w:val="none"/>
                <w:lang w:eastAsia="zh-CN"/>
              </w:rPr>
              <w:t>温岭市农业农村和水利局</w:t>
            </w:r>
            <w:r>
              <w:rPr>
                <w:rFonts w:ascii="宋体" w:hAnsi="宋体" w:cs="宋体"/>
                <w:kern w:val="0"/>
                <w:sz w:val="32"/>
                <w:szCs w:val="32"/>
                <w:highlight w:val="none"/>
              </w:rPr>
              <w:t xml:space="preserve">           </w:t>
            </w:r>
          </w:p>
        </w:tc>
      </w:tr>
      <w:tr>
        <w:tblPrEx>
          <w:tblCellMar>
            <w:top w:w="0" w:type="dxa"/>
            <w:left w:w="108" w:type="dxa"/>
            <w:bottom w:w="0" w:type="dxa"/>
            <w:right w:w="108" w:type="dxa"/>
          </w:tblCellMar>
        </w:tblPrEx>
        <w:trPr>
          <w:trHeight w:val="516" w:hRule="atLeast"/>
        </w:trPr>
        <w:tc>
          <w:tcPr>
            <w:tcW w:w="2340" w:type="dxa"/>
          </w:tcPr>
          <w:p>
            <w:pPr>
              <w:widowControl/>
              <w:snapToGrid w:val="0"/>
              <w:spacing w:line="500" w:lineRule="exact"/>
              <w:jc w:val="distribute"/>
              <w:rPr>
                <w:rFonts w:ascii="宋体" w:cs="宋体"/>
                <w:sz w:val="32"/>
                <w:szCs w:val="32"/>
                <w:highlight w:val="none"/>
              </w:rPr>
            </w:pPr>
            <w:r>
              <w:rPr>
                <w:rFonts w:hint="eastAsia" w:ascii="宋体" w:hAnsi="宋体" w:cs="宋体"/>
                <w:kern w:val="0"/>
                <w:sz w:val="32"/>
                <w:szCs w:val="32"/>
                <w:highlight w:val="none"/>
              </w:rPr>
              <w:t>采购代理机构：</w:t>
            </w:r>
          </w:p>
        </w:tc>
        <w:tc>
          <w:tcPr>
            <w:tcW w:w="5003" w:type="dxa"/>
          </w:tcPr>
          <w:p>
            <w:pPr>
              <w:widowControl/>
              <w:snapToGrid w:val="0"/>
              <w:spacing w:line="500" w:lineRule="exact"/>
              <w:rPr>
                <w:rFonts w:ascii="宋体" w:cs="宋体"/>
                <w:b/>
                <w:sz w:val="32"/>
                <w:szCs w:val="32"/>
                <w:highlight w:val="none"/>
              </w:rPr>
            </w:pPr>
            <w:r>
              <w:rPr>
                <w:rFonts w:hint="eastAsia" w:ascii="宋体" w:hAnsi="宋体" w:cs="宋体"/>
                <w:kern w:val="0"/>
                <w:sz w:val="32"/>
                <w:szCs w:val="32"/>
                <w:highlight w:val="none"/>
              </w:rPr>
              <w:t>建经投资咨询有限公司</w:t>
            </w:r>
          </w:p>
        </w:tc>
      </w:tr>
      <w:tr>
        <w:tblPrEx>
          <w:tblCellMar>
            <w:top w:w="0" w:type="dxa"/>
            <w:left w:w="108" w:type="dxa"/>
            <w:bottom w:w="0" w:type="dxa"/>
            <w:right w:w="108" w:type="dxa"/>
          </w:tblCellMar>
        </w:tblPrEx>
        <w:tc>
          <w:tcPr>
            <w:tcW w:w="2340" w:type="dxa"/>
          </w:tcPr>
          <w:p>
            <w:pPr>
              <w:widowControl/>
              <w:snapToGrid w:val="0"/>
              <w:spacing w:line="500" w:lineRule="exact"/>
              <w:jc w:val="distribute"/>
              <w:rPr>
                <w:rFonts w:ascii="宋体" w:cs="宋体"/>
                <w:sz w:val="32"/>
                <w:szCs w:val="32"/>
                <w:highlight w:val="none"/>
              </w:rPr>
            </w:pPr>
            <w:r>
              <w:rPr>
                <w:rFonts w:hint="eastAsia" w:ascii="宋体" w:hAnsi="宋体" w:cs="宋体"/>
                <w:kern w:val="0"/>
                <w:sz w:val="32"/>
                <w:szCs w:val="32"/>
                <w:highlight w:val="none"/>
              </w:rPr>
              <w:t>备案单位：</w:t>
            </w:r>
          </w:p>
        </w:tc>
        <w:tc>
          <w:tcPr>
            <w:tcW w:w="5003" w:type="dxa"/>
          </w:tcPr>
          <w:p>
            <w:pPr>
              <w:widowControl/>
              <w:snapToGrid w:val="0"/>
              <w:spacing w:line="500" w:lineRule="exact"/>
              <w:rPr>
                <w:rFonts w:ascii="宋体" w:cs="宋体"/>
                <w:sz w:val="32"/>
                <w:szCs w:val="32"/>
                <w:highlight w:val="none"/>
              </w:rPr>
            </w:pPr>
            <w:r>
              <w:rPr>
                <w:rFonts w:hint="eastAsia" w:ascii="宋体" w:hAnsi="宋体" w:cs="宋体"/>
                <w:kern w:val="0"/>
                <w:sz w:val="32"/>
                <w:szCs w:val="32"/>
                <w:highlight w:val="none"/>
              </w:rPr>
              <w:t>温岭市财政局政府采购监管科</w:t>
            </w:r>
          </w:p>
        </w:tc>
      </w:tr>
      <w:tr>
        <w:tblPrEx>
          <w:tblCellMar>
            <w:top w:w="0" w:type="dxa"/>
            <w:left w:w="108" w:type="dxa"/>
            <w:bottom w:w="0" w:type="dxa"/>
            <w:right w:w="108" w:type="dxa"/>
          </w:tblCellMar>
        </w:tblPrEx>
        <w:trPr>
          <w:trHeight w:val="716" w:hRule="atLeast"/>
        </w:trPr>
        <w:tc>
          <w:tcPr>
            <w:tcW w:w="7343" w:type="dxa"/>
            <w:gridSpan w:val="2"/>
          </w:tcPr>
          <w:p>
            <w:pPr>
              <w:widowControl/>
              <w:snapToGrid w:val="0"/>
              <w:spacing w:beforeLines="50" w:line="500" w:lineRule="exact"/>
              <w:jc w:val="center"/>
              <w:rPr>
                <w:rFonts w:ascii="宋体" w:cs="宋体"/>
                <w:spacing w:val="24"/>
                <w:sz w:val="32"/>
                <w:szCs w:val="32"/>
                <w:highlight w:val="none"/>
              </w:rPr>
            </w:pPr>
            <w:r>
              <w:rPr>
                <w:rFonts w:hint="eastAsia" w:ascii="宋体" w:hAnsi="宋体" w:cs="宋体"/>
                <w:spacing w:val="24"/>
                <w:kern w:val="0"/>
                <w:sz w:val="32"/>
                <w:szCs w:val="32"/>
                <w:highlight w:val="none"/>
              </w:rPr>
              <w:t>二○二</w:t>
            </w:r>
            <w:r>
              <w:rPr>
                <w:rFonts w:hint="eastAsia" w:ascii="宋体" w:hAnsi="宋体" w:cs="宋体"/>
                <w:spacing w:val="24"/>
                <w:kern w:val="0"/>
                <w:sz w:val="32"/>
                <w:szCs w:val="32"/>
                <w:highlight w:val="none"/>
                <w:lang w:eastAsia="zh-CN"/>
              </w:rPr>
              <w:t>四</w:t>
            </w:r>
            <w:r>
              <w:rPr>
                <w:rFonts w:hint="eastAsia" w:ascii="宋体" w:hAnsi="宋体" w:cs="宋体"/>
                <w:spacing w:val="24"/>
                <w:kern w:val="0"/>
                <w:sz w:val="32"/>
                <w:szCs w:val="32"/>
                <w:highlight w:val="none"/>
              </w:rPr>
              <w:t>年</w:t>
            </w:r>
            <w:r>
              <w:rPr>
                <w:rFonts w:hint="eastAsia" w:ascii="宋体" w:hAnsi="宋体" w:cs="宋体"/>
                <w:spacing w:val="24"/>
                <w:kern w:val="0"/>
                <w:sz w:val="32"/>
                <w:szCs w:val="32"/>
                <w:highlight w:val="none"/>
                <w:lang w:eastAsia="zh-CN"/>
              </w:rPr>
              <w:t>六</w:t>
            </w:r>
            <w:r>
              <w:rPr>
                <w:rFonts w:hint="eastAsia" w:ascii="宋体" w:hAnsi="宋体" w:cs="宋体"/>
                <w:spacing w:val="24"/>
                <w:kern w:val="0"/>
                <w:sz w:val="32"/>
                <w:szCs w:val="32"/>
                <w:highlight w:val="none"/>
              </w:rPr>
              <w:t>月</w:t>
            </w:r>
          </w:p>
        </w:tc>
      </w:tr>
    </w:tbl>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highlight w:val="none"/>
        </w:rPr>
      </w:pPr>
    </w:p>
    <w:p>
      <w:pPr>
        <w:jc w:val="center"/>
        <w:rPr>
          <w:rFonts w:ascii="宋体" w:cs="宋体"/>
          <w:b/>
          <w:bCs/>
          <w:sz w:val="48"/>
          <w:szCs w:val="48"/>
          <w:highlight w:val="none"/>
        </w:rPr>
        <w:sectPr>
          <w:headerReference r:id="rId3" w:type="default"/>
          <w:pgSz w:w="11906" w:h="16838"/>
          <w:pgMar w:top="1588" w:right="1417" w:bottom="1304" w:left="1701" w:header="851" w:footer="992" w:gutter="0"/>
          <w:pgNumType w:fmt="decimal" w:start="1"/>
          <w:cols w:space="720" w:num="1"/>
          <w:docGrid w:type="lines" w:linePitch="312" w:charSpace="0"/>
        </w:sectPr>
      </w:pPr>
    </w:p>
    <w:p>
      <w:pPr>
        <w:jc w:val="center"/>
        <w:rPr>
          <w:rFonts w:ascii="宋体"/>
          <w:b/>
          <w:bCs/>
          <w:sz w:val="48"/>
          <w:szCs w:val="48"/>
          <w:highlight w:val="none"/>
        </w:rPr>
      </w:pPr>
      <w:r>
        <w:rPr>
          <w:rFonts w:hint="eastAsia" w:ascii="宋体" w:hAnsi="宋体" w:cs="宋体"/>
          <w:b/>
          <w:bCs/>
          <w:sz w:val="48"/>
          <w:szCs w:val="48"/>
          <w:highlight w:val="none"/>
        </w:rPr>
        <w:t>目</w:t>
      </w:r>
      <w:r>
        <w:rPr>
          <w:rFonts w:ascii="宋体" w:hAnsi="宋体" w:cs="宋体"/>
          <w:b/>
          <w:bCs/>
          <w:sz w:val="48"/>
          <w:szCs w:val="48"/>
          <w:highlight w:val="none"/>
        </w:rPr>
        <w:t xml:space="preserve">    </w:t>
      </w:r>
      <w:r>
        <w:rPr>
          <w:rFonts w:hint="eastAsia" w:ascii="宋体" w:hAnsi="宋体" w:cs="宋体"/>
          <w:b/>
          <w:bCs/>
          <w:sz w:val="48"/>
          <w:szCs w:val="48"/>
          <w:highlight w:val="none"/>
        </w:rPr>
        <w:t>录</w:t>
      </w:r>
    </w:p>
    <w:p>
      <w:pPr>
        <w:pStyle w:val="81"/>
        <w:tabs>
          <w:tab w:val="right" w:leader="dot" w:pos="8620"/>
        </w:tabs>
        <w:rPr>
          <w:highlight w:val="none"/>
        </w:rPr>
      </w:pPr>
      <w:r>
        <w:rPr>
          <w:highlight w:val="none"/>
        </w:rPr>
        <w:fldChar w:fldCharType="begin"/>
      </w:r>
      <w:r>
        <w:rPr>
          <w:highlight w:val="none"/>
        </w:rPr>
        <w:instrText xml:space="preserve">TOC \o "1-1" \h \u </w:instrText>
      </w:r>
      <w:r>
        <w:rPr>
          <w:highlight w:val="none"/>
        </w:rPr>
        <w:fldChar w:fldCharType="separate"/>
      </w:r>
    </w:p>
    <w:p>
      <w:pPr>
        <w:pStyle w:val="81"/>
        <w:tabs>
          <w:tab w:val="right" w:leader="dot" w:pos="8620"/>
        </w:tabs>
        <w:rPr>
          <w:rFonts w:ascii="宋体" w:cs="宋体"/>
          <w:kern w:val="2"/>
          <w:sz w:val="28"/>
          <w:szCs w:val="28"/>
          <w:highlight w:val="none"/>
        </w:rPr>
      </w:pPr>
      <w:r>
        <w:rPr>
          <w:highlight w:val="none"/>
        </w:rPr>
        <w:fldChar w:fldCharType="begin"/>
      </w:r>
      <w:r>
        <w:rPr>
          <w:highlight w:val="none"/>
        </w:rPr>
        <w:instrText xml:space="preserve"> HYPERLINK \l "_Toc17405" </w:instrText>
      </w:r>
      <w:r>
        <w:rPr>
          <w:highlight w:val="none"/>
        </w:rPr>
        <w:fldChar w:fldCharType="separate"/>
      </w:r>
      <w:r>
        <w:rPr>
          <w:rFonts w:hint="eastAsia" w:ascii="宋体" w:hAnsi="宋体" w:cs="宋体"/>
          <w:kern w:val="2"/>
          <w:sz w:val="28"/>
          <w:szCs w:val="28"/>
          <w:highlight w:val="none"/>
        </w:rPr>
        <w:t>第一章</w:t>
      </w:r>
      <w:r>
        <w:rPr>
          <w:rFonts w:ascii="宋体" w:hAnsi="宋体" w:cs="宋体"/>
          <w:kern w:val="2"/>
          <w:sz w:val="28"/>
          <w:szCs w:val="28"/>
          <w:highlight w:val="none"/>
        </w:rPr>
        <w:t xml:space="preserve"> </w:t>
      </w:r>
      <w:r>
        <w:rPr>
          <w:rFonts w:hint="eastAsia" w:ascii="宋体" w:hAnsi="宋体" w:cs="宋体"/>
          <w:kern w:val="2"/>
          <w:sz w:val="28"/>
          <w:szCs w:val="28"/>
          <w:highlight w:val="none"/>
        </w:rPr>
        <w:t>招标公告</w:t>
      </w:r>
      <w:r>
        <w:rPr>
          <w:rFonts w:ascii="宋体" w:cs="宋体"/>
          <w:kern w:val="2"/>
          <w:sz w:val="28"/>
          <w:szCs w:val="28"/>
          <w:highlight w:val="none"/>
        </w:rPr>
        <w:tab/>
      </w:r>
      <w:r>
        <w:rPr>
          <w:rFonts w:ascii="宋体" w:hAnsi="宋体" w:cs="宋体"/>
          <w:kern w:val="2"/>
          <w:sz w:val="28"/>
          <w:szCs w:val="28"/>
          <w:highlight w:val="none"/>
        </w:rPr>
        <w:fldChar w:fldCharType="begin"/>
      </w:r>
      <w:r>
        <w:rPr>
          <w:rFonts w:ascii="宋体" w:hAnsi="宋体" w:cs="宋体"/>
          <w:kern w:val="2"/>
          <w:sz w:val="28"/>
          <w:szCs w:val="28"/>
          <w:highlight w:val="none"/>
        </w:rPr>
        <w:instrText xml:space="preserve"> PAGEREF _Toc17405 </w:instrText>
      </w:r>
      <w:r>
        <w:rPr>
          <w:rFonts w:ascii="宋体" w:hAnsi="宋体" w:cs="宋体"/>
          <w:kern w:val="2"/>
          <w:sz w:val="28"/>
          <w:szCs w:val="28"/>
          <w:highlight w:val="none"/>
        </w:rPr>
        <w:fldChar w:fldCharType="separate"/>
      </w:r>
      <w:r>
        <w:rPr>
          <w:rFonts w:ascii="宋体" w:hAnsi="宋体" w:cs="宋体"/>
          <w:kern w:val="2"/>
          <w:sz w:val="28"/>
          <w:szCs w:val="28"/>
          <w:highlight w:val="none"/>
        </w:rPr>
        <w:t>1</w:t>
      </w:r>
      <w:r>
        <w:rPr>
          <w:rFonts w:ascii="宋体" w:hAnsi="宋体" w:cs="宋体"/>
          <w:kern w:val="2"/>
          <w:sz w:val="28"/>
          <w:szCs w:val="28"/>
          <w:highlight w:val="none"/>
        </w:rPr>
        <w:fldChar w:fldCharType="end"/>
      </w:r>
      <w:r>
        <w:rPr>
          <w:rFonts w:ascii="宋体" w:hAnsi="宋体" w:cs="宋体"/>
          <w:kern w:val="2"/>
          <w:sz w:val="28"/>
          <w:szCs w:val="28"/>
          <w:highlight w:val="none"/>
        </w:rPr>
        <w:fldChar w:fldCharType="end"/>
      </w:r>
    </w:p>
    <w:p>
      <w:pPr>
        <w:pStyle w:val="81"/>
        <w:tabs>
          <w:tab w:val="right" w:leader="dot" w:pos="8620"/>
        </w:tabs>
        <w:rPr>
          <w:rFonts w:ascii="宋体" w:cs="宋体"/>
          <w:kern w:val="2"/>
          <w:sz w:val="28"/>
          <w:szCs w:val="28"/>
          <w:highlight w:val="none"/>
        </w:rPr>
      </w:pPr>
      <w:r>
        <w:rPr>
          <w:highlight w:val="none"/>
        </w:rPr>
        <w:fldChar w:fldCharType="begin"/>
      </w:r>
      <w:r>
        <w:rPr>
          <w:highlight w:val="none"/>
        </w:rPr>
        <w:instrText xml:space="preserve"> HYPERLINK \l "_Toc8031" </w:instrText>
      </w:r>
      <w:r>
        <w:rPr>
          <w:highlight w:val="none"/>
        </w:rPr>
        <w:fldChar w:fldCharType="separate"/>
      </w:r>
      <w:r>
        <w:rPr>
          <w:rFonts w:hint="eastAsia" w:ascii="宋体" w:hAnsi="宋体" w:cs="宋体"/>
          <w:kern w:val="2"/>
          <w:sz w:val="28"/>
          <w:szCs w:val="28"/>
          <w:highlight w:val="none"/>
        </w:rPr>
        <w:t>第二章</w:t>
      </w:r>
      <w:r>
        <w:rPr>
          <w:rFonts w:ascii="宋体" w:hAnsi="宋体" w:cs="宋体"/>
          <w:kern w:val="2"/>
          <w:sz w:val="28"/>
          <w:szCs w:val="28"/>
          <w:highlight w:val="none"/>
        </w:rPr>
        <w:t xml:space="preserve"> </w:t>
      </w:r>
      <w:r>
        <w:rPr>
          <w:rFonts w:hint="eastAsia" w:ascii="宋体" w:hAnsi="宋体" w:cs="宋体"/>
          <w:kern w:val="2"/>
          <w:sz w:val="28"/>
          <w:szCs w:val="28"/>
          <w:highlight w:val="none"/>
        </w:rPr>
        <w:t>投标人须知</w:t>
      </w:r>
      <w:r>
        <w:rPr>
          <w:rFonts w:ascii="宋体" w:cs="宋体"/>
          <w:kern w:val="2"/>
          <w:sz w:val="28"/>
          <w:szCs w:val="28"/>
          <w:highlight w:val="none"/>
        </w:rPr>
        <w:tab/>
      </w:r>
      <w:r>
        <w:rPr>
          <w:rFonts w:ascii="宋体" w:hAnsi="宋体" w:cs="宋体"/>
          <w:kern w:val="2"/>
          <w:sz w:val="28"/>
          <w:szCs w:val="28"/>
          <w:highlight w:val="none"/>
        </w:rPr>
        <w:fldChar w:fldCharType="begin"/>
      </w:r>
      <w:r>
        <w:rPr>
          <w:rFonts w:ascii="宋体" w:hAnsi="宋体" w:cs="宋体"/>
          <w:kern w:val="2"/>
          <w:sz w:val="28"/>
          <w:szCs w:val="28"/>
          <w:highlight w:val="none"/>
        </w:rPr>
        <w:instrText xml:space="preserve"> PAGEREF _Toc8031 </w:instrText>
      </w:r>
      <w:r>
        <w:rPr>
          <w:rFonts w:ascii="宋体" w:hAnsi="宋体" w:cs="宋体"/>
          <w:kern w:val="2"/>
          <w:sz w:val="28"/>
          <w:szCs w:val="28"/>
          <w:highlight w:val="none"/>
        </w:rPr>
        <w:fldChar w:fldCharType="separate"/>
      </w:r>
      <w:r>
        <w:rPr>
          <w:rFonts w:ascii="宋体" w:hAnsi="宋体" w:cs="宋体"/>
          <w:kern w:val="2"/>
          <w:sz w:val="28"/>
          <w:szCs w:val="28"/>
          <w:highlight w:val="none"/>
        </w:rPr>
        <w:t>5</w:t>
      </w:r>
      <w:r>
        <w:rPr>
          <w:rFonts w:ascii="宋体" w:hAnsi="宋体" w:cs="宋体"/>
          <w:kern w:val="2"/>
          <w:sz w:val="28"/>
          <w:szCs w:val="28"/>
          <w:highlight w:val="none"/>
        </w:rPr>
        <w:fldChar w:fldCharType="end"/>
      </w:r>
      <w:r>
        <w:rPr>
          <w:rFonts w:ascii="宋体" w:hAnsi="宋体" w:cs="宋体"/>
          <w:kern w:val="2"/>
          <w:sz w:val="28"/>
          <w:szCs w:val="28"/>
          <w:highlight w:val="none"/>
        </w:rPr>
        <w:fldChar w:fldCharType="end"/>
      </w:r>
    </w:p>
    <w:p>
      <w:pPr>
        <w:pStyle w:val="81"/>
        <w:tabs>
          <w:tab w:val="right" w:leader="dot" w:pos="8620"/>
        </w:tabs>
        <w:rPr>
          <w:rFonts w:ascii="宋体" w:cs="宋体"/>
          <w:kern w:val="2"/>
          <w:sz w:val="28"/>
          <w:szCs w:val="28"/>
          <w:highlight w:val="none"/>
        </w:rPr>
      </w:pPr>
      <w:r>
        <w:rPr>
          <w:highlight w:val="none"/>
        </w:rPr>
        <w:fldChar w:fldCharType="begin"/>
      </w:r>
      <w:r>
        <w:rPr>
          <w:highlight w:val="none"/>
        </w:rPr>
        <w:instrText xml:space="preserve"> HYPERLINK \l "_Toc3217" </w:instrText>
      </w:r>
      <w:r>
        <w:rPr>
          <w:highlight w:val="none"/>
        </w:rPr>
        <w:fldChar w:fldCharType="separate"/>
      </w:r>
      <w:r>
        <w:rPr>
          <w:rFonts w:hint="eastAsia" w:ascii="宋体" w:hAnsi="宋体" w:cs="宋体"/>
          <w:kern w:val="2"/>
          <w:sz w:val="28"/>
          <w:szCs w:val="28"/>
          <w:highlight w:val="none"/>
        </w:rPr>
        <w:t>第三章</w:t>
      </w:r>
      <w:r>
        <w:rPr>
          <w:rFonts w:ascii="宋体" w:hAnsi="宋体" w:cs="宋体"/>
          <w:kern w:val="2"/>
          <w:sz w:val="28"/>
          <w:szCs w:val="28"/>
          <w:highlight w:val="none"/>
        </w:rPr>
        <w:t xml:space="preserve"> </w:t>
      </w:r>
      <w:r>
        <w:rPr>
          <w:rFonts w:hint="eastAsia" w:ascii="宋体" w:hAnsi="宋体" w:cs="宋体"/>
          <w:kern w:val="2"/>
          <w:sz w:val="28"/>
          <w:szCs w:val="28"/>
          <w:highlight w:val="none"/>
        </w:rPr>
        <w:t>评标办法及评分标准</w:t>
      </w:r>
      <w:r>
        <w:rPr>
          <w:rFonts w:ascii="宋体" w:cs="宋体"/>
          <w:kern w:val="2"/>
          <w:sz w:val="28"/>
          <w:szCs w:val="28"/>
          <w:highlight w:val="none"/>
        </w:rPr>
        <w:tab/>
      </w:r>
      <w:r>
        <w:rPr>
          <w:rFonts w:ascii="宋体" w:hAnsi="宋体" w:cs="宋体"/>
          <w:kern w:val="2"/>
          <w:sz w:val="28"/>
          <w:szCs w:val="28"/>
          <w:highlight w:val="none"/>
        </w:rPr>
        <w:fldChar w:fldCharType="begin"/>
      </w:r>
      <w:r>
        <w:rPr>
          <w:rFonts w:ascii="宋体" w:hAnsi="宋体" w:cs="宋体"/>
          <w:kern w:val="2"/>
          <w:sz w:val="28"/>
          <w:szCs w:val="28"/>
          <w:highlight w:val="none"/>
        </w:rPr>
        <w:instrText xml:space="preserve"> PAGEREF _Toc3217 </w:instrText>
      </w:r>
      <w:r>
        <w:rPr>
          <w:rFonts w:ascii="宋体" w:hAnsi="宋体" w:cs="宋体"/>
          <w:kern w:val="2"/>
          <w:sz w:val="28"/>
          <w:szCs w:val="28"/>
          <w:highlight w:val="none"/>
        </w:rPr>
        <w:fldChar w:fldCharType="separate"/>
      </w:r>
      <w:r>
        <w:rPr>
          <w:rFonts w:ascii="宋体" w:hAnsi="宋体" w:cs="宋体"/>
          <w:kern w:val="2"/>
          <w:sz w:val="28"/>
          <w:szCs w:val="28"/>
          <w:highlight w:val="none"/>
        </w:rPr>
        <w:t>21</w:t>
      </w:r>
      <w:r>
        <w:rPr>
          <w:rFonts w:ascii="宋体" w:hAnsi="宋体" w:cs="宋体"/>
          <w:kern w:val="2"/>
          <w:sz w:val="28"/>
          <w:szCs w:val="28"/>
          <w:highlight w:val="none"/>
        </w:rPr>
        <w:fldChar w:fldCharType="end"/>
      </w:r>
      <w:r>
        <w:rPr>
          <w:rFonts w:ascii="宋体" w:hAnsi="宋体" w:cs="宋体"/>
          <w:kern w:val="2"/>
          <w:sz w:val="28"/>
          <w:szCs w:val="28"/>
          <w:highlight w:val="none"/>
        </w:rPr>
        <w:fldChar w:fldCharType="end"/>
      </w:r>
    </w:p>
    <w:p>
      <w:pPr>
        <w:pStyle w:val="81"/>
        <w:tabs>
          <w:tab w:val="right" w:leader="dot" w:pos="8620"/>
        </w:tabs>
        <w:rPr>
          <w:rFonts w:hint="eastAsia" w:ascii="宋体" w:eastAsia="宋体" w:cs="宋体"/>
          <w:kern w:val="2"/>
          <w:sz w:val="28"/>
          <w:szCs w:val="28"/>
          <w:highlight w:val="none"/>
          <w:lang w:val="en-US" w:eastAsia="zh-CN"/>
        </w:rPr>
      </w:pPr>
      <w:r>
        <w:rPr>
          <w:highlight w:val="none"/>
        </w:rPr>
        <w:fldChar w:fldCharType="begin"/>
      </w:r>
      <w:r>
        <w:rPr>
          <w:highlight w:val="none"/>
        </w:rPr>
        <w:instrText xml:space="preserve"> HYPERLINK \l "_Toc5903" </w:instrText>
      </w:r>
      <w:r>
        <w:rPr>
          <w:highlight w:val="none"/>
        </w:rPr>
        <w:fldChar w:fldCharType="separate"/>
      </w:r>
      <w:r>
        <w:rPr>
          <w:rFonts w:hint="eastAsia" w:ascii="宋体" w:hAnsi="宋体" w:cs="宋体"/>
          <w:kern w:val="2"/>
          <w:sz w:val="28"/>
          <w:szCs w:val="28"/>
          <w:highlight w:val="none"/>
        </w:rPr>
        <w:t>第四章</w:t>
      </w:r>
      <w:r>
        <w:rPr>
          <w:rFonts w:ascii="宋体" w:hAnsi="宋体" w:cs="宋体"/>
          <w:kern w:val="2"/>
          <w:sz w:val="28"/>
          <w:szCs w:val="28"/>
          <w:highlight w:val="none"/>
        </w:rPr>
        <w:t xml:space="preserve"> </w:t>
      </w:r>
      <w:r>
        <w:rPr>
          <w:rFonts w:hint="eastAsia" w:ascii="宋体" w:hAnsi="宋体" w:cs="宋体"/>
          <w:kern w:val="2"/>
          <w:sz w:val="28"/>
          <w:szCs w:val="28"/>
          <w:highlight w:val="none"/>
        </w:rPr>
        <w:t>采购需求</w:t>
      </w:r>
      <w:r>
        <w:rPr>
          <w:rFonts w:ascii="宋体" w:cs="宋体"/>
          <w:kern w:val="2"/>
          <w:sz w:val="28"/>
          <w:szCs w:val="28"/>
          <w:highlight w:val="none"/>
        </w:rPr>
        <w:tab/>
      </w:r>
      <w:r>
        <w:rPr>
          <w:rFonts w:hint="eastAsia" w:ascii="宋体" w:hAnsi="宋体" w:cs="宋体"/>
          <w:kern w:val="2"/>
          <w:sz w:val="28"/>
          <w:szCs w:val="28"/>
          <w:highlight w:val="none"/>
          <w:lang w:val="en-US" w:eastAsia="zh-CN"/>
        </w:rPr>
        <w:t>2</w:t>
      </w:r>
      <w:r>
        <w:rPr>
          <w:rFonts w:ascii="宋体" w:hAnsi="宋体" w:cs="宋体"/>
          <w:kern w:val="2"/>
          <w:sz w:val="28"/>
          <w:szCs w:val="28"/>
          <w:highlight w:val="none"/>
        </w:rPr>
        <w:fldChar w:fldCharType="end"/>
      </w:r>
      <w:r>
        <w:rPr>
          <w:rFonts w:hint="eastAsia" w:ascii="宋体" w:hAnsi="宋体" w:cs="宋体"/>
          <w:kern w:val="2"/>
          <w:sz w:val="28"/>
          <w:szCs w:val="28"/>
          <w:highlight w:val="none"/>
          <w:lang w:val="en-US" w:eastAsia="zh-CN"/>
        </w:rPr>
        <w:t>7</w:t>
      </w:r>
    </w:p>
    <w:p>
      <w:pPr>
        <w:pStyle w:val="81"/>
        <w:tabs>
          <w:tab w:val="right" w:leader="dot" w:pos="8620"/>
        </w:tabs>
        <w:rPr>
          <w:rFonts w:hint="eastAsia" w:ascii="宋体" w:eastAsia="宋体" w:cs="宋体"/>
          <w:kern w:val="2"/>
          <w:sz w:val="28"/>
          <w:szCs w:val="28"/>
          <w:highlight w:val="none"/>
          <w:lang w:val="en-US" w:eastAsia="zh-CN"/>
        </w:rPr>
      </w:pPr>
      <w:r>
        <w:rPr>
          <w:highlight w:val="none"/>
        </w:rPr>
        <w:fldChar w:fldCharType="begin"/>
      </w:r>
      <w:r>
        <w:rPr>
          <w:highlight w:val="none"/>
        </w:rPr>
        <w:instrText xml:space="preserve"> HYPERLINK \l "_Toc29793" </w:instrText>
      </w:r>
      <w:r>
        <w:rPr>
          <w:highlight w:val="none"/>
        </w:rPr>
        <w:fldChar w:fldCharType="separate"/>
      </w:r>
      <w:r>
        <w:rPr>
          <w:rFonts w:hint="eastAsia" w:ascii="宋体" w:hAnsi="宋体" w:cs="宋体"/>
          <w:kern w:val="2"/>
          <w:sz w:val="28"/>
          <w:szCs w:val="28"/>
          <w:highlight w:val="none"/>
        </w:rPr>
        <w:t>第五章</w:t>
      </w:r>
      <w:r>
        <w:rPr>
          <w:rFonts w:ascii="宋体" w:hAnsi="宋体" w:cs="宋体"/>
          <w:kern w:val="2"/>
          <w:sz w:val="28"/>
          <w:szCs w:val="28"/>
          <w:highlight w:val="none"/>
        </w:rPr>
        <w:t xml:space="preserve"> </w:t>
      </w:r>
      <w:r>
        <w:rPr>
          <w:rFonts w:hint="eastAsia" w:ascii="宋体" w:hAnsi="宋体" w:cs="宋体"/>
          <w:kern w:val="2"/>
          <w:sz w:val="28"/>
          <w:szCs w:val="28"/>
          <w:highlight w:val="none"/>
        </w:rPr>
        <w:t>合同文本</w:t>
      </w:r>
      <w:r>
        <w:rPr>
          <w:rFonts w:ascii="宋体" w:cs="宋体"/>
          <w:kern w:val="2"/>
          <w:sz w:val="28"/>
          <w:szCs w:val="28"/>
          <w:highlight w:val="none"/>
        </w:rPr>
        <w:tab/>
      </w:r>
      <w:r>
        <w:rPr>
          <w:rFonts w:hint="eastAsia" w:ascii="宋体" w:hAnsi="宋体" w:cs="宋体"/>
          <w:kern w:val="2"/>
          <w:sz w:val="28"/>
          <w:szCs w:val="28"/>
          <w:highlight w:val="none"/>
          <w:lang w:val="en-US" w:eastAsia="zh-CN"/>
        </w:rPr>
        <w:t>3</w:t>
      </w:r>
      <w:r>
        <w:rPr>
          <w:rFonts w:ascii="宋体" w:hAnsi="宋体" w:cs="宋体"/>
          <w:kern w:val="2"/>
          <w:sz w:val="28"/>
          <w:szCs w:val="28"/>
          <w:highlight w:val="none"/>
        </w:rPr>
        <w:fldChar w:fldCharType="end"/>
      </w:r>
      <w:r>
        <w:rPr>
          <w:rFonts w:hint="eastAsia" w:ascii="宋体" w:hAnsi="宋体" w:cs="宋体"/>
          <w:kern w:val="2"/>
          <w:sz w:val="28"/>
          <w:szCs w:val="28"/>
          <w:highlight w:val="none"/>
          <w:lang w:val="en-US" w:eastAsia="zh-CN"/>
        </w:rPr>
        <w:t>3</w:t>
      </w:r>
    </w:p>
    <w:p>
      <w:pPr>
        <w:pStyle w:val="81"/>
        <w:tabs>
          <w:tab w:val="right" w:leader="dot" w:pos="8620"/>
        </w:tabs>
        <w:rPr>
          <w:highlight w:val="none"/>
        </w:rPr>
      </w:pPr>
      <w:r>
        <w:rPr>
          <w:highlight w:val="none"/>
        </w:rPr>
        <w:fldChar w:fldCharType="begin"/>
      </w:r>
      <w:r>
        <w:rPr>
          <w:highlight w:val="none"/>
        </w:rPr>
        <w:instrText xml:space="preserve"> HYPERLINK \l "_Toc19701" </w:instrText>
      </w:r>
      <w:r>
        <w:rPr>
          <w:highlight w:val="none"/>
        </w:rPr>
        <w:fldChar w:fldCharType="separate"/>
      </w:r>
      <w:r>
        <w:rPr>
          <w:rFonts w:hint="eastAsia" w:ascii="宋体" w:hAnsi="宋体" w:cs="宋体"/>
          <w:kern w:val="2"/>
          <w:sz w:val="28"/>
          <w:szCs w:val="28"/>
          <w:highlight w:val="none"/>
        </w:rPr>
        <w:t>第六章</w:t>
      </w:r>
      <w:r>
        <w:rPr>
          <w:rFonts w:ascii="宋体" w:hAnsi="宋体" w:cs="宋体"/>
          <w:kern w:val="2"/>
          <w:sz w:val="28"/>
          <w:szCs w:val="28"/>
          <w:highlight w:val="none"/>
        </w:rPr>
        <w:t xml:space="preserve"> </w:t>
      </w:r>
      <w:r>
        <w:rPr>
          <w:rFonts w:hint="eastAsia" w:ascii="宋体" w:hAnsi="宋体" w:cs="宋体"/>
          <w:kern w:val="2"/>
          <w:sz w:val="28"/>
          <w:szCs w:val="28"/>
          <w:highlight w:val="none"/>
        </w:rPr>
        <w:t>投标文件格式附件</w:t>
      </w:r>
      <w:r>
        <w:rPr>
          <w:rFonts w:ascii="宋体" w:cs="宋体"/>
          <w:kern w:val="2"/>
          <w:sz w:val="28"/>
          <w:szCs w:val="28"/>
          <w:highlight w:val="none"/>
        </w:rPr>
        <w:tab/>
      </w:r>
      <w:r>
        <w:rPr>
          <w:rFonts w:ascii="宋体" w:hAnsi="宋体" w:cs="宋体"/>
          <w:kern w:val="2"/>
          <w:sz w:val="28"/>
          <w:szCs w:val="28"/>
          <w:highlight w:val="none"/>
        </w:rPr>
        <w:fldChar w:fldCharType="begin"/>
      </w:r>
      <w:r>
        <w:rPr>
          <w:rFonts w:ascii="宋体" w:hAnsi="宋体" w:cs="宋体"/>
          <w:kern w:val="2"/>
          <w:sz w:val="28"/>
          <w:szCs w:val="28"/>
          <w:highlight w:val="none"/>
        </w:rPr>
        <w:instrText xml:space="preserve"> PAGEREF _Toc19701 </w:instrText>
      </w:r>
      <w:r>
        <w:rPr>
          <w:rFonts w:ascii="宋体" w:hAnsi="宋体" w:cs="宋体"/>
          <w:kern w:val="2"/>
          <w:sz w:val="28"/>
          <w:szCs w:val="28"/>
          <w:highlight w:val="none"/>
        </w:rPr>
        <w:fldChar w:fldCharType="separate"/>
      </w:r>
      <w:r>
        <w:rPr>
          <w:rFonts w:ascii="宋体" w:hAnsi="宋体" w:cs="宋体"/>
          <w:kern w:val="2"/>
          <w:sz w:val="28"/>
          <w:szCs w:val="28"/>
          <w:highlight w:val="none"/>
        </w:rPr>
        <w:t>32</w:t>
      </w:r>
      <w:r>
        <w:rPr>
          <w:rFonts w:ascii="宋体" w:hAnsi="宋体" w:cs="宋体"/>
          <w:kern w:val="2"/>
          <w:sz w:val="28"/>
          <w:szCs w:val="28"/>
          <w:highlight w:val="none"/>
        </w:rPr>
        <w:fldChar w:fldCharType="end"/>
      </w:r>
      <w:r>
        <w:rPr>
          <w:rFonts w:ascii="宋体" w:hAnsi="宋体" w:cs="宋体"/>
          <w:kern w:val="2"/>
          <w:sz w:val="28"/>
          <w:szCs w:val="28"/>
          <w:highlight w:val="none"/>
        </w:rPr>
        <w:fldChar w:fldCharType="end"/>
      </w:r>
    </w:p>
    <w:p>
      <w:pPr>
        <w:pStyle w:val="81"/>
        <w:tabs>
          <w:tab w:val="right" w:leader="dot" w:pos="8620"/>
        </w:tabs>
        <w:rPr>
          <w:highlight w:val="none"/>
        </w:rPr>
      </w:pPr>
    </w:p>
    <w:p>
      <w:pPr>
        <w:tabs>
          <w:tab w:val="left" w:pos="1168"/>
        </w:tabs>
        <w:spacing w:line="360" w:lineRule="auto"/>
        <w:ind w:left="568"/>
        <w:outlineLvl w:val="0"/>
        <w:rPr>
          <w:rFonts w:ascii="宋体" w:cs="宋体"/>
          <w:sz w:val="28"/>
          <w:szCs w:val="28"/>
          <w:highlight w:val="none"/>
        </w:rPr>
      </w:pPr>
      <w:r>
        <w:rPr>
          <w:highlight w:val="none"/>
        </w:rPr>
        <w:fldChar w:fldCharType="end"/>
      </w:r>
    </w:p>
    <w:p>
      <w:pPr>
        <w:spacing w:line="360" w:lineRule="auto"/>
        <w:rPr>
          <w:highlight w:val="none"/>
        </w:rPr>
      </w:pPr>
    </w:p>
    <w:p>
      <w:pPr>
        <w:tabs>
          <w:tab w:val="left" w:pos="6372"/>
        </w:tabs>
        <w:spacing w:line="360" w:lineRule="auto"/>
        <w:rPr>
          <w:highlight w:val="none"/>
        </w:rPr>
      </w:pPr>
      <w:r>
        <w:rPr>
          <w:rFonts w:hint="eastAsia"/>
          <w:highlight w:val="none"/>
        </w:rPr>
        <w:tab/>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widowControl/>
        <w:jc w:val="center"/>
        <w:outlineLvl w:val="0"/>
        <w:rPr>
          <w:rFonts w:hint="eastAsia" w:ascii="宋体" w:hAnsi="宋体" w:cs="宋体"/>
          <w:b/>
          <w:bCs/>
          <w:kern w:val="0"/>
          <w:sz w:val="36"/>
          <w:szCs w:val="36"/>
          <w:highlight w:val="none"/>
        </w:rPr>
        <w:sectPr>
          <w:footerReference r:id="rId5" w:type="first"/>
          <w:footerReference r:id="rId4" w:type="default"/>
          <w:pgSz w:w="11907" w:h="16840"/>
          <w:pgMar w:top="1440" w:right="1531" w:bottom="1440" w:left="1928" w:header="851" w:footer="1304" w:gutter="0"/>
          <w:pgNumType w:fmt="decimal" w:start="1"/>
          <w:cols w:space="720" w:num="1"/>
          <w:titlePg/>
          <w:docGrid w:type="linesAndChars" w:linePitch="312" w:charSpace="0"/>
        </w:sectPr>
      </w:pPr>
      <w:bookmarkStart w:id="0" w:name="_Toc17405"/>
    </w:p>
    <w:p>
      <w:pPr>
        <w:widowControl/>
        <w:jc w:val="center"/>
        <w:outlineLvl w:val="0"/>
        <w:rPr>
          <w:rFonts w:ascii="宋体" w:cs="宋体"/>
          <w:kern w:val="0"/>
          <w:sz w:val="24"/>
          <w:szCs w:val="24"/>
          <w:highlight w:val="none"/>
        </w:rPr>
      </w:pPr>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p>
    <w:tbl>
      <w:tblPr>
        <w:tblStyle w:val="25"/>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pPr>
              <w:tabs>
                <w:tab w:val="left" w:pos="180"/>
                <w:tab w:val="left" w:pos="360"/>
                <w:tab w:val="left" w:pos="540"/>
                <w:tab w:val="left" w:pos="8280"/>
              </w:tabs>
              <w:autoSpaceDE w:val="0"/>
              <w:autoSpaceDN w:val="0"/>
              <w:adjustRightInd w:val="0"/>
              <w:snapToGrid w:val="0"/>
              <w:spacing w:line="440" w:lineRule="exact"/>
              <w:jc w:val="left"/>
              <w:rPr>
                <w:rFonts w:ascii="宋体" w:cs="宋体"/>
                <w:kern w:val="0"/>
                <w:sz w:val="24"/>
                <w:szCs w:val="24"/>
                <w:highlight w:val="none"/>
              </w:rPr>
            </w:pPr>
            <w:r>
              <w:rPr>
                <w:rFonts w:hint="eastAsia" w:ascii="宋体" w:hAnsi="宋体" w:cs="宋体"/>
                <w:kern w:val="0"/>
                <w:sz w:val="24"/>
                <w:szCs w:val="24"/>
                <w:highlight w:val="none"/>
              </w:rPr>
              <w:t>项目概况</w:t>
            </w:r>
          </w:p>
          <w:p>
            <w:pPr>
              <w:pStyle w:val="52"/>
              <w:snapToGrid w:val="0"/>
              <w:ind w:firstLine="480" w:firstLineChars="200"/>
              <w:rPr>
                <w:highlight w:val="none"/>
                <w:lang w:val="en-US"/>
              </w:rPr>
            </w:pPr>
            <w:r>
              <w:rPr>
                <w:rFonts w:hint="eastAsia" w:cs="宋体"/>
                <w:szCs w:val="24"/>
                <w:highlight w:val="none"/>
                <w:lang w:val="en-US" w:eastAsia="zh-CN"/>
              </w:rPr>
              <w:t>温岭市2024年度农业水价综合改革技术支撑</w:t>
            </w:r>
            <w:r>
              <w:rPr>
                <w:rFonts w:hint="eastAsia" w:cs="宋体"/>
                <w:szCs w:val="24"/>
                <w:highlight w:val="none"/>
                <w:lang w:val="en-US"/>
              </w:rPr>
              <w:t>招</w:t>
            </w:r>
            <w:r>
              <w:rPr>
                <w:rFonts w:hint="eastAsia" w:cs="宋体"/>
                <w:szCs w:val="24"/>
                <w:highlight w:val="none"/>
                <w:lang w:val="en-US" w:eastAsia="zh-CN"/>
              </w:rPr>
              <w:t>标项</w:t>
            </w:r>
            <w:r>
              <w:rPr>
                <w:rFonts w:hint="eastAsia" w:cs="宋体"/>
                <w:szCs w:val="24"/>
                <w:highlight w:val="none"/>
                <w:lang w:val="en-US"/>
              </w:rPr>
              <w:t>目的潜在投标人应在浙江政府采购网本项目公告附件获取（下载）招标文件，并于</w:t>
            </w:r>
            <w:r>
              <w:rPr>
                <w:rFonts w:hint="eastAsia" w:cs="宋体"/>
                <w:szCs w:val="24"/>
                <w:highlight w:val="none"/>
                <w:lang w:val="en-US" w:eastAsia="zh-CN"/>
              </w:rPr>
              <w:t>2024年6月28日</w:t>
            </w:r>
            <w:r>
              <w:rPr>
                <w:rFonts w:hint="eastAsia" w:cs="宋体"/>
                <w:szCs w:val="24"/>
                <w:highlight w:val="none"/>
                <w:lang w:val="en-US"/>
              </w:rPr>
              <w:t xml:space="preserve"> </w:t>
            </w:r>
            <w:r>
              <w:rPr>
                <w:rFonts w:hint="eastAsia" w:cs="宋体"/>
                <w:szCs w:val="24"/>
                <w:highlight w:val="none"/>
                <w:lang w:val="en-US" w:eastAsia="zh-CN"/>
              </w:rPr>
              <w:t>09</w:t>
            </w:r>
            <w:r>
              <w:rPr>
                <w:rFonts w:hint="eastAsia" w:cs="宋体"/>
                <w:szCs w:val="24"/>
                <w:highlight w:val="none"/>
                <w:lang w:val="en-US"/>
              </w:rPr>
              <w:t>:</w:t>
            </w:r>
            <w:r>
              <w:rPr>
                <w:rFonts w:hint="eastAsia" w:cs="宋体"/>
                <w:szCs w:val="24"/>
                <w:highlight w:val="none"/>
                <w:lang w:val="en-US" w:eastAsia="zh-CN"/>
              </w:rPr>
              <w:t>0</w:t>
            </w:r>
            <w:r>
              <w:rPr>
                <w:rFonts w:hint="eastAsia" w:cs="宋体"/>
                <w:szCs w:val="24"/>
                <w:highlight w:val="none"/>
                <w:lang w:val="en-US"/>
              </w:rPr>
              <w:t>0 分（北京时间）前递交（上传）投标文件。</w:t>
            </w:r>
            <w:r>
              <w:rPr>
                <w:rFonts w:cs="宋体"/>
                <w:szCs w:val="24"/>
                <w:highlight w:val="none"/>
                <w:lang w:val="en-US"/>
              </w:rPr>
              <w:t xml:space="preserve">    </w:t>
            </w:r>
          </w:p>
        </w:tc>
      </w:tr>
    </w:tbl>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一、项目基本情况</w:t>
      </w:r>
      <w:r>
        <w:rPr>
          <w:rFonts w:ascii="宋体" w:cs="宋体"/>
          <w:b/>
          <w:bCs/>
          <w:kern w:val="0"/>
          <w:sz w:val="24"/>
          <w:szCs w:val="24"/>
          <w:highlight w:val="none"/>
        </w:rPr>
        <w:t>  </w:t>
      </w:r>
      <w:r>
        <w:rPr>
          <w:rFonts w:ascii="宋体" w:hAnsi="宋体" w:cs="宋体"/>
          <w:b/>
          <w:bCs/>
          <w:kern w:val="0"/>
          <w:sz w:val="24"/>
          <w:szCs w:val="24"/>
          <w:highlight w:val="none"/>
        </w:rPr>
        <w:t xml:space="preserve">         </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JJWL240425122</w:t>
      </w:r>
      <w:r>
        <w:rPr>
          <w:rFonts w:ascii="宋体" w:hAnsi="宋体" w:cs="宋体"/>
          <w:sz w:val="24"/>
          <w:szCs w:val="24"/>
          <w:highlight w:val="none"/>
        </w:rPr>
        <w:t> </w:t>
      </w:r>
    </w:p>
    <w:p>
      <w:pPr>
        <w:snapToGrid w:val="0"/>
        <w:spacing w:line="440" w:lineRule="exact"/>
        <w:ind w:firstLine="480" w:firstLineChars="200"/>
        <w:rPr>
          <w:rFonts w:hint="eastAsia" w:asci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温岭市2024年度农业水价综合改革技术支撑</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预算金额（元）：</w:t>
      </w:r>
      <w:r>
        <w:rPr>
          <w:rFonts w:hint="eastAsia" w:ascii="宋体" w:hAnsi="宋体" w:cs="宋体"/>
          <w:sz w:val="24"/>
          <w:szCs w:val="24"/>
          <w:highlight w:val="none"/>
          <w:lang w:val="en-US" w:eastAsia="zh-CN"/>
        </w:rPr>
        <w:t>636000</w:t>
      </w:r>
      <w:r>
        <w:rPr>
          <w:rFonts w:ascii="宋体" w:hAnsi="宋体" w:cs="宋体"/>
          <w:sz w:val="24"/>
          <w:szCs w:val="24"/>
          <w:highlight w:val="none"/>
        </w:rPr>
        <w:t>  </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最高限价（元）：无</w:t>
      </w:r>
      <w:r>
        <w:rPr>
          <w:rFonts w:ascii="宋体" w:cs="宋体"/>
          <w:sz w:val="24"/>
          <w:szCs w:val="24"/>
          <w:highlight w:val="none"/>
        </w:rPr>
        <w:t> </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采购需求：</w:t>
      </w:r>
      <w:r>
        <w:rPr>
          <w:rFonts w:ascii="宋体" w:hAnsi="宋体" w:cs="宋体"/>
          <w:sz w:val="24"/>
          <w:szCs w:val="24"/>
          <w:highlight w:val="none"/>
        </w:rPr>
        <w:t>/</w:t>
      </w:r>
    </w:p>
    <w:p>
      <w:pPr>
        <w:snapToGrid w:val="0"/>
        <w:spacing w:line="440" w:lineRule="exact"/>
        <w:ind w:left="478" w:leftChars="228"/>
        <w:rPr>
          <w:rFonts w:ascii="宋体" w:hAnsi="宋体" w:cs="宋体"/>
          <w:b/>
          <w:bCs/>
          <w:sz w:val="24"/>
          <w:szCs w:val="24"/>
          <w:highlight w:val="none"/>
        </w:rPr>
      </w:pPr>
      <w:r>
        <w:rPr>
          <w:rFonts w:hint="eastAsia" w:ascii="宋体" w:hAnsi="宋体" w:cs="宋体"/>
          <w:b/>
          <w:bCs/>
          <w:sz w:val="24"/>
          <w:szCs w:val="24"/>
          <w:highlight w:val="none"/>
          <w:lang w:eastAsia="zh-CN"/>
        </w:rPr>
        <w:t>标项一：</w:t>
      </w:r>
    </w:p>
    <w:p>
      <w:pPr>
        <w:snapToGrid w:val="0"/>
        <w:spacing w:line="440" w:lineRule="exact"/>
        <w:ind w:left="478" w:leftChars="228"/>
        <w:rPr>
          <w:rFonts w:ascii="宋体" w:cs="宋体"/>
          <w:sz w:val="24"/>
          <w:szCs w:val="24"/>
          <w:highlight w:val="none"/>
        </w:rPr>
      </w:pPr>
      <w:r>
        <w:rPr>
          <w:rFonts w:hint="eastAsia" w:ascii="宋体" w:hAnsi="宋体" w:cs="宋体"/>
          <w:sz w:val="24"/>
          <w:szCs w:val="24"/>
          <w:highlight w:val="none"/>
          <w:lang w:eastAsia="zh-CN"/>
        </w:rPr>
        <w:t>标项名称：温岭市2024年度农业水价综合改革技术支撑</w:t>
      </w:r>
      <w:r>
        <w:rPr>
          <w:rFonts w:ascii="宋体" w:cs="宋体"/>
          <w:sz w:val="24"/>
          <w:szCs w:val="24"/>
          <w:highlight w:val="none"/>
        </w:rPr>
        <w:t>  </w:t>
      </w:r>
    </w:p>
    <w:p>
      <w:pPr>
        <w:snapToGrid w:val="0"/>
        <w:spacing w:line="440" w:lineRule="exact"/>
        <w:ind w:left="478" w:leftChars="228"/>
        <w:rPr>
          <w:rFonts w:ascii="宋体" w:hAnsi="宋体" w:cs="宋体"/>
          <w:sz w:val="24"/>
          <w:szCs w:val="24"/>
          <w:highlight w:val="none"/>
        </w:rPr>
      </w:pPr>
      <w:r>
        <w:rPr>
          <w:rFonts w:hint="eastAsia" w:ascii="宋体" w:hAnsi="宋体" w:cs="宋体"/>
          <w:sz w:val="24"/>
          <w:szCs w:val="24"/>
          <w:highlight w:val="none"/>
        </w:rPr>
        <w:t>数量</w:t>
      </w:r>
      <w:r>
        <w:rPr>
          <w:rFonts w:hint="eastAsia" w:ascii="宋体" w:hAnsi="宋体" w:cs="宋体"/>
          <w:sz w:val="24"/>
          <w:szCs w:val="24"/>
          <w:highlight w:val="none"/>
          <w:lang w:eastAsia="zh-CN"/>
        </w:rPr>
        <w:t>：</w:t>
      </w:r>
      <w:r>
        <w:rPr>
          <w:rFonts w:ascii="宋体" w:hAnsi="宋体" w:cs="宋体"/>
          <w:sz w:val="24"/>
          <w:szCs w:val="24"/>
          <w:highlight w:val="none"/>
        </w:rPr>
        <w:t> 1  </w:t>
      </w:r>
    </w:p>
    <w:p>
      <w:pPr>
        <w:snapToGrid w:val="0"/>
        <w:spacing w:line="440" w:lineRule="exact"/>
        <w:ind w:left="478" w:leftChars="228"/>
        <w:rPr>
          <w:rFonts w:ascii="宋体" w:hAnsi="宋体" w:cs="宋体"/>
          <w:sz w:val="24"/>
          <w:szCs w:val="24"/>
          <w:highlight w:val="none"/>
        </w:rPr>
      </w:pPr>
      <w:r>
        <w:rPr>
          <w:rFonts w:hint="eastAsia" w:ascii="宋体" w:hAnsi="宋体" w:cs="宋体"/>
          <w:sz w:val="24"/>
          <w:szCs w:val="24"/>
          <w:highlight w:val="none"/>
        </w:rPr>
        <w:t>预算金额（元）</w:t>
      </w:r>
      <w:r>
        <w:rPr>
          <w:rFonts w:ascii="宋体" w:hAnsi="宋体" w:cs="宋体"/>
          <w:sz w:val="24"/>
          <w:szCs w:val="24"/>
          <w:highlight w:val="none"/>
        </w:rPr>
        <w:t>:</w:t>
      </w:r>
      <w:r>
        <w:rPr>
          <w:rFonts w:hint="eastAsia" w:ascii="宋体" w:hAnsi="宋体" w:cs="宋体"/>
          <w:sz w:val="24"/>
          <w:szCs w:val="24"/>
          <w:highlight w:val="none"/>
          <w:lang w:val="en-US" w:eastAsia="zh-CN"/>
        </w:rPr>
        <w:t>636000</w:t>
      </w:r>
      <w:r>
        <w:rPr>
          <w:rFonts w:ascii="宋体" w:hAnsi="宋体" w:cs="宋体"/>
          <w:sz w:val="24"/>
          <w:szCs w:val="24"/>
          <w:highlight w:val="none"/>
        </w:rPr>
        <w:t> </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简要规格描述或项目基本概况介绍、用途：</w:t>
      </w:r>
      <w:r>
        <w:rPr>
          <w:rFonts w:hint="eastAsia" w:ascii="宋体" w:hAnsi="宋体" w:cs="宋体"/>
          <w:sz w:val="24"/>
          <w:szCs w:val="24"/>
          <w:highlight w:val="none"/>
          <w:lang w:eastAsia="zh-CN"/>
        </w:rPr>
        <w:t>农业水价综合改革是国务院和省政府总体部署，国家和省级水利、发改、财政和农业农村部门联合开展的一项重要工作。2023年起，这项工作纳入国家耕地保护和粮食安全责任制考核，其中，农灌更新升级项目连续多年列入省政府民生实事工程。根据《国家发改委等部门关于全力推进农业水价综合改革工作的通知》（发改价格〔2024〕181号），浙江省水利厅等部门《2024年浙江省农业水价综合改革工作计划》和最新修订的省级绩效考核细则，结合温岭的实际，提出《温岭市2024年度农业水价综合改革技术支撑》项目</w:t>
      </w:r>
      <w:r>
        <w:rPr>
          <w:rFonts w:hint="eastAsia" w:ascii="宋体" w:hAnsi="宋体" w:cs="宋体"/>
          <w:sz w:val="24"/>
          <w:szCs w:val="24"/>
          <w:highlight w:val="none"/>
        </w:rPr>
        <w:t>。详见第四章采购需求。</w:t>
      </w:r>
      <w:r>
        <w:rPr>
          <w:rFonts w:ascii="宋体" w:cs="宋体"/>
          <w:sz w:val="24"/>
          <w:szCs w:val="24"/>
          <w:highlight w:val="none"/>
        </w:rPr>
        <w:t>  </w:t>
      </w:r>
    </w:p>
    <w:p>
      <w:pPr>
        <w:snapToGrid w:val="0"/>
        <w:spacing w:line="440" w:lineRule="exact"/>
        <w:ind w:firstLine="480" w:firstLineChars="200"/>
        <w:rPr>
          <w:highlight w:val="none"/>
        </w:rPr>
      </w:pPr>
      <w:r>
        <w:rPr>
          <w:rFonts w:hint="eastAsia" w:ascii="宋体" w:hAnsi="宋体" w:cs="宋体"/>
          <w:sz w:val="24"/>
          <w:szCs w:val="24"/>
          <w:highlight w:val="none"/>
        </w:rPr>
        <w:t>合同履约期限：合同签订之日起一年</w:t>
      </w:r>
      <w:r>
        <w:rPr>
          <w:rFonts w:hint="eastAsia" w:ascii="宋体" w:hAnsi="宋体" w:cs="宋体"/>
          <w:sz w:val="24"/>
          <w:szCs w:val="24"/>
          <w:highlight w:val="none"/>
        </w:rPr>
        <w:t>。</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本项目不接受联合体投标。</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二、申请人的资格要求：</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（一）符合《中华人民共和国政府采购法》第二十二条规定的投标人资格条件。截止投标截止时间前（北京时间），投标人未被“信用中国”（</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color w:val="FF0000"/>
          <w:kern w:val="0"/>
          <w:sz w:val="24"/>
          <w:szCs w:val="24"/>
          <w:highlight w:val="none"/>
        </w:rPr>
      </w:pPr>
      <w:r>
        <w:rPr>
          <w:rFonts w:hint="eastAsia" w:ascii="宋体" w:hAnsi="宋体" w:cs="宋体"/>
          <w:sz w:val="24"/>
          <w:szCs w:val="24"/>
          <w:highlight w:val="none"/>
        </w:rPr>
        <w:t>（二）</w:t>
      </w:r>
      <w:r>
        <w:rPr>
          <w:rFonts w:hint="eastAsia" w:ascii="宋体" w:hAnsi="宋体" w:cs="宋体"/>
          <w:b/>
          <w:bCs/>
          <w:color w:val="FF0000"/>
          <w:kern w:val="0"/>
          <w:sz w:val="24"/>
          <w:szCs w:val="24"/>
          <w:highlight w:val="none"/>
        </w:rPr>
        <w:t>落实政府采购政策需满足的资格要求：本项目按照《政府采购促进中小企业发展管理办法》【财库（2020）46号】第七条规定：专门面向中小企业采购；</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（三）单位负责人为同一人或者存在直接控股、管理关系的不同供应商，不得参加同一合同项下的政府采购活动。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（四）为采购项目提供整体设计、规范编制或者项目管理、监理、检测等服务的供应商，不得再参加该采购项目的其他采购活动。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（五）公益一类事业单位不属于政府购买服务的承接主体，不得参与承接政府购买服务。</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sz w:val="24"/>
          <w:szCs w:val="24"/>
          <w:highlight w:val="none"/>
        </w:rPr>
      </w:pPr>
      <w:r>
        <w:rPr>
          <w:rFonts w:hint="eastAsia" w:ascii="宋体" w:hAnsi="宋体" w:cs="宋体"/>
          <w:b/>
          <w:bCs/>
          <w:sz w:val="24"/>
          <w:szCs w:val="24"/>
          <w:highlight w:val="none"/>
        </w:rPr>
        <w:t>三、获取招标文件</w:t>
      </w:r>
      <w:r>
        <w:rPr>
          <w:rFonts w:ascii="宋体" w:hAnsi="宋体" w:cs="宋体"/>
          <w:b/>
          <w:bCs/>
          <w:sz w:val="24"/>
          <w:szCs w:val="24"/>
          <w:highlight w:val="none"/>
        </w:rPr>
        <w:t xml:space="preserve"> </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（一）获取时间：公告发布之日起至</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6月28日</w:t>
      </w:r>
      <w:r>
        <w:rPr>
          <w:rFonts w:hint="eastAsia" w:ascii="宋体" w:hAnsi="宋体" w:cs="宋体"/>
          <w:sz w:val="24"/>
          <w:szCs w:val="24"/>
          <w:highlight w:val="none"/>
        </w:rPr>
        <w:t>，每天上午</w:t>
      </w:r>
      <w:r>
        <w:rPr>
          <w:rFonts w:ascii="宋体" w:hAnsi="宋体" w:cs="宋体"/>
          <w:sz w:val="24"/>
          <w:szCs w:val="24"/>
          <w:highlight w:val="none"/>
        </w:rPr>
        <w:t>00:00</w:t>
      </w:r>
      <w:r>
        <w:rPr>
          <w:rFonts w:hint="eastAsia" w:ascii="宋体" w:hAnsi="宋体" w:cs="宋体"/>
          <w:sz w:val="24"/>
          <w:szCs w:val="24"/>
          <w:highlight w:val="none"/>
        </w:rPr>
        <w:t>至</w:t>
      </w:r>
      <w:r>
        <w:rPr>
          <w:rFonts w:ascii="宋体" w:hAnsi="宋体" w:cs="宋体"/>
          <w:sz w:val="24"/>
          <w:szCs w:val="24"/>
          <w:highlight w:val="none"/>
        </w:rPr>
        <w:t>12:00</w:t>
      </w:r>
      <w:r>
        <w:rPr>
          <w:rFonts w:hint="eastAsia" w:ascii="宋体" w:hAnsi="宋体" w:cs="宋体"/>
          <w:sz w:val="24"/>
          <w:szCs w:val="24"/>
          <w:highlight w:val="none"/>
        </w:rPr>
        <w:t>，下午</w:t>
      </w:r>
      <w:r>
        <w:rPr>
          <w:rFonts w:ascii="宋体" w:hAnsi="宋体" w:cs="宋体"/>
          <w:sz w:val="24"/>
          <w:szCs w:val="24"/>
          <w:highlight w:val="none"/>
        </w:rPr>
        <w:t>12:00</w:t>
      </w:r>
      <w:r>
        <w:rPr>
          <w:rFonts w:hint="eastAsia" w:ascii="宋体" w:hAnsi="宋体" w:cs="宋体"/>
          <w:sz w:val="24"/>
          <w:szCs w:val="24"/>
          <w:highlight w:val="none"/>
        </w:rPr>
        <w:t>至</w:t>
      </w:r>
      <w:r>
        <w:rPr>
          <w:rFonts w:ascii="宋体" w:hAnsi="宋体" w:cs="宋体"/>
          <w:sz w:val="24"/>
          <w:szCs w:val="24"/>
          <w:highlight w:val="none"/>
        </w:rPr>
        <w:t>23:59</w:t>
      </w:r>
      <w:r>
        <w:rPr>
          <w:rFonts w:hint="eastAsia" w:ascii="宋体" w:hAnsi="宋体" w:cs="宋体"/>
          <w:sz w:val="24"/>
          <w:szCs w:val="24"/>
          <w:highlight w:val="none"/>
        </w:rPr>
        <w:t>（北京时间，线上获取法定节假日均可）</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（二）获取地址：浙江政府采购网本项目公告附件</w:t>
      </w:r>
    </w:p>
    <w:p>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、尚未注册浙江政府采购网正式供应商的应先进行注册申请，注册流程详见“浙江政府采购网</w:t>
      </w:r>
      <w:r>
        <w:rPr>
          <w:rFonts w:ascii="宋体" w:hAnsi="宋体" w:cs="宋体"/>
          <w:sz w:val="24"/>
          <w:szCs w:val="24"/>
          <w:highlight w:val="none"/>
        </w:rPr>
        <w:t>—</w:t>
      </w:r>
      <w:r>
        <w:rPr>
          <w:rFonts w:hint="eastAsia" w:ascii="宋体" w:hAnsi="宋体" w:cs="宋体"/>
          <w:sz w:val="24"/>
          <w:szCs w:val="24"/>
          <w:highlight w:val="none"/>
        </w:rPr>
        <w:t>网上办事指南</w:t>
      </w:r>
      <w:r>
        <w:rPr>
          <w:rFonts w:ascii="宋体" w:hAnsi="宋体" w:cs="宋体"/>
          <w:sz w:val="24"/>
          <w:szCs w:val="24"/>
          <w:highlight w:val="none"/>
        </w:rPr>
        <w:t>—</w:t>
      </w:r>
      <w:r>
        <w:rPr>
          <w:rFonts w:hint="eastAsia" w:ascii="宋体" w:hAnsi="宋体" w:cs="宋体"/>
          <w:sz w:val="24"/>
          <w:szCs w:val="24"/>
          <w:highlight w:val="none"/>
        </w:rPr>
        <w:t>供应商注册申请”，注册申请免费。</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、供应商注册成功后，登录“政采云”平台进入“项目采购”应用模块，点击菜单的“申请获取招标文件”，填写获取招标文件的申请信息。点击“下载招标文件”即可获取招标文件。</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、采购代理机构将拒绝接受非通过以上方式获取招标文件的供应商投标文件。</w:t>
      </w:r>
    </w:p>
    <w:p>
      <w:pPr>
        <w:pStyle w:val="52"/>
        <w:snapToGrid w:val="0"/>
        <w:ind w:firstLine="480" w:firstLineChars="200"/>
        <w:rPr>
          <w:highlight w:val="none"/>
        </w:rPr>
      </w:pPr>
      <w:r>
        <w:rPr>
          <w:rFonts w:hint="eastAsia"/>
          <w:highlight w:val="none"/>
        </w:rPr>
        <w:t>（</w:t>
      </w:r>
      <w:r>
        <w:rPr>
          <w:rFonts w:hint="eastAsia"/>
          <w:highlight w:val="none"/>
          <w:lang w:val="en-US"/>
        </w:rPr>
        <w:t>四</w:t>
      </w:r>
      <w:r>
        <w:rPr>
          <w:rFonts w:hint="eastAsia"/>
          <w:highlight w:val="none"/>
        </w:rPr>
        <w:t>）售价（元）：</w:t>
      </w:r>
      <w:r>
        <w:rPr>
          <w:highlight w:val="none"/>
        </w:rPr>
        <w:t>0 </w:t>
      </w:r>
    </w:p>
    <w:p>
      <w:pPr>
        <w:keepNext w:val="0"/>
        <w:keepLines w:val="0"/>
        <w:pageBreakBefore w:val="0"/>
        <w:kinsoku/>
        <w:wordWrap/>
        <w:overflowPunct/>
        <w:topLinePunct w:val="0"/>
        <w:bidi w:val="0"/>
        <w:snapToGrid w:val="0"/>
        <w:spacing w:line="324" w:lineRule="auto"/>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6月28日</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：00 分</w:t>
      </w:r>
      <w:r>
        <w:rPr>
          <w:rFonts w:hint="eastAsia" w:ascii="宋体" w:hAnsi="宋体" w:cs="宋体"/>
          <w:sz w:val="24"/>
          <w:szCs w:val="24"/>
          <w:highlight w:val="none"/>
        </w:rPr>
        <w:t>（北京时间）</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投标地点（网址）：“政府采购云平台”线上上传</w:t>
      </w:r>
      <w:r>
        <w:rPr>
          <w:rFonts w:ascii="宋体" w:cs="宋体"/>
          <w:sz w:val="24"/>
          <w:szCs w:val="24"/>
          <w:highlight w:val="none"/>
        </w:rPr>
        <w:t>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6月28日</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：00 分</w:t>
      </w:r>
      <w:r>
        <w:rPr>
          <w:rFonts w:hint="eastAsia" w:ascii="宋体" w:hAnsi="宋体" w:cs="宋体"/>
          <w:sz w:val="24"/>
          <w:szCs w:val="24"/>
          <w:highlight w:val="none"/>
        </w:rPr>
        <w:t>（北京时间）</w:t>
      </w:r>
      <w:r>
        <w:rPr>
          <w:rFonts w:ascii="宋体" w:cs="宋体"/>
          <w:sz w:val="24"/>
          <w:szCs w:val="24"/>
          <w:highlight w:val="none"/>
        </w:rPr>
        <w:t>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开标地点（网址）：“政府采购云平台”线上开标</w:t>
      </w:r>
    </w:p>
    <w:p>
      <w:pPr>
        <w:keepNext w:val="0"/>
        <w:keepLines w:val="0"/>
        <w:pageBreakBefore w:val="0"/>
        <w:kinsoku/>
        <w:wordWrap/>
        <w:overflowPunct/>
        <w:topLinePunct w:val="0"/>
        <w:bidi w:val="0"/>
        <w:snapToGrid w:val="0"/>
        <w:spacing w:line="324" w:lineRule="auto"/>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w:t>
      </w:r>
      <w:r>
        <w:rPr>
          <w:rFonts w:ascii="宋体" w:cs="宋体"/>
          <w:b/>
          <w:bCs/>
          <w:sz w:val="24"/>
          <w:szCs w:val="24"/>
          <w:highlight w:val="none"/>
        </w:rPr>
        <w:t> </w:t>
      </w:r>
    </w:p>
    <w:p>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pPr>
        <w:keepNext w:val="0"/>
        <w:keepLines w:val="0"/>
        <w:pageBreakBefore w:val="0"/>
        <w:kinsoku/>
        <w:wordWrap/>
        <w:overflowPunct/>
        <w:topLinePunct w:val="0"/>
        <w:bidi w:val="0"/>
        <w:spacing w:line="400" w:lineRule="exact"/>
        <w:ind w:firstLine="480" w:firstLineChars="200"/>
        <w:textAlignment w:val="auto"/>
        <w:outlineLvl w:val="0"/>
        <w:rPr>
          <w:rFonts w:hint="eastAsia" w:ascii="宋体" w:hAnsi="宋体" w:eastAsia="宋体" w:cs="宋体"/>
          <w:b/>
          <w:bCs/>
          <w:color w:val="auto"/>
          <w:sz w:val="24"/>
          <w:szCs w:val="24"/>
          <w:highlight w:val="none"/>
        </w:rPr>
      </w:pPr>
      <w:bookmarkStart w:id="1" w:name="_Toc27005"/>
      <w:bookmarkStart w:id="2" w:name="_Toc7785"/>
      <w:bookmarkStart w:id="3" w:name="_Toc15948"/>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bookmarkEnd w:id="1"/>
      <w:bookmarkEnd w:id="2"/>
      <w:bookmarkEnd w:id="3"/>
    </w:p>
    <w:p>
      <w:pPr>
        <w:keepNext w:val="0"/>
        <w:keepLines w:val="0"/>
        <w:pageBreakBefore w:val="0"/>
        <w:kinsoku/>
        <w:wordWrap/>
        <w:overflowPunct/>
        <w:topLinePunct w:val="0"/>
        <w:bidi w:val="0"/>
        <w:snapToGrid w:val="0"/>
        <w:spacing w:line="324" w:lineRule="auto"/>
        <w:ind w:firstLine="480" w:firstLineChars="200"/>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eastAsia="zh-CN"/>
        </w:rPr>
        <w:t>、</w:t>
      </w:r>
      <w:r>
        <w:rPr>
          <w:rFonts w:hint="eastAsia" w:ascii="宋体" w:hAnsi="宋体" w:cs="宋体"/>
          <w:sz w:val="24"/>
          <w:szCs w:val="24"/>
        </w:rPr>
        <w:t>《浙江省财政厅关于进一步发挥政府采购政策功能全力推动经济稳进提质的通知》（浙财采监（2022）3号）、《浙江省财政厅关于进一步促进政府采购公平竞争打造最优营商环境的通知》（浙财采监（</w:t>
      </w:r>
      <w:r>
        <w:rPr>
          <w:rFonts w:hint="eastAsia" w:ascii="宋体" w:hAnsi="宋体" w:cs="宋体"/>
          <w:sz w:val="24"/>
          <w:szCs w:val="24"/>
          <w:lang w:eastAsia="zh-CN"/>
        </w:rPr>
        <w:t>2022</w:t>
      </w:r>
      <w:r>
        <w:rPr>
          <w:rFonts w:hint="eastAsia" w:ascii="宋体" w:hAnsi="宋体" w:cs="宋体"/>
          <w:sz w:val="24"/>
          <w:szCs w:val="24"/>
        </w:rPr>
        <w:t>）22号）已分别于2022年1月29日和2022年2月1日开始实施，此前有关规定与上述文件内容不一致的，按上述文件要求执行。</w:t>
      </w:r>
    </w:p>
    <w:p>
      <w:pPr>
        <w:keepNext w:val="0"/>
        <w:keepLines w:val="0"/>
        <w:pageBreakBefore w:val="0"/>
        <w:kinsoku/>
        <w:wordWrap/>
        <w:overflowPunct/>
        <w:topLinePunct w:val="0"/>
        <w:bidi w:val="0"/>
        <w:snapToGrid w:val="0"/>
        <w:spacing w:line="324"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根据《浙江省财政厅关于进一步促进政府采购公平竞争打造最优营商环境的通知》（浙财采监（</w:t>
      </w:r>
      <w:r>
        <w:rPr>
          <w:rFonts w:hint="eastAsia" w:ascii="宋体" w:hAnsi="宋体" w:cs="宋体"/>
          <w:sz w:val="24"/>
          <w:szCs w:val="24"/>
          <w:lang w:eastAsia="zh-CN"/>
        </w:rPr>
        <w:t>2022</w:t>
      </w:r>
      <w:r>
        <w:rPr>
          <w:rFonts w:hint="eastAsia" w:ascii="宋体" w:hAnsi="宋体" w:cs="宋体"/>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snapToGrid w:val="0"/>
        <w:spacing w:line="324" w:lineRule="auto"/>
        <w:ind w:firstLine="480" w:firstLineChars="200"/>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供应商认为招标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bidi w:val="0"/>
        <w:snapToGrid w:val="0"/>
        <w:spacing w:line="324" w:lineRule="auto"/>
        <w:ind w:firstLine="480" w:firstLineChars="200"/>
        <w:rPr>
          <w:rFonts w:hint="eastAsia" w:ascii="宋体" w:hAnsi="宋体" w:cs="宋体"/>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、公告发布媒体：</w:t>
      </w:r>
      <w:r>
        <w:rPr>
          <w:rFonts w:hint="eastAsia" w:ascii="宋体" w:hAnsi="宋体" w:cs="宋体"/>
          <w:sz w:val="24"/>
          <w:szCs w:val="24"/>
          <w:highlight w:val="none"/>
        </w:rPr>
        <w:t>浙江省政府采购网</w:t>
      </w:r>
      <w:r>
        <w:rPr>
          <w:rFonts w:hint="eastAsia" w:ascii="宋体" w:hAnsi="宋体" w:cs="宋体"/>
          <w:sz w:val="24"/>
          <w:szCs w:val="24"/>
        </w:rPr>
        <w:t xml:space="preserve">（http:// </w:t>
      </w:r>
      <w:r>
        <w:rPr>
          <w:rFonts w:hint="eastAsia" w:ascii="宋体" w:hAnsi="宋体" w:cs="宋体"/>
          <w:sz w:val="24"/>
          <w:szCs w:val="24"/>
        </w:rPr>
        <w:fldChar w:fldCharType="begin"/>
      </w:r>
      <w:r>
        <w:rPr>
          <w:rFonts w:hint="eastAsia" w:ascii="宋体" w:hAnsi="宋体" w:cs="宋体"/>
          <w:sz w:val="24"/>
          <w:szCs w:val="24"/>
        </w:rPr>
        <w:instrText xml:space="preserve"> HYPERLINK "http://www.zjzfcg.gov.cn）和温岭市公共资源交易中心网（http:/new.wl.gov.cn/col/col1402172/index.html）。" </w:instrText>
      </w:r>
      <w:r>
        <w:rPr>
          <w:rFonts w:hint="eastAsia" w:ascii="宋体" w:hAnsi="宋体" w:cs="宋体"/>
          <w:sz w:val="24"/>
          <w:szCs w:val="24"/>
        </w:rPr>
        <w:fldChar w:fldCharType="separate"/>
      </w:r>
      <w:r>
        <w:rPr>
          <w:rFonts w:hint="eastAsia" w:ascii="宋体" w:hAnsi="宋体" w:cs="宋体"/>
          <w:sz w:val="24"/>
          <w:szCs w:val="24"/>
        </w:rPr>
        <w:t>www.zjzfcg.gov.cn）和温岭市公共资源交易中心网（http://www.wl.gov.cn/col/col1402172/index.html）。</w:t>
      </w:r>
      <w:r>
        <w:rPr>
          <w:rFonts w:hint="eastAsia" w:ascii="宋体" w:hAnsi="宋体" w:cs="宋体"/>
          <w:sz w:val="24"/>
          <w:szCs w:val="24"/>
        </w:rPr>
        <w:fldChar w:fldCharType="end"/>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0" w:firstLineChars="200"/>
        <w:jc w:val="left"/>
        <w:textAlignment w:val="auto"/>
        <w:rPr>
          <w:rFonts w:asci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、在线投标响应（电子投标）相关说明：</w:t>
      </w:r>
    </w:p>
    <w:p>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驱动及政采云电子交易客户端的下载）：本项目通过政企采购云平台实行线上电子招投标</w:t>
      </w:r>
      <w:r>
        <w:rPr>
          <w:rFonts w:hint="eastAsia" w:ascii="宋体" w:hAnsi="宋体" w:cs="宋体"/>
          <w:sz w:val="24"/>
          <w:szCs w:val="24"/>
          <w:highlight w:val="none"/>
          <w:lang w:eastAsia="zh-CN"/>
        </w:rPr>
        <w:t>，</w:t>
      </w:r>
      <w:r>
        <w:rPr>
          <w:rFonts w:hint="eastAsia" w:ascii="宋体" w:hAnsi="宋体" w:cs="宋体"/>
          <w:sz w:val="24"/>
          <w:szCs w:val="24"/>
          <w:highlight w:val="none"/>
        </w:rPr>
        <w:t>各潜在供应商应在投标截止时间前注册成为浙江省政府采购网（政府采购云平台）正式供应商，并完成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）电子加密投标文件：应按政府采购云平台项目采购</w:t>
      </w:r>
      <w:r>
        <w:rPr>
          <w:rFonts w:hint="eastAsia" w:ascii="宋体" w:hAnsi="宋体" w:cs="宋体"/>
          <w:sz w:val="24"/>
          <w:szCs w:val="24"/>
          <w:highlight w:val="none"/>
          <w:lang w:eastAsia="zh-CN"/>
        </w:rPr>
        <w:t>－</w:t>
      </w:r>
      <w:r>
        <w:rPr>
          <w:rFonts w:hint="eastAsia" w:ascii="宋体" w:hAnsi="宋体" w:cs="宋体"/>
          <w:sz w:val="24"/>
          <w:szCs w:val="24"/>
          <w:highlight w:val="none"/>
        </w:rPr>
        <w:t>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highlight w:val="none"/>
        </w:rPr>
        <w:fldChar w:fldCharType="begin"/>
      </w:r>
      <w:r>
        <w:rPr>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highlight w:val="none"/>
        </w:rPr>
        <w:fldChar w:fldCharType="separate"/>
      </w:r>
      <w:r>
        <w:rPr>
          <w:rFonts w:hint="eastAsia" w:ascii="宋体" w:hAnsi="宋体" w:cs="宋体"/>
          <w:sz w:val="24"/>
          <w:szCs w:val="24"/>
          <w:highlight w:val="none"/>
        </w:rPr>
        <w:t>投标截止时间前以压缩文件形式加密发送至采购代理机构邮箱</w:t>
      </w:r>
      <w:r>
        <w:rPr>
          <w:rFonts w:hint="eastAsia" w:ascii="宋体" w:hAnsi="宋体" w:cs="宋体"/>
          <w:sz w:val="24"/>
          <w:szCs w:val="24"/>
          <w:highlight w:val="none"/>
        </w:rPr>
        <w:fldChar w:fldCharType="end"/>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670546521@qq.com</w:t>
      </w:r>
      <w:r>
        <w:rPr>
          <w:rFonts w:hint="eastAsia" w:ascii="宋体" w:hAnsi="宋体" w:cs="宋体"/>
          <w:sz w:val="24"/>
          <w:szCs w:val="24"/>
          <w:highlight w:val="none"/>
        </w:rPr>
        <w:t>）。</w:t>
      </w:r>
    </w:p>
    <w:p>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锁，并打开“政采云电子交易客户端”软件，进行在线等候解密，解密时间为投标截止时间（或开标时间）开始后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pPr>
        <w:pStyle w:val="24"/>
        <w:ind w:left="0" w:leftChars="0" w:firstLine="480" w:firstLineChars="200"/>
      </w:pPr>
      <w:r>
        <w:rPr>
          <w:rFonts w:hint="eastAsia" w:ascii="宋体" w:hAnsi="宋体" w:cs="宋体"/>
          <w:b/>
          <w:bCs/>
          <w:color w:val="FF0000"/>
          <w:sz w:val="24"/>
          <w:szCs w:val="24"/>
          <w:highlight w:val="none"/>
        </w:rPr>
        <w:t>注：本次招标采用电子招投标，实行网上投标（非现场方式实施）。投标文件应当通过“政采云电子交易客户端”上传，在项目开、评标活动过程中，投标人需保持联系渠道畅通。</w:t>
      </w:r>
    </w:p>
    <w:p>
      <w:pPr>
        <w:snapToGrid w:val="0"/>
        <w:spacing w:line="440" w:lineRule="exact"/>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七</w:t>
      </w:r>
      <w:r>
        <w:rPr>
          <w:rFonts w:hint="eastAsia" w:ascii="宋体" w:hAnsi="宋体" w:cs="宋体"/>
          <w:b/>
          <w:bCs/>
          <w:sz w:val="24"/>
          <w:szCs w:val="24"/>
          <w:highlight w:val="none"/>
        </w:rPr>
        <w:t>、对本次采购提出询问、质疑、投诉，请按以下方式联系</w:t>
      </w:r>
    </w:p>
    <w:p>
      <w:pPr>
        <w:snapToGrid w:val="0"/>
        <w:spacing w:line="440" w:lineRule="exact"/>
        <w:ind w:firstLine="600" w:firstLineChars="250"/>
        <w:rPr>
          <w:rFonts w:ascii="宋体" w:cs="宋体"/>
          <w:b/>
          <w:bCs/>
          <w:sz w:val="24"/>
          <w:szCs w:val="24"/>
          <w:highlight w:val="none"/>
        </w:rPr>
      </w:pPr>
      <w:r>
        <w:rPr>
          <w:rFonts w:ascii="宋体" w:cs="宋体"/>
          <w:b/>
          <w:bCs/>
          <w:sz w:val="24"/>
          <w:szCs w:val="24"/>
          <w:highlight w:val="none"/>
        </w:rPr>
        <w:t>1.</w:t>
      </w:r>
      <w:r>
        <w:rPr>
          <w:rFonts w:hint="eastAsia" w:ascii="宋体" w:cs="宋体"/>
          <w:b/>
          <w:bCs/>
          <w:sz w:val="24"/>
          <w:szCs w:val="24"/>
          <w:highlight w:val="none"/>
        </w:rPr>
        <w:t>采购人信息</w:t>
      </w:r>
    </w:p>
    <w:p>
      <w:pPr>
        <w:snapToGrid w:val="0"/>
        <w:spacing w:line="44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名    称：</w:t>
      </w:r>
      <w:r>
        <w:rPr>
          <w:rFonts w:hint="eastAsia" w:ascii="宋体" w:cs="宋体"/>
          <w:sz w:val="24"/>
          <w:szCs w:val="24"/>
          <w:highlight w:val="none"/>
          <w:lang w:eastAsia="zh-CN"/>
        </w:rPr>
        <w:t>温岭市农业农村和水利局</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w:t>
      </w:r>
      <w:r>
        <w:rPr>
          <w:rFonts w:hint="eastAsia" w:ascii="宋体" w:cs="宋体"/>
          <w:sz w:val="24"/>
          <w:szCs w:val="24"/>
          <w:highlight w:val="none"/>
          <w:lang w:eastAsia="zh-CN"/>
        </w:rPr>
        <w:t>张先生</w:t>
      </w:r>
    </w:p>
    <w:p>
      <w:pPr>
        <w:snapToGrid w:val="0"/>
        <w:spacing w:line="440" w:lineRule="exact"/>
        <w:ind w:left="478" w:leftChars="228" w:firstLine="120" w:firstLineChars="50"/>
        <w:jc w:val="left"/>
        <w:rPr>
          <w:rFonts w:hint="eastAsia" w:ascii="宋体" w:eastAsia="宋体" w:cs="宋体"/>
          <w:sz w:val="24"/>
          <w:szCs w:val="24"/>
          <w:highlight w:val="yellow"/>
          <w:lang w:eastAsia="zh-CN"/>
        </w:rPr>
      </w:pPr>
      <w:r>
        <w:rPr>
          <w:rFonts w:hint="eastAsia" w:ascii="宋体" w:cs="宋体"/>
          <w:sz w:val="24"/>
          <w:szCs w:val="24"/>
          <w:highlight w:val="none"/>
        </w:rPr>
        <w:t>项目联系方式（询问</w:t>
      </w:r>
      <w:r>
        <w:rPr>
          <w:rFonts w:hint="eastAsia" w:ascii="宋体" w:cs="宋体"/>
          <w:sz w:val="24"/>
          <w:szCs w:val="24"/>
          <w:highlight w:val="none"/>
          <w:lang w:eastAsia="zh-CN"/>
        </w:rPr>
        <w:t>）</w:t>
      </w:r>
      <w:r>
        <w:rPr>
          <w:rFonts w:hint="eastAsia" w:ascii="宋体" w:cs="宋体"/>
          <w:sz w:val="24"/>
          <w:szCs w:val="24"/>
          <w:highlight w:val="none"/>
        </w:rPr>
        <w:t>：</w:t>
      </w:r>
      <w:r>
        <w:rPr>
          <w:rFonts w:hint="eastAsia" w:ascii="宋体" w:cs="宋体"/>
          <w:sz w:val="24"/>
          <w:szCs w:val="24"/>
          <w:highlight w:val="none"/>
          <w:lang w:eastAsia="zh-CN"/>
        </w:rPr>
        <w:t>0576-86101760</w:t>
      </w:r>
    </w:p>
    <w:p>
      <w:pPr>
        <w:snapToGrid w:val="0"/>
        <w:spacing w:line="440" w:lineRule="exact"/>
        <w:ind w:firstLine="600" w:firstLineChars="250"/>
        <w:rPr>
          <w:rFonts w:ascii="宋体" w:cs="宋体"/>
          <w:sz w:val="24"/>
          <w:szCs w:val="24"/>
          <w:highlight w:val="none"/>
        </w:rPr>
      </w:pPr>
      <w:r>
        <w:rPr>
          <w:rFonts w:ascii="宋体" w:cs="宋体"/>
          <w:b/>
          <w:bCs/>
          <w:sz w:val="24"/>
          <w:szCs w:val="24"/>
          <w:highlight w:val="none"/>
        </w:rPr>
        <w:t>2.</w:t>
      </w:r>
      <w:r>
        <w:rPr>
          <w:rFonts w:hint="eastAsia" w:ascii="宋体" w:cs="宋体"/>
          <w:b/>
          <w:bCs/>
          <w:sz w:val="24"/>
          <w:szCs w:val="24"/>
          <w:highlight w:val="none"/>
        </w:rPr>
        <w:t>采购代理机构信息</w:t>
      </w:r>
      <w:r>
        <w:rPr>
          <w:rFonts w:ascii="宋体" w:cs="宋体"/>
          <w:b/>
          <w:bCs/>
          <w:sz w:val="24"/>
          <w:szCs w:val="24"/>
          <w:highlight w:val="none"/>
        </w:rPr>
        <w:t> </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称：建经投资咨询有限公司</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址：浙江省温岭市万昌路服务业大厦</w:t>
      </w:r>
      <w:r>
        <w:rPr>
          <w:rFonts w:ascii="宋体" w:cs="宋体"/>
          <w:sz w:val="24"/>
          <w:szCs w:val="24"/>
          <w:highlight w:val="none"/>
        </w:rPr>
        <w:t>8</w:t>
      </w:r>
      <w:r>
        <w:rPr>
          <w:rFonts w:hint="eastAsia" w:ascii="宋体" w:cs="宋体"/>
          <w:sz w:val="24"/>
          <w:szCs w:val="24"/>
          <w:highlight w:val="none"/>
        </w:rPr>
        <w:t>楼</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传</w:t>
      </w:r>
      <w:r>
        <w:rPr>
          <w:rFonts w:ascii="宋体" w:cs="宋体"/>
          <w:sz w:val="24"/>
          <w:szCs w:val="24"/>
          <w:highlight w:val="none"/>
        </w:rPr>
        <w:t xml:space="preserve">    </w:t>
      </w:r>
      <w:r>
        <w:rPr>
          <w:rFonts w:hint="eastAsia" w:ascii="宋体" w:cs="宋体"/>
          <w:sz w:val="24"/>
          <w:szCs w:val="24"/>
          <w:highlight w:val="none"/>
        </w:rPr>
        <w:t>真：</w:t>
      </w:r>
      <w:r>
        <w:rPr>
          <w:rFonts w:ascii="宋体" w:cs="宋体"/>
          <w:sz w:val="24"/>
          <w:szCs w:val="24"/>
          <w:highlight w:val="none"/>
        </w:rPr>
        <w:t>0576-86087802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highlight w:val="none"/>
          <w:lang w:eastAsia="zh-CN"/>
        </w:rPr>
        <w:t>刘峰男、陈冠茜</w:t>
      </w:r>
      <w:r>
        <w:rPr>
          <w:rFonts w:ascii="宋体" w:cs="宋体"/>
          <w:sz w:val="24"/>
          <w:szCs w:val="24"/>
          <w:highlight w:val="none"/>
        </w:rPr>
        <w:t>             </w:t>
      </w:r>
    </w:p>
    <w:p>
      <w:pPr>
        <w:snapToGrid w:val="0"/>
        <w:spacing w:line="44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项目联系方式（询问）：</w:t>
      </w:r>
      <w:r>
        <w:rPr>
          <w:rFonts w:hint="eastAsia" w:ascii="宋体" w:cs="宋体"/>
          <w:sz w:val="24"/>
          <w:szCs w:val="24"/>
          <w:highlight w:val="none"/>
          <w:lang w:eastAsia="zh-CN"/>
        </w:rPr>
        <w:t>076-81761086、0576-81761088</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质疑联系人：吕玉平</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质疑联系方式：</w:t>
      </w:r>
      <w:r>
        <w:rPr>
          <w:rFonts w:ascii="宋体" w:cs="宋体"/>
          <w:sz w:val="24"/>
          <w:szCs w:val="24"/>
          <w:highlight w:val="none"/>
        </w:rPr>
        <w:t>0576-81761099 </w:t>
      </w:r>
      <w:r>
        <w:rPr>
          <w:rFonts w:hint="eastAsia" w:ascii="宋体" w:cs="宋体"/>
          <w:sz w:val="24"/>
          <w:szCs w:val="24"/>
          <w:highlight w:val="none"/>
        </w:rPr>
        <w:t>　　　　　　</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ascii="宋体" w:cs="宋体"/>
          <w:b/>
          <w:bCs/>
          <w:sz w:val="24"/>
          <w:szCs w:val="24"/>
          <w:highlight w:val="none"/>
        </w:rPr>
        <w:t>3.</w:t>
      </w:r>
      <w:r>
        <w:rPr>
          <w:rFonts w:hint="eastAsia" w:ascii="宋体" w:cs="宋体"/>
          <w:b/>
          <w:bCs/>
          <w:sz w:val="24"/>
          <w:szCs w:val="24"/>
          <w:highlight w:val="none"/>
        </w:rPr>
        <w:t>同级政府采购监督管理部门</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称：温岭市财政局</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址：浙江省温岭市太平街道中华路</w:t>
      </w:r>
      <w:r>
        <w:rPr>
          <w:rFonts w:ascii="宋体" w:cs="宋体"/>
          <w:sz w:val="24"/>
          <w:szCs w:val="24"/>
          <w:highlight w:val="none"/>
        </w:rPr>
        <w:t>29</w:t>
      </w:r>
      <w:r>
        <w:rPr>
          <w:rFonts w:hint="eastAsia" w:ascii="宋体" w:cs="宋体"/>
          <w:sz w:val="24"/>
          <w:szCs w:val="24"/>
          <w:highlight w:val="none"/>
        </w:rPr>
        <w:t>号</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联系人</w:t>
      </w:r>
      <w:r>
        <w:rPr>
          <w:rFonts w:ascii="宋体" w:cs="宋体"/>
          <w:sz w:val="24"/>
          <w:szCs w:val="24"/>
          <w:highlight w:val="none"/>
        </w:rPr>
        <w:t xml:space="preserve"> </w:t>
      </w:r>
      <w:r>
        <w:rPr>
          <w:rFonts w:hint="eastAsia" w:ascii="宋体" w:cs="宋体"/>
          <w:sz w:val="24"/>
          <w:szCs w:val="24"/>
          <w:highlight w:val="none"/>
        </w:rPr>
        <w:t>：温岭市财政局政府采购监管科</w:t>
      </w:r>
      <w:r>
        <w:rPr>
          <w:rFonts w:ascii="宋体" w:cs="宋体"/>
          <w:sz w:val="24"/>
          <w:szCs w:val="24"/>
          <w:highlight w:val="none"/>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监督投诉电话：</w:t>
      </w:r>
      <w:r>
        <w:rPr>
          <w:rFonts w:ascii="宋体" w:cs="宋体"/>
          <w:sz w:val="24"/>
          <w:szCs w:val="24"/>
          <w:highlight w:val="none"/>
        </w:rPr>
        <w:t>0576-86086511</w:t>
      </w:r>
    </w:p>
    <w:p>
      <w:pPr>
        <w:spacing w:line="360" w:lineRule="auto"/>
        <w:jc w:val="center"/>
        <w:outlineLvl w:val="0"/>
        <w:rPr>
          <w:rFonts w:ascii="宋体" w:cs="宋体"/>
          <w:b/>
          <w:bCs/>
          <w:kern w:val="0"/>
          <w:sz w:val="36"/>
          <w:szCs w:val="36"/>
          <w:highlight w:val="none"/>
        </w:rPr>
      </w:pPr>
      <w:r>
        <w:rPr>
          <w:rFonts w:ascii="宋体" w:cs="宋体"/>
          <w:b/>
          <w:bCs/>
          <w:kern w:val="0"/>
          <w:sz w:val="36"/>
          <w:szCs w:val="36"/>
          <w:highlight w:val="none"/>
        </w:rPr>
        <w:br w:type="page"/>
      </w:r>
      <w:bookmarkStart w:id="4" w:name="_Toc8031"/>
      <w:r>
        <w:rPr>
          <w:rFonts w:hint="eastAsia" w:ascii="宋体" w:hAnsi="宋体" w:cs="宋体"/>
          <w:b/>
          <w:bCs/>
          <w:kern w:val="0"/>
          <w:sz w:val="36"/>
          <w:szCs w:val="36"/>
          <w:highlight w:val="none"/>
        </w:rPr>
        <w:t>第二章</w:t>
      </w:r>
      <w:r>
        <w:rPr>
          <w:rFonts w:ascii="宋体" w:hAnsi="宋体" w:cs="宋体"/>
          <w:b/>
          <w:bCs/>
          <w:kern w:val="0"/>
          <w:sz w:val="36"/>
          <w:szCs w:val="36"/>
          <w:highlight w:val="none"/>
        </w:rPr>
        <w:t xml:space="preserve"> </w:t>
      </w:r>
      <w:r>
        <w:rPr>
          <w:rFonts w:hint="eastAsia" w:ascii="宋体" w:hAnsi="宋体" w:cs="宋体"/>
          <w:b/>
          <w:bCs/>
          <w:kern w:val="0"/>
          <w:sz w:val="36"/>
          <w:szCs w:val="36"/>
          <w:highlight w:val="none"/>
        </w:rPr>
        <w:t>投标人须知</w:t>
      </w:r>
      <w:bookmarkEnd w:id="4"/>
    </w:p>
    <w:p>
      <w:pPr>
        <w:spacing w:line="360" w:lineRule="auto"/>
        <w:jc w:val="center"/>
        <w:rPr>
          <w:rFonts w:ascii="宋体" w:cs="宋体"/>
          <w:b/>
          <w:bCs/>
          <w:sz w:val="28"/>
          <w:szCs w:val="28"/>
          <w:highlight w:val="none"/>
        </w:rPr>
      </w:pPr>
      <w:r>
        <w:rPr>
          <w:rFonts w:hint="eastAsia" w:ascii="宋体" w:hAnsi="宋体" w:cs="宋体"/>
          <w:b/>
          <w:bCs/>
          <w:sz w:val="28"/>
          <w:szCs w:val="28"/>
          <w:highlight w:val="none"/>
        </w:rPr>
        <w:t>前附表</w:t>
      </w:r>
    </w:p>
    <w:tbl>
      <w:tblPr>
        <w:tblStyle w:val="2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2"/>
        <w:gridCol w:w="1663"/>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vAlign w:val="center"/>
          </w:tcPr>
          <w:p>
            <w:pP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2202" w:type="dxa"/>
            <w:vAlign w:val="center"/>
          </w:tcPr>
          <w:p>
            <w:pP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122" w:type="dxa"/>
            <w:gridSpan w:val="2"/>
            <w:vAlign w:val="center"/>
          </w:tcPr>
          <w:p>
            <w:pP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122" w:type="dxa"/>
            <w:gridSpan w:val="2"/>
            <w:vAlign w:val="center"/>
          </w:tcPr>
          <w:p>
            <w:pPr>
              <w:pStyle w:val="21"/>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项目名称：温岭市2024年度农业水价综合改革技术支撑</w:t>
            </w:r>
          </w:p>
          <w:p>
            <w:pPr>
              <w:pStyle w:val="21"/>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项目编号：JJWL240425122</w:t>
            </w:r>
            <w:r>
              <w:rPr>
                <w:kern w:val="2"/>
                <w:sz w:val="22"/>
                <w:szCs w:val="22"/>
                <w:highlight w:val="none"/>
                <w:lang w:val="zh-CN"/>
              </w:rPr>
              <w:t xml:space="preserve"> </w:t>
            </w:r>
          </w:p>
          <w:p>
            <w:pPr>
              <w:pStyle w:val="21"/>
              <w:tabs>
                <w:tab w:val="left" w:pos="6930"/>
              </w:tabs>
              <w:spacing w:before="0" w:beforeAutospacing="0" w:after="0" w:afterAutospacing="0" w:line="360" w:lineRule="exact"/>
              <w:rPr>
                <w:highlight w:val="none"/>
              </w:rPr>
            </w:pPr>
            <w:r>
              <w:rPr>
                <w:rFonts w:hint="eastAsia"/>
                <w:kern w:val="2"/>
                <w:sz w:val="22"/>
                <w:szCs w:val="22"/>
                <w:highlight w:val="none"/>
                <w:lang w:val="zh-CN"/>
              </w:rPr>
              <w:t>项目内容：详见第</w:t>
            </w:r>
            <w:r>
              <w:rPr>
                <w:rFonts w:hint="eastAsia"/>
                <w:kern w:val="2"/>
                <w:sz w:val="22"/>
                <w:szCs w:val="22"/>
                <w:highlight w:val="none"/>
              </w:rPr>
              <w:t>四</w:t>
            </w:r>
            <w:r>
              <w:rPr>
                <w:rFonts w:hint="eastAsia"/>
                <w:kern w:val="2"/>
                <w:sz w:val="22"/>
                <w:szCs w:val="22"/>
                <w:highlight w:val="none"/>
                <w:lang w:val="zh-CN"/>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2</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采购方式</w:t>
            </w:r>
          </w:p>
        </w:tc>
        <w:tc>
          <w:tcPr>
            <w:tcW w:w="6122" w:type="dxa"/>
            <w:gridSpan w:val="2"/>
            <w:vAlign w:val="center"/>
          </w:tcPr>
          <w:p>
            <w:pPr>
              <w:spacing w:line="360" w:lineRule="exact"/>
              <w:rPr>
                <w:rFonts w:ascii="宋体" w:cs="宋体"/>
                <w:sz w:val="24"/>
                <w:szCs w:val="24"/>
                <w:highlight w:val="none"/>
              </w:rPr>
            </w:pPr>
            <w:r>
              <w:rPr>
                <w:rFonts w:hint="eastAsia" w:ascii="宋体" w:hAnsi="宋体" w:cs="宋体"/>
                <w:sz w:val="22"/>
                <w:szCs w:val="22"/>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3</w:t>
            </w:r>
          </w:p>
        </w:tc>
        <w:tc>
          <w:tcPr>
            <w:tcW w:w="2202" w:type="dxa"/>
            <w:vAlign w:val="center"/>
          </w:tcPr>
          <w:p>
            <w:pPr>
              <w:pStyle w:val="21"/>
              <w:tabs>
                <w:tab w:val="left" w:pos="6930"/>
              </w:tabs>
              <w:spacing w:before="0" w:beforeAutospacing="0" w:after="0" w:afterAutospacing="0" w:line="360" w:lineRule="exact"/>
              <w:jc w:val="center"/>
              <w:rPr>
                <w:kern w:val="2"/>
                <w:highlight w:val="none"/>
              </w:rPr>
            </w:pPr>
            <w:r>
              <w:rPr>
                <w:rFonts w:hint="eastAsia"/>
                <w:kern w:val="2"/>
                <w:highlight w:val="none"/>
              </w:rPr>
              <w:t>投标文件形式、组成及制作</w:t>
            </w:r>
          </w:p>
          <w:p>
            <w:pPr>
              <w:pStyle w:val="21"/>
              <w:tabs>
                <w:tab w:val="left" w:pos="6930"/>
              </w:tabs>
              <w:spacing w:before="0" w:beforeAutospacing="0" w:after="0" w:afterAutospacing="0" w:line="360" w:lineRule="exact"/>
              <w:rPr>
                <w:highlight w:val="none"/>
              </w:rPr>
            </w:pPr>
          </w:p>
        </w:tc>
        <w:tc>
          <w:tcPr>
            <w:tcW w:w="6122" w:type="dxa"/>
            <w:gridSpan w:val="2"/>
            <w:vAlign w:val="center"/>
          </w:tcPr>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t>1.</w:t>
            </w:r>
            <w:r>
              <w:rPr>
                <w:rFonts w:hint="eastAsia"/>
                <w:kern w:val="2"/>
                <w:sz w:val="22"/>
                <w:szCs w:val="22"/>
                <w:highlight w:val="none"/>
                <w:lang w:val="zh-CN"/>
              </w:rPr>
              <w:t>投标文件的形式：电子投标文件（包括“电子加密投标文件”和“备份投标文件”，在投标文件编制完成后同时生成）；</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t>1</w:t>
            </w:r>
            <w:r>
              <w:rPr>
                <w:rFonts w:hint="eastAsia"/>
                <w:kern w:val="2"/>
                <w:sz w:val="22"/>
                <w:szCs w:val="22"/>
                <w:highlight w:val="none"/>
                <w:lang w:val="zh-CN"/>
              </w:rPr>
              <w:t>）“电子加密投标文件”是指通过“政采云电子交易客户端”完成投标文件编制后生成并加密的数据电文形式的投标文件。</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t>2</w:t>
            </w:r>
            <w:r>
              <w:rPr>
                <w:rFonts w:hint="eastAsia"/>
                <w:kern w:val="2"/>
                <w:sz w:val="22"/>
                <w:szCs w:val="22"/>
                <w:highlight w:val="none"/>
                <w:lang w:val="zh-CN"/>
              </w:rPr>
              <w:t>）“备份投标文件”是指与“电子加密投标文件”同时生成的数据电文形式的电子文件（备份标书），其他方式编制的“备份投标文件”视为无效“备份投标文件”。</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t>2.</w:t>
            </w:r>
            <w:r>
              <w:rPr>
                <w:rFonts w:hint="eastAsia"/>
                <w:kern w:val="2"/>
                <w:sz w:val="22"/>
                <w:szCs w:val="22"/>
                <w:highlight w:val="none"/>
                <w:lang w:val="zh-CN"/>
              </w:rPr>
              <w:t>投标文件由资格证明文件、商务技术文件、报价文件组成；</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t>3.</w:t>
            </w:r>
            <w:r>
              <w:rPr>
                <w:rFonts w:hint="eastAsia"/>
                <w:kern w:val="2"/>
                <w:sz w:val="22"/>
                <w:szCs w:val="22"/>
                <w:highlight w:val="none"/>
                <w:lang w:val="zh-CN"/>
              </w:rPr>
              <w:t>电子加密投标文件制作：应按政府采购云平台供应商项目采购</w:t>
            </w:r>
            <w:r>
              <w:rPr>
                <w:kern w:val="2"/>
                <w:sz w:val="22"/>
                <w:szCs w:val="22"/>
                <w:highlight w:val="none"/>
                <w:lang w:val="zh-CN"/>
              </w:rPr>
              <w:t>-</w:t>
            </w:r>
            <w:r>
              <w:rPr>
                <w:rFonts w:hint="eastAsia"/>
                <w:kern w:val="2"/>
                <w:sz w:val="22"/>
                <w:szCs w:val="22"/>
                <w:highlight w:val="none"/>
                <w:lang w:val="zh-CN"/>
              </w:rPr>
              <w:t>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kern w:val="2"/>
                <w:sz w:val="22"/>
                <w:szCs w:val="22"/>
                <w:highlight w:val="none"/>
                <w:lang w:val="zh-CN"/>
              </w:rPr>
              <w:t>https://help.zcy.gov.cn/web/site_2/2018/12-28/2573.html</w:t>
            </w:r>
            <w:r>
              <w:rPr>
                <w:rFonts w:hint="eastAsia"/>
                <w:kern w:val="2"/>
                <w:sz w:val="22"/>
                <w:szCs w:val="22"/>
                <w:highlight w:val="none"/>
                <w:lang w:val="zh-CN"/>
              </w:rPr>
              <w:t>）及本招标文件要求制作</w:t>
            </w:r>
            <w:r>
              <w:rPr>
                <w:rFonts w:hint="eastAsia"/>
                <w:kern w:val="2"/>
                <w:sz w:val="22"/>
                <w:szCs w:val="22"/>
                <w:highlight w:val="none"/>
                <w:lang w:val="zh-CN"/>
              </w:rPr>
              <w:fldChar w:fldCharType="end"/>
            </w:r>
            <w:r>
              <w:rPr>
                <w:rFonts w:hint="eastAsia"/>
                <w:kern w:val="2"/>
                <w:sz w:val="22"/>
                <w:szCs w:val="22"/>
                <w:highlight w:val="none"/>
                <w:lang w:val="zh-CN"/>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4</w:t>
            </w:r>
          </w:p>
        </w:tc>
        <w:tc>
          <w:tcPr>
            <w:tcW w:w="2202" w:type="dxa"/>
            <w:vAlign w:val="center"/>
          </w:tcPr>
          <w:p>
            <w:pPr>
              <w:snapToGrid w:val="0"/>
              <w:spacing w:line="360" w:lineRule="exact"/>
              <w:jc w:val="center"/>
              <w:rPr>
                <w:rFonts w:ascii="宋体" w:cs="宋体"/>
                <w:highlight w:val="none"/>
              </w:rPr>
            </w:pPr>
            <w:r>
              <w:rPr>
                <w:rFonts w:hint="eastAsia" w:ascii="宋体" w:hAnsi="宋体" w:cs="宋体"/>
                <w:sz w:val="24"/>
                <w:szCs w:val="24"/>
                <w:highlight w:val="none"/>
              </w:rPr>
              <w:t>投标文件递交截止时间（开标时间）及地点</w:t>
            </w:r>
          </w:p>
        </w:tc>
        <w:tc>
          <w:tcPr>
            <w:tcW w:w="6122" w:type="dxa"/>
            <w:gridSpan w:val="2"/>
            <w:vAlign w:val="center"/>
          </w:tcPr>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t>1.</w:t>
            </w:r>
            <w:r>
              <w:rPr>
                <w:rFonts w:hint="eastAsia"/>
                <w:kern w:val="2"/>
                <w:sz w:val="22"/>
                <w:szCs w:val="22"/>
                <w:highlight w:val="none"/>
                <w:lang w:val="zh-CN"/>
              </w:rPr>
              <w:t>“电子加密投标文件”递交：投标人应于</w:t>
            </w:r>
            <w:r>
              <w:rPr>
                <w:rFonts w:hint="eastAsia"/>
                <w:kern w:val="2"/>
                <w:sz w:val="22"/>
                <w:szCs w:val="22"/>
                <w:highlight w:val="none"/>
              </w:rPr>
              <w:t>项目投标截止时间</w:t>
            </w:r>
            <w:r>
              <w:rPr>
                <w:rFonts w:hint="eastAsia"/>
                <w:kern w:val="2"/>
                <w:sz w:val="22"/>
                <w:szCs w:val="22"/>
                <w:highlight w:val="none"/>
                <w:lang w:val="zh-CN"/>
              </w:rPr>
              <w:t>前将“电子加密投标文件”上传至“政府采购云平台”，逾期未上传的，视为撤回投标文件。</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fldChar w:fldCharType="begin"/>
            </w:r>
            <w:r>
              <w:rPr>
                <w:kern w:val="2"/>
                <w:sz w:val="22"/>
                <w:szCs w:val="22"/>
                <w:highlight w:val="none"/>
                <w:lang w:val="zh-CN"/>
              </w:rPr>
              <w:instrText xml:space="preserve"> HYPERLINK "mailto:2.</w:instrText>
            </w:r>
            <w:r>
              <w:rPr>
                <w:rFonts w:hint="eastAsia"/>
                <w:kern w:val="2"/>
                <w:sz w:val="22"/>
                <w:szCs w:val="22"/>
                <w:highlight w:val="none"/>
                <w:lang w:val="zh-CN"/>
              </w:rPr>
              <w:instrText xml:space="preserve">备份投标文件在开标时间后</w:instrText>
            </w:r>
            <w:r>
              <w:rPr>
                <w:kern w:val="2"/>
                <w:sz w:val="22"/>
                <w:szCs w:val="22"/>
                <w:highlight w:val="none"/>
                <w:lang w:val="zh-CN"/>
              </w:rPr>
              <w:instrText xml:space="preserve">15</w:instrText>
            </w:r>
            <w:r>
              <w:rPr>
                <w:rFonts w:hint="eastAsia"/>
                <w:kern w:val="2"/>
                <w:sz w:val="22"/>
                <w:szCs w:val="22"/>
                <w:highlight w:val="none"/>
                <w:lang w:val="zh-CN"/>
              </w:rPr>
              <w:instrText xml:space="preserve">分钟内以电子邮件形式递交至采购代理机构邮箱（</w:instrText>
            </w:r>
            <w:r>
              <w:rPr>
                <w:kern w:val="2"/>
                <w:sz w:val="22"/>
                <w:szCs w:val="22"/>
                <w:highlight w:val="none"/>
                <w:lang w:val="zh-CN"/>
              </w:rPr>
              <w:instrText xml:space="preserve">103874679@qq.com</w:instrText>
            </w:r>
            <w:r>
              <w:rPr>
                <w:rFonts w:hint="eastAsia"/>
                <w:kern w:val="2"/>
                <w:sz w:val="22"/>
                <w:szCs w:val="22"/>
                <w:highlight w:val="none"/>
                <w:lang w:val="zh-CN"/>
              </w:rPr>
              <w:instrText xml:space="preserve">）。</w:instrText>
            </w:r>
            <w:r>
              <w:rPr>
                <w:kern w:val="2"/>
                <w:sz w:val="22"/>
                <w:szCs w:val="22"/>
                <w:highlight w:val="none"/>
                <w:lang w:val="zh-CN"/>
              </w:rPr>
              <w:instrText xml:space="preserve">" </w:instrText>
            </w:r>
            <w:r>
              <w:rPr>
                <w:kern w:val="2"/>
                <w:sz w:val="22"/>
                <w:szCs w:val="22"/>
                <w:highlight w:val="none"/>
                <w:lang w:val="zh-CN"/>
              </w:rPr>
              <w:fldChar w:fldCharType="separate"/>
            </w:r>
            <w:r>
              <w:rPr>
                <w:kern w:val="2"/>
                <w:sz w:val="22"/>
                <w:szCs w:val="22"/>
                <w:highlight w:val="none"/>
                <w:lang w:val="zh-CN"/>
              </w:rPr>
              <w:t>2.</w:t>
            </w:r>
            <w:r>
              <w:rPr>
                <w:rFonts w:hint="eastAsia"/>
                <w:kern w:val="2"/>
                <w:sz w:val="22"/>
                <w:szCs w:val="22"/>
                <w:highlight w:val="none"/>
                <w:lang w:val="zh-CN"/>
              </w:rPr>
              <w:t>“备份投标文件”递交：</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rPr>
              <w:t>1</w:t>
            </w:r>
            <w:r>
              <w:rPr>
                <w:rFonts w:hint="eastAsia"/>
                <w:kern w:val="2"/>
                <w:sz w:val="22"/>
                <w:szCs w:val="22"/>
                <w:highlight w:val="none"/>
              </w:rPr>
              <w:t>）</w:t>
            </w:r>
            <w:r>
              <w:rPr>
                <w:rFonts w:hint="eastAsia"/>
                <w:kern w:val="2"/>
                <w:sz w:val="22"/>
                <w:szCs w:val="22"/>
                <w:highlight w:val="none"/>
                <w:lang w:val="zh-CN"/>
              </w:rPr>
              <w:t>投标人在“政府采购云平台”完成“电子加密投标文件”的上传递交后，还可以（以电子邮件的形式）在投标截止时间前发送</w:t>
            </w:r>
            <w:r>
              <w:rPr>
                <w:rFonts w:hint="eastAsia"/>
                <w:b/>
                <w:bCs/>
                <w:color w:val="FF0000"/>
                <w:kern w:val="2"/>
                <w:sz w:val="22"/>
                <w:szCs w:val="22"/>
                <w:highlight w:val="none"/>
                <w:lang w:val="zh-CN"/>
              </w:rPr>
              <w:t>加密压缩文件</w:t>
            </w:r>
            <w:r>
              <w:rPr>
                <w:rFonts w:hint="eastAsia"/>
                <w:kern w:val="2"/>
                <w:sz w:val="22"/>
                <w:szCs w:val="22"/>
                <w:highlight w:val="none"/>
                <w:lang w:val="zh-CN"/>
              </w:rPr>
              <w:t>的“备份投标文件”（一份）；</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rPr>
              <w:t>2</w:t>
            </w:r>
            <w:r>
              <w:rPr>
                <w:rFonts w:hint="eastAsia"/>
                <w:kern w:val="2"/>
                <w:sz w:val="22"/>
                <w:szCs w:val="22"/>
                <w:highlight w:val="none"/>
              </w:rPr>
              <w:t>）</w:t>
            </w:r>
            <w:r>
              <w:rPr>
                <w:rFonts w:hint="eastAsia"/>
                <w:kern w:val="2"/>
                <w:sz w:val="22"/>
                <w:szCs w:val="22"/>
                <w:highlight w:val="none"/>
                <w:lang w:val="zh-CN"/>
              </w:rPr>
              <w:t>“备份投标文件”以压缩文件形式加密发送至采购代理机构邮箱，压缩文件命名为：投标项目编号和投标单位简称。接到在线解密通知后</w:t>
            </w:r>
            <w:r>
              <w:rPr>
                <w:kern w:val="2"/>
                <w:sz w:val="22"/>
                <w:szCs w:val="22"/>
                <w:highlight w:val="none"/>
              </w:rPr>
              <w:t>30</w:t>
            </w:r>
            <w:r>
              <w:rPr>
                <w:rFonts w:hint="eastAsia"/>
                <w:kern w:val="2"/>
                <w:sz w:val="22"/>
                <w:szCs w:val="22"/>
                <w:highlight w:val="none"/>
              </w:rPr>
              <w:t>分钟</w:t>
            </w:r>
            <w:r>
              <w:rPr>
                <w:rFonts w:hint="eastAsia"/>
                <w:kern w:val="2"/>
                <w:sz w:val="22"/>
                <w:szCs w:val="22"/>
                <w:highlight w:val="none"/>
                <w:lang w:val="zh-CN"/>
              </w:rPr>
              <w:t>内发送压缩文件密码至采购代理机构邮箱（邮箱号码：</w:t>
            </w:r>
            <w:r>
              <w:rPr>
                <w:rFonts w:hint="eastAsia"/>
                <w:kern w:val="2"/>
                <w:sz w:val="22"/>
                <w:szCs w:val="22"/>
                <w:highlight w:val="none"/>
                <w:lang w:eastAsia="zh-CN"/>
              </w:rPr>
              <w:t>670546521</w:t>
            </w:r>
            <w:r>
              <w:rPr>
                <w:kern w:val="2"/>
                <w:sz w:val="22"/>
                <w:szCs w:val="22"/>
                <w:highlight w:val="none"/>
                <w:lang w:val="zh-CN"/>
              </w:rPr>
              <w:t>@qq.com</w:t>
            </w:r>
            <w:r>
              <w:rPr>
                <w:rFonts w:hint="eastAsia"/>
                <w:kern w:val="2"/>
                <w:sz w:val="22"/>
                <w:szCs w:val="22"/>
                <w:highlight w:val="none"/>
                <w:lang w:val="zh-CN"/>
              </w:rPr>
              <w:t>）。</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rPr>
              <w:t>3.</w:t>
            </w:r>
            <w:r>
              <w:rPr>
                <w:rFonts w:hint="eastAsia"/>
                <w:kern w:val="2"/>
                <w:sz w:val="22"/>
                <w:szCs w:val="22"/>
                <w:highlight w:val="none"/>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pStyle w:val="21"/>
              <w:tabs>
                <w:tab w:val="left" w:pos="6930"/>
              </w:tabs>
              <w:spacing w:before="0" w:beforeAutospacing="0" w:after="0" w:afterAutospacing="0" w:line="360" w:lineRule="exact"/>
              <w:rPr>
                <w:kern w:val="2"/>
                <w:sz w:val="22"/>
                <w:szCs w:val="22"/>
                <w:highlight w:val="none"/>
              </w:rPr>
            </w:pPr>
            <w:r>
              <w:rPr>
                <w:kern w:val="2"/>
                <w:sz w:val="22"/>
                <w:szCs w:val="22"/>
                <w:highlight w:val="none"/>
                <w:lang w:val="zh-CN"/>
              </w:rPr>
              <w:fldChar w:fldCharType="end"/>
            </w:r>
            <w:r>
              <w:rPr>
                <w:kern w:val="2"/>
                <w:sz w:val="22"/>
                <w:szCs w:val="22"/>
                <w:highlight w:val="none"/>
              </w:rPr>
              <w:t>4</w:t>
            </w:r>
            <w:r>
              <w:rPr>
                <w:kern w:val="2"/>
                <w:sz w:val="22"/>
                <w:szCs w:val="22"/>
                <w:highlight w:val="none"/>
                <w:lang w:val="zh-CN"/>
              </w:rPr>
              <w:t>.</w:t>
            </w:r>
            <w:r>
              <w:rPr>
                <w:rFonts w:hint="eastAsia"/>
                <w:kern w:val="2"/>
                <w:sz w:val="22"/>
                <w:szCs w:val="22"/>
                <w:highlight w:val="none"/>
                <w:lang w:val="zh-CN"/>
              </w:rPr>
              <w:t>如投标人未在投标截止时间前完成“电子加密投标文件”传输递交的，或仅提交“备份投标文件”的，其投标无效。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5</w:t>
            </w:r>
          </w:p>
        </w:tc>
        <w:tc>
          <w:tcPr>
            <w:tcW w:w="2202" w:type="dxa"/>
            <w:vAlign w:val="center"/>
          </w:tcPr>
          <w:p>
            <w:pPr>
              <w:pStyle w:val="21"/>
              <w:tabs>
                <w:tab w:val="left" w:pos="6930"/>
              </w:tabs>
              <w:spacing w:before="0" w:beforeAutospacing="0" w:after="0" w:afterAutospacing="0" w:line="360" w:lineRule="exact"/>
              <w:jc w:val="center"/>
              <w:rPr>
                <w:kern w:val="2"/>
                <w:sz w:val="21"/>
                <w:szCs w:val="21"/>
                <w:highlight w:val="none"/>
              </w:rPr>
            </w:pPr>
            <w:r>
              <w:rPr>
                <w:rFonts w:hint="eastAsia"/>
                <w:kern w:val="2"/>
                <w:highlight w:val="none"/>
              </w:rPr>
              <w:t>投标文件的修改（补充）和撤回</w:t>
            </w:r>
          </w:p>
        </w:tc>
        <w:tc>
          <w:tcPr>
            <w:tcW w:w="6122" w:type="dxa"/>
            <w:gridSpan w:val="2"/>
            <w:vAlign w:val="center"/>
          </w:tcPr>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lang w:val="zh-CN"/>
              </w:rPr>
              <w:t>1.</w:t>
            </w:r>
            <w:r>
              <w:rPr>
                <w:rFonts w:hint="eastAsia"/>
                <w:kern w:val="2"/>
                <w:sz w:val="22"/>
                <w:szCs w:val="22"/>
                <w:highlight w:val="none"/>
                <w:lang w:val="zh-CN"/>
              </w:rPr>
              <w:t>修改（补充）和撤回：</w:t>
            </w:r>
          </w:p>
          <w:p>
            <w:pPr>
              <w:pStyle w:val="21"/>
              <w:tabs>
                <w:tab w:val="left" w:pos="6930"/>
              </w:tabs>
              <w:spacing w:before="0" w:beforeAutospacing="0" w:after="0" w:afterAutospacing="0" w:line="360" w:lineRule="exact"/>
              <w:rPr>
                <w:kern w:val="2"/>
                <w:sz w:val="22"/>
                <w:szCs w:val="22"/>
                <w:highlight w:val="none"/>
                <w:lang w:val="zh-CN"/>
              </w:rPr>
            </w:pPr>
            <w:r>
              <w:rPr>
                <w:kern w:val="2"/>
                <w:sz w:val="22"/>
                <w:szCs w:val="22"/>
                <w:highlight w:val="none"/>
              </w:rPr>
              <w:t>1</w:t>
            </w:r>
            <w:r>
              <w:rPr>
                <w:rFonts w:hint="eastAsia"/>
                <w:kern w:val="2"/>
                <w:sz w:val="22"/>
                <w:szCs w:val="22"/>
                <w:highlight w:val="none"/>
              </w:rPr>
              <w:t>）</w:t>
            </w:r>
            <w:r>
              <w:rPr>
                <w:rFonts w:hint="eastAsia"/>
                <w:kern w:val="2"/>
                <w:sz w:val="22"/>
                <w:szCs w:val="22"/>
                <w:highlight w:val="none"/>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pPr>
              <w:pStyle w:val="21"/>
              <w:tabs>
                <w:tab w:val="left" w:pos="6930"/>
              </w:tabs>
              <w:spacing w:before="0" w:beforeAutospacing="0" w:after="0" w:afterAutospacing="0" w:line="360" w:lineRule="exact"/>
              <w:rPr>
                <w:b/>
                <w:szCs w:val="21"/>
                <w:highlight w:val="none"/>
              </w:rPr>
            </w:pPr>
            <w:r>
              <w:rPr>
                <w:kern w:val="2"/>
                <w:sz w:val="22"/>
                <w:szCs w:val="22"/>
                <w:highlight w:val="none"/>
              </w:rPr>
              <w:t>2</w:t>
            </w:r>
            <w:r>
              <w:rPr>
                <w:rFonts w:hint="eastAsia"/>
                <w:kern w:val="2"/>
                <w:sz w:val="22"/>
                <w:szCs w:val="22"/>
                <w:highlight w:val="none"/>
              </w:rPr>
              <w:t>）</w:t>
            </w:r>
            <w:r>
              <w:rPr>
                <w:rFonts w:hint="eastAsia"/>
                <w:kern w:val="2"/>
                <w:sz w:val="22"/>
                <w:szCs w:val="22"/>
                <w:highlight w:val="none"/>
                <w:lang w:val="zh-CN"/>
              </w:rPr>
              <w:t>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6</w:t>
            </w:r>
          </w:p>
        </w:tc>
        <w:tc>
          <w:tcPr>
            <w:tcW w:w="2202" w:type="dxa"/>
            <w:vAlign w:val="center"/>
          </w:tcPr>
          <w:p>
            <w:pPr>
              <w:snapToGrid w:val="0"/>
              <w:spacing w:line="360" w:lineRule="exact"/>
              <w:jc w:val="center"/>
              <w:rPr>
                <w:rFonts w:ascii="宋体" w:cs="宋体"/>
                <w:sz w:val="24"/>
                <w:szCs w:val="24"/>
                <w:highlight w:val="none"/>
              </w:rPr>
            </w:pPr>
            <w:r>
              <w:rPr>
                <w:rFonts w:hint="eastAsia" w:ascii="宋体" w:hAnsi="宋体" w:cs="宋体"/>
                <w:sz w:val="24"/>
                <w:szCs w:val="24"/>
                <w:highlight w:val="none"/>
              </w:rPr>
              <w:t>投标文件、流</w:t>
            </w:r>
          </w:p>
          <w:p>
            <w:pPr>
              <w:snapToGrid w:val="0"/>
              <w:spacing w:line="360" w:lineRule="exact"/>
              <w:jc w:val="center"/>
              <w:rPr>
                <w:rFonts w:ascii="宋体" w:cs="宋体"/>
                <w:sz w:val="24"/>
                <w:szCs w:val="24"/>
                <w:highlight w:val="none"/>
              </w:rPr>
            </w:pPr>
            <w:r>
              <w:rPr>
                <w:rFonts w:hint="eastAsia" w:ascii="宋体" w:hAnsi="宋体" w:cs="宋体"/>
                <w:sz w:val="24"/>
                <w:szCs w:val="24"/>
                <w:highlight w:val="none"/>
              </w:rPr>
              <w:t>程文件签章</w:t>
            </w:r>
          </w:p>
          <w:p>
            <w:pPr>
              <w:snapToGrid w:val="0"/>
              <w:spacing w:line="360" w:lineRule="exact"/>
              <w:jc w:val="center"/>
              <w:rPr>
                <w:rFonts w:ascii="宋体" w:cs="宋体"/>
                <w:sz w:val="24"/>
                <w:szCs w:val="24"/>
                <w:highlight w:val="none"/>
              </w:rPr>
            </w:pPr>
          </w:p>
        </w:tc>
        <w:tc>
          <w:tcPr>
            <w:tcW w:w="6122" w:type="dxa"/>
            <w:gridSpan w:val="2"/>
            <w:vAlign w:val="center"/>
          </w:tcPr>
          <w:p>
            <w:pPr>
              <w:pStyle w:val="21"/>
              <w:tabs>
                <w:tab w:val="left" w:pos="6930"/>
              </w:tabs>
              <w:spacing w:before="0" w:beforeAutospacing="0" w:after="0" w:afterAutospacing="0" w:line="360" w:lineRule="exact"/>
              <w:rPr>
                <w:kern w:val="2"/>
                <w:sz w:val="22"/>
                <w:szCs w:val="22"/>
                <w:highlight w:val="none"/>
              </w:rPr>
            </w:pPr>
            <w:r>
              <w:rPr>
                <w:rFonts w:hint="eastAsia"/>
                <w:kern w:val="2"/>
                <w:sz w:val="22"/>
                <w:szCs w:val="22"/>
                <w:highlight w:val="none"/>
                <w:lang w:val="zh-CN"/>
              </w:rPr>
              <w:t>电子投标文件必须有电子签章；开标后，相关信息记录确认、澄清说明、回复等内容，电子签章，或者签章后上传相关文件，均认可；政采云系统平台有新的操作流程的，按其规定。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7</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投标报价</w:t>
            </w:r>
          </w:p>
        </w:tc>
        <w:tc>
          <w:tcPr>
            <w:tcW w:w="6122" w:type="dxa"/>
            <w:gridSpan w:val="2"/>
            <w:vAlign w:val="center"/>
          </w:tcPr>
          <w:p>
            <w:pPr>
              <w:numPr>
                <w:ilvl w:val="0"/>
                <w:numId w:val="2"/>
              </w:numPr>
              <w:spacing w:line="360" w:lineRule="exact"/>
              <w:rPr>
                <w:rFonts w:ascii="宋体" w:cs="宋体"/>
                <w:sz w:val="22"/>
                <w:szCs w:val="22"/>
                <w:highlight w:val="none"/>
              </w:rPr>
            </w:pPr>
            <w:r>
              <w:rPr>
                <w:rFonts w:hint="eastAsia" w:ascii="宋体" w:hAnsi="宋体" w:cs="宋体"/>
                <w:sz w:val="22"/>
                <w:szCs w:val="22"/>
                <w:highlight w:val="none"/>
              </w:rPr>
              <w:t>本项目投标应以人民币报价；</w:t>
            </w:r>
          </w:p>
          <w:p>
            <w:pPr>
              <w:numPr>
                <w:ilvl w:val="0"/>
                <w:numId w:val="2"/>
              </w:numPr>
              <w:spacing w:line="360" w:lineRule="exact"/>
              <w:rPr>
                <w:rFonts w:ascii="宋体" w:cs="宋体"/>
                <w:sz w:val="24"/>
                <w:szCs w:val="24"/>
                <w:highlight w:val="none"/>
              </w:rPr>
            </w:pPr>
            <w:r>
              <w:rPr>
                <w:rFonts w:hint="eastAsia" w:ascii="宋体" w:hAnsi="宋体" w:cs="宋体"/>
                <w:sz w:val="22"/>
                <w:szCs w:val="22"/>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8</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踏勘现场</w:t>
            </w:r>
          </w:p>
        </w:tc>
        <w:tc>
          <w:tcPr>
            <w:tcW w:w="6122" w:type="dxa"/>
            <w:gridSpan w:val="2"/>
            <w:vAlign w:val="center"/>
          </w:tcPr>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组织（详细内容）</w:t>
            </w:r>
          </w:p>
          <w:p>
            <w:pPr>
              <w:spacing w:line="360" w:lineRule="exact"/>
              <w:rPr>
                <w:rFonts w:ascii="宋体" w:cs="宋体"/>
                <w:sz w:val="24"/>
                <w:szCs w:val="24"/>
                <w:highlight w:val="none"/>
              </w:rPr>
            </w:pPr>
            <w:r>
              <w:rPr>
                <w:rFonts w:hint="eastAsia" w:ascii="MS Mincho" w:hAnsi="MS Mincho" w:eastAsia="MS Mincho" w:cs="MS Mincho"/>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9</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样品</w:t>
            </w:r>
          </w:p>
        </w:tc>
        <w:tc>
          <w:tcPr>
            <w:tcW w:w="6122" w:type="dxa"/>
            <w:gridSpan w:val="2"/>
            <w:vAlign w:val="center"/>
          </w:tcPr>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提供。</w:t>
            </w:r>
          </w:p>
          <w:p>
            <w:pP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10</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演示</w:t>
            </w:r>
          </w:p>
        </w:tc>
        <w:tc>
          <w:tcPr>
            <w:tcW w:w="6122" w:type="dxa"/>
            <w:gridSpan w:val="2"/>
            <w:vAlign w:val="center"/>
          </w:tcPr>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要求</w:t>
            </w:r>
          </w:p>
          <w:p>
            <w:pP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11</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评标办法</w:t>
            </w:r>
          </w:p>
        </w:tc>
        <w:tc>
          <w:tcPr>
            <w:tcW w:w="6122" w:type="dxa"/>
            <w:gridSpan w:val="2"/>
            <w:vAlign w:val="center"/>
          </w:tcPr>
          <w:p>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综合评分法</w:t>
            </w:r>
          </w:p>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12</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是否进口</w:t>
            </w:r>
          </w:p>
        </w:tc>
        <w:tc>
          <w:tcPr>
            <w:tcW w:w="6122" w:type="dxa"/>
            <w:gridSpan w:val="2"/>
            <w:vAlign w:val="center"/>
          </w:tcPr>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允许进口</w:t>
            </w:r>
          </w:p>
          <w:p>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13</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节能产品</w:t>
            </w:r>
          </w:p>
        </w:tc>
        <w:tc>
          <w:tcPr>
            <w:tcW w:w="1663" w:type="dxa"/>
            <w:tcBorders>
              <w:right w:val="single" w:color="000000" w:sz="4" w:space="0"/>
            </w:tcBorders>
            <w:vAlign w:val="center"/>
          </w:tcPr>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强制采购节能产品</w:t>
            </w:r>
          </w:p>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优先采购节能产品</w:t>
            </w:r>
          </w:p>
          <w:p>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不适用</w:t>
            </w:r>
          </w:p>
        </w:tc>
        <w:tc>
          <w:tcPr>
            <w:tcW w:w="4459" w:type="dxa"/>
            <w:vMerge w:val="restart"/>
            <w:tcBorders>
              <w:left w:val="single" w:color="000000" w:sz="4" w:space="0"/>
            </w:tcBorders>
            <w:vAlign w:val="center"/>
          </w:tcPr>
          <w:p>
            <w:pPr>
              <w:spacing w:line="360" w:lineRule="exact"/>
              <w:rPr>
                <w:rFonts w:ascii="宋体" w:cs="宋体"/>
                <w:sz w:val="22"/>
                <w:szCs w:val="22"/>
                <w:highlight w:val="none"/>
              </w:rPr>
            </w:pPr>
            <w:r>
              <w:rPr>
                <w:rFonts w:hint="eastAsia" w:ascii="宋体" w:hAnsi="宋体" w:cs="宋体"/>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14</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环境标志产品</w:t>
            </w:r>
          </w:p>
        </w:tc>
        <w:tc>
          <w:tcPr>
            <w:tcW w:w="1663" w:type="dxa"/>
            <w:tcBorders>
              <w:right w:val="single" w:color="000000" w:sz="4" w:space="0"/>
            </w:tcBorders>
            <w:vAlign w:val="center"/>
          </w:tcPr>
          <w:p>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优先采购环境标志产品</w:t>
            </w:r>
          </w:p>
          <w:p>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不适用</w:t>
            </w:r>
          </w:p>
        </w:tc>
        <w:tc>
          <w:tcPr>
            <w:tcW w:w="4459" w:type="dxa"/>
            <w:vMerge w:val="continue"/>
            <w:tcBorders>
              <w:left w:val="single" w:color="000000" w:sz="4" w:space="0"/>
            </w:tcBorders>
            <w:vAlign w:val="center"/>
          </w:tcPr>
          <w:p>
            <w:pPr>
              <w:spacing w:line="360" w:lineRule="exact"/>
              <w:rPr>
                <w:rFonts w:asci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15</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促进中小企业发展</w:t>
            </w:r>
          </w:p>
        </w:tc>
        <w:tc>
          <w:tcPr>
            <w:tcW w:w="6122" w:type="dxa"/>
            <w:gridSpan w:val="2"/>
            <w:vAlign w:val="center"/>
          </w:tcPr>
          <w:p>
            <w:pPr>
              <w:spacing w:line="360" w:lineRule="exact"/>
              <w:rPr>
                <w:rFonts w:ascii="宋体" w:cs="宋体"/>
                <w:sz w:val="22"/>
                <w:szCs w:val="22"/>
                <w:highlight w:val="none"/>
              </w:rPr>
            </w:pPr>
            <w:r>
              <w:rPr>
                <w:rFonts w:hint="eastAsia" w:ascii="宋体" w:hAnsi="宋体" w:cs="宋体"/>
                <w:sz w:val="22"/>
                <w:szCs w:val="22"/>
                <w:highlight w:val="none"/>
              </w:rPr>
              <w:t>本项目执行促进中小企业发展政策，监狱企业、残疾人福利性单位视同中型、小型、微型企业。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16</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合同签订</w:t>
            </w:r>
          </w:p>
        </w:tc>
        <w:tc>
          <w:tcPr>
            <w:tcW w:w="6122" w:type="dxa"/>
            <w:gridSpan w:val="2"/>
            <w:vAlign w:val="center"/>
          </w:tcPr>
          <w:p>
            <w:pPr>
              <w:rPr>
                <w:rFonts w:ascii="宋体" w:cs="宋体"/>
                <w:sz w:val="22"/>
                <w:szCs w:val="22"/>
                <w:highlight w:val="none"/>
              </w:rPr>
            </w:pPr>
            <w:r>
              <w:rPr>
                <w:rFonts w:hint="eastAsia" w:ascii="宋体" w:hAnsi="宋体" w:cs="宋体"/>
                <w:sz w:val="22"/>
                <w:szCs w:val="22"/>
                <w:highlight w:val="none"/>
              </w:rPr>
              <w:t>采购人与中标人应当在《中标通知书》发出之日起</w:t>
            </w:r>
            <w:r>
              <w:rPr>
                <w:rFonts w:ascii="宋体" w:hAnsi="宋体" w:cs="宋体"/>
                <w:sz w:val="22"/>
                <w:szCs w:val="22"/>
                <w:highlight w:val="none"/>
              </w:rPr>
              <w:t>30</w:t>
            </w:r>
            <w:r>
              <w:rPr>
                <w:rFonts w:hint="eastAsia" w:ascii="宋体" w:hAnsi="宋体" w:cs="宋体"/>
                <w:sz w:val="22"/>
                <w:szCs w:val="22"/>
                <w:highlight w:val="none"/>
              </w:rPr>
              <w:t>日内签订政府采购合同。同时，采购代理机构对合同内容进行审查，如发现与采购结果和投标承诺内容不一致的，应予以纠正。中标人拖延、拒签合同的</w:t>
            </w:r>
            <w:r>
              <w:rPr>
                <w:rFonts w:ascii="宋体" w:cs="宋体"/>
                <w:sz w:val="22"/>
                <w:szCs w:val="22"/>
                <w:highlight w:val="none"/>
              </w:rPr>
              <w:t>,</w:t>
            </w:r>
            <w:r>
              <w:rPr>
                <w:rFonts w:hint="eastAsia" w:ascii="宋体" w:hAnsi="宋体" w:cs="宋体"/>
                <w:sz w:val="22"/>
                <w:szCs w:val="22"/>
                <w:highlight w:val="none"/>
              </w:rPr>
              <w:t>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17</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供应商注册事项</w:t>
            </w:r>
          </w:p>
        </w:tc>
        <w:tc>
          <w:tcPr>
            <w:tcW w:w="6122" w:type="dxa"/>
            <w:gridSpan w:val="2"/>
            <w:vAlign w:val="center"/>
          </w:tcPr>
          <w:p>
            <w:pPr>
              <w:pStyle w:val="15"/>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根据《浙江省政府采购供应商注册及诚信管理暂行办法》（浙财采监字〔</w:t>
            </w:r>
            <w:r>
              <w:rPr>
                <w:rFonts w:ascii="宋体" w:hAnsi="宋体" w:eastAsia="宋体" w:cs="宋体"/>
                <w:sz w:val="22"/>
                <w:szCs w:val="22"/>
                <w:highlight w:val="none"/>
              </w:rPr>
              <w:t>2009</w:t>
            </w:r>
            <w:r>
              <w:rPr>
                <w:rFonts w:hint="eastAsia" w:ascii="宋体" w:hAnsi="宋体" w:eastAsia="宋体" w:cs="宋体"/>
                <w:sz w:val="22"/>
                <w:szCs w:val="22"/>
                <w:highlight w:val="none"/>
              </w:rPr>
              <w:t>〕</w:t>
            </w:r>
            <w:r>
              <w:rPr>
                <w:rFonts w:ascii="宋体" w:hAnsi="宋体" w:eastAsia="宋体" w:cs="宋体"/>
                <w:sz w:val="22"/>
                <w:szCs w:val="22"/>
                <w:highlight w:val="none"/>
              </w:rPr>
              <w:t>28</w:t>
            </w:r>
            <w:r>
              <w:rPr>
                <w:rFonts w:hint="eastAsia" w:ascii="宋体" w:hAnsi="宋体" w:eastAsia="宋体" w:cs="宋体"/>
                <w:sz w:val="22"/>
                <w:szCs w:val="22"/>
                <w:highlight w:val="none"/>
              </w:rPr>
              <w:t>号），供应商中标后必须注册成为浙江政府采购网（</w:t>
            </w:r>
            <w:r>
              <w:rPr>
                <w:rFonts w:ascii="宋体" w:hAnsi="宋体" w:eastAsia="宋体" w:cs="宋体"/>
                <w:sz w:val="22"/>
                <w:szCs w:val="22"/>
                <w:highlight w:val="none"/>
              </w:rPr>
              <w:t>http://www.zjzfcg.gov.cn/</w:t>
            </w:r>
            <w:r>
              <w:rPr>
                <w:rFonts w:hint="eastAsia" w:ascii="宋体" w:hAnsi="宋体" w:eastAsia="宋体" w:cs="宋体"/>
                <w:sz w:val="22"/>
                <w:szCs w:val="22"/>
                <w:highlight w:val="none"/>
              </w:rPr>
              <w:t>）的正式供应商，否则可以不与中标人签订合同，如未能按时签订合同，将取消其中标资格。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18</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履约保证金</w:t>
            </w:r>
          </w:p>
        </w:tc>
        <w:tc>
          <w:tcPr>
            <w:tcW w:w="6122" w:type="dxa"/>
            <w:gridSpan w:val="2"/>
            <w:vAlign w:val="center"/>
          </w:tcPr>
          <w:p>
            <w:pPr>
              <w:pStyle w:val="15"/>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lang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19</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代理服务费</w:t>
            </w:r>
          </w:p>
        </w:tc>
        <w:tc>
          <w:tcPr>
            <w:tcW w:w="6122" w:type="dxa"/>
            <w:gridSpan w:val="2"/>
            <w:vAlign w:val="center"/>
          </w:tcPr>
          <w:p>
            <w:pPr>
              <w:rPr>
                <w:highlight w:val="none"/>
              </w:rPr>
            </w:pPr>
            <w:r>
              <w:rPr>
                <w:rFonts w:hint="eastAsia" w:ascii="宋体" w:hAnsi="宋体" w:cs="宋体"/>
                <w:sz w:val="22"/>
                <w:szCs w:val="22"/>
                <w:highlight w:val="none"/>
              </w:rPr>
              <w:t>本项目采购代理服务费</w:t>
            </w:r>
            <w:r>
              <w:rPr>
                <w:rFonts w:hint="eastAsia" w:ascii="宋体" w:hAnsi="宋体" w:cs="宋体"/>
                <w:sz w:val="22"/>
                <w:szCs w:val="22"/>
                <w:highlight w:val="none"/>
                <w:lang w:eastAsia="zh-CN"/>
              </w:rPr>
              <w:t>参照发改价格〔2011〕534号</w:t>
            </w:r>
            <w:r>
              <w:rPr>
                <w:rFonts w:hint="eastAsia" w:ascii="宋体" w:hAnsi="宋体" w:cs="宋体"/>
                <w:sz w:val="22"/>
                <w:szCs w:val="22"/>
                <w:highlight w:val="none"/>
              </w:rPr>
              <w:t>文的收费标准计取；采购代理服务费须包含在总报价中，由采购代理机构在签发中标通知书时向中标单位收取；</w:t>
            </w:r>
            <w:r>
              <w:rPr>
                <w:rFonts w:hint="eastAsia" w:ascii="宋体" w:hAnsi="宋体" w:cs="宋体"/>
                <w:sz w:val="22"/>
                <w:szCs w:val="22"/>
                <w:highlight w:val="none"/>
                <w:lang w:eastAsia="zh-CN"/>
              </w:rPr>
              <w:t>本项目按服务招标类型的80%收费</w:t>
            </w:r>
            <w:r>
              <w:rPr>
                <w:rFonts w:hint="eastAsia" w:ascii="宋体" w:hAnsi="宋体" w:cs="宋体"/>
                <w:sz w:val="22"/>
                <w:szCs w:val="22"/>
                <w:highlight w:val="none"/>
              </w:rPr>
              <w:t>，不足捌仟元按捌仟元计取。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20</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现场组织实施</w:t>
            </w:r>
          </w:p>
        </w:tc>
        <w:tc>
          <w:tcPr>
            <w:tcW w:w="6122" w:type="dxa"/>
            <w:gridSpan w:val="2"/>
            <w:vAlign w:val="center"/>
          </w:tcPr>
          <w:p>
            <w:pPr>
              <w:pStyle w:val="15"/>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根据浙江省财政厅文件浙财采监〔</w:t>
            </w:r>
            <w:r>
              <w:rPr>
                <w:rFonts w:ascii="宋体" w:hAnsi="宋体" w:eastAsia="宋体" w:cs="宋体"/>
                <w:sz w:val="22"/>
                <w:szCs w:val="22"/>
                <w:highlight w:val="none"/>
              </w:rPr>
              <w:t>2015</w:t>
            </w:r>
            <w:r>
              <w:rPr>
                <w:rFonts w:hint="eastAsia" w:ascii="宋体" w:hAnsi="宋体" w:eastAsia="宋体" w:cs="宋体"/>
                <w:sz w:val="22"/>
                <w:szCs w:val="22"/>
                <w:highlight w:val="none"/>
              </w:rPr>
              <w:t>〕</w:t>
            </w:r>
            <w:r>
              <w:rPr>
                <w:rFonts w:ascii="宋体" w:hAnsi="宋体" w:eastAsia="宋体" w:cs="宋体"/>
                <w:sz w:val="22"/>
                <w:szCs w:val="22"/>
                <w:highlight w:val="none"/>
              </w:rPr>
              <w:t>13</w:t>
            </w:r>
            <w:r>
              <w:rPr>
                <w:rFonts w:hint="eastAsia" w:ascii="宋体" w:hAnsi="宋体" w:eastAsia="宋体" w:cs="宋体"/>
                <w:sz w:val="22"/>
                <w:szCs w:val="22"/>
                <w:highlight w:val="none"/>
              </w:rPr>
              <w:t>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21</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解释权</w:t>
            </w:r>
          </w:p>
        </w:tc>
        <w:tc>
          <w:tcPr>
            <w:tcW w:w="6122" w:type="dxa"/>
            <w:gridSpan w:val="2"/>
            <w:vAlign w:val="center"/>
          </w:tcPr>
          <w:p>
            <w:pPr>
              <w:pStyle w:val="15"/>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22</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其他说明</w:t>
            </w:r>
          </w:p>
        </w:tc>
        <w:tc>
          <w:tcPr>
            <w:tcW w:w="6122" w:type="dxa"/>
            <w:gridSpan w:val="2"/>
            <w:vAlign w:val="center"/>
          </w:tcPr>
          <w:p>
            <w:pPr>
              <w:pStyle w:val="15"/>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根据《浙江省财政厅关于规范政府采购供应商资格设定及资格审查的通知》浙财采监〔</w:t>
            </w:r>
            <w:r>
              <w:rPr>
                <w:rFonts w:ascii="宋体" w:hAnsi="宋体" w:eastAsia="宋体" w:cs="宋体"/>
                <w:sz w:val="22"/>
                <w:szCs w:val="22"/>
                <w:highlight w:val="none"/>
              </w:rPr>
              <w:t>2013</w:t>
            </w:r>
            <w:r>
              <w:rPr>
                <w:rFonts w:hint="eastAsia" w:ascii="宋体" w:hAnsi="宋体" w:eastAsia="宋体" w:cs="宋体"/>
                <w:sz w:val="22"/>
                <w:szCs w:val="22"/>
                <w:highlight w:val="none"/>
              </w:rPr>
              <w:t>〕</w:t>
            </w:r>
            <w:r>
              <w:rPr>
                <w:rFonts w:ascii="宋体" w:hAnsi="宋体" w:eastAsia="宋体" w:cs="宋体"/>
                <w:sz w:val="22"/>
                <w:szCs w:val="22"/>
                <w:highlight w:val="none"/>
              </w:rPr>
              <w:t>24</w:t>
            </w:r>
            <w:r>
              <w:rPr>
                <w:rFonts w:hint="eastAsia" w:ascii="宋体" w:hAnsi="宋体" w:eastAsia="宋体" w:cs="宋体"/>
                <w:sz w:val="22"/>
                <w:szCs w:val="22"/>
                <w:highlight w:val="none"/>
              </w:rPr>
              <w:t>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vAlign w:val="center"/>
          </w:tcPr>
          <w:p>
            <w:pPr>
              <w:spacing w:line="360" w:lineRule="exact"/>
              <w:jc w:val="center"/>
              <w:rPr>
                <w:rFonts w:ascii="宋体" w:cs="宋体"/>
                <w:sz w:val="24"/>
                <w:szCs w:val="24"/>
                <w:highlight w:val="none"/>
              </w:rPr>
            </w:pPr>
            <w:r>
              <w:rPr>
                <w:rFonts w:ascii="宋体" w:hAnsi="宋体" w:cs="宋体"/>
                <w:sz w:val="24"/>
                <w:szCs w:val="24"/>
                <w:highlight w:val="none"/>
              </w:rPr>
              <w:t>23</w:t>
            </w:r>
          </w:p>
        </w:tc>
        <w:tc>
          <w:tcPr>
            <w:tcW w:w="2202" w:type="dxa"/>
            <w:vAlign w:val="center"/>
          </w:tcPr>
          <w:p>
            <w:pPr>
              <w:spacing w:line="360" w:lineRule="exact"/>
              <w:jc w:val="center"/>
              <w:rPr>
                <w:rFonts w:ascii="宋体" w:cs="宋体"/>
                <w:sz w:val="24"/>
                <w:szCs w:val="24"/>
                <w:highlight w:val="none"/>
              </w:rPr>
            </w:pPr>
            <w:r>
              <w:rPr>
                <w:rFonts w:hint="eastAsia" w:ascii="宋体" w:hAnsi="宋体" w:cs="宋体"/>
                <w:sz w:val="24"/>
                <w:szCs w:val="24"/>
                <w:highlight w:val="none"/>
              </w:rPr>
              <w:t>注意事项</w:t>
            </w:r>
          </w:p>
        </w:tc>
        <w:tc>
          <w:tcPr>
            <w:tcW w:w="6122" w:type="dxa"/>
            <w:gridSpan w:val="2"/>
            <w:vAlign w:val="center"/>
          </w:tcPr>
          <w:p>
            <w:pPr>
              <w:pStyle w:val="15"/>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投标人应严格按照招标文件及补充文件的规定和要求编制投标文件。在编制投标文件过程中</w:t>
            </w:r>
            <w:r>
              <w:rPr>
                <w:rFonts w:ascii="宋体" w:hAnsi="宋体" w:eastAsia="宋体" w:cs="宋体"/>
                <w:sz w:val="22"/>
                <w:szCs w:val="22"/>
                <w:highlight w:val="none"/>
              </w:rPr>
              <w:t>,</w:t>
            </w:r>
            <w:r>
              <w:rPr>
                <w:rFonts w:hint="eastAsia" w:ascii="宋体" w:hAnsi="宋体" w:eastAsia="宋体" w:cs="宋体"/>
                <w:sz w:val="22"/>
                <w:szCs w:val="22"/>
                <w:highlight w:val="none"/>
              </w:rPr>
              <w:t>应严格遵循实事求是、诚信投标的原则</w:t>
            </w:r>
            <w:r>
              <w:rPr>
                <w:rFonts w:ascii="宋体" w:hAnsi="宋体" w:eastAsia="宋体" w:cs="宋体"/>
                <w:sz w:val="22"/>
                <w:szCs w:val="22"/>
                <w:highlight w:val="none"/>
              </w:rPr>
              <w:t>,</w:t>
            </w:r>
            <w:r>
              <w:rPr>
                <w:rFonts w:hint="eastAsia" w:ascii="宋体" w:hAnsi="宋体" w:eastAsia="宋体" w:cs="宋体"/>
                <w:sz w:val="22"/>
                <w:szCs w:val="22"/>
                <w:highlight w:val="none"/>
              </w:rPr>
              <w:t>如有偏离</w:t>
            </w:r>
            <w:r>
              <w:rPr>
                <w:rFonts w:ascii="宋体" w:hAnsi="宋体" w:eastAsia="宋体" w:cs="宋体"/>
                <w:sz w:val="22"/>
                <w:szCs w:val="22"/>
                <w:highlight w:val="none"/>
              </w:rPr>
              <w:t>,</w:t>
            </w:r>
            <w:r>
              <w:rPr>
                <w:rFonts w:hint="eastAsia" w:ascii="宋体" w:hAnsi="宋体" w:eastAsia="宋体" w:cs="宋体"/>
                <w:sz w:val="22"/>
                <w:szCs w:val="22"/>
                <w:highlight w:val="none"/>
              </w:rPr>
              <w:t>应如实填写响应偏离。</w:t>
            </w:r>
          </w:p>
          <w:p>
            <w:pPr>
              <w:pStyle w:val="15"/>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如果发现本招标文件中存在歧视性不公正条款或违法违规等内容时</w:t>
            </w:r>
            <w:r>
              <w:rPr>
                <w:rFonts w:ascii="宋体" w:hAnsi="宋体" w:eastAsia="宋体" w:cs="宋体"/>
                <w:sz w:val="22"/>
                <w:szCs w:val="22"/>
                <w:highlight w:val="none"/>
              </w:rPr>
              <w:t>,</w:t>
            </w:r>
            <w:r>
              <w:rPr>
                <w:rFonts w:hint="eastAsia" w:ascii="宋体" w:hAnsi="宋体" w:eastAsia="宋体" w:cs="宋体"/>
                <w:sz w:val="22"/>
                <w:szCs w:val="22"/>
                <w:highlight w:val="none"/>
              </w:rPr>
              <w:t>请投标人在获取招标文件后</w:t>
            </w:r>
            <w:r>
              <w:rPr>
                <w:rFonts w:ascii="宋体" w:hAnsi="宋体" w:eastAsia="宋体" w:cs="宋体"/>
                <w:sz w:val="22"/>
                <w:szCs w:val="22"/>
                <w:highlight w:val="none"/>
              </w:rPr>
              <w:t>,</w:t>
            </w:r>
            <w:r>
              <w:rPr>
                <w:rFonts w:hint="eastAsia" w:ascii="宋体" w:hAnsi="宋体" w:eastAsia="宋体" w:cs="宋体"/>
                <w:sz w:val="22"/>
                <w:szCs w:val="22"/>
                <w:highlight w:val="none"/>
              </w:rPr>
              <w:t>在采购文件的质疑有效期内及时书面提出。</w:t>
            </w:r>
          </w:p>
          <w:p>
            <w:pPr>
              <w:pStyle w:val="15"/>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采购结果公告期间</w:t>
            </w:r>
            <w:r>
              <w:rPr>
                <w:rFonts w:ascii="宋体" w:hAnsi="宋体" w:eastAsia="宋体" w:cs="宋体"/>
                <w:sz w:val="22"/>
                <w:szCs w:val="22"/>
                <w:highlight w:val="none"/>
              </w:rPr>
              <w:t>,</w:t>
            </w:r>
            <w:r>
              <w:rPr>
                <w:rFonts w:hint="eastAsia" w:ascii="宋体" w:hAnsi="宋体" w:eastAsia="宋体" w:cs="宋体"/>
                <w:sz w:val="22"/>
                <w:szCs w:val="22"/>
                <w:highlight w:val="none"/>
              </w:rPr>
              <w:t>投标人不得通过非正当途径获取法律法规规定评标委员会</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包括其他相关人员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应当保密的相关内容。</w:t>
            </w:r>
          </w:p>
        </w:tc>
      </w:tr>
    </w:tbl>
    <w:p>
      <w:pPr>
        <w:pStyle w:val="14"/>
        <w:snapToGrid w:val="0"/>
        <w:spacing w:line="440" w:lineRule="exact"/>
        <w:jc w:val="center"/>
        <w:rPr>
          <w:rFonts w:hAnsi="宋体" w:cs="Times New Roman"/>
          <w:b/>
          <w:bCs/>
          <w:sz w:val="28"/>
          <w:szCs w:val="28"/>
          <w:highlight w:val="none"/>
        </w:rPr>
      </w:pPr>
      <w:r>
        <w:rPr>
          <w:rFonts w:hAnsi="宋体"/>
          <w:b/>
          <w:bCs/>
          <w:sz w:val="28"/>
          <w:szCs w:val="28"/>
          <w:highlight w:val="none"/>
        </w:rPr>
        <w:br w:type="page"/>
      </w:r>
      <w:r>
        <w:rPr>
          <w:rFonts w:hint="eastAsia" w:hAnsi="宋体"/>
          <w:b/>
          <w:bCs/>
          <w:sz w:val="28"/>
          <w:szCs w:val="28"/>
          <w:highlight w:val="none"/>
        </w:rPr>
        <w:t>一、总则</w:t>
      </w:r>
    </w:p>
    <w:p>
      <w:pP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pP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、采购代理机构：是指组织本次招标的机构，即建经投资咨询有限公司。</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、采购人：是指</w:t>
      </w:r>
      <w:r>
        <w:rPr>
          <w:rFonts w:hint="eastAsia" w:ascii="宋体" w:hAnsi="宋体" w:cs="宋体"/>
          <w:sz w:val="24"/>
          <w:szCs w:val="24"/>
          <w:highlight w:val="none"/>
          <w:lang w:eastAsia="zh-CN"/>
        </w:rPr>
        <w:t>温岭市农业农村和水利局、</w:t>
      </w:r>
      <w:r>
        <w:rPr>
          <w:rFonts w:hint="eastAsia" w:ascii="宋体" w:hAnsi="宋体" w:cs="宋体"/>
          <w:sz w:val="24"/>
          <w:szCs w:val="24"/>
          <w:highlight w:val="none"/>
        </w:rPr>
        <w:t>温岭市人民政府城西街道办事处、温岭市人民政府城北街道办事处。</w:t>
      </w:r>
    </w:p>
    <w:p>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、投标人：是指参加本政府采购项目投标的供应商。</w:t>
      </w:r>
    </w:p>
    <w:p>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、服务：是指除货物和工程以外的其他政府采购对象，包括各类专业服务、信息网络开发服务、金融保险服务、运输服务，以及维修与维护服务等。</w:t>
      </w:r>
    </w:p>
    <w:p>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pP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、不论投标结果如何，投标人均应自行承担所有与投标有关的全部费用（招标文件有相关规定除外）。</w:t>
      </w:r>
    </w:p>
    <w:p>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、招标代理服务费</w:t>
      </w:r>
    </w:p>
    <w:p>
      <w:pPr>
        <w:widowControl/>
        <w:snapToGrid w:val="0"/>
        <w:spacing w:line="440" w:lineRule="exact"/>
        <w:ind w:firstLine="480" w:firstLineChars="200"/>
        <w:jc w:val="left"/>
        <w:rPr>
          <w:rFonts w:hAnsi="宋体" w:cs="仿宋_GB2312"/>
          <w:b/>
          <w:bCs/>
          <w:sz w:val="24"/>
          <w:highlight w:val="none"/>
          <w:u w:val="single"/>
        </w:rPr>
      </w:pPr>
      <w:r>
        <w:rPr>
          <w:rFonts w:hint="eastAsia" w:hAnsi="宋体" w:cs="仿宋_GB2312"/>
          <w:b/>
          <w:bCs/>
          <w:sz w:val="24"/>
          <w:highlight w:val="none"/>
          <w:u w:val="single"/>
        </w:rPr>
        <w:t>本项目采购代理服务费</w:t>
      </w:r>
      <w:r>
        <w:rPr>
          <w:rFonts w:hint="eastAsia" w:hAnsi="宋体" w:cs="仿宋_GB2312"/>
          <w:b/>
          <w:bCs/>
          <w:sz w:val="24"/>
          <w:highlight w:val="none"/>
          <w:u w:val="single"/>
          <w:lang w:eastAsia="zh-CN"/>
        </w:rPr>
        <w:t>参照发改价格〔2011〕534号</w:t>
      </w:r>
      <w:r>
        <w:rPr>
          <w:rFonts w:hint="eastAsia" w:hAnsi="宋体" w:cs="仿宋_GB2312"/>
          <w:b/>
          <w:bCs/>
          <w:sz w:val="24"/>
          <w:highlight w:val="none"/>
          <w:u w:val="single"/>
        </w:rPr>
        <w:t>文的收费标准（见附表）计取；采购代理服务费须包含在总报价中，由采购代理机构在签发中标通知书时向中标单位收取；</w:t>
      </w:r>
      <w:r>
        <w:rPr>
          <w:rFonts w:hint="eastAsia" w:hAnsi="宋体" w:cs="仿宋_GB2312"/>
          <w:b/>
          <w:bCs/>
          <w:sz w:val="24"/>
          <w:highlight w:val="none"/>
          <w:u w:val="single"/>
          <w:lang w:eastAsia="zh-CN"/>
        </w:rPr>
        <w:t>本项目按服务招标类型的80%收费</w:t>
      </w:r>
      <w:r>
        <w:rPr>
          <w:rFonts w:hint="eastAsia" w:hAnsi="宋体" w:cs="仿宋_GB2312"/>
          <w:b/>
          <w:bCs/>
          <w:sz w:val="24"/>
          <w:highlight w:val="none"/>
          <w:u w:val="single"/>
        </w:rPr>
        <w:t>，不足捌仟元按捌仟元计取。</w:t>
      </w:r>
    </w:p>
    <w:p>
      <w:pPr>
        <w:jc w:val="center"/>
        <w:rPr>
          <w:rFonts w:hAnsi="宋体" w:cs="仿宋_GB2312"/>
          <w:b/>
          <w:bCs/>
          <w:sz w:val="24"/>
          <w:highlight w:val="none"/>
        </w:rPr>
      </w:pPr>
      <w:r>
        <w:rPr>
          <w:highlight w:val="none"/>
        </w:rPr>
        <mc:AlternateContent>
          <mc:Choice Requires="wps">
            <w:drawing>
              <wp:anchor distT="0" distB="0" distL="114300" distR="114300" simplePos="0" relativeHeight="251666432" behindDoc="0" locked="0" layoutInCell="0" allowOverlap="1">
                <wp:simplePos x="0" y="0"/>
                <wp:positionH relativeFrom="column">
                  <wp:posOffset>687070</wp:posOffset>
                </wp:positionH>
                <wp:positionV relativeFrom="paragraph">
                  <wp:posOffset>191770</wp:posOffset>
                </wp:positionV>
                <wp:extent cx="904875" cy="821690"/>
                <wp:effectExtent l="3175" t="3810" r="6350" b="12700"/>
                <wp:wrapNone/>
                <wp:docPr id="2" name="直线 4"/>
                <wp:cNvGraphicFramePr/>
                <a:graphic xmlns:a="http://schemas.openxmlformats.org/drawingml/2006/main">
                  <a:graphicData uri="http://schemas.microsoft.com/office/word/2010/wordprocessingShape">
                    <wps:wsp>
                      <wps:cNvCnPr/>
                      <wps:spPr>
                        <a:xfrm flipH="1" flipV="1">
                          <a:off x="0" y="0"/>
                          <a:ext cx="904875" cy="8216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x y;margin-left:54.1pt;margin-top:15.1pt;height:64.7pt;width:71.25pt;z-index:251666432;mso-width-relative:page;mso-height-relative:page;" filled="f" stroked="t"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7dce9UAAAAKAQAADwAAAAAAAAABACAAAAAiAAAAZHJzL2Rvd25yZXYu&#10;eG1sUEsBAhQAFAAAAAgAh07iQG81d0T+AQAAAQQAAA4AAAAAAAAAAQAgAAAAJAEAAGRycy9lMm9E&#10;b2MueG1sUEsFBgAAAAAGAAYAWQEAAJQFAAAAAA==&#10;">
                <v:fill on="f" focussize="0,0"/>
                <v:stroke color="#000000" joinstyle="round"/>
                <v:imagedata o:title=""/>
                <o:lock v:ext="edit" aspectratio="f"/>
              </v:line>
            </w:pict>
          </mc:Fallback>
        </mc:AlternateContent>
      </w:r>
      <w:r>
        <w:rPr>
          <w:rFonts w:hint="eastAsia" w:hAnsi="宋体" w:cs="仿宋_GB2312"/>
          <w:b/>
          <w:bCs/>
          <w:sz w:val="24"/>
          <w:highlight w:val="none"/>
        </w:rPr>
        <w:t>附表：招标代理服务收费标准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470" w:firstLineChars="700"/>
              <w:rPr>
                <w:b/>
                <w:sz w:val="22"/>
                <w:szCs w:val="22"/>
                <w:highlight w:val="none"/>
              </w:rPr>
            </w:pPr>
            <w:r>
              <w:rPr>
                <w:highlight w:val="none"/>
              </w:rPr>
              <mc:AlternateContent>
                <mc:Choice Requires="wps">
                  <w:drawing>
                    <wp:anchor distT="0" distB="0" distL="114300" distR="114300" simplePos="0" relativeHeight="251667456" behindDoc="0" locked="0" layoutInCell="0" allowOverlap="1">
                      <wp:simplePos x="0" y="0"/>
                      <wp:positionH relativeFrom="column">
                        <wp:posOffset>-84455</wp:posOffset>
                      </wp:positionH>
                      <wp:positionV relativeFrom="paragraph">
                        <wp:posOffset>66040</wp:posOffset>
                      </wp:positionV>
                      <wp:extent cx="1647825" cy="729615"/>
                      <wp:effectExtent l="1905" t="4445" r="7620" b="8890"/>
                      <wp:wrapNone/>
                      <wp:docPr id="3" name="直线 5"/>
                      <wp:cNvGraphicFramePr/>
                      <a:graphic xmlns:a="http://schemas.openxmlformats.org/drawingml/2006/main">
                        <a:graphicData uri="http://schemas.microsoft.com/office/word/2010/wordprocessingShape">
                          <wps:wsp>
                            <wps:cNvCnPr/>
                            <wps:spPr>
                              <a:xfrm flipH="1" flipV="1">
                                <a:off x="0" y="0"/>
                                <a:ext cx="1647825" cy="7296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x y;margin-left:-6.65pt;margin-top:5.2pt;height:57.45pt;width:129.75pt;z-index:251667456;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mfatPVAAAACgEAAA8AAAAAAAAAAQAgAAAAIgAAAGRycy9kb3ducmV2&#10;LnhtbFBLAQIUABQAAAAIAIdO4kAG1kgR/wEAAAIEAAAOAAAAAAAAAAEAIAAAACQBAABkcnMvZTJv&#10;RG9jLnhtbFBLBQYAAAAABgAGAFkBAACVBQAAAAA=&#10;">
                      <v:fill on="f" focussize="0,0"/>
                      <v:stroke color="#000000" joinstyle="round"/>
                      <v:imagedata o:title=""/>
                      <o:lock v:ext="edit" aspectratio="f"/>
                    </v:line>
                  </w:pict>
                </mc:Fallback>
              </mc:AlternateContent>
            </w:r>
            <w:r>
              <w:rPr>
                <w:highlight w:val="none"/>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fVEj&#10;wegBAADlAwAADgAAAAAAAAABACAAAAAkAQAAZHJzL2Uyb0RvYy54bWxQSwUGAAAAAAYABgBZAQAA&#10;fgUAAAAA&#10;">
                      <v:fill on="f" focussize="0,0"/>
                      <v:stroke color="#000000" joinstyle="round"/>
                      <v:imagedata o:title=""/>
                      <o:lock v:ext="edit" aspectratio="f"/>
                    </v:line>
                  </w:pict>
                </mc:Fallback>
              </mc:AlternateContent>
            </w:r>
            <w:r>
              <w:rPr>
                <w:rFonts w:hint="eastAsia"/>
                <w:b/>
                <w:sz w:val="22"/>
                <w:szCs w:val="22"/>
                <w:highlight w:val="none"/>
              </w:rPr>
              <w:t>服务</w:t>
            </w:r>
          </w:p>
          <w:p>
            <w:pPr>
              <w:ind w:firstLine="1100" w:firstLineChars="500"/>
              <w:rPr>
                <w:b/>
                <w:sz w:val="22"/>
                <w:szCs w:val="22"/>
                <w:highlight w:val="none"/>
              </w:rPr>
            </w:pPr>
            <w:r>
              <w:rPr>
                <w:rFonts w:hint="eastAsia"/>
                <w:b/>
                <w:sz w:val="22"/>
                <w:szCs w:val="22"/>
                <w:highlight w:val="none"/>
              </w:rPr>
              <w:t>费　　类型</w:t>
            </w:r>
          </w:p>
          <w:p>
            <w:pPr>
              <w:ind w:firstLine="1540" w:firstLineChars="700"/>
              <w:rPr>
                <w:b/>
                <w:sz w:val="22"/>
                <w:szCs w:val="22"/>
                <w:highlight w:val="none"/>
              </w:rPr>
            </w:pPr>
            <w:r>
              <w:rPr>
                <w:rFonts w:hint="eastAsia"/>
                <w:b/>
                <w:sz w:val="22"/>
                <w:szCs w:val="22"/>
                <w:highlight w:val="none"/>
              </w:rPr>
              <w:t>率</w:t>
            </w:r>
          </w:p>
          <w:p>
            <w:pPr>
              <w:rPr>
                <w:b/>
                <w:sz w:val="22"/>
                <w:szCs w:val="22"/>
                <w:highlight w:val="none"/>
              </w:rPr>
            </w:pPr>
            <w:r>
              <w:rPr>
                <w:rFonts w:hint="eastAsia"/>
                <w:b/>
                <w:sz w:val="22"/>
                <w:szCs w:val="22"/>
                <w:highlight w:val="none"/>
              </w:rPr>
              <w:t>中标金额（万元）</w:t>
            </w:r>
          </w:p>
        </w:tc>
        <w:tc>
          <w:tcPr>
            <w:tcW w:w="2067" w:type="dxa"/>
            <w:vAlign w:val="center"/>
          </w:tcPr>
          <w:p>
            <w:pPr>
              <w:jc w:val="center"/>
              <w:rPr>
                <w:b/>
                <w:sz w:val="22"/>
                <w:szCs w:val="22"/>
                <w:highlight w:val="none"/>
              </w:rPr>
            </w:pPr>
            <w:r>
              <w:rPr>
                <w:rFonts w:hint="eastAsia"/>
                <w:b/>
                <w:sz w:val="22"/>
                <w:szCs w:val="22"/>
                <w:highlight w:val="none"/>
              </w:rPr>
              <w:t>货物招标</w:t>
            </w:r>
          </w:p>
        </w:tc>
        <w:tc>
          <w:tcPr>
            <w:tcW w:w="2067" w:type="dxa"/>
            <w:vAlign w:val="center"/>
          </w:tcPr>
          <w:p>
            <w:pPr>
              <w:jc w:val="center"/>
              <w:rPr>
                <w:b/>
                <w:sz w:val="22"/>
                <w:szCs w:val="22"/>
                <w:highlight w:val="none"/>
              </w:rPr>
            </w:pPr>
            <w:r>
              <w:rPr>
                <w:rFonts w:hint="eastAsia"/>
                <w:b/>
                <w:sz w:val="22"/>
                <w:szCs w:val="22"/>
                <w:highlight w:val="none"/>
              </w:rPr>
              <w:t>服务招标</w:t>
            </w:r>
          </w:p>
        </w:tc>
        <w:tc>
          <w:tcPr>
            <w:tcW w:w="2067" w:type="dxa"/>
            <w:vAlign w:val="center"/>
          </w:tcPr>
          <w:p>
            <w:pPr>
              <w:jc w:val="center"/>
              <w:rPr>
                <w:b/>
                <w:sz w:val="22"/>
                <w:szCs w:val="22"/>
                <w:highlight w:val="none"/>
              </w:rPr>
            </w:pPr>
            <w:r>
              <w:rPr>
                <w:rFonts w:hint="eastAsia"/>
                <w:b/>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highlight w:val="none"/>
              </w:rPr>
            </w:pPr>
            <w:r>
              <w:rPr>
                <w:sz w:val="22"/>
                <w:szCs w:val="22"/>
                <w:highlight w:val="none"/>
              </w:rPr>
              <w:t>100</w:t>
            </w:r>
            <w:r>
              <w:rPr>
                <w:rFonts w:hint="eastAsia"/>
                <w:sz w:val="22"/>
                <w:szCs w:val="22"/>
                <w:highlight w:val="none"/>
              </w:rPr>
              <w:t>以下</w:t>
            </w:r>
          </w:p>
        </w:tc>
        <w:tc>
          <w:tcPr>
            <w:tcW w:w="2067" w:type="dxa"/>
          </w:tcPr>
          <w:p>
            <w:pPr>
              <w:jc w:val="center"/>
              <w:rPr>
                <w:sz w:val="22"/>
                <w:szCs w:val="22"/>
                <w:highlight w:val="none"/>
              </w:rPr>
            </w:pPr>
            <w:r>
              <w:rPr>
                <w:sz w:val="22"/>
                <w:szCs w:val="22"/>
                <w:highlight w:val="none"/>
              </w:rPr>
              <w:t>1.5%</w:t>
            </w:r>
          </w:p>
        </w:tc>
        <w:tc>
          <w:tcPr>
            <w:tcW w:w="2067" w:type="dxa"/>
          </w:tcPr>
          <w:p>
            <w:pPr>
              <w:jc w:val="center"/>
              <w:rPr>
                <w:sz w:val="22"/>
                <w:szCs w:val="22"/>
                <w:highlight w:val="none"/>
              </w:rPr>
            </w:pPr>
            <w:r>
              <w:rPr>
                <w:sz w:val="22"/>
                <w:szCs w:val="22"/>
                <w:highlight w:val="none"/>
              </w:rPr>
              <w:t>1.5%</w:t>
            </w:r>
          </w:p>
        </w:tc>
        <w:tc>
          <w:tcPr>
            <w:tcW w:w="2067" w:type="dxa"/>
          </w:tcPr>
          <w:p>
            <w:pPr>
              <w:jc w:val="center"/>
              <w:rPr>
                <w:sz w:val="22"/>
                <w:szCs w:val="22"/>
                <w:highlight w:val="none"/>
              </w:rPr>
            </w:pPr>
            <w:r>
              <w:rPr>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highlight w:val="none"/>
              </w:rPr>
            </w:pPr>
            <w:r>
              <w:rPr>
                <w:sz w:val="22"/>
                <w:szCs w:val="22"/>
                <w:highlight w:val="none"/>
              </w:rPr>
              <w:t>100-500</w:t>
            </w:r>
          </w:p>
        </w:tc>
        <w:tc>
          <w:tcPr>
            <w:tcW w:w="2067" w:type="dxa"/>
          </w:tcPr>
          <w:p>
            <w:pPr>
              <w:jc w:val="center"/>
              <w:rPr>
                <w:sz w:val="22"/>
                <w:szCs w:val="22"/>
                <w:highlight w:val="none"/>
              </w:rPr>
            </w:pPr>
            <w:r>
              <w:rPr>
                <w:sz w:val="22"/>
                <w:szCs w:val="22"/>
                <w:highlight w:val="none"/>
              </w:rPr>
              <w:t>1.1%</w:t>
            </w:r>
          </w:p>
        </w:tc>
        <w:tc>
          <w:tcPr>
            <w:tcW w:w="2067" w:type="dxa"/>
          </w:tcPr>
          <w:p>
            <w:pPr>
              <w:jc w:val="center"/>
              <w:rPr>
                <w:sz w:val="22"/>
                <w:szCs w:val="22"/>
                <w:highlight w:val="none"/>
              </w:rPr>
            </w:pPr>
            <w:r>
              <w:rPr>
                <w:sz w:val="22"/>
                <w:szCs w:val="22"/>
                <w:highlight w:val="none"/>
              </w:rPr>
              <w:t>0.8%</w:t>
            </w:r>
          </w:p>
        </w:tc>
        <w:tc>
          <w:tcPr>
            <w:tcW w:w="2067" w:type="dxa"/>
          </w:tcPr>
          <w:p>
            <w:pPr>
              <w:jc w:val="center"/>
              <w:rPr>
                <w:sz w:val="22"/>
                <w:szCs w:val="22"/>
                <w:highlight w:val="none"/>
              </w:rPr>
            </w:pPr>
            <w:r>
              <w:rPr>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highlight w:val="none"/>
              </w:rPr>
            </w:pPr>
            <w:r>
              <w:rPr>
                <w:sz w:val="22"/>
                <w:szCs w:val="22"/>
                <w:highlight w:val="none"/>
              </w:rPr>
              <w:t>500-1000</w:t>
            </w:r>
          </w:p>
        </w:tc>
        <w:tc>
          <w:tcPr>
            <w:tcW w:w="2067" w:type="dxa"/>
          </w:tcPr>
          <w:p>
            <w:pPr>
              <w:jc w:val="center"/>
              <w:rPr>
                <w:sz w:val="22"/>
                <w:szCs w:val="22"/>
                <w:highlight w:val="none"/>
              </w:rPr>
            </w:pPr>
            <w:r>
              <w:rPr>
                <w:sz w:val="22"/>
                <w:szCs w:val="22"/>
                <w:highlight w:val="none"/>
              </w:rPr>
              <w:t>0.8%</w:t>
            </w:r>
          </w:p>
        </w:tc>
        <w:tc>
          <w:tcPr>
            <w:tcW w:w="2067" w:type="dxa"/>
          </w:tcPr>
          <w:p>
            <w:pPr>
              <w:jc w:val="center"/>
              <w:rPr>
                <w:sz w:val="22"/>
                <w:szCs w:val="22"/>
                <w:highlight w:val="none"/>
              </w:rPr>
            </w:pPr>
            <w:r>
              <w:rPr>
                <w:sz w:val="22"/>
                <w:szCs w:val="22"/>
                <w:highlight w:val="none"/>
              </w:rPr>
              <w:t>0.45%</w:t>
            </w:r>
          </w:p>
        </w:tc>
        <w:tc>
          <w:tcPr>
            <w:tcW w:w="2067" w:type="dxa"/>
          </w:tcPr>
          <w:p>
            <w:pPr>
              <w:jc w:val="center"/>
              <w:rPr>
                <w:sz w:val="22"/>
                <w:szCs w:val="22"/>
                <w:highlight w:val="none"/>
              </w:rPr>
            </w:pPr>
            <w:r>
              <w:rPr>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highlight w:val="none"/>
              </w:rPr>
            </w:pPr>
            <w:r>
              <w:rPr>
                <w:sz w:val="22"/>
                <w:szCs w:val="22"/>
                <w:highlight w:val="none"/>
              </w:rPr>
              <w:t>1000-5000</w:t>
            </w:r>
          </w:p>
        </w:tc>
        <w:tc>
          <w:tcPr>
            <w:tcW w:w="2067" w:type="dxa"/>
          </w:tcPr>
          <w:p>
            <w:pPr>
              <w:jc w:val="center"/>
              <w:rPr>
                <w:sz w:val="22"/>
                <w:szCs w:val="22"/>
                <w:highlight w:val="none"/>
              </w:rPr>
            </w:pPr>
            <w:r>
              <w:rPr>
                <w:sz w:val="22"/>
                <w:szCs w:val="22"/>
                <w:highlight w:val="none"/>
              </w:rPr>
              <w:t>0.5%</w:t>
            </w:r>
          </w:p>
        </w:tc>
        <w:tc>
          <w:tcPr>
            <w:tcW w:w="2067" w:type="dxa"/>
          </w:tcPr>
          <w:p>
            <w:pPr>
              <w:jc w:val="center"/>
              <w:rPr>
                <w:sz w:val="22"/>
                <w:szCs w:val="22"/>
                <w:highlight w:val="none"/>
              </w:rPr>
            </w:pPr>
            <w:r>
              <w:rPr>
                <w:sz w:val="22"/>
                <w:szCs w:val="22"/>
                <w:highlight w:val="none"/>
              </w:rPr>
              <w:t>0.25%</w:t>
            </w:r>
          </w:p>
        </w:tc>
        <w:tc>
          <w:tcPr>
            <w:tcW w:w="2067" w:type="dxa"/>
          </w:tcPr>
          <w:p>
            <w:pPr>
              <w:jc w:val="center"/>
              <w:rPr>
                <w:sz w:val="22"/>
                <w:szCs w:val="22"/>
                <w:highlight w:val="none"/>
              </w:rPr>
            </w:pPr>
            <w:r>
              <w:rPr>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highlight w:val="none"/>
              </w:rPr>
            </w:pPr>
            <w:r>
              <w:rPr>
                <w:sz w:val="22"/>
                <w:szCs w:val="22"/>
                <w:highlight w:val="none"/>
              </w:rPr>
              <w:t>5000-10000</w:t>
            </w:r>
          </w:p>
        </w:tc>
        <w:tc>
          <w:tcPr>
            <w:tcW w:w="2067" w:type="dxa"/>
          </w:tcPr>
          <w:p>
            <w:pPr>
              <w:jc w:val="center"/>
              <w:rPr>
                <w:sz w:val="22"/>
                <w:szCs w:val="22"/>
                <w:highlight w:val="none"/>
              </w:rPr>
            </w:pPr>
            <w:r>
              <w:rPr>
                <w:sz w:val="22"/>
                <w:szCs w:val="22"/>
                <w:highlight w:val="none"/>
              </w:rPr>
              <w:t>0.25%</w:t>
            </w:r>
          </w:p>
        </w:tc>
        <w:tc>
          <w:tcPr>
            <w:tcW w:w="2067" w:type="dxa"/>
          </w:tcPr>
          <w:p>
            <w:pPr>
              <w:jc w:val="center"/>
              <w:rPr>
                <w:sz w:val="22"/>
                <w:szCs w:val="22"/>
                <w:highlight w:val="none"/>
              </w:rPr>
            </w:pPr>
            <w:r>
              <w:rPr>
                <w:sz w:val="22"/>
                <w:szCs w:val="22"/>
                <w:highlight w:val="none"/>
              </w:rPr>
              <w:t>0.1%</w:t>
            </w:r>
          </w:p>
        </w:tc>
        <w:tc>
          <w:tcPr>
            <w:tcW w:w="2067" w:type="dxa"/>
          </w:tcPr>
          <w:p>
            <w:pPr>
              <w:jc w:val="center"/>
              <w:rPr>
                <w:sz w:val="22"/>
                <w:szCs w:val="22"/>
                <w:highlight w:val="none"/>
              </w:rPr>
            </w:pPr>
            <w:r>
              <w:rPr>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highlight w:val="none"/>
              </w:rPr>
            </w:pPr>
            <w:r>
              <w:rPr>
                <w:sz w:val="22"/>
                <w:szCs w:val="22"/>
                <w:highlight w:val="none"/>
              </w:rPr>
              <w:t>10000-100000</w:t>
            </w:r>
          </w:p>
        </w:tc>
        <w:tc>
          <w:tcPr>
            <w:tcW w:w="2067" w:type="dxa"/>
          </w:tcPr>
          <w:p>
            <w:pPr>
              <w:jc w:val="center"/>
              <w:rPr>
                <w:sz w:val="22"/>
                <w:szCs w:val="22"/>
                <w:highlight w:val="none"/>
              </w:rPr>
            </w:pPr>
            <w:r>
              <w:rPr>
                <w:sz w:val="22"/>
                <w:szCs w:val="22"/>
                <w:highlight w:val="none"/>
              </w:rPr>
              <w:t>0.05%</w:t>
            </w:r>
          </w:p>
        </w:tc>
        <w:tc>
          <w:tcPr>
            <w:tcW w:w="2067" w:type="dxa"/>
          </w:tcPr>
          <w:p>
            <w:pPr>
              <w:jc w:val="center"/>
              <w:rPr>
                <w:sz w:val="22"/>
                <w:szCs w:val="22"/>
                <w:highlight w:val="none"/>
              </w:rPr>
            </w:pPr>
            <w:r>
              <w:rPr>
                <w:sz w:val="22"/>
                <w:szCs w:val="22"/>
                <w:highlight w:val="none"/>
              </w:rPr>
              <w:t>0.05%</w:t>
            </w:r>
          </w:p>
        </w:tc>
        <w:tc>
          <w:tcPr>
            <w:tcW w:w="2067" w:type="dxa"/>
          </w:tcPr>
          <w:p>
            <w:pPr>
              <w:jc w:val="center"/>
              <w:rPr>
                <w:sz w:val="22"/>
                <w:szCs w:val="22"/>
                <w:highlight w:val="none"/>
              </w:rPr>
            </w:pPr>
            <w:r>
              <w:rPr>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sz w:val="22"/>
                <w:szCs w:val="22"/>
                <w:highlight w:val="none"/>
              </w:rPr>
            </w:pPr>
            <w:r>
              <w:rPr>
                <w:sz w:val="22"/>
                <w:szCs w:val="22"/>
                <w:highlight w:val="none"/>
              </w:rPr>
              <w:t>100000</w:t>
            </w:r>
            <w:r>
              <w:rPr>
                <w:rFonts w:hint="eastAsia"/>
                <w:sz w:val="22"/>
                <w:szCs w:val="22"/>
                <w:highlight w:val="none"/>
              </w:rPr>
              <w:t>以上</w:t>
            </w:r>
          </w:p>
        </w:tc>
        <w:tc>
          <w:tcPr>
            <w:tcW w:w="2067" w:type="dxa"/>
          </w:tcPr>
          <w:p>
            <w:pPr>
              <w:jc w:val="center"/>
              <w:rPr>
                <w:sz w:val="22"/>
                <w:szCs w:val="22"/>
                <w:highlight w:val="none"/>
              </w:rPr>
            </w:pPr>
            <w:r>
              <w:rPr>
                <w:sz w:val="22"/>
                <w:szCs w:val="22"/>
                <w:highlight w:val="none"/>
              </w:rPr>
              <w:t>0.01%</w:t>
            </w:r>
          </w:p>
        </w:tc>
        <w:tc>
          <w:tcPr>
            <w:tcW w:w="2067" w:type="dxa"/>
          </w:tcPr>
          <w:p>
            <w:pPr>
              <w:jc w:val="center"/>
              <w:rPr>
                <w:sz w:val="22"/>
                <w:szCs w:val="22"/>
                <w:highlight w:val="none"/>
              </w:rPr>
            </w:pPr>
            <w:r>
              <w:rPr>
                <w:sz w:val="22"/>
                <w:szCs w:val="22"/>
                <w:highlight w:val="none"/>
              </w:rPr>
              <w:t>0.01%</w:t>
            </w:r>
          </w:p>
        </w:tc>
        <w:tc>
          <w:tcPr>
            <w:tcW w:w="2067" w:type="dxa"/>
          </w:tcPr>
          <w:p>
            <w:pPr>
              <w:jc w:val="center"/>
              <w:rPr>
                <w:sz w:val="22"/>
                <w:szCs w:val="22"/>
                <w:highlight w:val="none"/>
              </w:rPr>
            </w:pPr>
            <w:r>
              <w:rPr>
                <w:sz w:val="22"/>
                <w:szCs w:val="22"/>
                <w:highlight w:val="none"/>
              </w:rPr>
              <w:t>0.01%</w:t>
            </w:r>
          </w:p>
        </w:tc>
      </w:tr>
    </w:tbl>
    <w:p>
      <w:pPr>
        <w:pStyle w:val="14"/>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（四）特别说明</w:t>
      </w:r>
    </w:p>
    <w:p>
      <w:pPr>
        <w:pStyle w:val="14"/>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pP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pPr>
        <w:pStyle w:val="57"/>
        <w:snapToGrid w:val="0"/>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w:t>
      </w:r>
      <w:r>
        <w:rPr>
          <w:rFonts w:ascii="宋体" w:cs="宋体"/>
          <w:sz w:val="24"/>
          <w:szCs w:val="24"/>
          <w:highlight w:val="none"/>
        </w:rPr>
        <w:t>,</w:t>
      </w:r>
      <w:r>
        <w:rPr>
          <w:rFonts w:hint="eastAsia" w:ascii="宋体" w:hAnsi="宋体" w:cs="宋体"/>
          <w:sz w:val="24"/>
          <w:szCs w:val="24"/>
          <w:highlight w:val="none"/>
        </w:rPr>
        <w:t>其投标无效，并报监管部门查处；中标后发现的</w:t>
      </w:r>
      <w:r>
        <w:rPr>
          <w:rFonts w:ascii="宋体" w:cs="宋体"/>
          <w:sz w:val="24"/>
          <w:szCs w:val="24"/>
          <w:highlight w:val="none"/>
        </w:rPr>
        <w:t>,</w:t>
      </w:r>
      <w:r>
        <w:rPr>
          <w:rFonts w:hint="eastAsia" w:ascii="宋体" w:hAnsi="宋体" w:cs="宋体"/>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、投标文件格式中的表格式样可以根据项目差别做适当调整</w:t>
      </w:r>
      <w:r>
        <w:rPr>
          <w:rFonts w:ascii="宋体" w:cs="宋体"/>
          <w:b w:val="0"/>
          <w:bCs w:val="0"/>
          <w:sz w:val="24"/>
          <w:szCs w:val="24"/>
          <w:highlight w:val="none"/>
        </w:rPr>
        <w:t>,</w:t>
      </w:r>
      <w:r>
        <w:rPr>
          <w:rFonts w:hint="eastAsia" w:ascii="宋体" w:hAnsi="宋体" w:cs="宋体"/>
          <w:b w:val="0"/>
          <w:bCs w:val="0"/>
          <w:sz w:val="24"/>
          <w:szCs w:val="24"/>
          <w:highlight w:val="none"/>
        </w:rPr>
        <w:t>但应当保持表格样式基本形态不变。</w:t>
      </w:r>
    </w:p>
    <w:p>
      <w:pPr>
        <w:pStyle w:val="4"/>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（二）招标文件的澄清或修改</w:t>
      </w:r>
      <w:r>
        <w:rPr>
          <w:rFonts w:ascii="宋体" w:hAnsi="宋体" w:cs="宋体"/>
          <w:kern w:val="0"/>
          <w:sz w:val="24"/>
          <w:szCs w:val="24"/>
          <w:highlight w:val="none"/>
        </w:rPr>
        <w:t xml:space="preserve"> </w:t>
      </w:r>
    </w:p>
    <w:p>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w:t>
      </w:r>
      <w:r>
        <w:rPr>
          <w:rFonts w:ascii="宋体" w:cs="宋体"/>
          <w:kern w:val="0"/>
          <w:sz w:val="24"/>
          <w:szCs w:val="24"/>
          <w:highlight w:val="none"/>
        </w:rPr>
        <w:t>,</w:t>
      </w:r>
      <w:r>
        <w:rPr>
          <w:rFonts w:hint="eastAsia" w:ascii="宋体" w:hAnsi="宋体" w:cs="宋体"/>
          <w:kern w:val="0"/>
          <w:sz w:val="24"/>
          <w:szCs w:val="24"/>
          <w:highlight w:val="none"/>
        </w:rPr>
        <w:t>但不得改变采购标的和资格条件。澄清或者修改应当在原公告发布媒体上发布澄清公告。澄清或者修改的内容为招标文件的组成部分。</w:t>
      </w:r>
    </w:p>
    <w:p>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r>
        <w:rPr>
          <w:rFonts w:ascii="宋体" w:hAnsi="宋体" w:cs="宋体"/>
          <w:kern w:val="0"/>
          <w:sz w:val="24"/>
          <w:szCs w:val="24"/>
          <w:highlight w:val="none"/>
        </w:rPr>
        <w:t xml:space="preserve"> </w:t>
      </w:r>
    </w:p>
    <w:p>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pPr>
        <w:autoSpaceDE w:val="0"/>
        <w:autoSpaceDN w:val="0"/>
        <w:adjustRightInd w:val="0"/>
        <w:spacing w:line="440" w:lineRule="exact"/>
        <w:ind w:firstLine="480" w:firstLineChars="200"/>
        <w:rPr>
          <w:rFonts w:ascii="宋体" w:cs="宋体"/>
          <w:b/>
          <w:bCs/>
          <w:sz w:val="24"/>
          <w:szCs w:val="24"/>
          <w:highlight w:val="none"/>
          <w:lang w:val="zh-CN"/>
        </w:rPr>
      </w:pPr>
      <w:r>
        <w:rPr>
          <w:rFonts w:hint="eastAsia" w:ascii="宋体" w:cs="宋体"/>
          <w:b/>
          <w:bCs/>
          <w:sz w:val="24"/>
          <w:szCs w:val="24"/>
          <w:highlight w:val="none"/>
          <w:lang w:val="zh-CN"/>
        </w:rPr>
        <w:t>（一）投标文件的形式和效力：</w:t>
      </w:r>
    </w:p>
    <w:p>
      <w:pPr>
        <w:autoSpaceDE w:val="0"/>
        <w:autoSpaceDN w:val="0"/>
        <w:adjustRightInd w:val="0"/>
        <w:spacing w:line="440" w:lineRule="exact"/>
        <w:ind w:firstLine="480" w:firstLineChars="200"/>
        <w:rPr>
          <w:rFonts w:ascii="宋体" w:cs="宋体"/>
          <w:b/>
          <w:bCs/>
          <w:sz w:val="24"/>
          <w:szCs w:val="24"/>
          <w:highlight w:val="none"/>
          <w:lang w:val="zh-CN"/>
        </w:rPr>
      </w:pPr>
      <w:r>
        <w:rPr>
          <w:rFonts w:ascii="宋体" w:cs="宋体"/>
          <w:b/>
          <w:bCs/>
          <w:sz w:val="24"/>
          <w:szCs w:val="24"/>
          <w:highlight w:val="none"/>
          <w:lang w:val="zh-CN"/>
        </w:rPr>
        <w:t>1</w:t>
      </w:r>
      <w:r>
        <w:rPr>
          <w:rFonts w:hint="eastAsia" w:ascii="宋体" w:cs="宋体"/>
          <w:b/>
          <w:bCs/>
          <w:sz w:val="24"/>
          <w:szCs w:val="24"/>
          <w:highlight w:val="none"/>
          <w:lang w:val="zh-CN"/>
        </w:rPr>
        <w:t>、投标文件的形式：</w:t>
      </w:r>
    </w:p>
    <w:p>
      <w:pPr>
        <w:snapToGri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电子投标文件（包括“电子加密投标文件”和“备份投标文件”，在投标文件编制完成后同时生成）；</w:t>
      </w:r>
    </w:p>
    <w:p>
      <w:pPr>
        <w:snapToGri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1</w:t>
      </w:r>
      <w:r>
        <w:rPr>
          <w:rFonts w:hint="eastAsia" w:ascii="宋体" w:hAnsi="宋体" w:cs="宋体"/>
          <w:kern w:val="0"/>
          <w:sz w:val="24"/>
          <w:szCs w:val="24"/>
          <w:highlight w:val="none"/>
          <w:lang w:val="zh-CN"/>
        </w:rPr>
        <w:t>）“电子加密投标文件”是指通过“政采云电子交易客户端”完成投标文件编制后生成并加密的数据电文形式的投标文件。</w:t>
      </w:r>
    </w:p>
    <w:p>
      <w:pPr>
        <w:snapToGri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2</w:t>
      </w:r>
      <w:r>
        <w:rPr>
          <w:rFonts w:hint="eastAsia" w:ascii="宋体" w:hAnsi="宋体" w:cs="宋体"/>
          <w:kern w:val="0"/>
          <w:sz w:val="24"/>
          <w:szCs w:val="24"/>
          <w:highlight w:val="none"/>
          <w:lang w:val="zh-CN"/>
        </w:rPr>
        <w:t>）“备份投标文件”是指与“电子加密投标文件”同时生成的数据电文形式的电子文件（备份标书），其他方式编制的“备份投标文件”视为无效“备份投标文件”。</w:t>
      </w:r>
    </w:p>
    <w:p>
      <w:pPr>
        <w:autoSpaceDE w:val="0"/>
        <w:autoSpaceDN w:val="0"/>
        <w:adjustRightInd w:val="0"/>
        <w:spacing w:line="440" w:lineRule="exact"/>
        <w:ind w:firstLine="480" w:firstLineChars="200"/>
        <w:rPr>
          <w:rFonts w:ascii="宋体" w:cs="宋体"/>
          <w:b/>
          <w:bCs/>
          <w:sz w:val="24"/>
          <w:szCs w:val="24"/>
          <w:highlight w:val="none"/>
          <w:lang w:val="zh-CN"/>
        </w:rPr>
      </w:pPr>
      <w:r>
        <w:rPr>
          <w:rFonts w:ascii="宋体" w:cs="宋体"/>
          <w:b/>
          <w:bCs/>
          <w:sz w:val="24"/>
          <w:szCs w:val="24"/>
          <w:highlight w:val="none"/>
        </w:rPr>
        <w:t>2</w:t>
      </w:r>
      <w:r>
        <w:rPr>
          <w:rFonts w:hint="eastAsia" w:ascii="宋体" w:cs="宋体"/>
          <w:b/>
          <w:bCs/>
          <w:sz w:val="24"/>
          <w:szCs w:val="24"/>
          <w:highlight w:val="none"/>
        </w:rPr>
        <w:t>、</w:t>
      </w:r>
      <w:r>
        <w:rPr>
          <w:rFonts w:hint="eastAsia" w:ascii="宋体" w:cs="宋体"/>
          <w:b/>
          <w:bCs/>
          <w:sz w:val="24"/>
          <w:szCs w:val="24"/>
          <w:highlight w:val="none"/>
          <w:lang w:val="zh-CN"/>
        </w:rPr>
        <w:t>投标文件的效力：</w:t>
      </w:r>
    </w:p>
    <w:p>
      <w:pPr>
        <w:snapToGri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1</w:t>
      </w:r>
      <w:r>
        <w:rPr>
          <w:rFonts w:hint="eastAsia" w:ascii="宋体" w:hAnsi="宋体" w:cs="宋体"/>
          <w:kern w:val="0"/>
          <w:sz w:val="24"/>
          <w:szCs w:val="24"/>
          <w:highlight w:val="none"/>
          <w:lang w:val="zh-CN"/>
        </w:rPr>
        <w:t>）投标文件的启用，按先后顺位分别为“电子加密投标文件”、“备份投标文件”。</w:t>
      </w:r>
    </w:p>
    <w:p>
      <w:pPr>
        <w:snapToGri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2</w:t>
      </w:r>
      <w:r>
        <w:rPr>
          <w:rFonts w:hint="eastAsia" w:ascii="宋体" w:hAnsi="宋体" w:cs="宋体"/>
          <w:kern w:val="0"/>
          <w:sz w:val="24"/>
          <w:szCs w:val="24"/>
          <w:highlight w:val="none"/>
          <w:lang w:val="zh-CN"/>
        </w:rPr>
        <w:t>）通过“政府采购云平台”上传递交的“电子加密投标文件”已按时解密的，“备份投标文件”自动失效。</w:t>
      </w:r>
    </w:p>
    <w:p>
      <w:pPr>
        <w:snapToGri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）通过“政府采购云平台”上传递交的“电子加密投标文件”无法按时解密，投标供应商递交了“备份投标文件”的，以“备份投标文件”为依据；未提交“备份投标文件”的，视为无效投标。</w:t>
      </w:r>
    </w:p>
    <w:p>
      <w:pPr>
        <w:snapToGri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4</w:t>
      </w:r>
      <w:r>
        <w:rPr>
          <w:rFonts w:hint="eastAsia" w:ascii="宋体" w:hAnsi="宋体" w:cs="宋体"/>
          <w:kern w:val="0"/>
          <w:sz w:val="24"/>
          <w:szCs w:val="24"/>
          <w:highlight w:val="none"/>
          <w:lang w:val="zh-CN"/>
        </w:rPr>
        <w:t>）投标供应商仅递交“备份投标文件”，未递交“电子加密投标文件”的，视为无效投标。</w:t>
      </w:r>
    </w:p>
    <w:p>
      <w:pPr>
        <w:autoSpaceDE w:val="0"/>
        <w:autoSpaceDN w:val="0"/>
        <w:adjustRightInd w:val="0"/>
        <w:spacing w:line="440" w:lineRule="exact"/>
        <w:ind w:firstLine="480"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pPr>
        <w:snapToGrid w:val="0"/>
        <w:spacing w:line="440" w:lineRule="exact"/>
        <w:ind w:firstLine="480" w:firstLineChars="200"/>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pPr>
        <w:widowControl/>
        <w:spacing w:line="440" w:lineRule="exact"/>
        <w:jc w:val="left"/>
        <w:rPr>
          <w:rFonts w:ascii="宋体"/>
          <w:b/>
          <w:bCs/>
          <w:sz w:val="24"/>
          <w:szCs w:val="24"/>
          <w:highlight w:val="none"/>
        </w:rPr>
      </w:pP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color w:val="FF0000"/>
          <w:kern w:val="0"/>
          <w:sz w:val="24"/>
          <w:highlight w:val="none"/>
        </w:rPr>
        <w:t>（未提供下列</w:t>
      </w:r>
      <w:r>
        <w:rPr>
          <w:rFonts w:hint="eastAsia" w:ascii="宋体" w:hAnsi="宋体" w:cs="宋体"/>
          <w:b/>
          <w:color w:val="FF0000"/>
          <w:kern w:val="0"/>
          <w:sz w:val="24"/>
          <w:highlight w:val="none"/>
          <w:lang w:eastAsia="zh-CN"/>
        </w:rPr>
        <w:t>标记“</w:t>
      </w:r>
      <w:r>
        <w:rPr>
          <w:rFonts w:hint="eastAsia" w:ascii="宋体" w:hAnsi="宋体" w:cs="宋体"/>
          <w:b/>
          <w:bCs/>
          <w:color w:val="auto"/>
          <w:sz w:val="24"/>
          <w:szCs w:val="24"/>
          <w:highlight w:val="none"/>
        </w:rPr>
        <w:t>▲</w:t>
      </w:r>
      <w:r>
        <w:rPr>
          <w:rFonts w:hint="eastAsia" w:ascii="宋体" w:hAnsi="宋体" w:cs="宋体"/>
          <w:b/>
          <w:color w:val="FF0000"/>
          <w:kern w:val="0"/>
          <w:sz w:val="24"/>
          <w:highlight w:val="none"/>
          <w:lang w:eastAsia="zh-CN"/>
        </w:rPr>
        <w:t>”</w:t>
      </w:r>
      <w:r>
        <w:rPr>
          <w:rFonts w:hint="eastAsia" w:ascii="宋体" w:hAnsi="宋体" w:cs="宋体"/>
          <w:b/>
          <w:color w:val="FF0000"/>
          <w:kern w:val="0"/>
          <w:sz w:val="24"/>
          <w:highlight w:val="none"/>
        </w:rPr>
        <w:t>材料的资格审查认定为无效）</w:t>
      </w:r>
    </w:p>
    <w:tbl>
      <w:tblPr>
        <w:tblStyle w:val="25"/>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846"/>
        <w:gridCol w:w="4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3846"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682"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cs="宋体"/>
                <w:sz w:val="24"/>
                <w:szCs w:val="24"/>
                <w:highlight w:val="none"/>
              </w:rPr>
            </w:pPr>
            <w:r>
              <w:rPr>
                <w:rFonts w:hint="eastAsia" w:ascii="宋体" w:hAnsi="宋体" w:cs="宋体"/>
                <w:b/>
                <w:bCs/>
                <w:color w:val="auto"/>
                <w:sz w:val="24"/>
                <w:szCs w:val="24"/>
                <w:highlight w:val="none"/>
              </w:rPr>
              <w:t>▲</w:t>
            </w:r>
            <w:r>
              <w:rPr>
                <w:rFonts w:ascii="宋体" w:hAnsi="宋体" w:cs="宋体"/>
                <w:sz w:val="24"/>
                <w:szCs w:val="24"/>
                <w:highlight w:val="none"/>
              </w:rPr>
              <w:t>1</w:t>
            </w:r>
          </w:p>
        </w:tc>
        <w:tc>
          <w:tcPr>
            <w:tcW w:w="384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投标声明书</w:t>
            </w:r>
          </w:p>
        </w:tc>
        <w:tc>
          <w:tcPr>
            <w:tcW w:w="4682"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3" w:type="dxa"/>
            <w:vAlign w:val="center"/>
          </w:tcPr>
          <w:p>
            <w:pPr>
              <w:widowControl/>
              <w:snapToGrid w:val="0"/>
              <w:spacing w:line="340" w:lineRule="exact"/>
              <w:jc w:val="center"/>
              <w:rPr>
                <w:rFonts w:ascii="宋体" w:cs="宋体"/>
                <w:sz w:val="24"/>
                <w:szCs w:val="24"/>
                <w:highlight w:val="none"/>
              </w:rPr>
            </w:pPr>
            <w:r>
              <w:rPr>
                <w:rFonts w:hint="eastAsia" w:ascii="宋体" w:hAnsi="宋体" w:cs="宋体"/>
                <w:b/>
                <w:bCs/>
                <w:color w:val="auto"/>
                <w:sz w:val="24"/>
                <w:szCs w:val="24"/>
                <w:highlight w:val="none"/>
              </w:rPr>
              <w:t>▲</w:t>
            </w:r>
            <w:r>
              <w:rPr>
                <w:rFonts w:ascii="宋体" w:hAnsi="宋体" w:cs="宋体"/>
                <w:sz w:val="24"/>
                <w:szCs w:val="24"/>
                <w:highlight w:val="none"/>
              </w:rPr>
              <w:t>2</w:t>
            </w:r>
          </w:p>
        </w:tc>
        <w:tc>
          <w:tcPr>
            <w:tcW w:w="384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法定代表人身份证明书（或授权委托书）</w:t>
            </w:r>
          </w:p>
        </w:tc>
        <w:tc>
          <w:tcPr>
            <w:tcW w:w="4682"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格式附后，如授权委托代理人的则需提供授权委托书。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cs="宋体"/>
                <w:sz w:val="24"/>
                <w:szCs w:val="24"/>
                <w:highlight w:val="none"/>
              </w:rPr>
            </w:pPr>
            <w:r>
              <w:rPr>
                <w:rFonts w:hint="eastAsia" w:ascii="宋体" w:hAnsi="宋体" w:cs="宋体"/>
                <w:b/>
                <w:bCs/>
                <w:color w:val="auto"/>
                <w:sz w:val="24"/>
                <w:szCs w:val="24"/>
                <w:highlight w:val="none"/>
              </w:rPr>
              <w:t>▲</w:t>
            </w:r>
            <w:r>
              <w:rPr>
                <w:rFonts w:hint="eastAsia" w:ascii="宋体" w:hAnsi="宋体" w:cs="宋体"/>
                <w:sz w:val="24"/>
                <w:szCs w:val="24"/>
                <w:highlight w:val="none"/>
              </w:rPr>
              <w:t>3</w:t>
            </w:r>
          </w:p>
        </w:tc>
        <w:tc>
          <w:tcPr>
            <w:tcW w:w="384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法人或者其他组织的营业执照等证明文件，自然人的身份证明</w:t>
            </w:r>
          </w:p>
        </w:tc>
        <w:tc>
          <w:tcPr>
            <w:tcW w:w="4682"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eastAsia="宋体" w:cs="宋体"/>
                <w:sz w:val="24"/>
                <w:szCs w:val="24"/>
                <w:highlight w:val="none"/>
                <w:lang w:eastAsia="zh-CN"/>
              </w:rPr>
            </w:pPr>
            <w:r>
              <w:rPr>
                <w:rFonts w:hint="eastAsia" w:ascii="宋体" w:hAnsi="宋体" w:cs="宋体"/>
                <w:b/>
                <w:bCs/>
                <w:color w:val="auto"/>
                <w:sz w:val="24"/>
                <w:szCs w:val="24"/>
                <w:highlight w:val="none"/>
              </w:rPr>
              <w:t>▲</w:t>
            </w:r>
            <w:r>
              <w:rPr>
                <w:rFonts w:hint="eastAsia" w:ascii="宋体" w:hAnsi="宋体" w:cs="宋体"/>
                <w:sz w:val="24"/>
                <w:szCs w:val="24"/>
                <w:highlight w:val="none"/>
                <w:lang w:val="en-US" w:eastAsia="zh-CN"/>
              </w:rPr>
              <w:t>4</w:t>
            </w:r>
          </w:p>
        </w:tc>
        <w:tc>
          <w:tcPr>
            <w:tcW w:w="384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具备履行合同所必需的设备和专业技术能力的证明材料</w:t>
            </w:r>
          </w:p>
        </w:tc>
        <w:tc>
          <w:tcPr>
            <w:tcW w:w="4682"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sz w:val="24"/>
                <w:szCs w:val="24"/>
                <w:highlight w:val="none"/>
                <w:lang w:eastAsia="zh-CN"/>
              </w:rPr>
            </w:pPr>
            <w:r>
              <w:rPr>
                <w:rFonts w:hint="eastAsia" w:ascii="宋体" w:hAnsi="宋体" w:cs="宋体"/>
                <w:b/>
                <w:bCs/>
                <w:color w:val="auto"/>
                <w:sz w:val="24"/>
                <w:szCs w:val="24"/>
                <w:highlight w:val="none"/>
              </w:rPr>
              <w:t>▲</w:t>
            </w:r>
            <w:r>
              <w:rPr>
                <w:rFonts w:hint="eastAsia" w:ascii="宋体" w:hAnsi="宋体" w:cs="宋体"/>
                <w:sz w:val="24"/>
                <w:szCs w:val="24"/>
                <w:highlight w:val="none"/>
                <w:lang w:val="en-US" w:eastAsia="zh-CN"/>
              </w:rPr>
              <w:t>5</w:t>
            </w:r>
          </w:p>
        </w:tc>
        <w:tc>
          <w:tcPr>
            <w:tcW w:w="3846" w:type="dxa"/>
            <w:vAlign w:val="center"/>
          </w:tcPr>
          <w:p>
            <w:pPr>
              <w:widowControl/>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投标人的《中小企业声明函（服务）》等</w:t>
            </w:r>
            <w:r>
              <w:rPr>
                <w:rFonts w:hint="eastAsia" w:ascii="宋体" w:hAnsi="宋体" w:cs="宋体"/>
                <w:kern w:val="0"/>
                <w:sz w:val="24"/>
                <w:szCs w:val="24"/>
                <w:highlight w:val="none"/>
                <w:lang w:val="zh-CN"/>
              </w:rPr>
              <w:t>相关证明材料</w:t>
            </w:r>
          </w:p>
        </w:tc>
        <w:tc>
          <w:tcPr>
            <w:tcW w:w="4682" w:type="dxa"/>
            <w:vAlign w:val="center"/>
          </w:tcPr>
          <w:p>
            <w:pPr>
              <w:widowControl/>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格式附后。</w:t>
            </w:r>
            <w:r>
              <w:rPr>
                <w:rFonts w:hint="eastAsia" w:ascii="宋体"/>
                <w:b/>
                <w:bCs/>
                <w:color w:val="FF0000"/>
                <w:sz w:val="24"/>
                <w:szCs w:val="24"/>
                <w:highlight w:val="none"/>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3846" w:type="dxa"/>
            <w:vAlign w:val="center"/>
          </w:tcPr>
          <w:p>
            <w:pPr>
              <w:widowControl/>
              <w:snapToGrid w:val="0"/>
              <w:spacing w:line="340" w:lineRule="exact"/>
              <w:rPr>
                <w:rFonts w:ascii="宋体" w:cs="宋体"/>
                <w:kern w:val="0"/>
                <w:sz w:val="24"/>
                <w:szCs w:val="24"/>
                <w:highlight w:val="none"/>
              </w:rPr>
            </w:pPr>
            <w:r>
              <w:rPr>
                <w:rFonts w:hint="eastAsia" w:ascii="宋体" w:cs="宋体"/>
                <w:kern w:val="0"/>
                <w:sz w:val="24"/>
                <w:szCs w:val="24"/>
                <w:highlight w:val="none"/>
              </w:rPr>
              <w:t>投标人认为需要提供的其它文件和资料</w:t>
            </w:r>
          </w:p>
        </w:tc>
        <w:tc>
          <w:tcPr>
            <w:tcW w:w="4682"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格式、内容自拟</w:t>
            </w:r>
          </w:p>
        </w:tc>
      </w:tr>
    </w:tbl>
    <w:p>
      <w:pPr>
        <w:snapToGrid w:val="0"/>
        <w:spacing w:line="440" w:lineRule="exact"/>
        <w:ind w:firstLine="480" w:firstLineChars="200"/>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5"/>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021"/>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822"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6021"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2636"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widowControl/>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6021"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投标人基本情况表</w:t>
            </w:r>
          </w:p>
        </w:tc>
        <w:tc>
          <w:tcPr>
            <w:tcW w:w="2636"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2</w:t>
            </w:r>
          </w:p>
        </w:tc>
        <w:tc>
          <w:tcPr>
            <w:tcW w:w="6021"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证书一览表</w:t>
            </w:r>
          </w:p>
        </w:tc>
        <w:tc>
          <w:tcPr>
            <w:tcW w:w="2636"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3</w:t>
            </w:r>
          </w:p>
        </w:tc>
        <w:tc>
          <w:tcPr>
            <w:tcW w:w="6021"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拟投入人员配备表</w:t>
            </w:r>
          </w:p>
        </w:tc>
        <w:tc>
          <w:tcPr>
            <w:tcW w:w="263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2" w:type="dxa"/>
            <w:vAlign w:val="center"/>
          </w:tcPr>
          <w:p>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4</w:t>
            </w:r>
          </w:p>
        </w:tc>
        <w:tc>
          <w:tcPr>
            <w:tcW w:w="6021"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类似业绩一览表</w:t>
            </w:r>
          </w:p>
        </w:tc>
        <w:tc>
          <w:tcPr>
            <w:tcW w:w="2636"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2" w:type="dxa"/>
            <w:vAlign w:val="center"/>
          </w:tcPr>
          <w:p>
            <w:pPr>
              <w:widowControl/>
              <w:snapToGrid w:val="0"/>
              <w:spacing w:line="340" w:lineRule="exact"/>
              <w:jc w:val="center"/>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6021"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类似项目情况表</w:t>
            </w:r>
          </w:p>
        </w:tc>
        <w:tc>
          <w:tcPr>
            <w:tcW w:w="2636"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2" w:type="dxa"/>
            <w:vAlign w:val="center"/>
          </w:tcPr>
          <w:p>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6</w:t>
            </w:r>
          </w:p>
        </w:tc>
        <w:tc>
          <w:tcPr>
            <w:tcW w:w="6021"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技术、商务响应表</w:t>
            </w:r>
          </w:p>
        </w:tc>
        <w:tc>
          <w:tcPr>
            <w:tcW w:w="2636"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vAlign w:val="center"/>
          </w:tcPr>
          <w:p>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7</w:t>
            </w:r>
          </w:p>
        </w:tc>
        <w:tc>
          <w:tcPr>
            <w:tcW w:w="6021"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投标人认为需要提供的其他资料，包括可能影响投标人商务技术文件评分的各类证明材料，</w:t>
            </w:r>
            <w:r>
              <w:rPr>
                <w:rFonts w:hint="eastAsia" w:ascii="宋体" w:hAnsi="宋体" w:cs="宋体"/>
                <w:b/>
                <w:bCs/>
                <w:color w:val="FF0000"/>
                <w:kern w:val="0"/>
                <w:sz w:val="24"/>
                <w:szCs w:val="24"/>
                <w:highlight w:val="none"/>
              </w:rPr>
              <w:t>请各投标单位按评分细则提供制作，重要！</w:t>
            </w:r>
          </w:p>
        </w:tc>
        <w:tc>
          <w:tcPr>
            <w:tcW w:w="2636"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格式、内容自拟</w:t>
            </w:r>
          </w:p>
        </w:tc>
      </w:tr>
    </w:tbl>
    <w:p>
      <w:pPr>
        <w:autoSpaceDE w:val="0"/>
        <w:autoSpaceDN w:val="0"/>
        <w:adjustRightInd w:val="0"/>
        <w:spacing w:line="360" w:lineRule="auto"/>
        <w:ind w:left="426" w:firstLine="64" w:firstLineChars="27"/>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5"/>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612"/>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2"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612"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3986" w:type="dxa"/>
            <w:vAlign w:val="center"/>
          </w:tcPr>
          <w:p>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612" w:type="dxa"/>
            <w:vAlign w:val="center"/>
          </w:tcPr>
          <w:p>
            <w:pPr>
              <w:widowControl/>
              <w:snapToGrid w:val="0"/>
              <w:spacing w:line="340" w:lineRule="exact"/>
              <w:rPr>
                <w:rFonts w:ascii="宋体" w:cs="宋体"/>
                <w:kern w:val="0"/>
                <w:sz w:val="24"/>
                <w:szCs w:val="24"/>
                <w:highlight w:val="none"/>
              </w:rPr>
            </w:pPr>
            <w:r>
              <w:rPr>
                <w:rFonts w:hint="eastAsia" w:ascii="宋体" w:cs="宋体"/>
                <w:kern w:val="0"/>
                <w:sz w:val="24"/>
                <w:szCs w:val="24"/>
                <w:highlight w:val="none"/>
              </w:rPr>
              <w:t>投标函</w:t>
            </w:r>
          </w:p>
        </w:tc>
        <w:tc>
          <w:tcPr>
            <w:tcW w:w="398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2" w:type="dxa"/>
            <w:vAlign w:val="center"/>
          </w:tcPr>
          <w:p>
            <w:pPr>
              <w:widowControl/>
              <w:snapToGrid w:val="0"/>
              <w:spacing w:line="340" w:lineRule="exact"/>
              <w:jc w:val="center"/>
              <w:rPr>
                <w:rFonts w:ascii="宋体" w:cs="宋体"/>
                <w:sz w:val="24"/>
                <w:szCs w:val="24"/>
                <w:highlight w:val="none"/>
              </w:rPr>
            </w:pPr>
            <w:r>
              <w:rPr>
                <w:rFonts w:ascii="宋体" w:hAnsi="宋体" w:cs="宋体"/>
                <w:sz w:val="24"/>
                <w:szCs w:val="24"/>
                <w:highlight w:val="none"/>
              </w:rPr>
              <w:t>2</w:t>
            </w:r>
          </w:p>
        </w:tc>
        <w:tc>
          <w:tcPr>
            <w:tcW w:w="4612"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开标一览表</w:t>
            </w:r>
          </w:p>
        </w:tc>
        <w:tc>
          <w:tcPr>
            <w:tcW w:w="398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ascii="宋体" w:cs="宋体"/>
                <w:sz w:val="24"/>
                <w:szCs w:val="24"/>
                <w:highlight w:val="none"/>
              </w:rPr>
            </w:pPr>
            <w:r>
              <w:rPr>
                <w:rFonts w:ascii="宋体" w:hAnsi="宋体" w:cs="宋体"/>
                <w:sz w:val="24"/>
                <w:szCs w:val="24"/>
                <w:highlight w:val="none"/>
              </w:rPr>
              <w:t>3</w:t>
            </w:r>
          </w:p>
        </w:tc>
        <w:tc>
          <w:tcPr>
            <w:tcW w:w="4612"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投标报价明细表</w:t>
            </w:r>
          </w:p>
        </w:tc>
        <w:tc>
          <w:tcPr>
            <w:tcW w:w="3986" w:type="dxa"/>
            <w:vAlign w:val="center"/>
          </w:tcPr>
          <w:p>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ascii="宋体" w:cs="宋体"/>
                <w:sz w:val="24"/>
                <w:szCs w:val="24"/>
                <w:highlight w:val="none"/>
              </w:rPr>
            </w:pPr>
            <w:r>
              <w:rPr>
                <w:rFonts w:hint="eastAsia" w:ascii="宋体" w:hAnsi="宋体" w:cs="宋体"/>
                <w:sz w:val="24"/>
                <w:szCs w:val="24"/>
                <w:highlight w:val="none"/>
              </w:rPr>
              <w:t>4</w:t>
            </w:r>
          </w:p>
        </w:tc>
        <w:tc>
          <w:tcPr>
            <w:tcW w:w="4612" w:type="dxa"/>
            <w:vAlign w:val="center"/>
          </w:tcPr>
          <w:p>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投标人认为需要提供的其它文件和资料</w:t>
            </w:r>
          </w:p>
        </w:tc>
        <w:tc>
          <w:tcPr>
            <w:tcW w:w="3986" w:type="dxa"/>
            <w:vAlign w:val="center"/>
          </w:tcPr>
          <w:p>
            <w:pPr>
              <w:widowControl/>
              <w:snapToGrid w:val="0"/>
              <w:spacing w:line="340" w:lineRule="exact"/>
              <w:rPr>
                <w:rFonts w:ascii="宋体" w:cs="宋体"/>
                <w:sz w:val="24"/>
                <w:szCs w:val="24"/>
                <w:highlight w:val="none"/>
              </w:rPr>
            </w:pPr>
            <w:r>
              <w:rPr>
                <w:rFonts w:hint="eastAsia" w:ascii="宋体" w:hAnsi="宋体" w:cs="宋体"/>
                <w:sz w:val="24"/>
                <w:szCs w:val="24"/>
                <w:highlight w:val="none"/>
              </w:rPr>
              <w:t>自行提供</w:t>
            </w:r>
          </w:p>
        </w:tc>
      </w:tr>
    </w:tbl>
    <w:p>
      <w:pP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（三）投标文件的制作、封装及递交要求</w:t>
      </w:r>
    </w:p>
    <w:p>
      <w:pPr>
        <w:autoSpaceDE w:val="0"/>
        <w:autoSpaceDN w:val="0"/>
        <w:adjustRightInd w:val="0"/>
        <w:spacing w:line="440" w:lineRule="exact"/>
        <w:ind w:firstLine="480" w:firstLineChars="200"/>
        <w:rPr>
          <w:rFonts w:ascii="宋体" w:cs="宋体"/>
          <w:b/>
          <w:bCs/>
          <w:sz w:val="24"/>
          <w:szCs w:val="24"/>
          <w:highlight w:val="none"/>
        </w:rPr>
      </w:pPr>
      <w:bookmarkStart w:id="5" w:name="_Toc17741"/>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）投标人应按照投标文件组成内容及项目采购需求制作投标文件，</w:t>
      </w:r>
      <w:r>
        <w:rPr>
          <w:rFonts w:hint="eastAsia" w:ascii="宋体" w:hAnsi="宋体" w:cs="宋体"/>
          <w:kern w:val="0"/>
          <w:sz w:val="24"/>
          <w:szCs w:val="24"/>
          <w:highlight w:val="none"/>
        </w:rPr>
        <w:t>不按招标文件要求制作投标文件的将视情处理，责任由投标人自行承担。</w:t>
      </w:r>
    </w:p>
    <w:p>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ascii="宋体" w:hAnsi="宋体" w:cs="宋体"/>
          <w:kern w:val="0"/>
          <w:sz w:val="24"/>
          <w:szCs w:val="24"/>
          <w:highlight w:val="none"/>
        </w:rPr>
        <w:t xml:space="preserve">     </w:t>
      </w:r>
    </w:p>
    <w:p>
      <w:pPr>
        <w:snapToGrid w:val="0"/>
        <w:spacing w:line="440" w:lineRule="exact"/>
        <w:ind w:firstLine="480" w:firstLineChars="200"/>
        <w:jc w:val="left"/>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pP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w:t>
      </w:r>
      <w:r>
        <w:rPr>
          <w:rFonts w:ascii="宋体" w:hAnsi="宋体" w:cs="宋体"/>
          <w:kern w:val="0"/>
          <w:sz w:val="24"/>
          <w:szCs w:val="24"/>
          <w:highlight w:val="none"/>
        </w:rPr>
        <w:t>1</w:t>
      </w:r>
      <w:r>
        <w:rPr>
          <w:rFonts w:hint="eastAsia" w:ascii="宋体" w:hAnsi="宋体" w:cs="宋体"/>
          <w:kern w:val="0"/>
          <w:sz w:val="24"/>
          <w:szCs w:val="24"/>
          <w:highlight w:val="none"/>
        </w:rPr>
        <w:t>）“电子加密投标文件”按政府采购云平台供应商项目采购</w:t>
      </w:r>
      <w:r>
        <w:rPr>
          <w:rFonts w:ascii="宋体" w:cs="宋体"/>
          <w:kern w:val="0"/>
          <w:sz w:val="24"/>
          <w:szCs w:val="24"/>
          <w:highlight w:val="none"/>
        </w:rPr>
        <w:t>-</w:t>
      </w:r>
      <w:r>
        <w:rPr>
          <w:rFonts w:hint="eastAsia" w:ascii="宋体" w:hAnsi="宋体" w:cs="宋体"/>
          <w:kern w:val="0"/>
          <w:sz w:val="24"/>
          <w:szCs w:val="24"/>
          <w:highlight w:val="none"/>
        </w:rPr>
        <w:t>电子招投标操作指南（网址：</w:t>
      </w:r>
      <w:r>
        <w:rPr>
          <w:rFonts w:ascii="宋体" w:hAnsi="宋体" w:cs="宋体"/>
          <w:kern w:val="0"/>
          <w:sz w:val="24"/>
          <w:szCs w:val="24"/>
          <w:highlight w:val="none"/>
        </w:rPr>
        <w:t>https://help.zcy.gov.cn/web/site_2/2018/12-28/2573.html</w:t>
      </w:r>
      <w:r>
        <w:rPr>
          <w:rFonts w:hint="eastAsia" w:ascii="宋体" w:hAnsi="宋体" w:cs="宋体"/>
          <w:kern w:val="0"/>
          <w:sz w:val="24"/>
          <w:szCs w:val="24"/>
          <w:highlight w:val="none"/>
        </w:rPr>
        <w:t>）及本招标文件要求制作、关联定位、加密。</w:t>
      </w:r>
    </w:p>
    <w:p>
      <w:pPr>
        <w:autoSpaceDE w:val="0"/>
        <w:autoSpaceDN w:val="0"/>
        <w:adjustRightInd w:val="0"/>
        <w:spacing w:line="440" w:lineRule="exact"/>
        <w:ind w:firstLine="480" w:firstLineChars="200"/>
        <w:rPr>
          <w:rFonts w:ascii="宋体" w:cs="宋体"/>
          <w:b/>
          <w:bCs/>
          <w:sz w:val="24"/>
          <w:szCs w:val="24"/>
          <w:highlight w:val="none"/>
          <w:lang w:val="zh-CN"/>
        </w:rPr>
      </w:pPr>
      <w:r>
        <w:rPr>
          <w:rFonts w:ascii="宋体" w:hAnsi="宋体" w:cs="宋体"/>
          <w:b/>
          <w:bCs/>
          <w:sz w:val="24"/>
          <w:szCs w:val="24"/>
          <w:highlight w:val="none"/>
        </w:rPr>
        <w:t>2</w:t>
      </w:r>
      <w:r>
        <w:rPr>
          <w:rFonts w:hint="eastAsia" w:ascii="宋体" w:hAnsi="宋体" w:cs="宋体"/>
          <w:b/>
          <w:bCs/>
          <w:sz w:val="24"/>
          <w:szCs w:val="24"/>
          <w:highlight w:val="none"/>
        </w:rPr>
        <w:t>、</w:t>
      </w:r>
      <w:r>
        <w:rPr>
          <w:rFonts w:hint="eastAsia" w:ascii="宋体" w:hAnsi="宋体" w:cs="宋体"/>
          <w:b/>
          <w:bCs/>
          <w:sz w:val="24"/>
          <w:szCs w:val="24"/>
          <w:highlight w:val="none"/>
          <w:lang w:val="zh-CN"/>
        </w:rPr>
        <w:t>投标文件的编制、签署、份数</w:t>
      </w:r>
    </w:p>
    <w:p>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1</w:t>
      </w:r>
      <w:r>
        <w:rPr>
          <w:rFonts w:hint="eastAsia" w:ascii="宋体" w:hAnsi="宋体" w:cs="宋体"/>
          <w:kern w:val="0"/>
          <w:sz w:val="24"/>
          <w:szCs w:val="24"/>
          <w:highlight w:val="none"/>
          <w:lang w:val="zh-CN"/>
        </w:rPr>
        <w:t>）投标文件包括“资格证明文件”、“商务技术文件”和“报价文件”三部分。投标人应按“政府采购云平台”供应商项目采购</w:t>
      </w:r>
      <w:r>
        <w:rPr>
          <w:rFonts w:ascii="宋体" w:cs="宋体"/>
          <w:kern w:val="0"/>
          <w:sz w:val="24"/>
          <w:szCs w:val="24"/>
          <w:highlight w:val="none"/>
          <w:lang w:val="zh-CN"/>
        </w:rPr>
        <w:t>-</w:t>
      </w:r>
      <w:r>
        <w:rPr>
          <w:rFonts w:hint="eastAsia" w:ascii="宋体" w:hAnsi="宋体" w:cs="宋体"/>
          <w:kern w:val="0"/>
          <w:sz w:val="24"/>
          <w:szCs w:val="24"/>
          <w:highlight w:val="none"/>
          <w:lang w:val="zh-CN"/>
        </w:rPr>
        <w:t>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ascii="宋体" w:hAnsi="宋体" w:cs="宋体"/>
          <w:kern w:val="0"/>
          <w:sz w:val="24"/>
          <w:szCs w:val="24"/>
          <w:highlight w:val="none"/>
          <w:lang w:val="zh-CN"/>
        </w:rPr>
        <w:t>https://help.zcy.gov.cn/web/site_2/2018/12-28/2573.html</w:t>
      </w:r>
      <w:r>
        <w:rPr>
          <w:rFonts w:hint="eastAsia" w:ascii="宋体" w:hAnsi="宋体" w:cs="宋体"/>
          <w:kern w:val="0"/>
          <w:sz w:val="24"/>
          <w:szCs w:val="24"/>
          <w:highlight w:val="none"/>
          <w:lang w:val="zh-CN"/>
        </w:rPr>
        <w:t>）及本招标文件要求制作</w:t>
      </w:r>
      <w:r>
        <w:rPr>
          <w:rFonts w:hint="eastAsia" w:ascii="宋体" w:hAnsi="宋体" w:cs="宋体"/>
          <w:kern w:val="0"/>
          <w:sz w:val="24"/>
          <w:szCs w:val="24"/>
          <w:highlight w:val="none"/>
          <w:lang w:val="zh-CN"/>
        </w:rPr>
        <w:fldChar w:fldCharType="end"/>
      </w:r>
      <w:r>
        <w:rPr>
          <w:rFonts w:hint="eastAsia" w:ascii="宋体" w:hAnsi="宋体" w:cs="宋体"/>
          <w:kern w:val="0"/>
          <w:sz w:val="24"/>
          <w:szCs w:val="24"/>
          <w:highlight w:val="none"/>
          <w:lang w:val="zh-CN"/>
        </w:rPr>
        <w:t>。</w:t>
      </w:r>
    </w:p>
    <w:p>
      <w:pPr>
        <w:autoSpaceDE w:val="0"/>
        <w:autoSpaceDN w:val="0"/>
        <w:adjustRightInd w:val="0"/>
        <w:spacing w:line="440" w:lineRule="exact"/>
        <w:ind w:firstLine="480" w:firstLineChars="200"/>
        <w:rPr>
          <w:rFonts w:ascii="宋体" w:cs="宋体"/>
          <w:b/>
          <w:bCs/>
          <w:color w:val="FF0000"/>
          <w:kern w:val="0"/>
          <w:sz w:val="24"/>
          <w:szCs w:val="24"/>
          <w:highlight w:val="none"/>
          <w:lang w:val="zh-CN"/>
        </w:rPr>
      </w:pPr>
      <w:r>
        <w:rPr>
          <w:rFonts w:hint="eastAsia" w:ascii="宋体" w:hAnsi="宋体" w:cs="宋体"/>
          <w:b/>
          <w:bCs/>
          <w:color w:val="FF0000"/>
          <w:kern w:val="0"/>
          <w:sz w:val="24"/>
          <w:szCs w:val="24"/>
          <w:highlight w:val="none"/>
        </w:rPr>
        <w:t>（</w:t>
      </w:r>
      <w:r>
        <w:rPr>
          <w:rFonts w:ascii="宋体" w:hAnsi="宋体" w:cs="宋体"/>
          <w:b/>
          <w:bCs/>
          <w:color w:val="FF0000"/>
          <w:kern w:val="0"/>
          <w:sz w:val="24"/>
          <w:szCs w:val="24"/>
          <w:highlight w:val="none"/>
        </w:rPr>
        <w:t>2</w:t>
      </w:r>
      <w:r>
        <w:rPr>
          <w:rFonts w:hint="eastAsia" w:ascii="宋体" w:hAnsi="宋体" w:cs="宋体"/>
          <w:b/>
          <w:bCs/>
          <w:color w:val="FF0000"/>
          <w:kern w:val="0"/>
          <w:sz w:val="24"/>
          <w:szCs w:val="24"/>
          <w:highlight w:val="none"/>
        </w:rPr>
        <w:t>）</w:t>
      </w:r>
      <w:r>
        <w:rPr>
          <w:rFonts w:hint="eastAsia" w:ascii="宋体" w:hAnsi="宋体" w:cs="宋体"/>
          <w:b/>
          <w:bCs/>
          <w:color w:val="FF0000"/>
          <w:kern w:val="0"/>
          <w:sz w:val="24"/>
          <w:szCs w:val="24"/>
          <w:highlight w:val="none"/>
          <w:lang w:val="zh-CN"/>
        </w:rPr>
        <w:t>签署：投标文件中所须加盖公章部分均应当采用</w:t>
      </w:r>
      <w:r>
        <w:rPr>
          <w:rFonts w:ascii="宋体" w:hAnsi="宋体" w:cs="宋体"/>
          <w:b/>
          <w:bCs/>
          <w:color w:val="FF0000"/>
          <w:kern w:val="0"/>
          <w:sz w:val="24"/>
          <w:szCs w:val="24"/>
          <w:highlight w:val="none"/>
          <w:lang w:val="zh-CN"/>
        </w:rPr>
        <w:t>CA</w:t>
      </w:r>
      <w:r>
        <w:rPr>
          <w:rFonts w:hint="eastAsia" w:ascii="宋体" w:hAnsi="宋体" w:cs="宋体"/>
          <w:b/>
          <w:bCs/>
          <w:color w:val="FF0000"/>
          <w:kern w:val="0"/>
          <w:sz w:val="24"/>
          <w:szCs w:val="24"/>
          <w:highlight w:val="none"/>
          <w:lang w:val="zh-CN"/>
        </w:rPr>
        <w:t>电子签章功能加盖投标人的单位电子公章，法定代表人和授权代表签字或盖章可书面签字或盖章后扫描至“电子加密投标文件”中上传，也可采用法定代表人的电子章。</w:t>
      </w:r>
    </w:p>
    <w:p>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）份数：</w:t>
      </w:r>
    </w:p>
    <w:p>
      <w:pPr>
        <w:autoSpaceDE w:val="0"/>
        <w:autoSpaceDN w:val="0"/>
        <w:adjustRightInd w:val="0"/>
        <w:spacing w:line="440" w:lineRule="exact"/>
        <w:ind w:firstLine="480" w:firstLineChars="200"/>
        <w:rPr>
          <w:rFonts w:ascii="宋体" w:cs="宋体"/>
          <w:kern w:val="0"/>
          <w:sz w:val="24"/>
          <w:szCs w:val="24"/>
          <w:highlight w:val="none"/>
          <w:lang w:val="zh-CN"/>
        </w:rPr>
      </w:pPr>
      <w:r>
        <w:rPr>
          <w:rFonts w:ascii="宋体" w:hAnsi="宋体" w:cs="宋体"/>
          <w:kern w:val="0"/>
          <w:sz w:val="24"/>
          <w:szCs w:val="24"/>
          <w:highlight w:val="none"/>
        </w:rPr>
        <w:t>3.1</w:t>
      </w:r>
      <w:r>
        <w:rPr>
          <w:rFonts w:hint="eastAsia" w:ascii="宋体" w:hAnsi="宋体" w:cs="宋体"/>
          <w:kern w:val="0"/>
          <w:sz w:val="24"/>
          <w:szCs w:val="24"/>
          <w:highlight w:val="none"/>
          <w:lang w:val="zh-CN"/>
        </w:rPr>
        <w:t>“电子加密投标文件”（后缀格式为</w:t>
      </w:r>
      <w:r>
        <w:rPr>
          <w:rFonts w:ascii="宋体" w:hAnsi="宋体" w:cs="宋体"/>
          <w:kern w:val="0"/>
          <w:sz w:val="24"/>
          <w:szCs w:val="24"/>
          <w:highlight w:val="none"/>
          <w:lang w:val="zh-CN"/>
        </w:rPr>
        <w:t>.jmbs</w:t>
      </w:r>
      <w:r>
        <w:rPr>
          <w:rFonts w:hint="eastAsia" w:ascii="宋体" w:hAnsi="宋体" w:cs="宋体"/>
          <w:kern w:val="0"/>
          <w:sz w:val="24"/>
          <w:szCs w:val="24"/>
          <w:highlight w:val="none"/>
          <w:lang w:val="zh-CN"/>
        </w:rPr>
        <w:t>）：在线上传递交一份。</w:t>
      </w:r>
    </w:p>
    <w:p>
      <w:pPr>
        <w:autoSpaceDE w:val="0"/>
        <w:autoSpaceDN w:val="0"/>
        <w:adjustRightInd w:val="0"/>
        <w:spacing w:line="440" w:lineRule="exact"/>
        <w:ind w:firstLine="480" w:firstLineChars="200"/>
        <w:rPr>
          <w:rFonts w:ascii="宋体" w:cs="宋体"/>
          <w:kern w:val="0"/>
          <w:sz w:val="24"/>
          <w:szCs w:val="24"/>
          <w:highlight w:val="none"/>
          <w:lang w:val="zh-CN"/>
        </w:rPr>
      </w:pPr>
      <w:r>
        <w:rPr>
          <w:rFonts w:ascii="宋体" w:hAnsi="宋体" w:cs="宋体"/>
          <w:kern w:val="0"/>
          <w:sz w:val="24"/>
          <w:szCs w:val="24"/>
          <w:highlight w:val="none"/>
        </w:rPr>
        <w:t>3.2</w:t>
      </w:r>
      <w:r>
        <w:rPr>
          <w:rFonts w:hint="eastAsia" w:ascii="宋体" w:hAnsi="宋体" w:cs="宋体"/>
          <w:kern w:val="0"/>
          <w:sz w:val="24"/>
          <w:szCs w:val="24"/>
          <w:highlight w:val="none"/>
          <w:lang w:val="zh-CN"/>
        </w:rPr>
        <w:t>“备份投标文件”（后缀格式为</w:t>
      </w:r>
      <w:r>
        <w:rPr>
          <w:rFonts w:ascii="宋体" w:hAnsi="宋体" w:cs="宋体"/>
          <w:kern w:val="0"/>
          <w:sz w:val="24"/>
          <w:szCs w:val="24"/>
          <w:highlight w:val="none"/>
          <w:lang w:val="zh-CN"/>
        </w:rPr>
        <w:t>.bfbs</w:t>
      </w:r>
      <w:r>
        <w:rPr>
          <w:rFonts w:hint="eastAsia" w:ascii="宋体" w:hAnsi="宋体" w:cs="宋体"/>
          <w:kern w:val="0"/>
          <w:sz w:val="24"/>
          <w:szCs w:val="24"/>
          <w:highlight w:val="none"/>
          <w:lang w:val="zh-CN"/>
        </w:rPr>
        <w:t>）：发送一份至邮箱：</w:t>
      </w:r>
      <w:r>
        <w:rPr>
          <w:rFonts w:hint="eastAsia" w:ascii="宋体" w:hAnsi="宋体" w:cs="宋体"/>
          <w:kern w:val="0"/>
          <w:sz w:val="24"/>
          <w:szCs w:val="24"/>
          <w:highlight w:val="none"/>
          <w:lang w:eastAsia="zh-CN"/>
        </w:rPr>
        <w:t>670546521</w:t>
      </w:r>
      <w:r>
        <w:rPr>
          <w:rFonts w:ascii="宋体" w:hAnsi="宋体" w:cs="宋体"/>
          <w:kern w:val="0"/>
          <w:sz w:val="24"/>
          <w:szCs w:val="24"/>
          <w:highlight w:val="none"/>
          <w:lang w:val="zh-CN"/>
        </w:rPr>
        <w:t>@qq.com</w:t>
      </w:r>
      <w:r>
        <w:rPr>
          <w:rFonts w:hint="eastAsia" w:ascii="宋体" w:hAnsi="宋体" w:cs="宋体"/>
          <w:kern w:val="0"/>
          <w:sz w:val="24"/>
          <w:szCs w:val="24"/>
          <w:highlight w:val="none"/>
          <w:lang w:val="zh-CN"/>
        </w:rPr>
        <w:t>，以接收方邮箱收件箱所显示时间为准。</w:t>
      </w:r>
    </w:p>
    <w:p>
      <w:pPr>
        <w:autoSpaceDE w:val="0"/>
        <w:autoSpaceDN w:val="0"/>
        <w:adjustRightInd w:val="0"/>
        <w:spacing w:line="440" w:lineRule="exact"/>
        <w:ind w:firstLine="480"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）投标人应当在招标文件规定的截止时间前完成“电子加密投标文件”及“备份投标文件”的递交，截止时间后递交的投标文件，将被拒收。</w:t>
      </w:r>
    </w:p>
    <w:p>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）如有特殊情况，采购代理机构延长截止时间和开标时间，采购代理机构和投标人的权利和义务将受到新的截止时间和开标时间的约束。</w:t>
      </w:r>
    </w:p>
    <w:p>
      <w:pPr>
        <w:tabs>
          <w:tab w:val="left" w:pos="1898"/>
        </w:tabs>
        <w:autoSpaceDE w:val="0"/>
        <w:autoSpaceDN w:val="0"/>
        <w:adjustRightInd w:val="0"/>
        <w:spacing w:line="440" w:lineRule="exact"/>
        <w:ind w:firstLine="480"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）投标人在投标截止时间前可以补充、修改或撤回投标文件。补充或者修改投标文件的，应当先行撤回原文件，补充、修改后重新递交。投标截止时间前未完成递交的，视为撤回投标文件。</w:t>
      </w:r>
    </w:p>
    <w:p>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）投标截止时间后，投标人不得修改（补充）或撤回其投标文件。</w:t>
      </w:r>
    </w:p>
    <w:p>
      <w:pPr>
        <w:tabs>
          <w:tab w:val="left" w:pos="1898"/>
        </w:tabs>
        <w:autoSpaceDE w:val="0"/>
        <w:autoSpaceDN w:val="0"/>
        <w:adjustRightInd w:val="0"/>
        <w:spacing w:line="440" w:lineRule="exact"/>
        <w:ind w:firstLine="480" w:firstLineChars="200"/>
        <w:rPr>
          <w:rFonts w:ascii="宋体" w:cs="宋体"/>
          <w:b/>
          <w:bCs/>
          <w:sz w:val="24"/>
          <w:szCs w:val="24"/>
          <w:highlight w:val="none"/>
        </w:rPr>
      </w:pPr>
      <w:r>
        <w:rPr>
          <w:rFonts w:ascii="宋体" w:hAnsi="宋体" w:cs="宋体"/>
          <w:b/>
          <w:bCs/>
          <w:sz w:val="24"/>
          <w:szCs w:val="24"/>
          <w:highlight w:val="none"/>
        </w:rPr>
        <w:t>5</w:t>
      </w:r>
      <w:r>
        <w:rPr>
          <w:rFonts w:hint="eastAsia" w:ascii="宋体" w:hAnsi="宋体" w:cs="宋体"/>
          <w:b/>
          <w:bCs/>
          <w:sz w:val="24"/>
          <w:szCs w:val="24"/>
          <w:highlight w:val="none"/>
        </w:rPr>
        <w:t>、电子加密投标文件的解密及异常情况处理</w:t>
      </w:r>
    </w:p>
    <w:p>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ascii="宋体" w:hAnsi="宋体" w:cs="宋体"/>
          <w:kern w:val="0"/>
          <w:sz w:val="24"/>
          <w:szCs w:val="24"/>
          <w:highlight w:val="none"/>
        </w:rPr>
        <w:t>30</w:t>
      </w:r>
      <w:r>
        <w:rPr>
          <w:rFonts w:hint="eastAsia" w:ascii="宋体" w:hAnsi="宋体" w:cs="宋体"/>
          <w:kern w:val="0"/>
          <w:sz w:val="24"/>
          <w:szCs w:val="24"/>
          <w:highlight w:val="none"/>
        </w:rPr>
        <w:t>分钟</w:t>
      </w:r>
      <w:r>
        <w:rPr>
          <w:rFonts w:hint="eastAsia" w:ascii="宋体" w:hAnsi="宋体" w:cs="宋体"/>
          <w:kern w:val="0"/>
          <w:sz w:val="24"/>
          <w:szCs w:val="24"/>
          <w:highlight w:val="none"/>
          <w:lang w:val="zh-CN"/>
        </w:rPr>
        <w:t>内自行完成“电子加密投标文件”的在线解密。</w:t>
      </w:r>
    </w:p>
    <w:p>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2</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pP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）投标人未在规定时间内完成解密且未提供“备份投标文件”的，默认投标人自动放弃。</w:t>
      </w:r>
    </w:p>
    <w:p>
      <w:pPr>
        <w:tabs>
          <w:tab w:val="left" w:pos="0"/>
        </w:tabs>
        <w:autoSpaceDE w:val="0"/>
        <w:autoSpaceDN w:val="0"/>
        <w:adjustRightInd w:val="0"/>
        <w:spacing w:line="440" w:lineRule="exact"/>
        <w:ind w:firstLine="240" w:firstLineChars="100"/>
        <w:rPr>
          <w:rFonts w:ascii="宋体" w:cs="宋体"/>
          <w:b/>
          <w:bCs/>
          <w:kern w:val="0"/>
          <w:sz w:val="24"/>
          <w:szCs w:val="24"/>
          <w:highlight w:val="none"/>
        </w:rPr>
      </w:pPr>
      <w:r>
        <w:rPr>
          <w:rFonts w:hint="eastAsia" w:ascii="宋体" w:hAnsi="宋体" w:cs="宋体"/>
          <w:b/>
          <w:bCs/>
          <w:kern w:val="0"/>
          <w:sz w:val="24"/>
          <w:szCs w:val="24"/>
          <w:highlight w:val="none"/>
        </w:rPr>
        <w:t>（四）投标文件的有效期</w:t>
      </w:r>
    </w:p>
    <w:p>
      <w:pPr>
        <w:pStyle w:val="6"/>
        <w:numPr>
          <w:ilvl w:val="0"/>
          <w:numId w:val="0"/>
        </w:numP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pPr>
        <w:pStyle w:val="6"/>
        <w:numPr>
          <w:ilvl w:val="0"/>
          <w:numId w:val="0"/>
        </w:numPr>
        <w:tabs>
          <w:tab w:val="left" w:pos="0"/>
          <w:tab w:val="clear" w:pos="1070"/>
        </w:tabs>
        <w:snapToGrid w:val="0"/>
        <w:spacing w:line="440" w:lineRule="exact"/>
        <w:ind w:firstLine="480" w:firstLineChars="200"/>
        <w:rPr>
          <w:rFonts w:asci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pPr>
        <w:snapToGrid w:val="0"/>
        <w:spacing w:line="440" w:lineRule="exact"/>
        <w:ind w:firstLine="480" w:firstLineChars="200"/>
        <w:jc w:val="left"/>
        <w:outlineLvl w:val="0"/>
        <w:rPr>
          <w:rFonts w:ascii="宋体" w:cs="宋体"/>
          <w:b/>
          <w:bCs/>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5"/>
    </w:p>
    <w:p>
      <w:pPr>
        <w:snapToGrid w:val="0"/>
        <w:spacing w:line="440" w:lineRule="exact"/>
        <w:jc w:val="center"/>
        <w:rPr>
          <w:rFonts w:ascii="宋体" w:cs="宋体"/>
          <w:b/>
          <w:bCs/>
          <w:sz w:val="28"/>
          <w:szCs w:val="28"/>
          <w:highlight w:val="none"/>
        </w:rPr>
      </w:pPr>
    </w:p>
    <w:p>
      <w:pP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pPr>
        <w:numPr>
          <w:ilvl w:val="0"/>
          <w:numId w:val="3"/>
        </w:numPr>
        <w:autoSpaceDE w:val="0"/>
        <w:autoSpaceDN w:val="0"/>
        <w:adjustRightInd w:val="0"/>
        <w:spacing w:line="440" w:lineRule="exact"/>
        <w:ind w:firstLine="480" w:firstLineChars="200"/>
        <w:rPr>
          <w:rFonts w:ascii="宋体" w:cs="宋体"/>
          <w:b/>
          <w:bCs/>
          <w:sz w:val="24"/>
          <w:szCs w:val="24"/>
          <w:highlight w:val="none"/>
        </w:rPr>
      </w:pPr>
      <w:r>
        <w:rPr>
          <w:rFonts w:hint="eastAsia" w:ascii="宋体" w:hAnsi="宋体" w:cs="宋体"/>
          <w:b/>
          <w:bCs/>
          <w:sz w:val="24"/>
          <w:szCs w:val="24"/>
          <w:highlight w:val="none"/>
        </w:rPr>
        <w:t>开标程序</w:t>
      </w:r>
    </w:p>
    <w:p>
      <w:pPr>
        <w:spacing w:line="360" w:lineRule="auto"/>
        <w:ind w:firstLine="422" w:firstLineChars="176"/>
        <w:rPr>
          <w:rFonts w:ascii="宋体" w:cs="Arial"/>
          <w:kern w:val="0"/>
          <w:sz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、投标文件解密结束，供应商通过邮件形式将经授权代表签署的《政府采购活动现场确认声明书》（</w:t>
      </w:r>
      <w:r>
        <w:rPr>
          <w:rFonts w:hint="eastAsia" w:ascii="宋体" w:hAnsi="宋体" w:cs="宋体"/>
          <w:b/>
          <w:bCs/>
          <w:sz w:val="24"/>
          <w:szCs w:val="24"/>
          <w:highlight w:val="none"/>
        </w:rPr>
        <w:t>格式见招标文件最后一页内容</w:t>
      </w:r>
      <w:r>
        <w:rPr>
          <w:rFonts w:hint="eastAsia" w:ascii="宋体" w:hAnsi="宋体" w:cs="宋体"/>
          <w:sz w:val="24"/>
          <w:szCs w:val="24"/>
          <w:highlight w:val="none"/>
        </w:rPr>
        <w:t>）的扫描件或（图片）发至代理机构经办人邮箱（邮箱地址：</w:t>
      </w:r>
      <w:r>
        <w:rPr>
          <w:rFonts w:hint="eastAsia" w:ascii="宋体" w:hAnsi="宋体" w:cs="宋体"/>
          <w:sz w:val="24"/>
          <w:szCs w:val="24"/>
          <w:highlight w:val="none"/>
          <w:lang w:eastAsia="zh-CN"/>
        </w:rPr>
        <w:t>670546521</w:t>
      </w:r>
      <w:r>
        <w:rPr>
          <w:rFonts w:ascii="宋体" w:hAnsi="宋体" w:cs="宋体"/>
          <w:sz w:val="24"/>
          <w:szCs w:val="24"/>
          <w:highlight w:val="none"/>
        </w:rPr>
        <w:t>@qq.com</w:t>
      </w:r>
      <w:r>
        <w:rPr>
          <w:rFonts w:hint="eastAsia" w:ascii="宋体" w:hAnsi="宋体" w:cs="宋体"/>
          <w:sz w:val="24"/>
          <w:szCs w:val="24"/>
          <w:highlight w:val="none"/>
        </w:rPr>
        <w:t>）；</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、由采购人或者采购代理机构评审资格证明文件，若资格审查不符合招标文件要求，通过“政府采购云平台”线上告知其原因并由投标人签章确认</w:t>
      </w:r>
      <w:r>
        <w:rPr>
          <w:rFonts w:hint="eastAsia" w:ascii="宋体" w:hAnsi="宋体" w:cs="宋体"/>
          <w:color w:val="000000"/>
          <w:sz w:val="24"/>
          <w:szCs w:val="24"/>
          <w:highlight w:val="none"/>
        </w:rPr>
        <w:t>（不予确认的应说明理由，否则视为无异议）</w:t>
      </w:r>
      <w:r>
        <w:rPr>
          <w:rFonts w:hint="eastAsia" w:ascii="宋体" w:hAnsi="宋体" w:cs="宋体"/>
          <w:sz w:val="24"/>
          <w:szCs w:val="24"/>
          <w:highlight w:val="none"/>
        </w:rPr>
        <w:t>。资格审查未获通过的投标人，其商务技术文件及报价文件不进入评审。</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、评标委员会对商务技术文件进行评审，评审内容包括符合性审查，技术、商务评估及比较等。符合性</w:t>
      </w:r>
      <w:r>
        <w:rPr>
          <w:rFonts w:hint="eastAsia" w:ascii="宋体" w:hAnsi="宋体" w:cs="宋体"/>
          <w:sz w:val="24"/>
          <w:szCs w:val="24"/>
          <w:highlight w:val="none"/>
          <w:lang w:eastAsia="zh-CN"/>
        </w:rPr>
        <w:t>及商务</w:t>
      </w:r>
      <w:r>
        <w:rPr>
          <w:rFonts w:hint="eastAsia" w:ascii="宋体" w:hAnsi="宋体" w:cs="宋体"/>
          <w:sz w:val="24"/>
          <w:szCs w:val="24"/>
          <w:highlight w:val="none"/>
        </w:rPr>
        <w:t>技术审查不通过的，通过“政府采购云平台”线上告知其原因并由投标人签章确认</w:t>
      </w:r>
      <w:r>
        <w:rPr>
          <w:rFonts w:hint="eastAsia" w:ascii="宋体" w:hAnsi="宋体" w:cs="宋体"/>
          <w:color w:val="000000"/>
          <w:sz w:val="24"/>
          <w:szCs w:val="24"/>
          <w:highlight w:val="none"/>
        </w:rPr>
        <w:t>（不予确认的应说明理由，否则视为无异议），</w:t>
      </w:r>
      <w:r>
        <w:rPr>
          <w:rFonts w:hint="eastAsia" w:ascii="宋体" w:hAnsi="宋体" w:cs="宋体"/>
          <w:sz w:val="24"/>
          <w:szCs w:val="24"/>
          <w:highlight w:val="none"/>
        </w:rPr>
        <w:t>其报价文件不再进入评审。</w:t>
      </w:r>
    </w:p>
    <w:p>
      <w:pPr>
        <w:spacing w:line="360" w:lineRule="auto"/>
        <w:ind w:firstLine="424" w:firstLineChars="177"/>
        <w:jc w:val="left"/>
        <w:rPr>
          <w:rFonts w:ascii="宋体" w:cs="Arial"/>
          <w:kern w:val="0"/>
          <w:sz w:val="24"/>
          <w:highlight w:val="none"/>
        </w:rPr>
      </w:pPr>
      <w:r>
        <w:rPr>
          <w:rFonts w:ascii="宋体" w:hAnsi="宋体" w:cs="宋体"/>
          <w:sz w:val="24"/>
          <w:szCs w:val="24"/>
          <w:highlight w:val="none"/>
        </w:rPr>
        <w:t>6</w:t>
      </w:r>
      <w:r>
        <w:rPr>
          <w:rFonts w:hint="eastAsia" w:ascii="宋体" w:hAnsi="宋体" w:cs="宋体"/>
          <w:sz w:val="24"/>
          <w:szCs w:val="24"/>
          <w:highlight w:val="none"/>
        </w:rPr>
        <w:t>、</w:t>
      </w:r>
      <w:r>
        <w:rPr>
          <w:rFonts w:hint="eastAsia" w:ascii="宋体" w:hAnsi="宋体" w:cs="Arial"/>
          <w:kern w:val="0"/>
          <w:sz w:val="24"/>
          <w:highlight w:val="none"/>
        </w:rPr>
        <w:t>开启符合性审查、商务技术评审有效投标供应商的《报价文件》，通过“政府采购云平台”公布开标一览表有关内容，同时当场制作开标记录表，</w:t>
      </w:r>
      <w:r>
        <w:rPr>
          <w:rFonts w:hint="eastAsia" w:ascii="宋体" w:hAnsi="宋体" w:cs="Arial"/>
          <w:kern w:val="0"/>
          <w:sz w:val="24"/>
          <w:highlight w:val="none"/>
          <w:u w:val="single"/>
        </w:rPr>
        <w:t>供应商通过“政府采购云平台”签章确认</w:t>
      </w:r>
      <w:r>
        <w:rPr>
          <w:rFonts w:hint="eastAsia" w:ascii="宋体" w:hAnsi="宋体" w:cs="Arial"/>
          <w:kern w:val="0"/>
          <w:sz w:val="24"/>
          <w:highlight w:val="none"/>
        </w:rPr>
        <w:t>（不予确认的应说明理由，否则视为无异议）。报价文件开启后，由评标委员会对报价的合理性、准确性等进行审查核实。</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、评审结束后，由评标委员会编写并签署评审报告，评审报告应当根据评标办法及评分标准推荐中标候选人；</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、采购代理机构将通过“政府采购云平台”线上公布中标（成交）候选供应商名单并出具开标记录，由主持人、记录人、现场监督员当场签字确认；</w:t>
      </w:r>
    </w:p>
    <w:p>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、开标会议结束。</w:t>
      </w:r>
    </w:p>
    <w:p>
      <w:pPr>
        <w:snapToGrid w:val="0"/>
        <w:spacing w:line="440" w:lineRule="exact"/>
        <w:ind w:firstLine="480" w:firstLineChars="200"/>
        <w:rPr>
          <w:rFonts w:ascii="宋体" w:cs="宋体"/>
          <w:b/>
          <w:bCs/>
          <w:color w:val="FF0000"/>
          <w:sz w:val="24"/>
          <w:szCs w:val="24"/>
          <w:highlight w:val="none"/>
        </w:rPr>
      </w:pPr>
      <w:r>
        <w:rPr>
          <w:rFonts w:hint="eastAsia" w:ascii="宋体" w:hAnsi="宋体" w:cs="宋体"/>
          <w:b/>
          <w:bCs/>
          <w:color w:val="FF0000"/>
          <w:sz w:val="24"/>
          <w:szCs w:val="24"/>
          <w:highlight w:val="none"/>
        </w:rPr>
        <w:t>特别说明：政府采购云平台如对电子化开标及评审程序有调整的，按调整后的程序操作。</w:t>
      </w:r>
    </w:p>
    <w:p>
      <w:pPr>
        <w:pStyle w:val="14"/>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pPr>
        <w:pStyle w:val="4"/>
        <w:numPr>
          <w:ilvl w:val="2"/>
          <w:numId w:val="0"/>
        </w:numPr>
        <w:spacing w:before="0" w:after="0"/>
        <w:ind w:left="728" w:leftChars="185" w:hanging="340" w:hangingChars="142"/>
        <w:rPr>
          <w:rFonts w:asci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评审工作的组织</w:t>
      </w:r>
    </w:p>
    <w:p>
      <w:pPr>
        <w:spacing w:line="360" w:lineRule="auto"/>
        <w:ind w:firstLine="422" w:firstLineChars="176"/>
        <w:rPr>
          <w:rFonts w:asci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、采购人或采购代理机构负责组织本项目的评审工作，并依据《政府采购货物和服务招标投标管理办法（财政部第</w:t>
      </w:r>
      <w:r>
        <w:rPr>
          <w:rFonts w:ascii="宋体" w:hAnsi="宋体" w:cs="Arial"/>
          <w:kern w:val="0"/>
          <w:sz w:val="24"/>
          <w:highlight w:val="none"/>
        </w:rPr>
        <w:t>87</w:t>
      </w:r>
      <w:r>
        <w:rPr>
          <w:rFonts w:hint="eastAsia" w:ascii="宋体" w:hAnsi="宋体" w:cs="Arial"/>
          <w:kern w:val="0"/>
          <w:sz w:val="24"/>
          <w:highlight w:val="none"/>
        </w:rPr>
        <w:t>号令）》第四十五条的相关规定履行职责。</w:t>
      </w:r>
    </w:p>
    <w:p>
      <w:pPr>
        <w:pStyle w:val="4"/>
        <w:numPr>
          <w:ilvl w:val="2"/>
          <w:numId w:val="0"/>
        </w:numPr>
        <w:spacing w:before="0" w:after="0"/>
        <w:ind w:left="728" w:leftChars="185" w:hanging="340" w:hangingChars="142"/>
        <w:rPr>
          <w:rFonts w:ascii="宋体"/>
          <w:sz w:val="24"/>
          <w:szCs w:val="24"/>
          <w:highlight w:val="none"/>
        </w:rPr>
      </w:pPr>
      <w:r>
        <w:rPr>
          <w:rFonts w:hint="eastAsia" w:ascii="宋体" w:hAnsi="宋体" w:cs="宋体"/>
          <w:sz w:val="24"/>
          <w:szCs w:val="24"/>
          <w:highlight w:val="none"/>
        </w:rPr>
        <w:t>（二）</w:t>
      </w:r>
      <w:r>
        <w:rPr>
          <w:rFonts w:hint="eastAsia" w:ascii="宋体" w:hAnsi="宋体"/>
          <w:sz w:val="24"/>
          <w:szCs w:val="24"/>
          <w:highlight w:val="none"/>
        </w:rPr>
        <w:t>评标委员会的组建</w:t>
      </w:r>
    </w:p>
    <w:p>
      <w:pPr>
        <w:spacing w:line="360" w:lineRule="auto"/>
        <w:ind w:firstLine="422" w:firstLineChars="176"/>
        <w:rPr>
          <w:rFonts w:asci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asci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、评标委员会成员名单在评审结果（采购结果）公告前保密。</w:t>
      </w:r>
    </w:p>
    <w:p>
      <w:pPr>
        <w:pStyle w:val="4"/>
        <w:numPr>
          <w:ilvl w:val="2"/>
          <w:numId w:val="0"/>
        </w:numPr>
        <w:spacing w:before="0" w:after="0"/>
        <w:ind w:left="728" w:leftChars="185" w:hanging="340" w:hangingChars="142"/>
        <w:rPr>
          <w:rFonts w:ascii="宋体"/>
          <w:sz w:val="24"/>
          <w:szCs w:val="24"/>
          <w:highlight w:val="none"/>
        </w:rPr>
      </w:pPr>
      <w:r>
        <w:rPr>
          <w:rFonts w:hint="eastAsia" w:ascii="宋体" w:hAnsi="宋体" w:cs="宋体"/>
          <w:sz w:val="24"/>
          <w:szCs w:val="24"/>
          <w:highlight w:val="none"/>
        </w:rPr>
        <w:t>（三）</w:t>
      </w:r>
      <w:r>
        <w:rPr>
          <w:rFonts w:hint="eastAsia" w:ascii="宋体" w:hAnsi="宋体"/>
          <w:sz w:val="24"/>
          <w:szCs w:val="24"/>
          <w:highlight w:val="none"/>
        </w:rPr>
        <w:t>评标委员会的职责</w:t>
      </w:r>
    </w:p>
    <w:p>
      <w:pPr>
        <w:spacing w:line="360" w:lineRule="auto"/>
        <w:ind w:firstLine="422" w:firstLineChars="176"/>
        <w:rPr>
          <w:rFonts w:ascii="宋体" w:cs="Arial"/>
          <w:b/>
          <w:kern w:val="0"/>
          <w:sz w:val="24"/>
          <w:highlight w:val="none"/>
        </w:rPr>
      </w:pPr>
      <w:r>
        <w:rPr>
          <w:rFonts w:ascii="宋体" w:hAnsi="宋体" w:cs="Arial"/>
          <w:b/>
          <w:kern w:val="0"/>
          <w:sz w:val="24"/>
          <w:highlight w:val="none"/>
        </w:rPr>
        <w:t>1</w:t>
      </w:r>
      <w:r>
        <w:rPr>
          <w:rFonts w:hint="eastAsia" w:ascii="宋体" w:hAnsi="宋体" w:cs="Arial"/>
          <w:b/>
          <w:kern w:val="0"/>
          <w:sz w:val="24"/>
          <w:highlight w:val="none"/>
        </w:rPr>
        <w:t>、评标委员会负责具体评审事务，并独立履行下列职责：</w:t>
      </w:r>
    </w:p>
    <w:p>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）审查、评价投标文件是否符合招标文件的商务、技术等实质性要求；</w:t>
      </w:r>
    </w:p>
    <w:p>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）要求投标人对投标文件有关事项作出澄清或者说明；</w:t>
      </w:r>
    </w:p>
    <w:p>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）对投标文件进行比较和评价；</w:t>
      </w:r>
    </w:p>
    <w:p>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4</w:t>
      </w:r>
      <w:r>
        <w:rPr>
          <w:rFonts w:hint="eastAsia" w:ascii="宋体" w:hAnsi="宋体" w:cs="Arial"/>
          <w:kern w:val="0"/>
          <w:sz w:val="24"/>
          <w:highlight w:val="none"/>
        </w:rPr>
        <w:t>）确定中标候选人名单，以及根据采购人委托直接确定中标人。</w:t>
      </w:r>
    </w:p>
    <w:p>
      <w:pPr>
        <w:pStyle w:val="14"/>
        <w:tabs>
          <w:tab w:val="left" w:pos="630"/>
        </w:tabs>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（四）评标原则和评标办法</w:t>
      </w:r>
    </w:p>
    <w:p>
      <w:pPr>
        <w:pStyle w:val="14"/>
        <w:snapToGrid w:val="0"/>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440" w:lineRule="exact"/>
        <w:ind w:firstLine="480" w:firstLineChars="200"/>
        <w:rPr>
          <w:rFonts w:hAnsi="宋体" w:cs="Times New Roman"/>
          <w:sz w:val="24"/>
          <w:szCs w:val="24"/>
          <w:highlight w:val="none"/>
        </w:rPr>
      </w:pPr>
      <w:r>
        <w:rPr>
          <w:rFonts w:hAnsi="宋体"/>
          <w:sz w:val="24"/>
          <w:szCs w:val="24"/>
          <w:highlight w:val="none"/>
        </w:rPr>
        <w:t>2</w:t>
      </w:r>
      <w:r>
        <w:rPr>
          <w:rFonts w:hint="eastAsia" w:hAnsi="宋体"/>
          <w:sz w:val="24"/>
          <w:szCs w:val="24"/>
          <w:highlight w:val="none"/>
        </w:rPr>
        <w:t>、评审工作将依据招标文件、投标文件，具体评标内容及评分标准等详见《第三章：评标方法及评分标准》。</w:t>
      </w:r>
    </w:p>
    <w:p>
      <w:pPr>
        <w:pStyle w:val="14"/>
        <w:snapToGrid w:val="0"/>
        <w:spacing w:line="440" w:lineRule="exact"/>
        <w:ind w:firstLine="480" w:firstLineChars="200"/>
        <w:rPr>
          <w:rFonts w:hAnsi="宋体" w:cs="Times New Roman"/>
          <w:sz w:val="24"/>
          <w:szCs w:val="24"/>
          <w:highlight w:val="none"/>
        </w:rPr>
      </w:pPr>
      <w:r>
        <w:rPr>
          <w:rFonts w:hAnsi="宋体"/>
          <w:sz w:val="24"/>
          <w:szCs w:val="24"/>
          <w:highlight w:val="none"/>
        </w:rPr>
        <w:t>3</w:t>
      </w:r>
      <w:r>
        <w:rPr>
          <w:rFonts w:hint="eastAsia" w:hAnsi="宋体"/>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
        <w:numPr>
          <w:ilvl w:val="2"/>
          <w:numId w:val="0"/>
        </w:numPr>
        <w:spacing w:before="0" w:after="0"/>
        <w:ind w:left="728" w:leftChars="185" w:hanging="340" w:hangingChars="142"/>
        <w:rPr>
          <w:rFonts w:ascii="宋体"/>
          <w:sz w:val="24"/>
          <w:szCs w:val="24"/>
          <w:highlight w:val="none"/>
        </w:rPr>
      </w:pPr>
      <w:r>
        <w:rPr>
          <w:rFonts w:hint="eastAsia" w:ascii="宋体" w:hAnsi="宋体" w:cs="宋体"/>
          <w:sz w:val="24"/>
          <w:szCs w:val="24"/>
          <w:highlight w:val="none"/>
        </w:rPr>
        <w:t>（五）</w:t>
      </w:r>
      <w:r>
        <w:rPr>
          <w:rFonts w:hint="eastAsia" w:ascii="宋体" w:hAnsi="宋体"/>
          <w:sz w:val="24"/>
          <w:szCs w:val="24"/>
          <w:highlight w:val="none"/>
        </w:rPr>
        <w:t>评审意见的争议处理</w:t>
      </w:r>
    </w:p>
    <w:p>
      <w:pPr>
        <w:spacing w:line="360" w:lineRule="auto"/>
        <w:ind w:firstLine="424" w:firstLineChars="177"/>
        <w:rPr>
          <w:rFonts w:ascii="宋体" w:cs="Arial"/>
          <w:bCs/>
          <w:sz w:val="24"/>
          <w:highlight w:val="none"/>
        </w:rPr>
      </w:pPr>
      <w:r>
        <w:rPr>
          <w:rFonts w:ascii="宋体" w:hAnsi="宋体" w:cs="Arial"/>
          <w:bCs/>
          <w:sz w:val="24"/>
          <w:highlight w:val="none"/>
        </w:rPr>
        <w:t>1</w:t>
      </w:r>
      <w:r>
        <w:rPr>
          <w:rFonts w:hint="eastAsia" w:ascii="宋体" w:hAnsi="宋体" w:cs="Arial"/>
          <w:bCs/>
          <w:sz w:val="24"/>
          <w:highlight w:val="none"/>
        </w:rPr>
        <w:t>、评标委员会成员对需要共同认定的事项存在争议的，按照少数服从多数的原则作出结论。持不同意见的评标委员会成员应当在评审报告上签署不同意见及理由，否则视为同意评审报告。</w:t>
      </w:r>
    </w:p>
    <w:p>
      <w:pPr>
        <w:pStyle w:val="4"/>
        <w:numPr>
          <w:ilvl w:val="2"/>
          <w:numId w:val="0"/>
        </w:numPr>
        <w:spacing w:before="0" w:after="0"/>
        <w:ind w:left="728" w:leftChars="185" w:hanging="340" w:hangingChars="142"/>
        <w:rPr>
          <w:rFonts w:asci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评委纪律</w:t>
      </w:r>
    </w:p>
    <w:p>
      <w:pPr>
        <w:spacing w:line="360" w:lineRule="auto"/>
        <w:ind w:firstLine="424" w:firstLineChars="177"/>
        <w:rPr>
          <w:rFonts w:ascii="宋体" w:cs="Arial"/>
          <w:kern w:val="0"/>
          <w:sz w:val="24"/>
          <w:highlight w:val="none"/>
        </w:rPr>
      </w:pPr>
      <w:r>
        <w:rPr>
          <w:rFonts w:ascii="宋体" w:hAnsi="宋体" w:cs="Arial"/>
          <w:sz w:val="24"/>
          <w:highlight w:val="none"/>
        </w:rPr>
        <w:t>1</w:t>
      </w:r>
      <w:r>
        <w:rPr>
          <w:rFonts w:hint="eastAsia" w:ascii="宋体" w:hAnsi="宋体" w:cs="Arial"/>
          <w:sz w:val="24"/>
          <w:highlight w:val="none"/>
        </w:rPr>
        <w:t>、评标委员会成员必须严格遵守保密规定，不得泄露评审的有关情况</w:t>
      </w:r>
      <w:r>
        <w:rPr>
          <w:rFonts w:hint="eastAsia" w:ascii="宋体" w:hAnsi="宋体" w:cs="Arial"/>
          <w:kern w:val="0"/>
          <w:sz w:val="24"/>
          <w:highlight w:val="none"/>
        </w:rPr>
        <w:t>，任何单位和个人不得干扰、影响评标的正常进行，评标委员会成员不得私下与投标供应商接触，不得出现浙江省政府采购活动现场组织管理办法中规定的其他禁止行为。</w:t>
      </w:r>
    </w:p>
    <w:p>
      <w:pPr>
        <w:pStyle w:val="4"/>
        <w:numPr>
          <w:ilvl w:val="2"/>
          <w:numId w:val="0"/>
        </w:numPr>
        <w:spacing w:before="0" w:after="0"/>
        <w:ind w:left="728" w:leftChars="185" w:hanging="340" w:hangingChars="142"/>
        <w:rPr>
          <w:rFonts w:ascii="宋体" w:cs="宋体"/>
          <w:sz w:val="24"/>
          <w:szCs w:val="24"/>
          <w:highlight w:val="none"/>
        </w:rPr>
      </w:pPr>
      <w:bookmarkStart w:id="6" w:name="_Toc24550043"/>
      <w:bookmarkStart w:id="7" w:name="_Toc33194395"/>
      <w:r>
        <w:rPr>
          <w:rFonts w:hint="eastAsia" w:ascii="宋体" w:hAnsi="宋体" w:cs="宋体"/>
          <w:sz w:val="24"/>
          <w:szCs w:val="24"/>
          <w:highlight w:val="none"/>
        </w:rPr>
        <w:t>（七）</w:t>
      </w:r>
      <w:bookmarkEnd w:id="6"/>
      <w:bookmarkStart w:id="8" w:name="_Toc24550044"/>
      <w:r>
        <w:rPr>
          <w:rFonts w:hint="eastAsia" w:ascii="宋体" w:hAnsi="宋体" w:cs="宋体"/>
          <w:sz w:val="24"/>
          <w:szCs w:val="24"/>
          <w:highlight w:val="none"/>
        </w:rPr>
        <w:t>评审流程及内容</w:t>
      </w:r>
      <w:bookmarkEnd w:id="7"/>
      <w:bookmarkEnd w:id="8"/>
    </w:p>
    <w:p>
      <w:pPr>
        <w:spacing w:line="360" w:lineRule="auto"/>
        <w:ind w:firstLine="422" w:firstLineChars="176"/>
        <w:rPr>
          <w:rFonts w:ascii="宋体"/>
          <w:sz w:val="24"/>
          <w:highlight w:val="none"/>
        </w:rPr>
      </w:pPr>
      <w:r>
        <w:rPr>
          <w:rFonts w:hint="eastAsia" w:ascii="宋体" w:hAnsi="宋体" w:cs="Arial"/>
          <w:b/>
          <w:kern w:val="0"/>
          <w:sz w:val="24"/>
          <w:highlight w:val="none"/>
        </w:rPr>
        <w:t>本项目具体的评审事务由评标委员会负责，评审流程及内容如下：</w:t>
      </w:r>
    </w:p>
    <w:p>
      <w:pPr>
        <w:pStyle w:val="4"/>
        <w:numPr>
          <w:ilvl w:val="2"/>
          <w:numId w:val="0"/>
        </w:numPr>
        <w:spacing w:before="0" w:after="0"/>
        <w:ind w:left="728" w:leftChars="185" w:hanging="340" w:hangingChars="142"/>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、评审前准备</w:t>
      </w:r>
    </w:p>
    <w:p>
      <w:pPr>
        <w:spacing w:line="360" w:lineRule="auto"/>
        <w:ind w:firstLine="240" w:firstLineChars="100"/>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）由评审专家推选评审小组组长，采购人代表不得担任评审小组组长。</w:t>
      </w:r>
    </w:p>
    <w:p>
      <w:pPr>
        <w:spacing w:line="360" w:lineRule="auto"/>
        <w:ind w:firstLine="240" w:firstLineChars="100"/>
        <w:rPr>
          <w:rFonts w:ascii="宋体" w:cs="Arial"/>
          <w:b/>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4"/>
        <w:numPr>
          <w:ilvl w:val="2"/>
          <w:numId w:val="0"/>
        </w:numPr>
        <w:spacing w:before="0" w:after="0"/>
        <w:ind w:left="728" w:leftChars="185" w:hanging="340" w:hangingChars="142"/>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sz w:val="24"/>
          <w:szCs w:val="24"/>
          <w:highlight w:val="none"/>
        </w:rPr>
        <w:t>投标文件的初步审查、符合性审查</w:t>
      </w:r>
    </w:p>
    <w:p>
      <w:pPr>
        <w:spacing w:line="360" w:lineRule="auto"/>
        <w:ind w:firstLine="424" w:firstLineChars="177"/>
        <w:rPr>
          <w:rFonts w:ascii="宋体" w:cs="Arial"/>
          <w:b/>
          <w:kern w:val="0"/>
          <w:sz w:val="24"/>
          <w:highlight w:val="none"/>
        </w:rPr>
      </w:pPr>
      <w:r>
        <w:rPr>
          <w:rFonts w:hint="eastAsia" w:ascii="宋体" w:hAnsi="宋体" w:cs="Arial"/>
          <w:b/>
          <w:kern w:val="0"/>
          <w:sz w:val="24"/>
          <w:highlight w:val="none"/>
        </w:rPr>
        <w:t>对所有通过资格审查的投标供应商的投标文件进行初步审查，审查、评价投标文件是否符合招标文件的商务、技术、服务等实质性要求。</w:t>
      </w:r>
    </w:p>
    <w:p>
      <w:pPr>
        <w:spacing w:line="360" w:lineRule="auto"/>
        <w:ind w:firstLine="424" w:firstLineChars="177"/>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4"/>
        <w:numPr>
          <w:ilvl w:val="0"/>
          <w:numId w:val="4"/>
        </w:numPr>
        <w:spacing w:before="0" w:after="0"/>
        <w:ind w:firstLine="480" w:firstLineChars="200"/>
        <w:rPr>
          <w:rFonts w:ascii="宋体"/>
          <w:sz w:val="24"/>
          <w:szCs w:val="24"/>
          <w:highlight w:val="none"/>
        </w:rPr>
      </w:pPr>
      <w:r>
        <w:rPr>
          <w:rFonts w:hint="eastAsia" w:ascii="宋体" w:hAnsi="宋体"/>
          <w:sz w:val="24"/>
          <w:szCs w:val="24"/>
          <w:highlight w:val="none"/>
        </w:rPr>
        <w:t>投标文件的澄清、说明或补正</w:t>
      </w:r>
    </w:p>
    <w:p>
      <w:pPr>
        <w:pStyle w:val="21"/>
        <w:spacing w:before="0" w:beforeAutospacing="0" w:after="0" w:afterAutospacing="0" w:line="440" w:lineRule="exact"/>
        <w:ind w:firstLine="420" w:firstLineChars="175"/>
        <w:jc w:val="both"/>
        <w:rPr>
          <w:highlight w:val="none"/>
        </w:rPr>
      </w:pPr>
      <w:r>
        <w:rPr>
          <w:rFonts w:hint="eastAsia"/>
          <w:highlight w:val="none"/>
        </w:rPr>
        <w:t>（</w:t>
      </w:r>
      <w:r>
        <w:rPr>
          <w:highlight w:val="none"/>
        </w:rPr>
        <w:t>1</w:t>
      </w:r>
      <w:r>
        <w:rPr>
          <w:rFonts w:hint="eastAsia"/>
          <w:highlight w:val="none"/>
        </w:rPr>
        <w:t>）对于投标文件中含义不明确、同类问题表述不一致或者有明显文字和计算错误的内容，评标委员会将</w:t>
      </w:r>
      <w:r>
        <w:rPr>
          <w:rFonts w:hint="eastAsia"/>
          <w:b/>
          <w:bCs/>
          <w:color w:val="FF0000"/>
          <w:highlight w:val="none"/>
        </w:rPr>
        <w:t>通过“政府采购云平台”线上</w:t>
      </w:r>
      <w:r>
        <w:rPr>
          <w:rFonts w:hint="eastAsia"/>
          <w:highlight w:val="none"/>
        </w:rPr>
        <w:t>要求投标供应商在规定的时间内作出必要的澄清、说明或者补正，投标供应商澄清、说明或补正时间为</w:t>
      </w:r>
      <w:r>
        <w:rPr>
          <w:highlight w:val="none"/>
        </w:rPr>
        <w:t>30</w:t>
      </w:r>
      <w:r>
        <w:rPr>
          <w:rFonts w:hint="eastAsia"/>
          <w:highlight w:val="none"/>
        </w:rPr>
        <w:t>分钟内，未在规定时间内澄清、说明或补正说明的，视为无异议。</w:t>
      </w:r>
    </w:p>
    <w:p>
      <w:pPr>
        <w:spacing w:line="360" w:lineRule="auto"/>
        <w:ind w:firstLine="420" w:firstLineChars="175"/>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投标供应商的澄清、说明或者补正应当通过“政府采购云平台”线上书面提交，并加盖公章，或者由法定代表人或其授权的代表签字。投标供应商的澄清、说明或者补正不得超出投标文件的范围或者改变投标文件的实质性内容。</w:t>
      </w:r>
    </w:p>
    <w:p>
      <w:pPr>
        <w:pStyle w:val="14"/>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（八）错误修正</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pPr>
        <w:pStyle w:val="21"/>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w:t>
      </w:r>
      <w:r>
        <w:rPr>
          <w:rFonts w:hint="eastAsia"/>
          <w:lang w:eastAsia="zh-CN"/>
        </w:rPr>
        <w:t>，或</w:t>
      </w:r>
      <w:r>
        <w:rPr>
          <w:rFonts w:hint="eastAsia"/>
        </w:rPr>
        <w:t>与“政府采购云平台”中的报价两者不一致的，以投标文件中开标一览表（报价表）为准；</w:t>
      </w:r>
    </w:p>
    <w:p>
      <w:pPr>
        <w:pStyle w:val="21"/>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pPr>
        <w:pStyle w:val="21"/>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pPr>
        <w:pStyle w:val="21"/>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1"/>
        <w:spacing w:before="0" w:beforeAutospacing="0" w:after="0" w:afterAutospacing="0" w:line="440" w:lineRule="exact"/>
        <w:ind w:firstLine="480" w:firstLineChars="200"/>
        <w:jc w:val="both"/>
        <w:rPr>
          <w:rFonts w:cs="Times New Roman"/>
          <w:b/>
          <w:bCs/>
          <w:highlight w:val="none"/>
        </w:rPr>
      </w:pPr>
      <w:r>
        <w:rPr>
          <w:rFonts w:hint="eastAsia"/>
          <w:b/>
          <w:bCs/>
          <w:highlight w:val="none"/>
        </w:rPr>
        <w:t>（九）投标人存在下列情况之一的，投标无效</w:t>
      </w:r>
    </w:p>
    <w:p>
      <w:pPr>
        <w:spacing w:line="480" w:lineRule="exact"/>
        <w:ind w:firstLine="480" w:firstLineChars="200"/>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、投标文件未按招标文件规定的要求提交的；</w:t>
      </w:r>
    </w:p>
    <w:p>
      <w:pPr>
        <w:spacing w:line="480" w:lineRule="exact"/>
        <w:ind w:firstLine="480" w:firstLineChars="200"/>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、电子加密投标文件解密失败且未按要求提交“备份投标文件”的；</w:t>
      </w:r>
    </w:p>
    <w:p>
      <w:pPr>
        <w:spacing w:line="480" w:lineRule="exact"/>
        <w:ind w:firstLine="480" w:firstLineChars="200"/>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、资格证明文件、商务技术文件、报价文件出现混传或在资格证明文件或商务技术文件中出现投标报价的；</w:t>
      </w:r>
    </w:p>
    <w:p>
      <w:pPr>
        <w:spacing w:line="480" w:lineRule="exact"/>
        <w:ind w:firstLine="480" w:firstLineChars="20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、投标人没有提供合法、有效的“授权委托书”或“法定代表人身份证明书”的；</w:t>
      </w:r>
      <w:r>
        <w:rPr>
          <w:rFonts w:ascii="宋体" w:hAnsi="宋体" w:cs="宋体"/>
          <w:kern w:val="0"/>
          <w:sz w:val="24"/>
          <w:highlight w:val="none"/>
        </w:rPr>
        <w:t xml:space="preserve"> </w:t>
      </w:r>
    </w:p>
    <w:p>
      <w:pPr>
        <w:spacing w:line="480" w:lineRule="exact"/>
        <w:ind w:firstLine="480" w:firstLineChars="200"/>
        <w:rPr>
          <w:rFonts w:ascii="宋体" w:cs="宋体"/>
          <w:kern w:val="0"/>
          <w:sz w:val="24"/>
          <w:highlight w:val="none"/>
        </w:rPr>
      </w:pPr>
      <w:r>
        <w:rPr>
          <w:rFonts w:ascii="宋体" w:hAnsi="宋体" w:cs="宋体"/>
          <w:kern w:val="0"/>
          <w:sz w:val="24"/>
          <w:highlight w:val="none"/>
        </w:rPr>
        <w:t>5</w:t>
      </w:r>
      <w:r>
        <w:rPr>
          <w:rFonts w:hint="eastAsia" w:ascii="宋体" w:hAnsi="宋体" w:cs="宋体"/>
          <w:kern w:val="0"/>
          <w:sz w:val="24"/>
          <w:highlight w:val="none"/>
        </w:rPr>
        <w:t>、投标文件的实质性内容未使用中文表述、意思表述不明确、前后矛盾或者使用计量单位不符合招标文件要求的；</w:t>
      </w:r>
    </w:p>
    <w:p>
      <w:pPr>
        <w:spacing w:line="480" w:lineRule="exact"/>
        <w:ind w:firstLine="480" w:firstLineChars="200"/>
        <w:rPr>
          <w:rFonts w:ascii="宋体" w:cs="宋体"/>
          <w:kern w:val="0"/>
          <w:sz w:val="24"/>
          <w:highlight w:val="none"/>
        </w:rPr>
      </w:pPr>
      <w:r>
        <w:rPr>
          <w:rFonts w:ascii="宋体" w:hAnsi="宋体" w:cs="宋体"/>
          <w:kern w:val="0"/>
          <w:sz w:val="24"/>
          <w:highlight w:val="none"/>
        </w:rPr>
        <w:t>6</w:t>
      </w:r>
      <w:r>
        <w:rPr>
          <w:rFonts w:hint="eastAsia" w:ascii="宋体" w:hAnsi="宋体" w:cs="宋体"/>
          <w:kern w:val="0"/>
          <w:sz w:val="24"/>
          <w:highlight w:val="none"/>
        </w:rPr>
        <w:t>、未实质性响应招标文件要求或者投标文件有采购人不能接受的附加条件的；</w:t>
      </w:r>
    </w:p>
    <w:p>
      <w:pPr>
        <w:spacing w:line="480" w:lineRule="exact"/>
        <w:ind w:firstLine="480" w:firstLineChars="200"/>
        <w:rPr>
          <w:rFonts w:ascii="宋体" w:cs="宋体"/>
          <w:kern w:val="0"/>
          <w:sz w:val="24"/>
          <w:highlight w:val="none"/>
        </w:rPr>
      </w:pPr>
      <w:r>
        <w:rPr>
          <w:rFonts w:ascii="宋体" w:hAnsi="宋体" w:cs="宋体"/>
          <w:kern w:val="0"/>
          <w:sz w:val="24"/>
          <w:highlight w:val="none"/>
        </w:rPr>
        <w:t>7</w:t>
      </w:r>
      <w:r>
        <w:rPr>
          <w:rFonts w:hint="eastAsia" w:ascii="宋体" w:hAnsi="宋体" w:cs="宋体"/>
          <w:kern w:val="0"/>
          <w:sz w:val="24"/>
          <w:highlight w:val="none"/>
        </w:rPr>
        <w:t>、明显不符合招标文件要求的技术参数、质量标准，或者与招标文件中的技术指标、主要功能项目发生实质性偏离的；</w:t>
      </w:r>
    </w:p>
    <w:p>
      <w:pPr>
        <w:adjustRightInd w:val="0"/>
        <w:snapToGrid w:val="0"/>
        <w:spacing w:line="440" w:lineRule="exact"/>
        <w:ind w:firstLine="480" w:firstLineChars="200"/>
        <w:jc w:val="left"/>
        <w:rPr>
          <w:rFonts w:ascii="宋体" w:cs="宋体"/>
          <w:kern w:val="0"/>
          <w:sz w:val="24"/>
          <w:szCs w:val="24"/>
          <w:highlight w:val="none"/>
        </w:rPr>
      </w:pPr>
      <w:r>
        <w:rPr>
          <w:rFonts w:ascii="宋体" w:hAnsi="宋体" w:cs="宋体"/>
          <w:kern w:val="0"/>
          <w:sz w:val="24"/>
          <w:szCs w:val="24"/>
          <w:highlight w:val="none"/>
        </w:rPr>
        <w:t>8</w:t>
      </w:r>
      <w:r>
        <w:rPr>
          <w:rFonts w:hint="eastAsia" w:ascii="宋体" w:hAnsi="宋体" w:cs="宋体"/>
          <w:kern w:val="0"/>
          <w:sz w:val="24"/>
          <w:szCs w:val="24"/>
          <w:highlight w:val="none"/>
        </w:rPr>
        <w:t>、不具备招标文件中规定的资格要求的；</w:t>
      </w:r>
    </w:p>
    <w:p>
      <w:pPr>
        <w:pStyle w:val="21"/>
        <w:tabs>
          <w:tab w:val="left" w:pos="7380"/>
        </w:tabs>
        <w:adjustRightInd w:val="0"/>
        <w:snapToGrid w:val="0"/>
        <w:spacing w:before="0" w:beforeAutospacing="0" w:after="0" w:afterAutospacing="0" w:line="440" w:lineRule="exact"/>
        <w:ind w:firstLine="480" w:firstLineChars="200"/>
        <w:jc w:val="both"/>
        <w:rPr>
          <w:rFonts w:cs="Times New Roman"/>
          <w:highlight w:val="none"/>
        </w:rPr>
      </w:pPr>
      <w:r>
        <w:rPr>
          <w:highlight w:val="none"/>
        </w:rPr>
        <w:t>9</w:t>
      </w:r>
      <w:r>
        <w:rPr>
          <w:rFonts w:hint="eastAsia"/>
          <w:highlight w:val="none"/>
        </w:rPr>
        <w:t>、擅自调整开标一览表格式的；</w:t>
      </w:r>
      <w:r>
        <w:rPr>
          <w:rFonts w:cs="Times New Roman"/>
          <w:highlight w:val="none"/>
        </w:rPr>
        <w:tab/>
      </w:r>
    </w:p>
    <w:p>
      <w:pPr>
        <w:adjustRightInd w:val="0"/>
        <w:snapToGri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10</w:t>
      </w:r>
      <w:r>
        <w:rPr>
          <w:rFonts w:hint="eastAsia" w:ascii="宋体" w:hAnsi="宋体" w:cs="宋体"/>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before="0" w:beforeAutospacing="0" w:after="0" w:afterAutospacing="0" w:line="440" w:lineRule="exact"/>
        <w:ind w:firstLine="480" w:firstLineChars="200"/>
        <w:jc w:val="both"/>
        <w:rPr>
          <w:highlight w:val="none"/>
        </w:rPr>
      </w:pPr>
      <w:r>
        <w:rPr>
          <w:highlight w:val="none"/>
        </w:rPr>
        <w:t>11</w:t>
      </w:r>
      <w:r>
        <w:rPr>
          <w:rFonts w:hint="eastAsia"/>
          <w:highlight w:val="none"/>
        </w:rPr>
        <w:t>、报价超过招标文件中规定的预算金额或最高限价；</w:t>
      </w:r>
    </w:p>
    <w:p>
      <w:pPr>
        <w:adjustRightInd w:val="0"/>
        <w:snapToGri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12</w:t>
      </w:r>
      <w:r>
        <w:rPr>
          <w:rFonts w:hint="eastAsia" w:ascii="宋体" w:hAnsi="宋体" w:cs="宋体"/>
          <w:kern w:val="0"/>
          <w:sz w:val="24"/>
          <w:szCs w:val="24"/>
          <w:highlight w:val="none"/>
        </w:rPr>
        <w:t>、投标文件提供虚假材料的；</w:t>
      </w:r>
    </w:p>
    <w:p>
      <w:pPr>
        <w:adjustRightInd w:val="0"/>
        <w:snapToGri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13</w:t>
      </w:r>
      <w:r>
        <w:rPr>
          <w:rFonts w:hint="eastAsia" w:ascii="宋体" w:hAnsi="宋体" w:cs="宋体"/>
          <w:kern w:val="0"/>
          <w:sz w:val="24"/>
          <w:szCs w:val="24"/>
          <w:highlight w:val="none"/>
        </w:rPr>
        <w:t>、投标人上传的电子加密投标文件解密成功的，电子加密投标文件中法定代表人电子章（或委托代理人签字）、投标人的单位电子公章盖章不齐全，不符合招标文件规定的；</w:t>
      </w:r>
    </w:p>
    <w:p>
      <w:pPr>
        <w:pStyle w:val="21"/>
        <w:spacing w:before="0" w:beforeAutospacing="0" w:after="0" w:afterAutospacing="0" w:line="440" w:lineRule="exact"/>
        <w:ind w:firstLine="480" w:firstLineChars="200"/>
        <w:jc w:val="both"/>
        <w:rPr>
          <w:highlight w:val="none"/>
        </w:rPr>
      </w:pPr>
      <w:r>
        <w:rPr>
          <w:highlight w:val="none"/>
        </w:rPr>
        <w:t>14</w:t>
      </w:r>
      <w:r>
        <w:rPr>
          <w:rFonts w:hint="eastAsia"/>
          <w:highlight w:val="none"/>
        </w:rPr>
        <w:t>、投标报价关键内容字迹模糊、无法辨认的或投标报价大写不符合国家有关</w:t>
      </w:r>
    </w:p>
    <w:p>
      <w:pPr>
        <w:pStyle w:val="21"/>
        <w:spacing w:before="0" w:beforeAutospacing="0" w:after="0" w:afterAutospacing="0" w:line="440" w:lineRule="exact"/>
        <w:jc w:val="both"/>
        <w:rPr>
          <w:highlight w:val="none"/>
        </w:rPr>
      </w:pPr>
      <w:r>
        <w:rPr>
          <w:rFonts w:hint="eastAsia"/>
          <w:highlight w:val="none"/>
        </w:rPr>
        <w:t>规定的；</w:t>
      </w:r>
    </w:p>
    <w:p>
      <w:pPr>
        <w:pStyle w:val="21"/>
        <w:spacing w:before="0" w:beforeAutospacing="0" w:after="0" w:afterAutospacing="0" w:line="440" w:lineRule="exact"/>
        <w:ind w:firstLine="480" w:firstLineChars="200"/>
        <w:jc w:val="both"/>
        <w:rPr>
          <w:highlight w:val="none"/>
        </w:rPr>
      </w:pPr>
      <w:r>
        <w:rPr>
          <w:highlight w:val="none"/>
        </w:rPr>
        <w:t>15</w:t>
      </w:r>
      <w:r>
        <w:rPr>
          <w:rFonts w:hint="eastAsia"/>
          <w:highlight w:val="none"/>
        </w:rPr>
        <w:t>、符合中华人民共和国财政部令第</w:t>
      </w:r>
      <w:r>
        <w:rPr>
          <w:highlight w:val="none"/>
        </w:rPr>
        <w:t>87</w:t>
      </w:r>
      <w:r>
        <w:rPr>
          <w:rFonts w:hint="eastAsia"/>
          <w:highlight w:val="none"/>
        </w:rPr>
        <w:t>号《政府采购货物和服务招标投标管理办法》第三十七条情形之一的，视为投标人串通投标，其投标无效，并移送采购监管部门：</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1</w:t>
      </w:r>
      <w:r>
        <w:rPr>
          <w:rFonts w:hint="eastAsia"/>
          <w:highlight w:val="none"/>
        </w:rPr>
        <w:t>）不同投标人的投标文件由同一单位或者个人编制；</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2</w:t>
      </w:r>
      <w:r>
        <w:rPr>
          <w:rFonts w:hint="eastAsia"/>
          <w:highlight w:val="none"/>
        </w:rPr>
        <w:t>）不同投标人委托同一单位或者个人办理投标事宜；</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4</w:t>
      </w:r>
      <w:r>
        <w:rPr>
          <w:rFonts w:hint="eastAsia"/>
          <w:highlight w:val="none"/>
        </w:rPr>
        <w:t>）不同投标人的投标文件异常一致或者投标报价呈规律性差异；</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5</w:t>
      </w:r>
      <w:r>
        <w:rPr>
          <w:rFonts w:hint="eastAsia"/>
          <w:highlight w:val="none"/>
        </w:rPr>
        <w:t>）不同投标人的投标文件相互混装；</w:t>
      </w:r>
    </w:p>
    <w:p>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16</w:t>
      </w:r>
      <w:r>
        <w:rPr>
          <w:rFonts w:hint="eastAsia" w:ascii="宋体" w:hAnsi="宋体" w:cs="宋体"/>
          <w:kern w:val="0"/>
          <w:sz w:val="24"/>
          <w:szCs w:val="24"/>
          <w:highlight w:val="none"/>
        </w:rPr>
        <w:t>、不符合法律、法规和招标文件中规定的其他实质性要求的（招标文件中打“▲”内容及被拒绝的条款）。</w:t>
      </w:r>
    </w:p>
    <w:p>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b/>
          <w:bCs/>
          <w:kern w:val="0"/>
          <w:sz w:val="24"/>
          <w:szCs w:val="24"/>
          <w:highlight w:val="none"/>
        </w:rPr>
        <w:t>（十）有下列情况之一的，本次招标作为废标处理</w:t>
      </w:r>
    </w:p>
    <w:p>
      <w:pPr>
        <w:pStyle w:val="21"/>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、符合专业条件的供应商或者对招标文件作实质响应的供应商不足三家的；</w:t>
      </w:r>
    </w:p>
    <w:p>
      <w:pPr>
        <w:pStyle w:val="21"/>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pPr>
        <w:pStyle w:val="21"/>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pPr>
        <w:pStyle w:val="21"/>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pPr>
        <w:pStyle w:val="14"/>
        <w:snapToGrid w:val="0"/>
        <w:spacing w:line="440" w:lineRule="exact"/>
        <w:ind w:firstLine="480" w:firstLineChars="200"/>
        <w:rPr>
          <w:rFonts w:hAnsi="宋体" w:cs="Times New Roman"/>
          <w:b/>
          <w:bCs/>
          <w:sz w:val="24"/>
          <w:szCs w:val="24"/>
          <w:highlight w:val="none"/>
        </w:rPr>
      </w:pPr>
      <w:r>
        <w:rPr>
          <w:rFonts w:hint="eastAsia" w:hAnsi="宋体"/>
          <w:b/>
          <w:bCs/>
          <w:sz w:val="24"/>
          <w:szCs w:val="24"/>
          <w:highlight w:val="none"/>
        </w:rPr>
        <w:t>（十一）评标过程的监控</w:t>
      </w:r>
    </w:p>
    <w:p>
      <w:pPr>
        <w:pStyle w:val="21"/>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本项目评标过程实行全程录音、录像监控，政府采购监管部门视情进行现场监督，投标人在评标过程中所进行的试图影响评标结果的不公正活动，可能导致其投标被拒绝。</w:t>
      </w:r>
    </w:p>
    <w:p>
      <w:pPr>
        <w:spacing w:line="480" w:lineRule="auto"/>
        <w:jc w:val="center"/>
        <w:rPr>
          <w:rFonts w:ascii="宋体" w:cs="宋体"/>
          <w:b/>
          <w:bCs/>
          <w:sz w:val="28"/>
          <w:szCs w:val="28"/>
          <w:highlight w:val="none"/>
        </w:rPr>
      </w:pPr>
      <w:r>
        <w:rPr>
          <w:rFonts w:hint="eastAsia" w:ascii="宋体" w:hAnsi="宋体" w:cs="宋体"/>
          <w:b/>
          <w:bCs/>
          <w:sz w:val="28"/>
          <w:szCs w:val="28"/>
          <w:highlight w:val="none"/>
        </w:rPr>
        <w:t>六、定标</w:t>
      </w:r>
    </w:p>
    <w:p>
      <w:pPr>
        <w:pStyle w:val="21"/>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、确定中标人。评标委员会根据采购单位的《授权意见确认书》，推荐中标候选人或确定中标人。其中推荐中标候选人的，采购代理机构在评审结束后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个工作日内在评审报告推荐的中标候选人中推荐排名第一的中标候选人为中标人。</w:t>
      </w:r>
    </w:p>
    <w:p>
      <w:pP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个工作日内，在省级以上财政部门指定的媒体及相关网站上公告中标结果。</w:t>
      </w:r>
    </w:p>
    <w:p>
      <w:pP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b/>
          <w:bCs/>
          <w:kern w:val="0"/>
          <w:sz w:val="24"/>
          <w:szCs w:val="24"/>
          <w:highlight w:val="none"/>
          <w:u w:val="single"/>
        </w:rPr>
        <w:t>中标人应在领取中标通知书之时按采购人要求提供纸质投标文件（采用胶装），不建议采用活页夹等可随时拆换的方式装订。</w:t>
      </w:r>
    </w:p>
    <w:p>
      <w:pP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pPr>
        <w:spacing w:line="440" w:lineRule="exact"/>
        <w:ind w:firstLine="480" w:firstLineChars="200"/>
        <w:rPr>
          <w:rFonts w:ascii="宋体"/>
          <w:b/>
          <w:bCs/>
          <w:kern w:val="0"/>
          <w:sz w:val="24"/>
          <w:szCs w:val="24"/>
          <w:highlight w:val="none"/>
        </w:rPr>
      </w:pPr>
      <w:r>
        <w:rPr>
          <w:rFonts w:hint="eastAsia" w:ascii="宋体" w:hAnsi="宋体" w:cs="宋体"/>
          <w:b/>
          <w:bCs/>
          <w:sz w:val="24"/>
          <w:szCs w:val="24"/>
          <w:highlight w:val="none"/>
        </w:rPr>
        <w:t>（一）签订合同</w:t>
      </w:r>
    </w:p>
    <w:p>
      <w:pPr>
        <w:pStyle w:val="21"/>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日内，按照招标文件和中标人投标文件的规定，与中标人签订书面合同。所签订的合同不得对招标文件确定的事项和中标人投标文件作实质性修改。</w:t>
      </w:r>
    </w:p>
    <w:p>
      <w:pPr>
        <w:pStyle w:val="21"/>
        <w:spacing w:before="0" w:beforeAutospacing="0" w:after="0" w:afterAutospacing="0" w:line="440" w:lineRule="exact"/>
        <w:ind w:firstLine="600" w:firstLineChars="250"/>
        <w:jc w:val="both"/>
        <w:rPr>
          <w:highlight w:val="none"/>
        </w:rPr>
      </w:pPr>
      <w:r>
        <w:rPr>
          <w:highlight w:val="none"/>
        </w:rPr>
        <w:t>2</w:t>
      </w:r>
      <w:r>
        <w:rPr>
          <w:rFonts w:hint="eastAsia"/>
          <w:highlight w:val="none"/>
        </w:rPr>
        <w:t>、采购人不得向中标人提出任何不合理的要求作为签订合同的条件。</w:t>
      </w:r>
    </w:p>
    <w:p>
      <w:pPr>
        <w:pStyle w:val="21"/>
        <w:spacing w:before="0" w:beforeAutospacing="0" w:after="0" w:afterAutospacing="0" w:line="440" w:lineRule="exact"/>
        <w:ind w:firstLine="600" w:firstLineChars="250"/>
        <w:jc w:val="both"/>
        <w:rPr>
          <w:rFonts w:cs="Times New Roman"/>
          <w:highlight w:val="none"/>
        </w:rPr>
      </w:pPr>
      <w:r>
        <w:rPr>
          <w:highlight w:val="none"/>
        </w:rPr>
        <w:t>3</w:t>
      </w:r>
      <w:r>
        <w:rPr>
          <w:rFonts w:hint="eastAsia"/>
          <w:highlight w:val="none"/>
        </w:rPr>
        <w:t>、中标人无正当理由拖延、拒签合同的</w:t>
      </w:r>
      <w:r>
        <w:rPr>
          <w:highlight w:val="none"/>
        </w:rPr>
        <w:t>,</w:t>
      </w:r>
      <w:r>
        <w:rPr>
          <w:rFonts w:hint="eastAsia"/>
          <w:highlight w:val="none"/>
        </w:rPr>
        <w:t>按《政府采购法》等有关规定进行处理、处罚。</w:t>
      </w:r>
    </w:p>
    <w:p>
      <w:pPr>
        <w:pStyle w:val="21"/>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、中标人拒绝与采购人签订合同的，采购人应重新开展政府采购活动。同时，拒绝与采购人签订合同的供应商，由同级财政部门依法作出处理。</w:t>
      </w:r>
    </w:p>
    <w:p>
      <w:pPr>
        <w:pStyle w:val="21"/>
        <w:spacing w:before="0" w:beforeAutospacing="0" w:after="0" w:afterAutospacing="0" w:line="440" w:lineRule="exact"/>
        <w:ind w:firstLine="480" w:firstLineChars="200"/>
        <w:rPr>
          <w:rFonts w:cs="Times New Roman"/>
          <w:highlight w:val="none"/>
        </w:rPr>
      </w:pPr>
      <w:r>
        <w:rPr>
          <w:highlight w:val="none"/>
        </w:rPr>
        <w:t>5</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pPr>
        <w:pStyle w:val="21"/>
        <w:spacing w:before="0" w:beforeAutospacing="0" w:after="0" w:afterAutospacing="0" w:line="440" w:lineRule="exact"/>
        <w:ind w:firstLine="422" w:firstLineChars="176"/>
        <w:rPr>
          <w:rFonts w:cs="Times New Roman"/>
          <w:b/>
          <w:bCs/>
          <w:highlight w:val="none"/>
        </w:rPr>
      </w:pPr>
      <w:r>
        <w:rPr>
          <w:rFonts w:hint="eastAsia"/>
          <w:b/>
          <w:bCs/>
          <w:highlight w:val="none"/>
        </w:rPr>
        <w:t>（二）合同公告及备案</w:t>
      </w:r>
    </w:p>
    <w:p>
      <w:pPr>
        <w:pStyle w:val="12"/>
        <w:spacing w:after="0" w:line="440" w:lineRule="exact"/>
        <w:ind w:left="0" w:leftChars="0" w:firstLine="480" w:firstLineChars="200"/>
        <w:jc w:val="left"/>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2</w:t>
      </w:r>
      <w:r>
        <w:rPr>
          <w:rFonts w:hint="eastAsia" w:ascii="宋体" w:hAnsi="宋体" w:cs="宋体"/>
          <w:sz w:val="24"/>
          <w:szCs w:val="24"/>
          <w:highlight w:val="none"/>
        </w:rPr>
        <w:t>个工作日内，</w:t>
      </w:r>
      <w:r>
        <w:rPr>
          <w:rFonts w:hint="eastAsia" w:ascii="宋体" w:hAnsi="宋体" w:cs="宋体"/>
          <w:kern w:val="0"/>
          <w:sz w:val="24"/>
          <w:szCs w:val="24"/>
          <w:highlight w:val="none"/>
        </w:rPr>
        <w:t>在省级以上财政部门指定的政府采购信息发布媒体及相关网站上公告</w:t>
      </w:r>
      <w:r>
        <w:rPr>
          <w:rFonts w:hint="eastAsia" w:ascii="宋体" w:hAnsi="宋体" w:cs="宋体"/>
          <w:sz w:val="24"/>
          <w:szCs w:val="24"/>
          <w:highlight w:val="none"/>
        </w:rPr>
        <w:t>。</w:t>
      </w:r>
    </w:p>
    <w:p>
      <w:pPr>
        <w:pStyle w:val="12"/>
        <w:spacing w:after="0" w:line="440" w:lineRule="exact"/>
        <w:ind w:left="0" w:leftChars="0"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7</w:t>
      </w:r>
      <w:r>
        <w:rPr>
          <w:rFonts w:hint="eastAsia" w:ascii="宋体" w:hAnsi="宋体" w:cs="宋体"/>
          <w:sz w:val="24"/>
          <w:szCs w:val="24"/>
          <w:highlight w:val="none"/>
        </w:rPr>
        <w:t>个工作日内，将政府采购合同副本报同级人民政府财政部门备案以及采购代理机构存档。</w:t>
      </w:r>
    </w:p>
    <w:p>
      <w:pPr>
        <w:spacing w:line="600" w:lineRule="auto"/>
        <w:jc w:val="center"/>
        <w:rPr>
          <w:rFonts w:ascii="宋体" w:cs="宋体"/>
          <w:b/>
          <w:bCs/>
          <w:sz w:val="28"/>
          <w:szCs w:val="28"/>
          <w:highlight w:val="none"/>
        </w:rPr>
      </w:pPr>
      <w:r>
        <w:rPr>
          <w:rFonts w:hint="eastAsia" w:ascii="宋体" w:hAnsi="宋体" w:cs="宋体"/>
          <w:b/>
          <w:bCs/>
          <w:sz w:val="28"/>
          <w:szCs w:val="28"/>
          <w:highlight w:val="none"/>
        </w:rPr>
        <w:t>八、其他</w:t>
      </w:r>
    </w:p>
    <w:p>
      <w:pPr>
        <w:pStyle w:val="21"/>
        <w:spacing w:before="0" w:beforeAutospacing="0" w:after="0" w:afterAutospacing="0" w:line="440" w:lineRule="exact"/>
        <w:ind w:firstLine="422" w:firstLineChars="176"/>
        <w:rPr>
          <w:rFonts w:hint="eastAsia"/>
          <w:b/>
          <w:bCs/>
          <w:highlight w:val="none"/>
          <w:lang w:val="en-US" w:eastAsia="zh-CN"/>
        </w:rPr>
      </w:pPr>
      <w:r>
        <w:rPr>
          <w:rFonts w:hint="eastAsia"/>
          <w:b/>
          <w:bCs/>
          <w:highlight w:val="none"/>
          <w:lang w:val="en-US" w:eastAsia="zh-CN"/>
        </w:rPr>
        <w:t>（一）中止电子交易活动的情形</w:t>
      </w:r>
    </w:p>
    <w:p>
      <w:pPr>
        <w:pStyle w:val="12"/>
        <w:spacing w:after="0" w:line="440" w:lineRule="exact"/>
        <w:ind w:left="0" w:leftChars="0" w:firstLine="480" w:firstLineChars="200"/>
        <w:jc w:val="left"/>
        <w:rPr>
          <w:rFonts w:asci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pPr>
        <w:pStyle w:val="12"/>
        <w:spacing w:after="0" w:line="440" w:lineRule="exact"/>
        <w:ind w:left="0" w:leftChars="0" w:firstLine="480" w:firstLineChars="200"/>
        <w:jc w:val="left"/>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、电子交易平台发生故障而无法登录访问的；</w:t>
      </w:r>
    </w:p>
    <w:p>
      <w:pPr>
        <w:pStyle w:val="12"/>
        <w:spacing w:after="0" w:line="440" w:lineRule="exact"/>
        <w:ind w:left="0" w:leftChars="0" w:firstLine="480" w:firstLineChars="200"/>
        <w:jc w:val="left"/>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、电子交易平台应用或数据库出现错误，不能进行正常操作的；</w:t>
      </w:r>
    </w:p>
    <w:p>
      <w:pPr>
        <w:pStyle w:val="12"/>
        <w:spacing w:after="0" w:line="440" w:lineRule="exact"/>
        <w:ind w:left="0" w:leftChars="0"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、电子交易平台发现严重安全漏洞，有潜在泄密危险的；</w:t>
      </w:r>
    </w:p>
    <w:p>
      <w:pPr>
        <w:pStyle w:val="12"/>
        <w:spacing w:after="0" w:line="440" w:lineRule="exact"/>
        <w:ind w:left="0" w:leftChars="0"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、病毒发作导致不能进行正常操作的；</w:t>
      </w:r>
    </w:p>
    <w:p>
      <w:pPr>
        <w:pStyle w:val="12"/>
        <w:spacing w:after="0" w:line="440" w:lineRule="exact"/>
        <w:ind w:left="0" w:leftChars="0"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、其他无法保证电子交易的公平、公正和安全的情况。</w:t>
      </w:r>
    </w:p>
    <w:p>
      <w:pPr>
        <w:pStyle w:val="12"/>
        <w:spacing w:after="0" w:line="440" w:lineRule="exact"/>
        <w:ind w:left="0" w:leftChars="0" w:firstLine="480" w:firstLineChars="200"/>
        <w:jc w:val="left"/>
        <w:rPr>
          <w:rFonts w:asci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出现前款规定情形，不影响采购公平、公正性的，采购代理机构可以待上述情形消除后继续组织电子交易活动；影响或可能影响采购公平、公正性的，应当重新开展政府采购活动。</w:t>
      </w:r>
    </w:p>
    <w:p>
      <w:pPr>
        <w:pStyle w:val="21"/>
        <w:spacing w:before="0" w:beforeAutospacing="0" w:after="0" w:afterAutospacing="0" w:line="440" w:lineRule="exact"/>
        <w:ind w:firstLine="422" w:firstLineChars="176"/>
        <w:rPr>
          <w:rFonts w:hint="eastAsia"/>
          <w:b/>
          <w:bCs/>
          <w:highlight w:val="none"/>
          <w:lang w:val="en-US" w:eastAsia="zh-CN"/>
        </w:rPr>
      </w:pPr>
      <w:r>
        <w:rPr>
          <w:rFonts w:hint="eastAsia"/>
          <w:b/>
          <w:bCs/>
          <w:highlight w:val="none"/>
          <w:lang w:val="en-US" w:eastAsia="zh-CN"/>
        </w:rPr>
        <w:t>（二）信用记录</w:t>
      </w:r>
    </w:p>
    <w:p>
      <w:pPr>
        <w:pStyle w:val="12"/>
        <w:widowControl/>
        <w:numPr>
          <w:ilvl w:val="0"/>
          <w:numId w:val="0"/>
        </w:numPr>
        <w:snapToGrid/>
        <w:spacing w:after="0" w:line="44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eastAsia="zh-CN"/>
        </w:rPr>
        <w:t>根据</w:t>
      </w:r>
      <w:r>
        <w:rPr>
          <w:rFonts w:hint="eastAsia" w:ascii="宋体" w:hAnsi="宋体" w:eastAsia="宋体" w:cs="宋体"/>
          <w:sz w:val="24"/>
          <w:szCs w:val="24"/>
        </w:rPr>
        <w:t>财库[2016]125号《关于在政府采购活动中查询及使用信用记录有关问题的通知》要求，招标代理机构会对投标人信用记录进行查询并甄别。</w:t>
      </w:r>
    </w:p>
    <w:p>
      <w:pPr>
        <w:pStyle w:val="12"/>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信用信息查询渠道及截止时间：采购代理机构将通过“信用中国”（www.creditchina.gov.cn）</w:t>
      </w:r>
      <w:r>
        <w:rPr>
          <w:rFonts w:hint="eastAsia" w:ascii="宋体" w:hAnsi="宋体" w:cs="宋体"/>
          <w:sz w:val="24"/>
          <w:szCs w:val="24"/>
          <w:highlight w:val="none"/>
          <w:lang w:val="en-US" w:eastAsia="zh-CN"/>
        </w:rPr>
        <w:t>、“中国政府采购网”（www.ccgp.gov.cn）</w:t>
      </w:r>
      <w:r>
        <w:rPr>
          <w:rFonts w:hint="eastAsia" w:ascii="宋体" w:hAnsi="宋体" w:eastAsia="宋体" w:cs="宋体"/>
          <w:sz w:val="24"/>
          <w:szCs w:val="24"/>
          <w:highlight w:val="none"/>
          <w:lang w:val="en-US" w:eastAsia="zh-CN"/>
        </w:rPr>
        <w:t>渠道查询投标人投标截止时间当天的信用记录。</w:t>
      </w:r>
    </w:p>
    <w:p>
      <w:pPr>
        <w:pStyle w:val="12"/>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信用信息查询记录和证据留存的具体方式：现场查询的投标人的信用记录、查询结果经确认后将与采购文件一起存档。</w:t>
      </w:r>
    </w:p>
    <w:p>
      <w:pPr>
        <w:pStyle w:val="12"/>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信用信息的使用规则：经查询列入失信被执行人名单、重大税收违法失信主体、政府采购严重违法失信行为记录名单的投标人将被拒绝参与采购活动。</w:t>
      </w:r>
    </w:p>
    <w:p>
      <w:pPr>
        <w:widowControl/>
        <w:jc w:val="center"/>
        <w:outlineLvl w:val="0"/>
        <w:rPr>
          <w:rFonts w:ascii="宋体" w:cs="宋体"/>
          <w:b/>
          <w:bCs/>
          <w:sz w:val="36"/>
          <w:szCs w:val="36"/>
          <w:highlight w:val="none"/>
        </w:rPr>
      </w:pPr>
      <w:r>
        <w:rPr>
          <w:rFonts w:ascii="宋体" w:cs="宋体"/>
          <w:b/>
          <w:bCs/>
          <w:sz w:val="36"/>
          <w:szCs w:val="36"/>
          <w:highlight w:val="none"/>
        </w:rPr>
        <w:br w:type="page"/>
      </w:r>
      <w:bookmarkStart w:id="9" w:name="_Toc3217"/>
      <w:r>
        <w:rPr>
          <w:rFonts w:hint="eastAsia" w:ascii="宋体" w:hAnsi="宋体" w:cs="宋体"/>
          <w:b/>
          <w:bCs/>
          <w:sz w:val="36"/>
          <w:szCs w:val="36"/>
          <w:highlight w:val="none"/>
        </w:rPr>
        <w:t>第三章</w:t>
      </w:r>
      <w:r>
        <w:rPr>
          <w:rFonts w:ascii="宋体" w:hAnsi="宋体" w:cs="宋体"/>
          <w:b/>
          <w:bCs/>
          <w:sz w:val="36"/>
          <w:szCs w:val="36"/>
          <w:highlight w:val="none"/>
        </w:rPr>
        <w:t xml:space="preserve"> </w:t>
      </w:r>
      <w:r>
        <w:rPr>
          <w:rFonts w:hint="eastAsia" w:ascii="宋体" w:hAnsi="宋体" w:cs="宋体"/>
          <w:b/>
          <w:bCs/>
          <w:sz w:val="36"/>
          <w:szCs w:val="36"/>
          <w:highlight w:val="none"/>
        </w:rPr>
        <w:t>评标办法及评分标准</w:t>
      </w:r>
      <w:bookmarkEnd w:id="9"/>
    </w:p>
    <w:p>
      <w:pP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pPr>
        <w:autoSpaceDE w:val="0"/>
        <w:autoSpaceDN w:val="0"/>
        <w:spacing w:line="440" w:lineRule="exact"/>
        <w:ind w:firstLine="480" w:firstLineChars="200"/>
        <w:rPr>
          <w:b/>
          <w:bCs/>
          <w:color w:val="FF0000"/>
          <w:highlight w:val="none"/>
        </w:rPr>
      </w:pPr>
      <w:r>
        <w:rPr>
          <w:rFonts w:hint="eastAsia" w:ascii="宋体" w:hAnsi="宋体" w:cs="宋体"/>
          <w:kern w:val="0"/>
          <w:sz w:val="24"/>
          <w:szCs w:val="24"/>
          <w:highlight w:val="none"/>
        </w:rPr>
        <w:t>二、本次招标</w:t>
      </w:r>
      <w:r>
        <w:rPr>
          <w:rFonts w:hint="eastAsia" w:ascii="宋体" w:hAnsi="宋体" w:cs="宋体"/>
          <w:kern w:val="0"/>
          <w:sz w:val="24"/>
          <w:szCs w:val="24"/>
          <w:highlight w:val="none"/>
          <w:lang w:eastAsia="zh-CN"/>
        </w:rPr>
        <w:t>项</w:t>
      </w:r>
      <w:r>
        <w:rPr>
          <w:rFonts w:hint="eastAsia" w:ascii="宋体" w:hAnsi="宋体" w:cs="宋体"/>
          <w:kern w:val="0"/>
          <w:sz w:val="24"/>
          <w:szCs w:val="24"/>
          <w:highlight w:val="none"/>
        </w:rPr>
        <w:t>目的评标方法为综合评分法，总计</w:t>
      </w:r>
      <w:r>
        <w:rPr>
          <w:rFonts w:ascii="宋体" w:hAnsi="宋体" w:cs="宋体"/>
          <w:kern w:val="0"/>
          <w:sz w:val="24"/>
          <w:szCs w:val="24"/>
          <w:highlight w:val="none"/>
        </w:rPr>
        <w:t>100</w:t>
      </w:r>
      <w:r>
        <w:rPr>
          <w:rFonts w:hint="eastAsia" w:ascii="宋体" w:hAnsi="宋体" w:cs="宋体"/>
          <w:kern w:val="0"/>
          <w:sz w:val="24"/>
          <w:szCs w:val="24"/>
          <w:highlight w:val="none"/>
        </w:rPr>
        <w:t>分。</w:t>
      </w:r>
      <w:r>
        <w:rPr>
          <w:rFonts w:hint="eastAsia" w:ascii="宋体" w:hAnsi="宋体" w:cs="宋体"/>
          <w:b/>
          <w:bCs/>
          <w:color w:val="FF0000"/>
          <w:kern w:val="0"/>
          <w:sz w:val="24"/>
          <w:szCs w:val="24"/>
          <w:highlight w:val="none"/>
        </w:rPr>
        <w:t>商务技术</w:t>
      </w:r>
      <w:r>
        <w:rPr>
          <w:rFonts w:hint="eastAsia" w:cs="宋体"/>
          <w:b/>
          <w:bCs/>
          <w:color w:val="FF0000"/>
          <w:kern w:val="0"/>
          <w:sz w:val="24"/>
          <w:szCs w:val="24"/>
          <w:highlight w:val="none"/>
        </w:rPr>
        <w:t>70</w:t>
      </w:r>
      <w:r>
        <w:rPr>
          <w:rFonts w:hint="eastAsia" w:ascii="宋体" w:hAnsi="宋体" w:cs="宋体"/>
          <w:b/>
          <w:bCs/>
          <w:color w:val="FF0000"/>
          <w:kern w:val="0"/>
          <w:sz w:val="24"/>
          <w:szCs w:val="24"/>
          <w:highlight w:val="none"/>
        </w:rPr>
        <w:t>分，报价</w:t>
      </w:r>
      <w:r>
        <w:rPr>
          <w:rFonts w:hint="eastAsia" w:cs="宋体"/>
          <w:b/>
          <w:bCs/>
          <w:color w:val="FF0000"/>
          <w:kern w:val="0"/>
          <w:sz w:val="24"/>
          <w:szCs w:val="24"/>
          <w:highlight w:val="none"/>
        </w:rPr>
        <w:t>30</w:t>
      </w:r>
      <w:r>
        <w:rPr>
          <w:rFonts w:hint="eastAsia" w:ascii="宋体" w:hAnsi="宋体" w:cs="宋体"/>
          <w:b/>
          <w:bCs/>
          <w:color w:val="FF0000"/>
          <w:kern w:val="0"/>
          <w:sz w:val="24"/>
          <w:szCs w:val="24"/>
          <w:highlight w:val="none"/>
        </w:rPr>
        <w:t>分。</w:t>
      </w:r>
    </w:p>
    <w:p>
      <w:p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（一）商务技术文件中的客观分</w:t>
      </w:r>
      <w:r>
        <w:rPr>
          <w:rFonts w:hint="eastAsia" w:ascii="宋体" w:hAnsi="宋体" w:cs="宋体"/>
          <w:kern w:val="0"/>
          <w:sz w:val="24"/>
          <w:szCs w:val="24"/>
          <w:highlight w:val="none"/>
          <w:lang w:eastAsia="zh-CN"/>
        </w:rPr>
        <w:t>应一致</w:t>
      </w:r>
      <w:r>
        <w:rPr>
          <w:rFonts w:hint="eastAsia" w:ascii="宋体" w:hAnsi="宋体" w:cs="宋体"/>
          <w:kern w:val="0"/>
          <w:sz w:val="24"/>
          <w:szCs w:val="24"/>
          <w:highlight w:val="none"/>
        </w:rPr>
        <w:t>；其余在规定的分值内单独评定打分。</w:t>
      </w:r>
    </w:p>
    <w:p>
      <w:p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（二）各投标人商务技术文件得分按照评标委员会成员的独立评分结果汇总后的算术平均分计算，计算公式为：</w:t>
      </w:r>
    </w:p>
    <w:p>
      <w:p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商务技术文件得分</w:t>
      </w:r>
      <w:r>
        <w:rPr>
          <w:rFonts w:ascii="宋体" w:hAnsi="宋体" w:cs="宋体"/>
          <w:kern w:val="0"/>
          <w:sz w:val="24"/>
          <w:szCs w:val="24"/>
          <w:highlight w:val="none"/>
        </w:rPr>
        <w:t>=</w:t>
      </w:r>
      <w:r>
        <w:rPr>
          <w:rFonts w:hint="eastAsia" w:ascii="宋体" w:hAnsi="宋体" w:cs="宋体"/>
          <w:kern w:val="0"/>
          <w:sz w:val="24"/>
          <w:szCs w:val="24"/>
          <w:highlight w:val="none"/>
        </w:rPr>
        <w:t>评标委员会所有成员评分合计数</w:t>
      </w:r>
      <w:r>
        <w:rPr>
          <w:rFonts w:ascii="宋体" w:hAnsi="宋体" w:cs="宋体"/>
          <w:kern w:val="0"/>
          <w:sz w:val="24"/>
          <w:szCs w:val="24"/>
          <w:highlight w:val="none"/>
        </w:rPr>
        <w:t>/</w:t>
      </w:r>
      <w:r>
        <w:rPr>
          <w:rFonts w:hint="eastAsia" w:ascii="宋体" w:hAnsi="宋体" w:cs="宋体"/>
          <w:kern w:val="0"/>
          <w:sz w:val="24"/>
          <w:szCs w:val="24"/>
          <w:highlight w:val="none"/>
        </w:rPr>
        <w:t>评标委员会组成人员数。</w:t>
      </w:r>
    </w:p>
    <w:p>
      <w:pPr>
        <w:numPr>
          <w:ilvl w:val="0"/>
          <w:numId w:val="5"/>
        </w:num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highlight w:val="none"/>
          <w:u w:val="single"/>
        </w:rPr>
        <w:t>投标报价得分</w:t>
      </w:r>
      <w:r>
        <w:rPr>
          <w:rFonts w:ascii="宋体" w:hAnsi="宋体" w:cs="宋体"/>
          <w:kern w:val="0"/>
          <w:sz w:val="24"/>
          <w:szCs w:val="24"/>
          <w:highlight w:val="none"/>
          <w:u w:val="single"/>
        </w:rPr>
        <w:t>=</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rPr>
        <w:t>评标基准价／投标报价</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rPr>
        <w:t>×30</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w:t>
      </w:r>
      <w:r>
        <w:rPr>
          <w:rFonts w:ascii="宋体" w:hAnsi="宋体" w:cs="宋体"/>
          <w:kern w:val="0"/>
          <w:sz w:val="24"/>
          <w:szCs w:val="24"/>
          <w:highlight w:val="none"/>
          <w:u w:val="single"/>
        </w:rPr>
        <w:t xml:space="preserve">100 </w:t>
      </w:r>
      <w:r>
        <w:rPr>
          <w:rFonts w:hint="eastAsia" w:ascii="宋体" w:hAnsi="宋体" w:cs="宋体"/>
          <w:kern w:val="0"/>
          <w:sz w:val="24"/>
          <w:szCs w:val="24"/>
          <w:highlight w:val="none"/>
        </w:rPr>
        <w:t>。</w:t>
      </w:r>
    </w:p>
    <w:p>
      <w:pPr>
        <w:numPr>
          <w:ilvl w:val="0"/>
          <w:numId w:val="5"/>
        </w:numPr>
        <w:autoSpaceDE w:val="0"/>
        <w:autoSpaceDN w:val="0"/>
        <w:spacing w:line="440" w:lineRule="exact"/>
        <w:ind w:firstLine="480" w:firstLineChars="200"/>
        <w:rPr>
          <w:rFonts w:ascii="宋体" w:cs="宋体"/>
          <w:b/>
          <w:bCs/>
          <w:color w:val="000000"/>
          <w:kern w:val="0"/>
          <w:sz w:val="24"/>
          <w:szCs w:val="24"/>
          <w:highlight w:val="none"/>
          <w:lang w:val="zh-CN"/>
        </w:rPr>
      </w:pPr>
      <w:r>
        <w:rPr>
          <w:rFonts w:hint="eastAsia" w:ascii="宋体" w:hAnsi="宋体" w:cs="宋体"/>
          <w:b/>
          <w:bCs/>
          <w:color w:val="000000"/>
          <w:kern w:val="0"/>
          <w:sz w:val="24"/>
          <w:szCs w:val="24"/>
          <w:highlight w:val="none"/>
        </w:rPr>
        <w:t>投标人评标综合得分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商务技术分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报价分。</w:t>
      </w:r>
    </w:p>
    <w:p>
      <w:pPr>
        <w:autoSpaceDE w:val="0"/>
        <w:autoSpaceDN w:val="0"/>
        <w:adjustRightInd w:val="0"/>
        <w:spacing w:line="440" w:lineRule="exact"/>
        <w:ind w:firstLine="468" w:firstLineChars="195"/>
        <w:rPr>
          <w:rFonts w:ascii="宋体"/>
          <w:b/>
          <w:bCs/>
          <w:sz w:val="24"/>
          <w:szCs w:val="24"/>
          <w:highlight w:val="none"/>
          <w:shd w:val="clear" w:color="FFFFFF" w:fill="D9D9D9"/>
          <w:lang w:val="zh-CN"/>
        </w:rPr>
      </w:pPr>
      <w:r>
        <w:rPr>
          <w:rFonts w:hint="eastAsia" w:ascii="宋体" w:cs="宋体"/>
          <w:b/>
          <w:bCs/>
          <w:sz w:val="24"/>
          <w:szCs w:val="24"/>
          <w:highlight w:val="none"/>
          <w:lang w:val="zh-CN"/>
        </w:rPr>
        <w:t>注：</w:t>
      </w:r>
      <w:r>
        <w:rPr>
          <w:rFonts w:hint="eastAsia" w:ascii="宋体" w:hAnsi="宋体" w:cs="宋体"/>
          <w:b/>
          <w:bCs/>
          <w:kern w:val="0"/>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pP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pP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pPr>
        <w:autoSpaceDE w:val="0"/>
        <w:autoSpaceDN w:val="0"/>
        <w:adjustRightInd w:val="0"/>
        <w:spacing w:line="440" w:lineRule="exact"/>
        <w:ind w:firstLine="360" w:firstLineChars="150"/>
        <w:jc w:val="left"/>
        <w:rPr>
          <w:rFonts w:ascii="宋体" w:hAnsi="宋体" w:cs="宋体"/>
          <w:b/>
          <w:bCs/>
          <w:kern w:val="0"/>
          <w:sz w:val="24"/>
          <w:szCs w:val="24"/>
          <w:highlight w:val="none"/>
        </w:rPr>
      </w:pPr>
      <w:r>
        <w:rPr>
          <w:rFonts w:hint="eastAsia" w:ascii="宋体" w:hAnsi="宋体" w:cs="宋体"/>
          <w:kern w:val="0"/>
          <w:sz w:val="24"/>
          <w:szCs w:val="24"/>
          <w:highlight w:val="none"/>
        </w:rPr>
        <w:t>五、本次评分具体分值细化条款如下表（70分）</w:t>
      </w:r>
      <w:r>
        <w:rPr>
          <w:rFonts w:hint="eastAsia" w:ascii="宋体" w:hAnsi="宋体" w:cs="宋体"/>
          <w:b/>
          <w:bCs/>
          <w:kern w:val="0"/>
          <w:sz w:val="24"/>
          <w:szCs w:val="24"/>
          <w:highlight w:val="none"/>
        </w:rPr>
        <w:t>：</w:t>
      </w:r>
    </w:p>
    <w:tbl>
      <w:tblPr>
        <w:tblStyle w:val="25"/>
        <w:tblW w:w="5196" w:type="pct"/>
        <w:tblInd w:w="-2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80"/>
        <w:gridCol w:w="751"/>
        <w:gridCol w:w="6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07" w:type="pct"/>
            <w:tcBorders>
              <w:tl2br w:val="nil"/>
              <w:tr2bl w:val="nil"/>
            </w:tcBorders>
            <w:vAlign w:val="center"/>
          </w:tcPr>
          <w:p>
            <w:pPr>
              <w:jc w:val="center"/>
              <w:rPr>
                <w:rFonts w:ascii="宋体" w:hAnsi="宋体" w:cs="宋体"/>
                <w:b/>
                <w:bCs/>
                <w:sz w:val="22"/>
                <w:szCs w:val="20"/>
                <w:highlight w:val="none"/>
              </w:rPr>
            </w:pPr>
            <w:r>
              <w:rPr>
                <w:rFonts w:hint="eastAsia" w:ascii="宋体" w:hAnsi="宋体" w:cs="宋体"/>
                <w:b/>
                <w:bCs/>
                <w:sz w:val="22"/>
                <w:szCs w:val="20"/>
                <w:highlight w:val="none"/>
              </w:rPr>
              <w:t>序号</w:t>
            </w:r>
          </w:p>
        </w:tc>
        <w:tc>
          <w:tcPr>
            <w:tcW w:w="655" w:type="pct"/>
            <w:tcBorders>
              <w:tl2br w:val="nil"/>
              <w:tr2bl w:val="nil"/>
            </w:tcBorders>
            <w:vAlign w:val="center"/>
          </w:tcPr>
          <w:p>
            <w:pPr>
              <w:jc w:val="center"/>
              <w:rPr>
                <w:rFonts w:ascii="宋体" w:hAnsi="宋体" w:cs="宋体"/>
                <w:b/>
                <w:bCs/>
                <w:sz w:val="22"/>
                <w:szCs w:val="20"/>
                <w:highlight w:val="none"/>
              </w:rPr>
            </w:pPr>
            <w:r>
              <w:rPr>
                <w:rFonts w:hint="eastAsia" w:ascii="宋体" w:hAnsi="宋体" w:cs="宋体"/>
                <w:b/>
                <w:bCs/>
                <w:sz w:val="22"/>
                <w:szCs w:val="20"/>
                <w:highlight w:val="none"/>
              </w:rPr>
              <w:t>评分项目</w:t>
            </w:r>
          </w:p>
        </w:tc>
        <w:tc>
          <w:tcPr>
            <w:tcW w:w="417" w:type="pct"/>
            <w:tcBorders>
              <w:tl2br w:val="nil"/>
              <w:tr2bl w:val="nil"/>
            </w:tcBorders>
            <w:vAlign w:val="center"/>
          </w:tcPr>
          <w:p>
            <w:pPr>
              <w:jc w:val="center"/>
              <w:rPr>
                <w:rFonts w:ascii="宋体" w:hAnsi="宋体" w:cs="宋体"/>
                <w:b/>
                <w:bCs/>
                <w:sz w:val="22"/>
                <w:szCs w:val="20"/>
                <w:highlight w:val="none"/>
              </w:rPr>
            </w:pPr>
            <w:r>
              <w:rPr>
                <w:rFonts w:hint="eastAsia" w:ascii="宋体" w:hAnsi="宋体" w:cs="宋体"/>
                <w:b/>
                <w:bCs/>
                <w:sz w:val="22"/>
                <w:szCs w:val="20"/>
                <w:highlight w:val="none"/>
              </w:rPr>
              <w:t>分值</w:t>
            </w:r>
          </w:p>
        </w:tc>
        <w:tc>
          <w:tcPr>
            <w:tcW w:w="3520" w:type="pct"/>
            <w:tcBorders>
              <w:tl2br w:val="nil"/>
              <w:tr2bl w:val="nil"/>
            </w:tcBorders>
            <w:vAlign w:val="center"/>
          </w:tcPr>
          <w:p>
            <w:pPr>
              <w:jc w:val="center"/>
              <w:rPr>
                <w:rFonts w:ascii="宋体" w:hAnsi="宋体" w:cs="宋体"/>
                <w:b/>
                <w:bCs/>
                <w:sz w:val="22"/>
                <w:szCs w:val="20"/>
                <w:highlight w:val="none"/>
              </w:rPr>
            </w:pPr>
            <w:r>
              <w:rPr>
                <w:rFonts w:hint="eastAsia" w:ascii="宋体" w:hAnsi="宋体" w:cs="宋体"/>
                <w:b/>
                <w:bCs/>
                <w:sz w:val="22"/>
                <w:szCs w:val="20"/>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07" w:type="pct"/>
            <w:tcBorders>
              <w:tl2br w:val="nil"/>
              <w:tr2bl w:val="nil"/>
            </w:tcBorders>
            <w:vAlign w:val="center"/>
          </w:tcPr>
          <w:p>
            <w:pPr>
              <w:jc w:val="center"/>
              <w:rPr>
                <w:rFonts w:hint="default" w:ascii="宋体" w:hAnsi="宋体" w:eastAsia="宋体" w:cs="宋体"/>
                <w:sz w:val="22"/>
                <w:szCs w:val="20"/>
                <w:highlight w:val="none"/>
                <w:lang w:val="en-US" w:eastAsia="zh-CN"/>
              </w:rPr>
            </w:pPr>
            <w:r>
              <w:rPr>
                <w:rFonts w:hint="eastAsia" w:ascii="宋体" w:hAnsi="宋体" w:cs="宋体"/>
                <w:sz w:val="22"/>
                <w:szCs w:val="20"/>
                <w:highlight w:val="none"/>
                <w:lang w:val="en-US" w:eastAsia="zh-CN"/>
              </w:rPr>
              <w:t>1.1</w:t>
            </w:r>
          </w:p>
        </w:tc>
        <w:tc>
          <w:tcPr>
            <w:tcW w:w="655" w:type="pct"/>
            <w:vMerge w:val="restart"/>
            <w:tcBorders>
              <w:tl2br w:val="nil"/>
              <w:tr2bl w:val="nil"/>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投标供应商综合实力</w:t>
            </w:r>
          </w:p>
        </w:tc>
        <w:tc>
          <w:tcPr>
            <w:tcW w:w="41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3</w:t>
            </w:r>
          </w:p>
        </w:tc>
        <w:tc>
          <w:tcPr>
            <w:tcW w:w="3520" w:type="pct"/>
            <w:tcBorders>
              <w:tl2br w:val="nil"/>
              <w:tr2bl w:val="nil"/>
            </w:tcBorders>
            <w:vAlign w:val="center"/>
          </w:tcPr>
          <w:p>
            <w:pPr>
              <w:spacing w:line="300" w:lineRule="exact"/>
              <w:rPr>
                <w:rFonts w:ascii="宋体" w:hAnsi="宋体" w:cs="宋体"/>
                <w:sz w:val="22"/>
                <w:highlight w:val="none"/>
              </w:rPr>
            </w:pPr>
            <w:r>
              <w:rPr>
                <w:rFonts w:hint="eastAsia" w:ascii="宋体" w:hAnsi="宋体" w:cs="宋体"/>
                <w:sz w:val="22"/>
                <w:highlight w:val="none"/>
              </w:rPr>
              <w:t>投标人自</w:t>
            </w:r>
            <w:r>
              <w:rPr>
                <w:rFonts w:hint="eastAsia" w:ascii="宋体" w:hAnsi="宋体" w:cs="宋体"/>
                <w:sz w:val="22"/>
                <w:highlight w:val="none"/>
                <w:lang w:eastAsia="zh-CN"/>
              </w:rPr>
              <w:t>2021年1月1日</w:t>
            </w:r>
            <w:r>
              <w:rPr>
                <w:rFonts w:hint="eastAsia" w:ascii="宋体" w:hAnsi="宋体" w:cs="宋体"/>
                <w:sz w:val="22"/>
                <w:highlight w:val="none"/>
              </w:rPr>
              <w:t>以来得过承担过农业水价综合改革技术服务工作的，每提供一个得</w:t>
            </w:r>
            <w:r>
              <w:rPr>
                <w:rFonts w:hint="eastAsia" w:ascii="宋体" w:hAnsi="宋体" w:cs="宋体"/>
                <w:sz w:val="22"/>
                <w:highlight w:val="none"/>
                <w:lang w:val="en-US" w:eastAsia="zh-CN"/>
              </w:rPr>
              <w:t>0.5</w:t>
            </w:r>
            <w:r>
              <w:rPr>
                <w:rFonts w:hint="eastAsia" w:ascii="宋体" w:hAnsi="宋体" w:cs="宋体"/>
                <w:sz w:val="22"/>
                <w:highlight w:val="none"/>
              </w:rPr>
              <w:t>分</w:t>
            </w:r>
            <w:r>
              <w:rPr>
                <w:rFonts w:hint="eastAsia" w:ascii="宋体" w:hAnsi="宋体" w:cs="宋体"/>
                <w:sz w:val="22"/>
                <w:highlight w:val="none"/>
                <w:lang w:eastAsia="zh-CN"/>
              </w:rPr>
              <w:t>，本项最高得</w:t>
            </w:r>
            <w:r>
              <w:rPr>
                <w:rFonts w:hint="eastAsia" w:ascii="宋体" w:hAnsi="宋体" w:cs="宋体"/>
                <w:sz w:val="22"/>
                <w:highlight w:val="none"/>
                <w:lang w:val="en-US" w:eastAsia="zh-CN"/>
              </w:rPr>
              <w:t>3分</w:t>
            </w:r>
            <w:r>
              <w:rPr>
                <w:rFonts w:hint="eastAsia" w:ascii="宋体" w:hAnsi="宋体" w:cs="宋体"/>
                <w:sz w:val="22"/>
                <w:highlight w:val="none"/>
              </w:rPr>
              <w:t>。</w:t>
            </w:r>
          </w:p>
          <w:p>
            <w:pPr>
              <w:spacing w:line="300" w:lineRule="exact"/>
              <w:rPr>
                <w:rFonts w:ascii="宋体" w:hAnsi="宋体" w:cs="宋体"/>
                <w:sz w:val="22"/>
                <w:highlight w:val="none"/>
              </w:rPr>
            </w:pPr>
            <w:r>
              <w:rPr>
                <w:rFonts w:hint="eastAsia" w:ascii="宋体" w:hAnsi="宋体" w:cs="宋体"/>
                <w:b/>
                <w:bCs/>
                <w:sz w:val="22"/>
                <w:highlight w:val="none"/>
              </w:rPr>
              <w:t>（商务技术文件中提供项目合同复印件加盖投标供应商公章，不提供的不得分</w:t>
            </w:r>
            <w:r>
              <w:rPr>
                <w:rFonts w:hint="eastAsia" w:ascii="宋体" w:hAnsi="宋体" w:cs="宋体"/>
                <w:b/>
                <w:bCs/>
                <w:sz w:val="22"/>
                <w:highlight w:val="none"/>
                <w:lang w:eastAsia="zh-CN"/>
              </w:rPr>
              <w:t>。</w:t>
            </w:r>
            <w:r>
              <w:rPr>
                <w:rFonts w:hint="eastAsia" w:ascii="宋体" w:hAnsi="宋体" w:cs="宋体"/>
                <w:b/>
                <w:bCs/>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07" w:type="pct"/>
            <w:tcBorders>
              <w:tl2br w:val="nil"/>
              <w:tr2bl w:val="nil"/>
            </w:tcBorders>
            <w:vAlign w:val="center"/>
          </w:tcPr>
          <w:p>
            <w:pPr>
              <w:jc w:val="center"/>
              <w:rPr>
                <w:rFonts w:hint="default" w:ascii="宋体" w:hAnsi="宋体" w:cs="宋体"/>
                <w:sz w:val="22"/>
                <w:szCs w:val="20"/>
                <w:highlight w:val="none"/>
                <w:lang w:val="en-US" w:eastAsia="zh-CN"/>
              </w:rPr>
            </w:pPr>
            <w:r>
              <w:rPr>
                <w:rFonts w:hint="eastAsia" w:ascii="宋体" w:hAnsi="宋体" w:cs="宋体"/>
                <w:sz w:val="22"/>
                <w:szCs w:val="20"/>
                <w:highlight w:val="none"/>
                <w:lang w:val="en-US" w:eastAsia="zh-CN"/>
              </w:rPr>
              <w:t>1.2</w:t>
            </w:r>
          </w:p>
        </w:tc>
        <w:tc>
          <w:tcPr>
            <w:tcW w:w="655" w:type="pct"/>
            <w:vMerge w:val="continue"/>
            <w:tcBorders>
              <w:tl2br w:val="nil"/>
              <w:tr2bl w:val="nil"/>
            </w:tcBorders>
            <w:vAlign w:val="center"/>
          </w:tcPr>
          <w:p>
            <w:pPr>
              <w:jc w:val="center"/>
              <w:rPr>
                <w:rFonts w:hint="eastAsia" w:ascii="宋体" w:hAnsi="宋体" w:cs="宋体"/>
                <w:sz w:val="22"/>
                <w:szCs w:val="20"/>
                <w:highlight w:val="none"/>
              </w:rPr>
            </w:pPr>
          </w:p>
        </w:tc>
        <w:tc>
          <w:tcPr>
            <w:tcW w:w="417" w:type="pct"/>
            <w:tcBorders>
              <w:tl2br w:val="nil"/>
              <w:tr2bl w:val="nil"/>
            </w:tcBorders>
            <w:vAlign w:val="center"/>
          </w:tcPr>
          <w:p>
            <w:pPr>
              <w:jc w:val="center"/>
              <w:rPr>
                <w:rFonts w:hint="eastAsia" w:ascii="宋体" w:hAnsi="宋体" w:eastAsia="宋体" w:cs="宋体"/>
                <w:sz w:val="22"/>
                <w:szCs w:val="20"/>
                <w:highlight w:val="none"/>
                <w:lang w:val="en-US" w:eastAsia="zh-CN"/>
              </w:rPr>
            </w:pPr>
            <w:r>
              <w:rPr>
                <w:rFonts w:hint="eastAsia" w:ascii="宋体" w:hAnsi="宋体" w:cs="宋体"/>
                <w:sz w:val="22"/>
                <w:szCs w:val="20"/>
                <w:highlight w:val="none"/>
                <w:lang w:val="en-US" w:eastAsia="zh-CN"/>
              </w:rPr>
              <w:t>2</w:t>
            </w:r>
          </w:p>
        </w:tc>
        <w:tc>
          <w:tcPr>
            <w:tcW w:w="3520" w:type="pct"/>
            <w:tcBorders>
              <w:tl2br w:val="nil"/>
              <w:tr2bl w:val="nil"/>
            </w:tcBorders>
            <w:vAlign w:val="center"/>
          </w:tcPr>
          <w:p>
            <w:pPr>
              <w:spacing w:line="300" w:lineRule="exact"/>
              <w:rPr>
                <w:rFonts w:hint="eastAsia" w:ascii="宋体" w:hAnsi="宋体" w:cs="宋体"/>
                <w:sz w:val="22"/>
                <w:highlight w:val="none"/>
                <w:lang w:eastAsia="zh-CN"/>
              </w:rPr>
            </w:pPr>
            <w:r>
              <w:rPr>
                <w:rFonts w:hint="eastAsia" w:ascii="宋体" w:hAnsi="宋体" w:cs="宋体"/>
                <w:sz w:val="22"/>
                <w:highlight w:val="none"/>
                <w:lang w:eastAsia="zh-CN"/>
              </w:rPr>
              <w:t>投标人自</w:t>
            </w:r>
            <w:r>
              <w:rPr>
                <w:rFonts w:hint="eastAsia" w:ascii="宋体" w:hAnsi="宋体" w:cs="宋体"/>
                <w:sz w:val="22"/>
                <w:highlight w:val="none"/>
                <w:lang w:val="en-US" w:eastAsia="zh-CN"/>
              </w:rPr>
              <w:t>2021年1月1日以来</w:t>
            </w:r>
            <w:r>
              <w:rPr>
                <w:rFonts w:hint="eastAsia" w:ascii="宋体" w:hAnsi="宋体" w:cs="宋体"/>
                <w:sz w:val="22"/>
                <w:highlight w:val="none"/>
              </w:rPr>
              <w:t>所承担年度的农业水价改革工作甲方获得上级行政主管部门表彰优秀、先进或示范的，</w:t>
            </w:r>
            <w:r>
              <w:rPr>
                <w:rFonts w:hint="eastAsia" w:ascii="宋体" w:hAnsi="宋体" w:cs="宋体"/>
                <w:sz w:val="22"/>
                <w:highlight w:val="none"/>
                <w:lang w:eastAsia="zh-CN"/>
              </w:rPr>
              <w:t>地</w:t>
            </w:r>
            <w:r>
              <w:rPr>
                <w:rFonts w:hint="eastAsia" w:ascii="宋体" w:hAnsi="宋体" w:cs="宋体"/>
                <w:sz w:val="22"/>
                <w:highlight w:val="none"/>
              </w:rPr>
              <w:t>市级每项优秀、先进或示范得0.5分，省级每项优秀、先进或示范得1分</w:t>
            </w:r>
            <w:r>
              <w:rPr>
                <w:rFonts w:hint="eastAsia" w:ascii="宋体" w:hAnsi="宋体" w:cs="宋体"/>
                <w:sz w:val="22"/>
                <w:highlight w:val="none"/>
                <w:lang w:eastAsia="zh-CN"/>
              </w:rPr>
              <w:t>。</w:t>
            </w:r>
          </w:p>
          <w:p>
            <w:pPr>
              <w:spacing w:line="300" w:lineRule="exact"/>
              <w:rPr>
                <w:rFonts w:hint="eastAsia" w:ascii="宋体" w:hAnsi="宋体" w:eastAsia="宋体" w:cs="宋体"/>
                <w:b/>
                <w:bCs/>
                <w:sz w:val="22"/>
                <w:highlight w:val="none"/>
                <w:lang w:val="en-US" w:eastAsia="zh-CN"/>
              </w:rPr>
            </w:pPr>
            <w:r>
              <w:rPr>
                <w:rFonts w:hint="eastAsia" w:ascii="宋体" w:hAnsi="宋体" w:eastAsia="宋体" w:cs="宋体"/>
                <w:b/>
                <w:bCs/>
                <w:sz w:val="22"/>
                <w:highlight w:val="none"/>
              </w:rPr>
              <w:t>（商务技术文件中须同时</w:t>
            </w:r>
            <w:r>
              <w:rPr>
                <w:rFonts w:hint="eastAsia" w:ascii="宋体" w:hAnsi="宋体" w:eastAsia="宋体" w:cs="宋体"/>
                <w:b/>
                <w:bCs/>
                <w:sz w:val="22"/>
                <w:highlight w:val="none"/>
                <w:lang w:eastAsia="zh-CN"/>
              </w:rPr>
              <w:t>提供</w:t>
            </w:r>
            <w:r>
              <w:rPr>
                <w:rFonts w:hint="eastAsia" w:ascii="宋体" w:hAnsi="宋体" w:eastAsia="宋体" w:cs="宋体"/>
                <w:b/>
                <w:bCs/>
                <w:sz w:val="22"/>
                <w:highlight w:val="none"/>
              </w:rPr>
              <w:t>相关表彰证明材料</w:t>
            </w:r>
            <w:r>
              <w:rPr>
                <w:rFonts w:hint="eastAsia" w:ascii="宋体" w:hAnsi="宋体" w:eastAsia="宋体" w:cs="宋体"/>
                <w:b/>
                <w:bCs/>
                <w:sz w:val="22"/>
                <w:highlight w:val="none"/>
                <w:lang w:eastAsia="zh-CN"/>
              </w:rPr>
              <w:t>（</w:t>
            </w:r>
            <w:r>
              <w:rPr>
                <w:rFonts w:hint="eastAsia" w:ascii="宋体" w:hAnsi="宋体" w:eastAsia="宋体" w:cs="宋体"/>
                <w:b/>
                <w:bCs/>
                <w:sz w:val="22"/>
                <w:highlight w:val="none"/>
              </w:rPr>
              <w:t>须体现</w:t>
            </w:r>
            <w:r>
              <w:rPr>
                <w:rFonts w:hint="eastAsia" w:ascii="宋体" w:hAnsi="宋体" w:eastAsia="宋体" w:cs="宋体"/>
                <w:b/>
                <w:bCs/>
                <w:sz w:val="22"/>
                <w:highlight w:val="none"/>
                <w:lang w:eastAsia="zh-CN"/>
              </w:rPr>
              <w:t>项目甲方</w:t>
            </w:r>
            <w:r>
              <w:rPr>
                <w:rFonts w:hint="eastAsia" w:ascii="宋体" w:hAnsi="宋体" w:eastAsia="宋体" w:cs="宋体"/>
                <w:b/>
                <w:bCs/>
                <w:sz w:val="22"/>
                <w:highlight w:val="none"/>
              </w:rPr>
              <w:t>名称</w:t>
            </w:r>
            <w:r>
              <w:rPr>
                <w:rFonts w:hint="eastAsia" w:ascii="宋体" w:hAnsi="宋体" w:eastAsia="宋体" w:cs="宋体"/>
                <w:b/>
                <w:bCs/>
                <w:sz w:val="22"/>
                <w:highlight w:val="none"/>
                <w:lang w:eastAsia="zh-CN"/>
              </w:rPr>
              <w:t>）及项目合同复印件并加盖投标供应商公章</w:t>
            </w:r>
            <w:r>
              <w:rPr>
                <w:rFonts w:hint="eastAsia" w:ascii="宋体" w:hAnsi="宋体" w:eastAsia="宋体" w:cs="宋体"/>
                <w:b/>
                <w:bCs/>
                <w:sz w:val="22"/>
                <w:highlight w:val="none"/>
              </w:rPr>
              <w:t>，否则不得分。）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07" w:type="pct"/>
            <w:tcBorders>
              <w:tl2br w:val="nil"/>
              <w:tr2bl w:val="nil"/>
            </w:tcBorders>
            <w:vAlign w:val="center"/>
          </w:tcPr>
          <w:p>
            <w:pPr>
              <w:jc w:val="center"/>
              <w:rPr>
                <w:rFonts w:hint="default" w:ascii="宋体" w:hAnsi="宋体" w:cs="宋体"/>
                <w:sz w:val="22"/>
                <w:szCs w:val="20"/>
                <w:highlight w:val="none"/>
                <w:lang w:val="en-US" w:eastAsia="zh-CN"/>
              </w:rPr>
            </w:pPr>
            <w:r>
              <w:rPr>
                <w:rFonts w:hint="eastAsia" w:ascii="宋体" w:hAnsi="宋体" w:cs="宋体"/>
                <w:sz w:val="22"/>
                <w:szCs w:val="20"/>
                <w:highlight w:val="none"/>
                <w:lang w:val="en-US" w:eastAsia="zh-CN"/>
              </w:rPr>
              <w:t>1.3</w:t>
            </w:r>
          </w:p>
        </w:tc>
        <w:tc>
          <w:tcPr>
            <w:tcW w:w="655" w:type="pct"/>
            <w:vMerge w:val="continue"/>
            <w:tcBorders>
              <w:tl2br w:val="nil"/>
              <w:tr2bl w:val="nil"/>
            </w:tcBorders>
            <w:vAlign w:val="center"/>
          </w:tcPr>
          <w:p>
            <w:pPr>
              <w:jc w:val="center"/>
              <w:rPr>
                <w:rFonts w:hint="eastAsia" w:ascii="宋体" w:hAnsi="宋体" w:cs="宋体"/>
                <w:sz w:val="22"/>
                <w:szCs w:val="20"/>
                <w:highlight w:val="none"/>
              </w:rPr>
            </w:pPr>
          </w:p>
        </w:tc>
        <w:tc>
          <w:tcPr>
            <w:tcW w:w="417" w:type="pct"/>
            <w:tcBorders>
              <w:tl2br w:val="nil"/>
              <w:tr2bl w:val="nil"/>
            </w:tcBorders>
            <w:vAlign w:val="center"/>
          </w:tcPr>
          <w:p>
            <w:pPr>
              <w:jc w:val="center"/>
              <w:rPr>
                <w:rFonts w:hint="default" w:ascii="宋体" w:hAnsi="宋体" w:cs="宋体"/>
                <w:sz w:val="22"/>
                <w:szCs w:val="20"/>
                <w:highlight w:val="none"/>
                <w:lang w:val="en-US" w:eastAsia="zh-CN"/>
              </w:rPr>
            </w:pPr>
            <w:r>
              <w:rPr>
                <w:rFonts w:hint="eastAsia" w:ascii="宋体" w:hAnsi="宋体" w:cs="宋体"/>
                <w:sz w:val="22"/>
                <w:szCs w:val="20"/>
                <w:highlight w:val="none"/>
                <w:lang w:val="en-US" w:eastAsia="zh-CN"/>
              </w:rPr>
              <w:t>3</w:t>
            </w:r>
          </w:p>
        </w:tc>
        <w:tc>
          <w:tcPr>
            <w:tcW w:w="3520" w:type="pct"/>
            <w:tcBorders>
              <w:tl2br w:val="nil"/>
              <w:tr2bl w:val="nil"/>
            </w:tcBorders>
            <w:vAlign w:val="center"/>
          </w:tcPr>
          <w:p>
            <w:pPr>
              <w:spacing w:line="300" w:lineRule="exact"/>
              <w:rPr>
                <w:rFonts w:hint="eastAsia" w:ascii="宋体" w:hAnsi="宋体" w:cs="宋体"/>
                <w:sz w:val="22"/>
                <w:highlight w:val="none"/>
                <w:lang w:eastAsia="zh-CN"/>
              </w:rPr>
            </w:pPr>
            <w:r>
              <w:rPr>
                <w:rFonts w:hint="eastAsia" w:ascii="宋体" w:hAnsi="宋体" w:cs="宋体"/>
                <w:sz w:val="22"/>
                <w:highlight w:val="none"/>
                <w:lang w:eastAsia="zh-CN"/>
              </w:rPr>
              <w:t>投标人具有ISO9001质量管理体系认证、ISO14001环境管理体系认证、OHSAS18001职业健康安全管理体系认证证书，每项证书得1分；最高得3分。</w:t>
            </w:r>
          </w:p>
          <w:p>
            <w:pPr>
              <w:spacing w:line="300" w:lineRule="exact"/>
              <w:rPr>
                <w:rFonts w:hint="eastAsia" w:ascii="宋体" w:hAnsi="宋体" w:cs="宋体"/>
                <w:sz w:val="22"/>
                <w:highlight w:val="none"/>
                <w:lang w:eastAsia="zh-CN"/>
              </w:rPr>
            </w:pPr>
            <w:r>
              <w:rPr>
                <w:rFonts w:hint="eastAsia" w:ascii="宋体" w:hAnsi="宋体" w:cs="宋体"/>
                <w:b/>
                <w:bCs/>
                <w:sz w:val="22"/>
                <w:highlight w:val="none"/>
                <w:lang w:eastAsia="zh-CN"/>
              </w:rPr>
              <w:t>（以上证书均能在全国认证认可信息公共服务平台（http://cx.cnca.cn/CertECloud/index/index/page）上查询到，提供以上网站截图及相应证书扫描件加盖投标供应商公章，否则不得分。）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407" w:type="pct"/>
            <w:tcBorders>
              <w:tl2br w:val="nil"/>
              <w:tr2bl w:val="nil"/>
            </w:tcBorders>
            <w:vAlign w:val="center"/>
          </w:tcPr>
          <w:p>
            <w:pPr>
              <w:jc w:val="center"/>
              <w:rPr>
                <w:rFonts w:hint="default" w:ascii="宋体" w:hAnsi="宋体" w:eastAsia="宋体" w:cs="宋体"/>
                <w:sz w:val="22"/>
                <w:szCs w:val="20"/>
                <w:highlight w:val="none"/>
                <w:lang w:val="en-US" w:eastAsia="zh-CN"/>
              </w:rPr>
            </w:pPr>
            <w:r>
              <w:rPr>
                <w:rFonts w:hint="eastAsia" w:ascii="宋体" w:hAnsi="宋体" w:cs="宋体"/>
                <w:sz w:val="22"/>
                <w:szCs w:val="20"/>
                <w:highlight w:val="none"/>
                <w:lang w:val="en-US" w:eastAsia="zh-CN"/>
              </w:rPr>
              <w:t>2.1</w:t>
            </w:r>
          </w:p>
        </w:tc>
        <w:tc>
          <w:tcPr>
            <w:tcW w:w="655" w:type="pct"/>
            <w:vMerge w:val="restar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rPr>
              <w:t>拟投入</w:t>
            </w:r>
            <w:r>
              <w:rPr>
                <w:rFonts w:hint="eastAsia" w:ascii="宋体" w:hAnsi="宋体" w:cs="宋体"/>
                <w:sz w:val="22"/>
                <w:szCs w:val="20"/>
                <w:highlight w:val="none"/>
                <w:lang w:eastAsia="zh-CN"/>
              </w:rPr>
              <w:t>项目组成员</w:t>
            </w:r>
          </w:p>
        </w:tc>
        <w:tc>
          <w:tcPr>
            <w:tcW w:w="417" w:type="pct"/>
            <w:tcBorders>
              <w:tl2br w:val="nil"/>
              <w:tr2bl w:val="nil"/>
            </w:tcBorders>
            <w:vAlign w:val="center"/>
          </w:tcPr>
          <w:p>
            <w:pPr>
              <w:jc w:val="center"/>
              <w:rPr>
                <w:rFonts w:hint="eastAsia" w:ascii="宋体" w:hAnsi="宋体" w:eastAsia="宋体" w:cs="宋体"/>
                <w:color w:val="000000" w:themeColor="text1"/>
                <w:sz w:val="22"/>
                <w:szCs w:val="20"/>
                <w:highlight w:val="none"/>
                <w:lang w:eastAsia="zh-CN"/>
                <w14:textFill>
                  <w14:solidFill>
                    <w14:schemeClr w14:val="tx1"/>
                  </w14:solidFill>
                </w14:textFill>
              </w:rPr>
            </w:pPr>
            <w:r>
              <w:rPr>
                <w:rFonts w:hint="eastAsia" w:ascii="宋体" w:hAnsi="宋体" w:cs="宋体"/>
                <w:color w:val="000000" w:themeColor="text1"/>
                <w:sz w:val="22"/>
                <w:szCs w:val="20"/>
                <w:highlight w:val="none"/>
                <w:lang w:val="en-US" w:eastAsia="zh-CN"/>
                <w14:textFill>
                  <w14:solidFill>
                    <w14:schemeClr w14:val="tx1"/>
                  </w14:solidFill>
                </w14:textFill>
              </w:rPr>
              <w:t>5</w:t>
            </w:r>
          </w:p>
        </w:tc>
        <w:tc>
          <w:tcPr>
            <w:tcW w:w="3520" w:type="pct"/>
            <w:tcBorders>
              <w:tl2br w:val="nil"/>
              <w:tr2bl w:val="nil"/>
            </w:tcBorders>
            <w:vAlign w:val="center"/>
          </w:tcPr>
          <w:p>
            <w:pPr>
              <w:numPr>
                <w:ilvl w:val="0"/>
                <w:numId w:val="0"/>
              </w:numPr>
              <w:spacing w:line="300" w:lineRule="exact"/>
              <w:rPr>
                <w:rFonts w:hint="eastAsia" w:ascii="宋体" w:hAnsi="宋体" w:cs="宋体"/>
                <w:sz w:val="22"/>
                <w:highlight w:val="none"/>
              </w:rPr>
            </w:pPr>
            <w:r>
              <w:rPr>
                <w:rFonts w:hint="eastAsia" w:ascii="宋体" w:hAnsi="宋体" w:cs="宋体"/>
                <w:sz w:val="22"/>
                <w:highlight w:val="none"/>
                <w:lang w:val="en-US" w:eastAsia="zh-CN"/>
              </w:rPr>
              <w:t>1.</w:t>
            </w:r>
            <w:r>
              <w:rPr>
                <w:rFonts w:hint="eastAsia" w:ascii="宋体" w:hAnsi="宋体" w:cs="宋体"/>
                <w:sz w:val="22"/>
                <w:highlight w:val="none"/>
              </w:rPr>
              <w:t>拟派项目负责人具有水利</w:t>
            </w:r>
            <w:r>
              <w:rPr>
                <w:rFonts w:hint="eastAsia" w:ascii="宋体" w:hAnsi="宋体" w:cs="宋体"/>
                <w:sz w:val="22"/>
                <w:highlight w:val="none"/>
                <w:lang w:eastAsia="zh-CN"/>
              </w:rPr>
              <w:t>工程相关</w:t>
            </w:r>
            <w:r>
              <w:rPr>
                <w:rFonts w:hint="eastAsia" w:ascii="宋体" w:hAnsi="宋体" w:cs="宋体"/>
                <w:sz w:val="22"/>
                <w:highlight w:val="none"/>
              </w:rPr>
              <w:t>高级工程师及以上职称得2分，中级工程职称得1分，其他不得分，</w:t>
            </w:r>
            <w:r>
              <w:rPr>
                <w:rFonts w:hint="eastAsia" w:ascii="宋体" w:hAnsi="宋体" w:cs="宋体"/>
                <w:sz w:val="22"/>
                <w:highlight w:val="none"/>
                <w:lang w:eastAsia="zh-CN"/>
              </w:rPr>
              <w:t>同时具有中华人民共和国咨询工程师(投资)登记证书的得</w:t>
            </w:r>
            <w:r>
              <w:rPr>
                <w:rFonts w:hint="eastAsia" w:ascii="宋体" w:hAnsi="宋体" w:cs="宋体"/>
                <w:sz w:val="22"/>
                <w:highlight w:val="none"/>
                <w:lang w:val="en-US" w:eastAsia="zh-CN"/>
              </w:rPr>
              <w:t>1分</w:t>
            </w:r>
            <w:r>
              <w:rPr>
                <w:rFonts w:hint="eastAsia" w:ascii="宋体" w:hAnsi="宋体" w:cs="宋体"/>
                <w:sz w:val="22"/>
                <w:highlight w:val="none"/>
                <w:lang w:eastAsia="zh-CN"/>
              </w:rPr>
              <w:t>，</w:t>
            </w:r>
            <w:r>
              <w:rPr>
                <w:rFonts w:hint="eastAsia" w:ascii="宋体" w:hAnsi="宋体" w:cs="宋体"/>
                <w:sz w:val="22"/>
                <w:highlight w:val="none"/>
              </w:rPr>
              <w:t>本项最高得</w:t>
            </w:r>
            <w:r>
              <w:rPr>
                <w:rFonts w:hint="eastAsia" w:ascii="宋体" w:hAnsi="宋体" w:cs="宋体"/>
                <w:sz w:val="22"/>
                <w:highlight w:val="none"/>
                <w:lang w:val="en-US" w:eastAsia="zh-CN"/>
              </w:rPr>
              <w:t>3</w:t>
            </w:r>
            <w:r>
              <w:rPr>
                <w:rFonts w:hint="eastAsia" w:ascii="宋体" w:hAnsi="宋体" w:cs="宋体"/>
                <w:sz w:val="22"/>
                <w:highlight w:val="none"/>
              </w:rPr>
              <w:t>分；</w:t>
            </w:r>
          </w:p>
          <w:p>
            <w:pPr>
              <w:numPr>
                <w:ilvl w:val="0"/>
                <w:numId w:val="0"/>
              </w:num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2.拟派项目负责人获得优秀咨询成果奖或水利类科技创新奖，地市级每项0.5分，省级每项1分，</w:t>
            </w:r>
            <w:r>
              <w:rPr>
                <w:rFonts w:hint="eastAsia" w:ascii="宋体" w:hAnsi="宋体" w:cs="宋体"/>
                <w:sz w:val="22"/>
                <w:highlight w:val="none"/>
              </w:rPr>
              <w:t>本项</w:t>
            </w:r>
            <w:r>
              <w:rPr>
                <w:rFonts w:hint="eastAsia" w:ascii="宋体" w:hAnsi="宋体" w:cs="宋体"/>
                <w:sz w:val="22"/>
                <w:highlight w:val="none"/>
                <w:lang w:val="en-US" w:eastAsia="zh-CN"/>
              </w:rPr>
              <w:t>最高得2分。</w:t>
            </w:r>
          </w:p>
          <w:p>
            <w:pPr>
              <w:spacing w:line="300" w:lineRule="exact"/>
              <w:rPr>
                <w:rFonts w:ascii="宋体" w:hAnsi="宋体" w:cs="宋体"/>
                <w:sz w:val="22"/>
                <w:highlight w:val="none"/>
              </w:rPr>
            </w:pPr>
            <w:r>
              <w:rPr>
                <w:rFonts w:hint="eastAsia" w:ascii="宋体" w:hAnsi="宋体" w:cs="宋体"/>
                <w:sz w:val="22"/>
                <w:highlight w:val="none"/>
              </w:rPr>
              <w:t>（</w:t>
            </w:r>
            <w:r>
              <w:rPr>
                <w:rFonts w:hint="eastAsia" w:ascii="宋体" w:hAnsi="宋体" w:cs="宋体"/>
                <w:b/>
                <w:bCs/>
                <w:sz w:val="22"/>
                <w:highlight w:val="none"/>
              </w:rPr>
              <w:t>本项评分须同时提供相关证书复印件</w:t>
            </w:r>
            <w:r>
              <w:rPr>
                <w:rFonts w:hint="eastAsia" w:ascii="宋体" w:hAnsi="宋体" w:cs="宋体"/>
                <w:b/>
                <w:bCs/>
                <w:sz w:val="22"/>
                <w:highlight w:val="none"/>
                <w:lang w:eastAsia="zh-CN"/>
              </w:rPr>
              <w:t>（或获奖或表彰证明材料）</w:t>
            </w:r>
            <w:r>
              <w:rPr>
                <w:rFonts w:hint="eastAsia" w:ascii="宋体" w:hAnsi="宋体" w:cs="宋体"/>
                <w:b/>
                <w:bCs/>
                <w:sz w:val="22"/>
                <w:highlight w:val="none"/>
              </w:rPr>
              <w:t>和投标截止时间前</w:t>
            </w:r>
            <w:r>
              <w:rPr>
                <w:rFonts w:hint="eastAsia" w:ascii="宋体" w:hAnsi="宋体" w:cs="宋体"/>
                <w:b/>
                <w:bCs/>
                <w:sz w:val="22"/>
                <w:highlight w:val="none"/>
                <w:lang w:val="en-US" w:eastAsia="zh-CN"/>
              </w:rPr>
              <w:t>3</w:t>
            </w:r>
            <w:r>
              <w:rPr>
                <w:rFonts w:hint="eastAsia" w:ascii="宋体" w:hAnsi="宋体" w:cs="宋体"/>
                <w:b/>
                <w:bCs/>
                <w:sz w:val="22"/>
                <w:highlight w:val="none"/>
              </w:rPr>
              <w:t>个月内的代缴个税税单或参加社会保险的《投保单》或《社会保险参保人员证明》等证明，投标文件中需提供相关清晰可辨复印件，否则不得分。</w:t>
            </w:r>
            <w:r>
              <w:rPr>
                <w:rFonts w:hint="eastAsia" w:ascii="宋体" w:hAnsi="宋体" w:cs="宋体"/>
                <w:b/>
                <w:bCs/>
                <w:sz w:val="22"/>
                <w:highlight w:val="none"/>
                <w:lang w:eastAsia="zh-CN"/>
              </w:rPr>
              <w:t>证书材料须体现相关人员名称，如无法体现，须提供能体现相关人员名称并加盖成果资料业主方公章的证明材料。</w:t>
            </w:r>
            <w:r>
              <w:rPr>
                <w:rFonts w:hint="eastAsia" w:ascii="宋体" w:hAnsi="宋体" w:cs="宋体"/>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07" w:type="pct"/>
            <w:tcBorders>
              <w:tl2br w:val="nil"/>
              <w:tr2bl w:val="nil"/>
            </w:tcBorders>
            <w:vAlign w:val="center"/>
          </w:tcPr>
          <w:p>
            <w:pPr>
              <w:jc w:val="center"/>
              <w:rPr>
                <w:rFonts w:hint="default" w:ascii="宋体" w:hAnsi="宋体" w:eastAsia="宋体" w:cs="宋体"/>
                <w:sz w:val="22"/>
                <w:szCs w:val="20"/>
                <w:highlight w:val="none"/>
                <w:lang w:val="en-US" w:eastAsia="zh-CN"/>
              </w:rPr>
            </w:pPr>
            <w:r>
              <w:rPr>
                <w:rFonts w:hint="eastAsia" w:ascii="宋体" w:hAnsi="宋体" w:cs="宋体"/>
                <w:sz w:val="22"/>
                <w:szCs w:val="20"/>
                <w:highlight w:val="none"/>
                <w:lang w:val="en-US" w:eastAsia="zh-CN"/>
              </w:rPr>
              <w:t>2.2</w:t>
            </w:r>
          </w:p>
        </w:tc>
        <w:tc>
          <w:tcPr>
            <w:tcW w:w="655" w:type="pct"/>
            <w:vMerge w:val="continue"/>
            <w:tcBorders>
              <w:tl2br w:val="nil"/>
              <w:tr2bl w:val="nil"/>
            </w:tcBorders>
            <w:vAlign w:val="center"/>
          </w:tcPr>
          <w:p>
            <w:pPr>
              <w:jc w:val="center"/>
              <w:rPr>
                <w:rFonts w:hint="eastAsia" w:ascii="宋体" w:hAnsi="宋体" w:cs="宋体"/>
                <w:sz w:val="22"/>
                <w:szCs w:val="20"/>
                <w:highlight w:val="none"/>
              </w:rPr>
            </w:pPr>
          </w:p>
        </w:tc>
        <w:tc>
          <w:tcPr>
            <w:tcW w:w="417" w:type="pct"/>
            <w:tcBorders>
              <w:tl2br w:val="nil"/>
              <w:tr2bl w:val="nil"/>
            </w:tcBorders>
            <w:vAlign w:val="center"/>
          </w:tcPr>
          <w:p>
            <w:pPr>
              <w:jc w:val="center"/>
              <w:rPr>
                <w:rFonts w:hint="default" w:ascii="宋体" w:hAnsi="宋体" w:eastAsia="宋体" w:cs="宋体"/>
                <w:color w:val="000000" w:themeColor="text1"/>
                <w:sz w:val="22"/>
                <w:szCs w:val="20"/>
                <w:highlight w:val="none"/>
                <w:lang w:val="en-US" w:eastAsia="zh-CN"/>
                <w14:textFill>
                  <w14:solidFill>
                    <w14:schemeClr w14:val="tx1"/>
                  </w14:solidFill>
                </w14:textFill>
              </w:rPr>
            </w:pPr>
            <w:r>
              <w:rPr>
                <w:rFonts w:hint="eastAsia" w:ascii="宋体" w:hAnsi="宋体" w:cs="宋体"/>
                <w:color w:val="000000" w:themeColor="text1"/>
                <w:sz w:val="22"/>
                <w:szCs w:val="20"/>
                <w:highlight w:val="none"/>
                <w:lang w:val="en-US" w:eastAsia="zh-CN"/>
                <w14:textFill>
                  <w14:solidFill>
                    <w14:schemeClr w14:val="tx1"/>
                  </w14:solidFill>
                </w14:textFill>
              </w:rPr>
              <w:t>10</w:t>
            </w:r>
          </w:p>
        </w:tc>
        <w:tc>
          <w:tcPr>
            <w:tcW w:w="3520" w:type="pct"/>
            <w:tcBorders>
              <w:tl2br w:val="nil"/>
              <w:tr2bl w:val="nil"/>
            </w:tcBorders>
            <w:vAlign w:val="center"/>
          </w:tcPr>
          <w:p>
            <w:p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w:t>
            </w:r>
            <w:r>
              <w:rPr>
                <w:rFonts w:hint="default" w:ascii="宋体" w:hAnsi="宋体" w:eastAsia="宋体" w:cs="宋体"/>
                <w:sz w:val="22"/>
                <w:highlight w:val="none"/>
                <w:lang w:val="en-US" w:eastAsia="zh-CN"/>
              </w:rPr>
              <w:t>项目组成员（</w:t>
            </w:r>
            <w:r>
              <w:rPr>
                <w:rFonts w:hint="eastAsia" w:ascii="宋体" w:hAnsi="宋体" w:cs="宋体"/>
                <w:sz w:val="22"/>
                <w:highlight w:val="none"/>
                <w:lang w:val="en-US" w:eastAsia="zh-CN"/>
              </w:rPr>
              <w:t>除</w:t>
            </w:r>
            <w:r>
              <w:rPr>
                <w:rFonts w:hint="default" w:ascii="宋体" w:hAnsi="宋体" w:eastAsia="宋体" w:cs="宋体"/>
                <w:sz w:val="22"/>
                <w:highlight w:val="none"/>
                <w:lang w:val="en-US" w:eastAsia="zh-CN"/>
              </w:rPr>
              <w:t>项目负责人</w:t>
            </w:r>
            <w:r>
              <w:rPr>
                <w:rFonts w:hint="eastAsia" w:ascii="宋体" w:hAnsi="宋体" w:cs="宋体"/>
                <w:sz w:val="22"/>
                <w:highlight w:val="none"/>
                <w:lang w:val="en-US" w:eastAsia="zh-CN"/>
              </w:rPr>
              <w:t>外</w:t>
            </w:r>
            <w:r>
              <w:rPr>
                <w:rFonts w:hint="default" w:ascii="宋体" w:hAnsi="宋体" w:eastAsia="宋体" w:cs="宋体"/>
                <w:sz w:val="22"/>
                <w:highlight w:val="none"/>
                <w:lang w:val="en-US" w:eastAsia="zh-CN"/>
              </w:rPr>
              <w:t>）具有水利工程</w:t>
            </w:r>
            <w:r>
              <w:rPr>
                <w:rFonts w:hint="eastAsia" w:ascii="宋体" w:hAnsi="宋体" w:cs="宋体"/>
                <w:sz w:val="22"/>
                <w:highlight w:val="none"/>
                <w:lang w:val="en-US" w:eastAsia="zh-CN"/>
              </w:rPr>
              <w:t>相关</w:t>
            </w:r>
            <w:r>
              <w:rPr>
                <w:rFonts w:hint="default" w:ascii="宋体" w:hAnsi="宋体" w:eastAsia="宋体" w:cs="宋体"/>
                <w:sz w:val="22"/>
                <w:highlight w:val="none"/>
                <w:lang w:val="en-US" w:eastAsia="zh-CN"/>
              </w:rPr>
              <w:t>工程师及以上技术职称，得</w:t>
            </w:r>
            <w:r>
              <w:rPr>
                <w:rFonts w:hint="eastAsia" w:ascii="宋体" w:hAnsi="宋体" w:cs="宋体"/>
                <w:sz w:val="22"/>
                <w:highlight w:val="none"/>
                <w:lang w:val="en-US" w:eastAsia="zh-CN"/>
              </w:rPr>
              <w:t>1</w:t>
            </w:r>
            <w:r>
              <w:rPr>
                <w:rFonts w:hint="default" w:ascii="宋体" w:hAnsi="宋体" w:eastAsia="宋体" w:cs="宋体"/>
                <w:sz w:val="22"/>
                <w:highlight w:val="none"/>
                <w:lang w:val="en-US" w:eastAsia="zh-CN"/>
              </w:rPr>
              <w:t>分，</w:t>
            </w:r>
            <w:r>
              <w:rPr>
                <w:rFonts w:hint="eastAsia" w:ascii="宋体" w:hAnsi="宋体" w:cs="宋体"/>
                <w:sz w:val="22"/>
                <w:highlight w:val="none"/>
                <w:lang w:val="en-US" w:eastAsia="zh-CN"/>
              </w:rPr>
              <w:t>本项</w:t>
            </w:r>
            <w:r>
              <w:rPr>
                <w:rFonts w:hint="default" w:ascii="宋体" w:hAnsi="宋体" w:eastAsia="宋体" w:cs="宋体"/>
                <w:sz w:val="22"/>
                <w:highlight w:val="none"/>
                <w:lang w:val="en-US" w:eastAsia="zh-CN"/>
              </w:rPr>
              <w:t>最高得4分。</w:t>
            </w:r>
          </w:p>
          <w:p>
            <w:p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w:t>
            </w:r>
            <w:r>
              <w:rPr>
                <w:rFonts w:hint="default" w:ascii="宋体" w:hAnsi="宋体" w:eastAsia="宋体" w:cs="宋体"/>
                <w:sz w:val="22"/>
                <w:highlight w:val="none"/>
                <w:lang w:val="en-US" w:eastAsia="zh-CN"/>
              </w:rPr>
              <w:t>项目组成员（</w:t>
            </w:r>
            <w:r>
              <w:rPr>
                <w:rFonts w:hint="eastAsia" w:ascii="宋体" w:hAnsi="宋体" w:cs="宋体"/>
                <w:sz w:val="22"/>
                <w:highlight w:val="none"/>
                <w:lang w:val="en-US" w:eastAsia="zh-CN"/>
              </w:rPr>
              <w:t>除</w:t>
            </w:r>
            <w:r>
              <w:rPr>
                <w:rFonts w:hint="default" w:ascii="宋体" w:hAnsi="宋体" w:eastAsia="宋体" w:cs="宋体"/>
                <w:sz w:val="22"/>
                <w:highlight w:val="none"/>
                <w:lang w:val="en-US" w:eastAsia="zh-CN"/>
              </w:rPr>
              <w:t>项目负责人</w:t>
            </w:r>
            <w:r>
              <w:rPr>
                <w:rFonts w:hint="eastAsia" w:ascii="宋体" w:hAnsi="宋体" w:cs="宋体"/>
                <w:sz w:val="22"/>
                <w:highlight w:val="none"/>
                <w:lang w:val="en-US" w:eastAsia="zh-CN"/>
              </w:rPr>
              <w:t>外</w:t>
            </w:r>
            <w:r>
              <w:rPr>
                <w:rFonts w:hint="default" w:ascii="宋体" w:hAnsi="宋体" w:eastAsia="宋体" w:cs="宋体"/>
                <w:sz w:val="22"/>
                <w:highlight w:val="none"/>
                <w:lang w:val="en-US" w:eastAsia="zh-CN"/>
              </w:rPr>
              <w:t>）获得优秀咨询成果奖或水利类科技创新奖，县级每项0.5分，</w:t>
            </w:r>
            <w:r>
              <w:rPr>
                <w:rFonts w:hint="eastAsia" w:ascii="宋体" w:hAnsi="宋体" w:cs="宋体"/>
                <w:sz w:val="22"/>
                <w:highlight w:val="none"/>
                <w:lang w:val="en-US" w:eastAsia="zh-CN"/>
              </w:rPr>
              <w:t>地</w:t>
            </w:r>
            <w:r>
              <w:rPr>
                <w:rFonts w:hint="default" w:ascii="宋体" w:hAnsi="宋体" w:eastAsia="宋体" w:cs="宋体"/>
                <w:sz w:val="22"/>
                <w:highlight w:val="none"/>
                <w:lang w:val="en-US" w:eastAsia="zh-CN"/>
              </w:rPr>
              <w:t>市（局）级每项1分，省（厅）级每项2分，</w:t>
            </w:r>
            <w:r>
              <w:rPr>
                <w:rFonts w:hint="eastAsia" w:ascii="宋体" w:hAnsi="宋体" w:cs="宋体"/>
                <w:sz w:val="22"/>
                <w:highlight w:val="none"/>
                <w:lang w:val="en-US" w:eastAsia="zh-CN"/>
              </w:rPr>
              <w:t>本项</w:t>
            </w:r>
            <w:r>
              <w:rPr>
                <w:rFonts w:hint="default" w:ascii="宋体" w:hAnsi="宋体" w:eastAsia="宋体" w:cs="宋体"/>
                <w:sz w:val="22"/>
                <w:highlight w:val="none"/>
                <w:lang w:val="en-US" w:eastAsia="zh-CN"/>
              </w:rPr>
              <w:t>最高得6分。</w:t>
            </w:r>
          </w:p>
          <w:p>
            <w:pPr>
              <w:spacing w:line="300" w:lineRule="exact"/>
              <w:rPr>
                <w:rFonts w:ascii="宋体" w:hAnsi="宋体" w:cs="宋体"/>
                <w:b/>
                <w:bCs/>
                <w:sz w:val="22"/>
                <w:highlight w:val="none"/>
              </w:rPr>
            </w:pPr>
            <w:r>
              <w:rPr>
                <w:rFonts w:hint="eastAsia" w:ascii="宋体" w:hAnsi="宋体" w:cs="宋体"/>
                <w:b/>
                <w:bCs/>
                <w:sz w:val="22"/>
                <w:highlight w:val="none"/>
              </w:rPr>
              <w:t>注</w:t>
            </w:r>
            <w:r>
              <w:rPr>
                <w:rFonts w:hint="eastAsia" w:ascii="宋体" w:hAnsi="宋体" w:cs="宋体"/>
                <w:b/>
                <w:bCs/>
                <w:sz w:val="22"/>
                <w:highlight w:val="none"/>
                <w:lang w:eastAsia="zh-CN"/>
              </w:rPr>
              <w:t>：</w:t>
            </w:r>
            <w:r>
              <w:rPr>
                <w:rFonts w:hint="eastAsia" w:ascii="宋体" w:hAnsi="宋体" w:cs="宋体"/>
                <w:b/>
                <w:bCs/>
                <w:color w:val="FF0000"/>
                <w:sz w:val="22"/>
                <w:szCs w:val="20"/>
                <w:highlight w:val="none"/>
              </w:rPr>
              <w:t>上述人员不可重复。</w:t>
            </w:r>
          </w:p>
          <w:p>
            <w:p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rPr>
              <w:t>（</w:t>
            </w:r>
            <w:r>
              <w:rPr>
                <w:rFonts w:hint="eastAsia" w:ascii="宋体" w:hAnsi="宋体" w:cs="宋体"/>
                <w:b/>
                <w:bCs/>
                <w:sz w:val="22"/>
                <w:highlight w:val="none"/>
              </w:rPr>
              <w:t>本项评分须同时提供相关证书复印件</w:t>
            </w:r>
            <w:r>
              <w:rPr>
                <w:rFonts w:hint="eastAsia" w:ascii="宋体" w:hAnsi="宋体" w:cs="宋体"/>
                <w:b/>
                <w:bCs/>
                <w:sz w:val="22"/>
                <w:highlight w:val="none"/>
                <w:lang w:eastAsia="zh-CN"/>
              </w:rPr>
              <w:t>（或获奖或表彰证明材料）</w:t>
            </w:r>
            <w:r>
              <w:rPr>
                <w:rFonts w:hint="eastAsia" w:ascii="宋体" w:hAnsi="宋体" w:cs="宋体"/>
                <w:b/>
                <w:bCs/>
                <w:sz w:val="22"/>
                <w:highlight w:val="none"/>
              </w:rPr>
              <w:t>和投标截止时间前</w:t>
            </w:r>
            <w:r>
              <w:rPr>
                <w:rFonts w:hint="eastAsia" w:ascii="宋体" w:hAnsi="宋体" w:cs="宋体"/>
                <w:b/>
                <w:bCs/>
                <w:sz w:val="22"/>
                <w:highlight w:val="none"/>
                <w:lang w:val="en-US" w:eastAsia="zh-CN"/>
              </w:rPr>
              <w:t>3</w:t>
            </w:r>
            <w:r>
              <w:rPr>
                <w:rFonts w:hint="eastAsia" w:ascii="宋体" w:hAnsi="宋体" w:cs="宋体"/>
                <w:b/>
                <w:bCs/>
                <w:sz w:val="22"/>
                <w:highlight w:val="none"/>
              </w:rPr>
              <w:t>个月内的代缴个税税单或参加社会保险的《投保单》或《社会保险参保人员证明》等证明，投标文件中需提供相关清晰可辨复印件，否则不得分。</w:t>
            </w:r>
            <w:r>
              <w:rPr>
                <w:rFonts w:hint="eastAsia" w:ascii="宋体" w:hAnsi="宋体" w:cs="宋体"/>
                <w:b/>
                <w:bCs/>
                <w:sz w:val="22"/>
                <w:highlight w:val="none"/>
                <w:lang w:eastAsia="zh-CN"/>
              </w:rPr>
              <w:t>证书材料须体现相关人员名称，如无法体现，须提供能体现相关人员名称并加盖成果资料业主方公章的证明材料。</w:t>
            </w:r>
            <w:r>
              <w:rPr>
                <w:rFonts w:hint="eastAsia" w:ascii="宋体" w:hAnsi="宋体" w:cs="宋体"/>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40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3</w:t>
            </w:r>
          </w:p>
        </w:tc>
        <w:tc>
          <w:tcPr>
            <w:tcW w:w="655" w:type="pct"/>
            <w:tcBorders>
              <w:tl2br w:val="nil"/>
              <w:tr2bl w:val="nil"/>
            </w:tcBorders>
            <w:vAlign w:val="center"/>
          </w:tcPr>
          <w:p>
            <w:pPr>
              <w:jc w:val="center"/>
              <w:rPr>
                <w:rFonts w:hint="eastAsia" w:ascii="宋体" w:hAnsi="宋体" w:cs="宋体"/>
                <w:sz w:val="22"/>
                <w:szCs w:val="20"/>
                <w:highlight w:val="none"/>
              </w:rPr>
            </w:pPr>
            <w:r>
              <w:rPr>
                <w:rFonts w:hint="eastAsia" w:ascii="宋体" w:hAnsi="宋体" w:cs="宋体"/>
                <w:sz w:val="22"/>
                <w:szCs w:val="20"/>
                <w:highlight w:val="none"/>
              </w:rPr>
              <w:t>项目</w:t>
            </w:r>
          </w:p>
          <w:p>
            <w:pPr>
              <w:jc w:val="center"/>
              <w:rPr>
                <w:rFonts w:ascii="宋体" w:hAnsi="宋体" w:cs="宋体"/>
                <w:sz w:val="22"/>
                <w:szCs w:val="20"/>
                <w:highlight w:val="none"/>
              </w:rPr>
            </w:pPr>
            <w:r>
              <w:rPr>
                <w:rFonts w:hint="eastAsia" w:ascii="宋体" w:hAnsi="宋体" w:cs="宋体"/>
                <w:sz w:val="22"/>
                <w:szCs w:val="20"/>
                <w:highlight w:val="none"/>
              </w:rPr>
              <w:t>理解</w:t>
            </w:r>
          </w:p>
        </w:tc>
        <w:tc>
          <w:tcPr>
            <w:tcW w:w="417" w:type="pct"/>
            <w:tcBorders>
              <w:tl2br w:val="nil"/>
              <w:tr2bl w:val="nil"/>
            </w:tcBorders>
            <w:vAlign w:val="center"/>
          </w:tcPr>
          <w:p>
            <w:pPr>
              <w:jc w:val="center"/>
              <w:rPr>
                <w:rFonts w:hint="eastAsia" w:ascii="宋体" w:hAnsi="宋体" w:eastAsia="宋体" w:cs="宋体"/>
                <w:b/>
                <w:color w:val="FF0000"/>
                <w:sz w:val="22"/>
                <w:szCs w:val="20"/>
                <w:highlight w:val="none"/>
                <w:lang w:eastAsia="zh-CN"/>
              </w:rPr>
            </w:pPr>
            <w:r>
              <w:rPr>
                <w:rFonts w:hint="eastAsia" w:ascii="宋体" w:hAnsi="宋体" w:cs="宋体"/>
                <w:sz w:val="22"/>
                <w:szCs w:val="20"/>
                <w:highlight w:val="none"/>
                <w:lang w:val="en-US" w:eastAsia="zh-CN"/>
              </w:rPr>
              <w:t>9</w:t>
            </w:r>
          </w:p>
        </w:tc>
        <w:tc>
          <w:tcPr>
            <w:tcW w:w="3520" w:type="pct"/>
            <w:tcBorders>
              <w:tl2br w:val="nil"/>
              <w:tr2bl w:val="nil"/>
            </w:tcBorders>
            <w:vAlign w:val="center"/>
          </w:tcPr>
          <w:p>
            <w:pPr>
              <w:spacing w:line="300" w:lineRule="exact"/>
              <w:rPr>
                <w:rFonts w:hint="eastAsia" w:ascii="宋体" w:hAnsi="宋体" w:cs="宋体"/>
                <w:sz w:val="22"/>
                <w:szCs w:val="20"/>
                <w:highlight w:val="none"/>
              </w:rPr>
            </w:pPr>
            <w:r>
              <w:rPr>
                <w:rFonts w:hint="eastAsia" w:ascii="宋体" w:hAnsi="宋体" w:cs="宋体"/>
                <w:sz w:val="22"/>
                <w:szCs w:val="20"/>
                <w:highlight w:val="none"/>
              </w:rPr>
              <w:t>根据投标人对本项目政策、背景、项目区域内农业水价改革现状与存在问题等方面理解情况进行打分。</w:t>
            </w:r>
          </w:p>
          <w:p>
            <w:pPr>
              <w:spacing w:line="300" w:lineRule="exact"/>
              <w:rPr>
                <w:rFonts w:hint="eastAsia" w:ascii="宋体" w:hAnsi="宋体" w:cs="宋体"/>
                <w:sz w:val="22"/>
                <w:szCs w:val="20"/>
                <w:highlight w:val="none"/>
              </w:rPr>
            </w:pPr>
            <w:r>
              <w:rPr>
                <w:rFonts w:hint="eastAsia" w:ascii="宋体" w:hAnsi="宋体" w:cs="宋体"/>
                <w:sz w:val="22"/>
                <w:szCs w:val="20"/>
                <w:highlight w:val="none"/>
                <w:lang w:val="en-US" w:eastAsia="zh-CN"/>
              </w:rPr>
              <w:t>1.</w:t>
            </w:r>
            <w:r>
              <w:rPr>
                <w:rFonts w:hint="eastAsia" w:ascii="宋体" w:hAnsi="宋体" w:cs="宋体"/>
                <w:sz w:val="22"/>
                <w:szCs w:val="20"/>
                <w:highlight w:val="none"/>
              </w:rPr>
              <w:t>对本项目政策、背景、项目区域内农业水价改革现状与存在问题等方面理解准确、完整、到位的得</w:t>
            </w:r>
            <w:r>
              <w:rPr>
                <w:rFonts w:hint="eastAsia" w:ascii="宋体" w:hAnsi="宋体" w:cs="宋体"/>
                <w:sz w:val="22"/>
                <w:szCs w:val="20"/>
                <w:highlight w:val="none"/>
                <w:lang w:val="en-US" w:eastAsia="zh-CN"/>
              </w:rPr>
              <w:t>6.1-9</w:t>
            </w:r>
            <w:r>
              <w:rPr>
                <w:rFonts w:hint="eastAsia" w:ascii="宋体" w:hAnsi="宋体" w:cs="宋体"/>
                <w:sz w:val="22"/>
                <w:szCs w:val="20"/>
                <w:highlight w:val="none"/>
              </w:rPr>
              <w:t>分；</w:t>
            </w:r>
          </w:p>
          <w:p>
            <w:pPr>
              <w:spacing w:line="300" w:lineRule="exact"/>
              <w:rPr>
                <w:rFonts w:hint="eastAsia" w:ascii="宋体" w:hAnsi="宋体" w:cs="宋体"/>
                <w:sz w:val="22"/>
                <w:szCs w:val="20"/>
                <w:highlight w:val="none"/>
              </w:rPr>
            </w:pPr>
            <w:r>
              <w:rPr>
                <w:rFonts w:hint="eastAsia" w:ascii="宋体" w:hAnsi="宋体" w:cs="宋体"/>
                <w:sz w:val="22"/>
                <w:szCs w:val="20"/>
                <w:highlight w:val="none"/>
                <w:lang w:val="en-US" w:eastAsia="zh-CN"/>
              </w:rPr>
              <w:t>2.</w:t>
            </w:r>
            <w:r>
              <w:rPr>
                <w:rFonts w:hint="eastAsia" w:ascii="宋体" w:hAnsi="宋体" w:cs="宋体"/>
                <w:sz w:val="22"/>
                <w:szCs w:val="20"/>
                <w:highlight w:val="none"/>
              </w:rPr>
              <w:t>对本项目政策、背景、项目区域内农业水价改革现状与存在问题等方面理解准确、基本完整、基本到位的得</w:t>
            </w:r>
            <w:r>
              <w:rPr>
                <w:rFonts w:hint="eastAsia" w:ascii="宋体" w:hAnsi="宋体" w:cs="宋体"/>
                <w:sz w:val="22"/>
                <w:szCs w:val="20"/>
                <w:highlight w:val="none"/>
                <w:lang w:val="en-US" w:eastAsia="zh-CN"/>
              </w:rPr>
              <w:t>3.1-6</w:t>
            </w:r>
            <w:r>
              <w:rPr>
                <w:rFonts w:hint="eastAsia" w:ascii="宋体" w:hAnsi="宋体" w:cs="宋体"/>
                <w:sz w:val="22"/>
                <w:szCs w:val="20"/>
                <w:highlight w:val="none"/>
              </w:rPr>
              <w:t>分；</w:t>
            </w:r>
          </w:p>
          <w:p>
            <w:pPr>
              <w:spacing w:line="300" w:lineRule="exact"/>
              <w:rPr>
                <w:rFonts w:hint="eastAsia" w:ascii="宋体" w:hAnsi="宋体" w:cs="宋体"/>
                <w:sz w:val="22"/>
                <w:szCs w:val="20"/>
                <w:highlight w:val="none"/>
              </w:rPr>
            </w:pPr>
            <w:r>
              <w:rPr>
                <w:rFonts w:hint="eastAsia" w:ascii="宋体" w:hAnsi="宋体" w:cs="宋体"/>
                <w:sz w:val="22"/>
                <w:szCs w:val="20"/>
                <w:highlight w:val="none"/>
                <w:lang w:val="en-US" w:eastAsia="zh-CN"/>
              </w:rPr>
              <w:t>3.</w:t>
            </w:r>
            <w:r>
              <w:rPr>
                <w:rFonts w:hint="eastAsia" w:ascii="宋体" w:hAnsi="宋体" w:cs="宋体"/>
                <w:sz w:val="22"/>
                <w:szCs w:val="20"/>
                <w:highlight w:val="none"/>
              </w:rPr>
              <w:t>对本项目政策、背景、项目区域内农业水价改革现状与存在问题等方面理解基本准确，完整度和到位度还有较大提升空间的得</w:t>
            </w:r>
            <w:r>
              <w:rPr>
                <w:rFonts w:hint="eastAsia" w:ascii="宋体" w:hAnsi="宋体" w:cs="宋体"/>
                <w:sz w:val="22"/>
                <w:szCs w:val="20"/>
                <w:highlight w:val="none"/>
                <w:lang w:val="en-US" w:eastAsia="zh-CN"/>
              </w:rPr>
              <w:t>0-3</w:t>
            </w:r>
            <w:r>
              <w:rPr>
                <w:rFonts w:hint="eastAsia" w:ascii="宋体" w:hAnsi="宋体" w:cs="宋体"/>
                <w:sz w:val="22"/>
                <w:szCs w:val="20"/>
                <w:highlight w:val="none"/>
              </w:rPr>
              <w:t>分；</w:t>
            </w:r>
          </w:p>
          <w:p>
            <w:pPr>
              <w:spacing w:line="300" w:lineRule="exact"/>
              <w:rPr>
                <w:rFonts w:ascii="宋体" w:hAnsi="宋体" w:cs="宋体"/>
                <w:sz w:val="22"/>
                <w:szCs w:val="20"/>
                <w:highlight w:val="none"/>
              </w:rPr>
            </w:pPr>
            <w:r>
              <w:rPr>
                <w:rFonts w:hint="eastAsia" w:ascii="宋体" w:hAnsi="宋体" w:cs="宋体"/>
                <w:sz w:val="22"/>
                <w:szCs w:val="20"/>
                <w:highlight w:val="none"/>
                <w:lang w:eastAsia="zh-CN"/>
              </w:rPr>
              <w:t>注：缺项不得分</w:t>
            </w:r>
            <w:r>
              <w:rPr>
                <w:rFonts w:hint="eastAsia" w:ascii="宋体" w:hAnsi="宋体" w:cs="宋体"/>
                <w:sz w:val="22"/>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40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4</w:t>
            </w:r>
          </w:p>
        </w:tc>
        <w:tc>
          <w:tcPr>
            <w:tcW w:w="655" w:type="pct"/>
            <w:tcBorders>
              <w:tl2br w:val="nil"/>
              <w:tr2bl w:val="nil"/>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工作思路及技术路线</w:t>
            </w:r>
          </w:p>
        </w:tc>
        <w:tc>
          <w:tcPr>
            <w:tcW w:w="41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9</w:t>
            </w:r>
          </w:p>
        </w:tc>
        <w:tc>
          <w:tcPr>
            <w:tcW w:w="3520" w:type="pct"/>
            <w:tcBorders>
              <w:tl2br w:val="nil"/>
              <w:tr2bl w:val="nil"/>
            </w:tcBorders>
            <w:vAlign w:val="center"/>
          </w:tcPr>
          <w:p>
            <w:pPr>
              <w:spacing w:line="300" w:lineRule="exact"/>
              <w:rPr>
                <w:rFonts w:ascii="宋体" w:hAnsi="宋体" w:cs="宋体"/>
                <w:sz w:val="22"/>
                <w:highlight w:val="none"/>
              </w:rPr>
            </w:pPr>
            <w:r>
              <w:rPr>
                <w:rFonts w:hint="eastAsia" w:ascii="宋体" w:hAnsi="宋体" w:cs="宋体"/>
                <w:sz w:val="22"/>
                <w:highlight w:val="none"/>
              </w:rPr>
              <w:t>根据投标人对项目工作思路清晰，技术路线科学合理等情况进行打分。</w:t>
            </w:r>
          </w:p>
          <w:p>
            <w:pPr>
              <w:spacing w:line="300" w:lineRule="exact"/>
              <w:rPr>
                <w:rFonts w:ascii="宋体" w:hAnsi="宋体" w:cs="宋体"/>
                <w:sz w:val="22"/>
                <w:highlight w:val="none"/>
              </w:rPr>
            </w:pPr>
            <w:r>
              <w:rPr>
                <w:rFonts w:hint="eastAsia" w:ascii="宋体" w:hAnsi="宋体" w:cs="宋体"/>
                <w:sz w:val="22"/>
                <w:highlight w:val="none"/>
                <w:lang w:val="en-US" w:eastAsia="zh-CN"/>
              </w:rPr>
              <w:t>1.工作思路清晰，技术路线科学合理的得6.1-9分</w:t>
            </w:r>
            <w:r>
              <w:rPr>
                <w:rFonts w:hint="eastAsia" w:ascii="宋体" w:hAnsi="宋体" w:cs="宋体"/>
                <w:sz w:val="22"/>
                <w:highlight w:val="none"/>
              </w:rPr>
              <w:t>。</w:t>
            </w:r>
          </w:p>
          <w:p>
            <w:pPr>
              <w:spacing w:line="300" w:lineRule="exact"/>
              <w:rPr>
                <w:rFonts w:ascii="宋体" w:hAnsi="宋体" w:cs="宋体"/>
                <w:sz w:val="22"/>
                <w:highlight w:val="none"/>
              </w:rPr>
            </w:pPr>
            <w:r>
              <w:rPr>
                <w:rFonts w:hint="eastAsia" w:ascii="宋体" w:hAnsi="宋体" w:cs="宋体"/>
                <w:sz w:val="22"/>
                <w:highlight w:val="none"/>
                <w:lang w:val="en-US" w:eastAsia="zh-CN"/>
              </w:rPr>
              <w:t>2.工作思路比较清晰，技术路线总体科学合理可行，但略有缺陷的得3.1-6分</w:t>
            </w:r>
            <w:r>
              <w:rPr>
                <w:rFonts w:hint="eastAsia" w:ascii="宋体" w:hAnsi="宋体" w:cs="宋体"/>
                <w:sz w:val="22"/>
                <w:highlight w:val="none"/>
              </w:rPr>
              <w:t>。</w:t>
            </w:r>
          </w:p>
          <w:p>
            <w:pPr>
              <w:spacing w:line="300" w:lineRule="exact"/>
              <w:rPr>
                <w:rFonts w:ascii="宋体" w:hAnsi="宋体" w:cs="宋体"/>
                <w:sz w:val="22"/>
                <w:highlight w:val="none"/>
              </w:rPr>
            </w:pPr>
            <w:r>
              <w:rPr>
                <w:rFonts w:hint="eastAsia" w:ascii="宋体" w:hAnsi="宋体" w:cs="宋体"/>
                <w:sz w:val="22"/>
                <w:highlight w:val="none"/>
              </w:rPr>
              <w:t>3、工作思路</w:t>
            </w:r>
            <w:r>
              <w:rPr>
                <w:rFonts w:hint="eastAsia" w:ascii="宋体" w:hAnsi="宋体" w:cs="宋体"/>
                <w:sz w:val="22"/>
                <w:highlight w:val="none"/>
                <w:lang w:eastAsia="zh-CN"/>
              </w:rPr>
              <w:t>较模糊，但基本清晰</w:t>
            </w:r>
            <w:r>
              <w:rPr>
                <w:rFonts w:hint="eastAsia" w:ascii="宋体" w:hAnsi="宋体" w:cs="宋体"/>
                <w:sz w:val="22"/>
                <w:highlight w:val="none"/>
              </w:rPr>
              <w:t>，技术路线</w:t>
            </w:r>
            <w:r>
              <w:rPr>
                <w:rFonts w:hint="eastAsia" w:ascii="宋体" w:hAnsi="宋体" w:cs="宋体"/>
                <w:sz w:val="22"/>
                <w:highlight w:val="none"/>
                <w:lang w:eastAsia="zh-CN"/>
              </w:rPr>
              <w:t>基本可行，但有较大提升空间的得</w:t>
            </w:r>
            <w:r>
              <w:rPr>
                <w:rFonts w:hint="eastAsia" w:ascii="宋体" w:hAnsi="宋体" w:cs="宋体"/>
                <w:sz w:val="22"/>
                <w:highlight w:val="none"/>
                <w:lang w:val="en-US" w:eastAsia="zh-CN"/>
              </w:rPr>
              <w:t>0-3分。</w:t>
            </w:r>
          </w:p>
          <w:p>
            <w:pPr>
              <w:spacing w:line="300" w:lineRule="exact"/>
              <w:rPr>
                <w:highlight w:val="none"/>
              </w:rPr>
            </w:pPr>
            <w:r>
              <w:rPr>
                <w:rFonts w:hint="eastAsia" w:ascii="宋体" w:hAnsi="宋体" w:cs="宋体"/>
                <w:sz w:val="22"/>
                <w:highlight w:val="none"/>
              </w:rPr>
              <w:t>注：</w:t>
            </w:r>
            <w:r>
              <w:rPr>
                <w:rFonts w:hint="eastAsia" w:ascii="宋体" w:hAnsi="宋体" w:cs="宋体"/>
                <w:sz w:val="22"/>
                <w:highlight w:val="none"/>
                <w:lang w:eastAsia="zh-CN"/>
              </w:rPr>
              <w:t>缺项不得分</w:t>
            </w:r>
            <w:r>
              <w:rPr>
                <w:rFonts w:hint="eastAsia" w:ascii="宋体" w:hAnsi="宋体" w:cs="宋体"/>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0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5</w:t>
            </w:r>
          </w:p>
        </w:tc>
        <w:tc>
          <w:tcPr>
            <w:tcW w:w="655"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eastAsia="zh-CN"/>
              </w:rPr>
              <w:t>服务</w:t>
            </w:r>
          </w:p>
          <w:p>
            <w:pPr>
              <w:jc w:val="center"/>
              <w:rPr>
                <w:rFonts w:ascii="宋体" w:hAnsi="宋体" w:cs="宋体"/>
                <w:sz w:val="22"/>
                <w:szCs w:val="20"/>
                <w:highlight w:val="none"/>
              </w:rPr>
            </w:pPr>
            <w:r>
              <w:rPr>
                <w:rFonts w:hint="eastAsia" w:ascii="宋体" w:hAnsi="宋体" w:cs="宋体"/>
                <w:sz w:val="22"/>
                <w:szCs w:val="20"/>
                <w:highlight w:val="none"/>
              </w:rPr>
              <w:t>方案</w:t>
            </w:r>
          </w:p>
        </w:tc>
        <w:tc>
          <w:tcPr>
            <w:tcW w:w="417" w:type="pct"/>
            <w:tcBorders>
              <w:tl2br w:val="nil"/>
              <w:tr2bl w:val="nil"/>
            </w:tcBorders>
            <w:vAlign w:val="center"/>
          </w:tcPr>
          <w:p>
            <w:pPr>
              <w:jc w:val="center"/>
              <w:rPr>
                <w:rFonts w:hint="default" w:ascii="宋体" w:hAnsi="宋体" w:eastAsia="宋体" w:cs="宋体"/>
                <w:sz w:val="22"/>
                <w:szCs w:val="20"/>
                <w:highlight w:val="none"/>
                <w:lang w:val="en-US" w:eastAsia="zh-CN"/>
              </w:rPr>
            </w:pPr>
            <w:r>
              <w:rPr>
                <w:rFonts w:hint="eastAsia" w:ascii="宋体" w:hAnsi="宋体" w:cs="宋体"/>
                <w:sz w:val="22"/>
                <w:szCs w:val="20"/>
                <w:highlight w:val="none"/>
                <w:lang w:val="en-US" w:eastAsia="zh-CN"/>
              </w:rPr>
              <w:t>9</w:t>
            </w:r>
          </w:p>
        </w:tc>
        <w:tc>
          <w:tcPr>
            <w:tcW w:w="3520" w:type="pct"/>
            <w:tcBorders>
              <w:tl2br w:val="nil"/>
              <w:tr2bl w:val="nil"/>
            </w:tcBorders>
            <w:vAlign w:val="center"/>
          </w:tcPr>
          <w:p>
            <w:pPr>
              <w:spacing w:line="300" w:lineRule="exact"/>
              <w:rPr>
                <w:rFonts w:hint="eastAsia" w:ascii="宋体" w:hAnsi="宋体" w:cs="宋体"/>
                <w:sz w:val="22"/>
                <w:highlight w:val="none"/>
                <w:lang w:eastAsia="zh-CN"/>
              </w:rPr>
            </w:pPr>
            <w:r>
              <w:rPr>
                <w:rFonts w:hint="eastAsia" w:ascii="宋体" w:hAnsi="宋体" w:cs="宋体"/>
                <w:sz w:val="22"/>
                <w:highlight w:val="none"/>
              </w:rPr>
              <w:t>根据</w:t>
            </w:r>
            <w:r>
              <w:rPr>
                <w:rFonts w:hint="eastAsia" w:ascii="宋体" w:hAnsi="宋体" w:cs="宋体"/>
                <w:sz w:val="22"/>
                <w:highlight w:val="none"/>
                <w:lang w:eastAsia="zh-CN"/>
              </w:rPr>
              <w:t>投标人对项目服务方案目标的明确性，工作内容对各服务内容的针对性，对本项目的重难点分析等进行打分。</w:t>
            </w:r>
          </w:p>
          <w:p>
            <w:pPr>
              <w:numPr>
                <w:ilvl w:val="0"/>
                <w:numId w:val="0"/>
              </w:numPr>
              <w:spacing w:line="300" w:lineRule="exact"/>
              <w:rPr>
                <w:rFonts w:hint="eastAsia" w:ascii="宋体" w:hAnsi="宋体" w:cs="宋体"/>
                <w:sz w:val="22"/>
                <w:highlight w:val="none"/>
                <w:lang w:val="en-US" w:eastAsia="zh-CN"/>
              </w:rPr>
            </w:pPr>
            <w:r>
              <w:rPr>
                <w:rFonts w:hint="eastAsia" w:ascii="宋体" w:hAnsi="宋体" w:cs="宋体"/>
                <w:sz w:val="22"/>
                <w:highlight w:val="none"/>
                <w:lang w:val="en-US" w:eastAsia="zh-CN"/>
              </w:rPr>
              <w:t>1.方案内容全面，结构完整，针对性强，表述准确，条理清晰的得6.1-9分；</w:t>
            </w:r>
          </w:p>
          <w:p>
            <w:pPr>
              <w:numPr>
                <w:ilvl w:val="0"/>
                <w:numId w:val="0"/>
              </w:numPr>
              <w:spacing w:line="300" w:lineRule="exact"/>
              <w:ind w:leftChars="0"/>
              <w:rPr>
                <w:rFonts w:hint="eastAsia" w:ascii="宋体" w:hAnsi="宋体" w:cs="宋体"/>
                <w:sz w:val="22"/>
                <w:highlight w:val="none"/>
                <w:lang w:val="en-US" w:eastAsia="zh-CN"/>
              </w:rPr>
            </w:pPr>
            <w:r>
              <w:rPr>
                <w:rFonts w:hint="eastAsia" w:ascii="宋体" w:hAnsi="宋体" w:cs="宋体"/>
                <w:sz w:val="22"/>
                <w:highlight w:val="none"/>
                <w:lang w:val="en-US" w:eastAsia="zh-CN"/>
              </w:rPr>
              <w:t>2.方案内容较为全面，结构基本涵盖，针对性相对较强，表述清楚，条理较为合理的得3.1-6分；</w:t>
            </w:r>
          </w:p>
          <w:p>
            <w:pPr>
              <w:numPr>
                <w:ilvl w:val="0"/>
                <w:numId w:val="0"/>
              </w:numPr>
              <w:spacing w:line="300" w:lineRule="exact"/>
              <w:ind w:leftChars="0"/>
              <w:rPr>
                <w:rFonts w:hint="eastAsia" w:ascii="宋体" w:hAnsi="宋体" w:cs="宋体"/>
                <w:sz w:val="22"/>
                <w:highlight w:val="none"/>
                <w:lang w:val="en-US" w:eastAsia="zh-CN"/>
              </w:rPr>
            </w:pPr>
            <w:r>
              <w:rPr>
                <w:rFonts w:hint="eastAsia" w:ascii="宋体" w:hAnsi="宋体" w:cs="宋体"/>
                <w:sz w:val="22"/>
                <w:highlight w:val="none"/>
                <w:lang w:val="en-US" w:eastAsia="zh-CN"/>
              </w:rPr>
              <w:t>3.方案内容不完善，结构不完整，无针对性，表述模糊的得0-3分。</w:t>
            </w:r>
          </w:p>
          <w:p>
            <w:pPr>
              <w:numPr>
                <w:ilvl w:val="0"/>
                <w:numId w:val="0"/>
              </w:numPr>
              <w:spacing w:line="300" w:lineRule="exact"/>
              <w:ind w:leftChars="0"/>
              <w:rPr>
                <w:highlight w:val="none"/>
              </w:rPr>
            </w:pPr>
            <w:r>
              <w:rPr>
                <w:rFonts w:hint="eastAsia" w:ascii="宋体" w:hAnsi="宋体" w:cs="宋体"/>
                <w:sz w:val="22"/>
                <w:highlight w:val="none"/>
              </w:rPr>
              <w:t>注：缺项不得分。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0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6</w:t>
            </w:r>
          </w:p>
        </w:tc>
        <w:tc>
          <w:tcPr>
            <w:tcW w:w="655" w:type="pct"/>
            <w:tcBorders>
              <w:tl2br w:val="nil"/>
              <w:tr2bl w:val="nil"/>
            </w:tcBorders>
            <w:vAlign w:val="center"/>
          </w:tcPr>
          <w:p>
            <w:pPr>
              <w:jc w:val="center"/>
              <w:rPr>
                <w:rFonts w:ascii="宋体" w:hAnsi="宋体" w:cs="宋体"/>
                <w:sz w:val="22"/>
                <w:szCs w:val="20"/>
                <w:highlight w:val="none"/>
              </w:rPr>
            </w:pPr>
            <w:r>
              <w:rPr>
                <w:rFonts w:hint="eastAsia" w:ascii="宋体" w:hAnsi="宋体" w:cs="宋体"/>
                <w:sz w:val="22"/>
                <w:szCs w:val="20"/>
                <w:highlight w:val="none"/>
              </w:rPr>
              <w:t>质量与管理措施</w:t>
            </w:r>
          </w:p>
        </w:tc>
        <w:tc>
          <w:tcPr>
            <w:tcW w:w="41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6</w:t>
            </w:r>
          </w:p>
        </w:tc>
        <w:tc>
          <w:tcPr>
            <w:tcW w:w="3520" w:type="pct"/>
            <w:tcBorders>
              <w:tl2br w:val="nil"/>
              <w:tr2bl w:val="nil"/>
            </w:tcBorders>
            <w:vAlign w:val="center"/>
          </w:tcPr>
          <w:p>
            <w:pPr>
              <w:spacing w:line="300" w:lineRule="exact"/>
              <w:rPr>
                <w:rFonts w:hint="eastAsia" w:ascii="宋体" w:hAnsi="宋体" w:cs="宋体"/>
                <w:sz w:val="22"/>
                <w:szCs w:val="20"/>
                <w:highlight w:val="none"/>
                <w:lang w:eastAsia="zh-CN"/>
              </w:rPr>
            </w:pPr>
            <w:r>
              <w:rPr>
                <w:rFonts w:hint="eastAsia" w:ascii="宋体" w:hAnsi="宋体" w:cs="宋体"/>
                <w:sz w:val="22"/>
                <w:szCs w:val="20"/>
                <w:highlight w:val="none"/>
              </w:rPr>
              <w:t>根据投标人的质量与管理措施方案，针对方案的质量保证目标明确性，内部校审制度齐全、质量保证措施和管理体系合理性，详实性等</w:t>
            </w:r>
            <w:r>
              <w:rPr>
                <w:rFonts w:hint="eastAsia" w:ascii="宋体" w:hAnsi="宋体" w:cs="宋体"/>
                <w:sz w:val="22"/>
                <w:szCs w:val="20"/>
                <w:highlight w:val="none"/>
                <w:lang w:eastAsia="zh-CN"/>
              </w:rPr>
              <w:t>进行打分。</w:t>
            </w:r>
          </w:p>
          <w:p>
            <w:pPr>
              <w:numPr>
                <w:ilvl w:val="0"/>
                <w:numId w:val="0"/>
              </w:numPr>
              <w:spacing w:line="300" w:lineRule="exact"/>
              <w:rPr>
                <w:rFonts w:hint="eastAsia" w:ascii="宋体" w:hAnsi="宋体" w:cs="宋体"/>
                <w:sz w:val="22"/>
                <w:szCs w:val="20"/>
                <w:highlight w:val="none"/>
                <w:lang w:val="en-US" w:eastAsia="zh-CN"/>
              </w:rPr>
            </w:pPr>
            <w:r>
              <w:rPr>
                <w:rFonts w:hint="eastAsia" w:ascii="宋体" w:hAnsi="宋体" w:cs="宋体"/>
                <w:sz w:val="22"/>
                <w:szCs w:val="20"/>
                <w:highlight w:val="none"/>
                <w:lang w:val="en-US" w:eastAsia="zh-CN"/>
              </w:rPr>
              <w:t>1.方案目标明确，制度完整，措施合理的得4.1-6分；</w:t>
            </w:r>
          </w:p>
          <w:p>
            <w:pPr>
              <w:numPr>
                <w:ilvl w:val="0"/>
                <w:numId w:val="0"/>
              </w:numPr>
              <w:spacing w:line="300" w:lineRule="exact"/>
              <w:rPr>
                <w:rFonts w:hint="eastAsia" w:ascii="宋体" w:hAnsi="宋体" w:cs="宋体"/>
                <w:sz w:val="22"/>
                <w:szCs w:val="20"/>
                <w:highlight w:val="none"/>
                <w:lang w:val="en-US" w:eastAsia="zh-CN"/>
              </w:rPr>
            </w:pPr>
            <w:r>
              <w:rPr>
                <w:rFonts w:hint="eastAsia" w:ascii="宋体" w:hAnsi="宋体" w:cs="宋体"/>
                <w:sz w:val="22"/>
                <w:szCs w:val="20"/>
                <w:highlight w:val="none"/>
                <w:lang w:val="en-US" w:eastAsia="zh-CN"/>
              </w:rPr>
              <w:t>2.方案目标较为明确，制度有待完善，措施较为合理的得2.1-4分；</w:t>
            </w:r>
          </w:p>
          <w:p>
            <w:pPr>
              <w:numPr>
                <w:ilvl w:val="0"/>
                <w:numId w:val="0"/>
              </w:numPr>
              <w:spacing w:line="300" w:lineRule="exact"/>
              <w:rPr>
                <w:rFonts w:hint="default" w:ascii="宋体" w:hAnsi="宋体" w:cs="宋体"/>
                <w:sz w:val="22"/>
                <w:szCs w:val="20"/>
                <w:highlight w:val="none"/>
                <w:lang w:val="en-US" w:eastAsia="zh-CN"/>
              </w:rPr>
            </w:pPr>
            <w:r>
              <w:rPr>
                <w:rFonts w:hint="eastAsia" w:ascii="宋体" w:hAnsi="宋体" w:cs="宋体"/>
                <w:sz w:val="22"/>
                <w:szCs w:val="20"/>
                <w:highlight w:val="none"/>
                <w:lang w:val="en-US" w:eastAsia="zh-CN"/>
              </w:rPr>
              <w:t>3.方案目标模糊，制度及措施不完善，有较大提升空间的得0-2分。</w:t>
            </w:r>
          </w:p>
          <w:p>
            <w:pPr>
              <w:numPr>
                <w:ilvl w:val="0"/>
                <w:numId w:val="0"/>
              </w:numPr>
              <w:spacing w:line="300" w:lineRule="exact"/>
              <w:rPr>
                <w:rFonts w:hint="default" w:ascii="宋体" w:hAnsi="宋体" w:cs="宋体"/>
                <w:sz w:val="22"/>
                <w:szCs w:val="20"/>
                <w:highlight w:val="none"/>
                <w:lang w:val="en-US" w:eastAsia="zh-CN"/>
              </w:rPr>
            </w:pPr>
            <w:r>
              <w:rPr>
                <w:rFonts w:hint="eastAsia" w:ascii="宋体" w:hAnsi="宋体" w:cs="宋体"/>
                <w:sz w:val="22"/>
                <w:highlight w:val="none"/>
                <w:lang w:eastAsia="zh-CN"/>
              </w:rPr>
              <w:t>注：缺项不得分</w:t>
            </w:r>
            <w:r>
              <w:rPr>
                <w:rFonts w:hint="eastAsia" w:ascii="宋体" w:hAnsi="宋体" w:cs="宋体"/>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40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7</w:t>
            </w:r>
          </w:p>
        </w:tc>
        <w:tc>
          <w:tcPr>
            <w:tcW w:w="655"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eastAsia="宋体" w:cs="宋体"/>
                <w:sz w:val="22"/>
                <w:szCs w:val="20"/>
                <w:highlight w:val="none"/>
                <w:lang w:eastAsia="zh-CN"/>
              </w:rPr>
              <w:t>项目</w:t>
            </w:r>
          </w:p>
          <w:p>
            <w:pPr>
              <w:jc w:val="center"/>
              <w:rPr>
                <w:rFonts w:hint="eastAsia" w:ascii="宋体" w:hAnsi="宋体" w:eastAsia="宋体" w:cs="宋体"/>
                <w:sz w:val="22"/>
                <w:szCs w:val="20"/>
                <w:highlight w:val="none"/>
                <w:lang w:eastAsia="zh-CN"/>
              </w:rPr>
            </w:pPr>
            <w:r>
              <w:rPr>
                <w:rFonts w:hint="eastAsia" w:ascii="宋体" w:hAnsi="宋体" w:eastAsia="宋体" w:cs="宋体"/>
                <w:sz w:val="22"/>
                <w:szCs w:val="20"/>
                <w:highlight w:val="none"/>
                <w:lang w:eastAsia="zh-CN"/>
              </w:rPr>
              <w:t>进度</w:t>
            </w:r>
          </w:p>
        </w:tc>
        <w:tc>
          <w:tcPr>
            <w:tcW w:w="417" w:type="pct"/>
            <w:tcBorders>
              <w:tl2br w:val="nil"/>
              <w:tr2bl w:val="nil"/>
            </w:tcBorders>
            <w:vAlign w:val="center"/>
          </w:tcPr>
          <w:p>
            <w:pPr>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6</w:t>
            </w:r>
          </w:p>
        </w:tc>
        <w:tc>
          <w:tcPr>
            <w:tcW w:w="3520" w:type="pct"/>
            <w:tcBorders>
              <w:tl2br w:val="nil"/>
              <w:tr2bl w:val="nil"/>
            </w:tcBorders>
            <w:vAlign w:val="center"/>
          </w:tcPr>
          <w:p>
            <w:pPr>
              <w:spacing w:line="300" w:lineRule="exact"/>
              <w:rPr>
                <w:rFonts w:ascii="宋体" w:hAnsi="宋体" w:cs="宋体"/>
                <w:sz w:val="22"/>
                <w:highlight w:val="none"/>
              </w:rPr>
            </w:pPr>
            <w:r>
              <w:rPr>
                <w:rFonts w:hint="eastAsia" w:ascii="宋体" w:hAnsi="宋体" w:cs="宋体"/>
                <w:sz w:val="22"/>
                <w:highlight w:val="none"/>
              </w:rPr>
              <w:t>根据投标人的项目进度方案，针对进度安排与采购需求切合性，节点之间细化合理性，进度控制措施科学合理性</w:t>
            </w:r>
            <w:r>
              <w:rPr>
                <w:rFonts w:hint="eastAsia" w:ascii="宋体" w:hAnsi="宋体" w:cs="宋体"/>
                <w:sz w:val="22"/>
                <w:highlight w:val="none"/>
                <w:lang w:eastAsia="zh-CN"/>
              </w:rPr>
              <w:t>等进行打分</w:t>
            </w:r>
            <w:r>
              <w:rPr>
                <w:rFonts w:hint="eastAsia" w:ascii="宋体" w:hAnsi="宋体" w:cs="宋体"/>
                <w:sz w:val="22"/>
                <w:highlight w:val="none"/>
              </w:rPr>
              <w:t>。</w:t>
            </w:r>
          </w:p>
          <w:p>
            <w:pPr>
              <w:spacing w:line="300" w:lineRule="exact"/>
              <w:rPr>
                <w:rFonts w:ascii="宋体" w:hAnsi="宋体" w:cs="宋体"/>
                <w:sz w:val="22"/>
                <w:highlight w:val="none"/>
              </w:rPr>
            </w:pPr>
            <w:r>
              <w:rPr>
                <w:rFonts w:hint="eastAsia" w:ascii="宋体" w:hAnsi="宋体" w:cs="宋体"/>
                <w:sz w:val="22"/>
                <w:szCs w:val="20"/>
                <w:highlight w:val="none"/>
                <w:lang w:val="en-US" w:eastAsia="zh-CN"/>
              </w:rPr>
              <w:t>1.进度安排</w:t>
            </w:r>
            <w:r>
              <w:rPr>
                <w:rFonts w:hint="eastAsia" w:ascii="宋体" w:hAnsi="宋体" w:cs="宋体"/>
                <w:sz w:val="22"/>
                <w:szCs w:val="20"/>
                <w:highlight w:val="none"/>
                <w:lang w:eastAsia="zh-CN"/>
              </w:rPr>
              <w:t>切合实际，节点细化合理，进度控制科学合理的</w:t>
            </w:r>
            <w:r>
              <w:rPr>
                <w:rFonts w:hint="eastAsia" w:ascii="宋体" w:hAnsi="宋体" w:cs="宋体"/>
                <w:sz w:val="22"/>
                <w:szCs w:val="20"/>
                <w:highlight w:val="none"/>
              </w:rPr>
              <w:t>，得</w:t>
            </w:r>
            <w:r>
              <w:rPr>
                <w:rFonts w:hint="eastAsia" w:ascii="宋体" w:hAnsi="宋体" w:cs="宋体"/>
                <w:sz w:val="22"/>
                <w:szCs w:val="20"/>
                <w:highlight w:val="none"/>
                <w:lang w:val="en-US" w:eastAsia="zh-CN"/>
              </w:rPr>
              <w:t>4.1</w:t>
            </w:r>
            <w:r>
              <w:rPr>
                <w:rFonts w:hint="eastAsia" w:ascii="宋体" w:hAnsi="宋体" w:cs="宋体"/>
                <w:sz w:val="22"/>
                <w:szCs w:val="20"/>
                <w:highlight w:val="none"/>
              </w:rPr>
              <w:t>-</w:t>
            </w:r>
            <w:r>
              <w:rPr>
                <w:rFonts w:hint="eastAsia" w:ascii="宋体" w:hAnsi="宋体" w:cs="宋体"/>
                <w:sz w:val="22"/>
                <w:szCs w:val="20"/>
                <w:highlight w:val="none"/>
                <w:lang w:val="en-US" w:eastAsia="zh-CN"/>
              </w:rPr>
              <w:t>6</w:t>
            </w:r>
            <w:r>
              <w:rPr>
                <w:rFonts w:hint="eastAsia" w:ascii="宋体" w:hAnsi="宋体" w:cs="宋体"/>
                <w:sz w:val="22"/>
                <w:highlight w:val="none"/>
              </w:rPr>
              <w:t>分；</w:t>
            </w:r>
          </w:p>
          <w:p>
            <w:pPr>
              <w:spacing w:line="300" w:lineRule="exact"/>
              <w:rPr>
                <w:rFonts w:hint="eastAsia" w:ascii="宋体" w:hAnsi="宋体" w:cs="宋体"/>
                <w:sz w:val="22"/>
                <w:highlight w:val="none"/>
              </w:rPr>
            </w:pPr>
            <w:r>
              <w:rPr>
                <w:rFonts w:hint="eastAsia" w:ascii="宋体" w:hAnsi="宋体" w:cs="宋体"/>
                <w:sz w:val="22"/>
                <w:szCs w:val="20"/>
                <w:highlight w:val="none"/>
                <w:lang w:val="en-US" w:eastAsia="zh-CN"/>
              </w:rPr>
              <w:t>2.进度安排与实际较为切合，节点有待细化，进度控制有待提升的，</w:t>
            </w:r>
            <w:r>
              <w:rPr>
                <w:rFonts w:hint="eastAsia" w:ascii="宋体" w:hAnsi="宋体" w:cs="宋体"/>
                <w:sz w:val="22"/>
                <w:szCs w:val="20"/>
                <w:highlight w:val="none"/>
              </w:rPr>
              <w:t>得</w:t>
            </w:r>
            <w:r>
              <w:rPr>
                <w:rFonts w:hint="eastAsia" w:ascii="宋体" w:hAnsi="宋体" w:cs="宋体"/>
                <w:sz w:val="22"/>
                <w:szCs w:val="20"/>
                <w:highlight w:val="none"/>
                <w:lang w:val="en-US" w:eastAsia="zh-CN"/>
              </w:rPr>
              <w:t>2.1</w:t>
            </w:r>
            <w:r>
              <w:rPr>
                <w:rFonts w:hint="eastAsia" w:ascii="宋体" w:hAnsi="宋体" w:cs="宋体"/>
                <w:sz w:val="22"/>
                <w:szCs w:val="20"/>
                <w:highlight w:val="none"/>
              </w:rPr>
              <w:t>-</w:t>
            </w:r>
            <w:r>
              <w:rPr>
                <w:rFonts w:hint="eastAsia" w:ascii="宋体" w:hAnsi="宋体" w:cs="宋体"/>
                <w:sz w:val="22"/>
                <w:szCs w:val="20"/>
                <w:highlight w:val="none"/>
                <w:lang w:val="en-US" w:eastAsia="zh-CN"/>
              </w:rPr>
              <w:t>4</w:t>
            </w:r>
            <w:r>
              <w:rPr>
                <w:rFonts w:hint="eastAsia" w:ascii="宋体" w:hAnsi="宋体" w:cs="宋体"/>
                <w:sz w:val="22"/>
                <w:highlight w:val="none"/>
              </w:rPr>
              <w:t>分；</w:t>
            </w:r>
          </w:p>
          <w:p>
            <w:p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3.进度安排不合理，节点无细化，进度控制无科学性的得0-2分。</w:t>
            </w:r>
          </w:p>
          <w:p>
            <w:pPr>
              <w:spacing w:line="300" w:lineRule="exact"/>
              <w:rPr>
                <w:rFonts w:ascii="宋体" w:hAnsi="宋体" w:cs="宋体"/>
                <w:sz w:val="20"/>
                <w:szCs w:val="20"/>
                <w:highlight w:val="none"/>
              </w:rPr>
            </w:pPr>
            <w:r>
              <w:rPr>
                <w:rFonts w:hint="eastAsia" w:ascii="宋体" w:hAnsi="宋体" w:cs="宋体"/>
                <w:sz w:val="22"/>
                <w:highlight w:val="none"/>
                <w:lang w:eastAsia="zh-CN"/>
              </w:rPr>
              <w:t>注：缺项不得分</w:t>
            </w:r>
            <w:r>
              <w:rPr>
                <w:rFonts w:hint="eastAsia" w:ascii="宋体" w:hAnsi="宋体" w:cs="宋体"/>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407" w:type="pct"/>
            <w:tcBorders>
              <w:tl2br w:val="nil"/>
              <w:tr2bl w:val="nil"/>
            </w:tcBorders>
            <w:vAlign w:val="center"/>
          </w:tcPr>
          <w:p>
            <w:pPr>
              <w:spacing w:line="300" w:lineRule="exact"/>
              <w:jc w:val="center"/>
              <w:rPr>
                <w:rFonts w:ascii="宋体" w:hAnsi="宋体" w:cs="宋体"/>
                <w:sz w:val="22"/>
                <w:szCs w:val="20"/>
                <w:highlight w:val="none"/>
              </w:rPr>
            </w:pPr>
            <w:r>
              <w:rPr>
                <w:rFonts w:hint="eastAsia" w:ascii="宋体" w:hAnsi="宋体" w:cs="宋体"/>
                <w:sz w:val="22"/>
                <w:szCs w:val="20"/>
                <w:highlight w:val="none"/>
              </w:rPr>
              <w:t>8</w:t>
            </w:r>
          </w:p>
        </w:tc>
        <w:tc>
          <w:tcPr>
            <w:tcW w:w="655" w:type="pct"/>
            <w:tcBorders>
              <w:tl2br w:val="nil"/>
              <w:tr2bl w:val="nil"/>
            </w:tcBorders>
            <w:vAlign w:val="center"/>
          </w:tcPr>
          <w:p>
            <w:pPr>
              <w:spacing w:line="300" w:lineRule="exact"/>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eastAsia="zh-CN"/>
              </w:rPr>
              <w:t>对本项目的理解</w:t>
            </w:r>
          </w:p>
        </w:tc>
        <w:tc>
          <w:tcPr>
            <w:tcW w:w="417" w:type="pct"/>
            <w:tcBorders>
              <w:tl2br w:val="nil"/>
              <w:tr2bl w:val="nil"/>
            </w:tcBorders>
            <w:vAlign w:val="center"/>
          </w:tcPr>
          <w:p>
            <w:pPr>
              <w:spacing w:line="300" w:lineRule="exact"/>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val="en-US" w:eastAsia="zh-CN"/>
              </w:rPr>
              <w:t>6</w:t>
            </w:r>
          </w:p>
        </w:tc>
        <w:tc>
          <w:tcPr>
            <w:tcW w:w="3520" w:type="pct"/>
            <w:tcBorders>
              <w:tl2br w:val="nil"/>
              <w:tr2bl w:val="nil"/>
            </w:tcBorders>
            <w:vAlign w:val="center"/>
          </w:tcPr>
          <w:p>
            <w:pPr>
              <w:spacing w:line="300" w:lineRule="exact"/>
              <w:rPr>
                <w:rFonts w:ascii="宋体" w:hAnsi="宋体" w:cs="宋体"/>
                <w:sz w:val="22"/>
                <w:highlight w:val="none"/>
              </w:rPr>
            </w:pPr>
            <w:r>
              <w:rPr>
                <w:rFonts w:hint="eastAsia" w:ascii="宋体" w:hAnsi="宋体" w:cs="宋体"/>
                <w:sz w:val="22"/>
                <w:highlight w:val="none"/>
                <w:lang w:eastAsia="zh-CN"/>
              </w:rPr>
              <w:t>根据投标人对本项目区域内农业水价改革相关内容理解及资料收集程度进行打分</w:t>
            </w:r>
            <w:r>
              <w:rPr>
                <w:rFonts w:hint="eastAsia" w:ascii="宋体" w:hAnsi="宋体" w:cs="宋体"/>
                <w:sz w:val="22"/>
                <w:highlight w:val="none"/>
              </w:rPr>
              <w:t>。</w:t>
            </w:r>
          </w:p>
          <w:p>
            <w:pPr>
              <w:spacing w:line="300" w:lineRule="exact"/>
              <w:rPr>
                <w:rFonts w:ascii="宋体" w:hAnsi="宋体" w:cs="宋体"/>
                <w:sz w:val="22"/>
                <w:szCs w:val="20"/>
                <w:highlight w:val="none"/>
              </w:rPr>
            </w:pPr>
            <w:r>
              <w:rPr>
                <w:rFonts w:hint="eastAsia" w:ascii="宋体" w:hAnsi="宋体" w:cs="宋体"/>
                <w:sz w:val="22"/>
                <w:szCs w:val="20"/>
                <w:highlight w:val="none"/>
                <w:lang w:val="en-US" w:eastAsia="zh-CN"/>
              </w:rPr>
              <w:t>1.</w:t>
            </w:r>
            <w:r>
              <w:rPr>
                <w:rFonts w:hint="eastAsia" w:ascii="宋体" w:hAnsi="宋体" w:cs="宋体"/>
                <w:sz w:val="22"/>
                <w:szCs w:val="20"/>
                <w:highlight w:val="none"/>
                <w:lang w:eastAsia="zh-CN"/>
              </w:rPr>
              <w:t>理解全面完整，有独特见解，资料收集齐全的</w:t>
            </w:r>
            <w:r>
              <w:rPr>
                <w:rFonts w:hint="eastAsia" w:ascii="宋体" w:hAnsi="宋体" w:cs="宋体"/>
                <w:sz w:val="22"/>
                <w:szCs w:val="20"/>
                <w:highlight w:val="none"/>
              </w:rPr>
              <w:t>得</w:t>
            </w:r>
            <w:r>
              <w:rPr>
                <w:rFonts w:hint="eastAsia" w:ascii="宋体" w:hAnsi="宋体" w:cs="宋体"/>
                <w:sz w:val="22"/>
                <w:szCs w:val="20"/>
                <w:highlight w:val="none"/>
                <w:lang w:val="en-US" w:eastAsia="zh-CN"/>
              </w:rPr>
              <w:t>4</w:t>
            </w:r>
            <w:r>
              <w:rPr>
                <w:rFonts w:hint="eastAsia" w:ascii="宋体" w:hAnsi="宋体" w:cs="宋体"/>
                <w:sz w:val="22"/>
                <w:szCs w:val="20"/>
                <w:highlight w:val="none"/>
              </w:rPr>
              <w:t>.1-</w:t>
            </w:r>
            <w:r>
              <w:rPr>
                <w:rFonts w:hint="eastAsia" w:ascii="宋体" w:hAnsi="宋体" w:cs="宋体"/>
                <w:sz w:val="22"/>
                <w:szCs w:val="20"/>
                <w:highlight w:val="none"/>
                <w:lang w:val="en-US" w:eastAsia="zh-CN"/>
              </w:rPr>
              <w:t>6</w:t>
            </w:r>
            <w:r>
              <w:rPr>
                <w:rFonts w:hint="eastAsia" w:ascii="宋体" w:hAnsi="宋体" w:cs="宋体"/>
                <w:sz w:val="22"/>
                <w:szCs w:val="20"/>
                <w:highlight w:val="none"/>
              </w:rPr>
              <w:t>分；</w:t>
            </w:r>
          </w:p>
          <w:p>
            <w:pPr>
              <w:pStyle w:val="52"/>
              <w:rPr>
                <w:rFonts w:hint="eastAsia" w:cs="宋体"/>
                <w:sz w:val="22"/>
                <w:szCs w:val="21"/>
                <w:highlight w:val="none"/>
                <w:lang w:eastAsia="zh-CN"/>
              </w:rPr>
            </w:pPr>
            <w:r>
              <w:rPr>
                <w:rFonts w:hint="eastAsia" w:cs="宋体"/>
                <w:sz w:val="22"/>
                <w:szCs w:val="21"/>
                <w:highlight w:val="none"/>
                <w:lang w:val="en-US" w:eastAsia="zh-CN"/>
              </w:rPr>
              <w:t>2.理解较为全面，但尚不完整，资料收集基本齐全</w:t>
            </w:r>
            <w:r>
              <w:rPr>
                <w:rFonts w:hint="eastAsia" w:cs="宋体"/>
                <w:sz w:val="22"/>
                <w:szCs w:val="21"/>
                <w:highlight w:val="none"/>
              </w:rPr>
              <w:t>得</w:t>
            </w:r>
            <w:r>
              <w:rPr>
                <w:rFonts w:hint="eastAsia" w:cs="宋体"/>
                <w:sz w:val="22"/>
                <w:szCs w:val="21"/>
                <w:highlight w:val="none"/>
                <w:lang w:val="en-US" w:eastAsia="zh-CN"/>
              </w:rPr>
              <w:t>2.1</w:t>
            </w:r>
            <w:r>
              <w:rPr>
                <w:rFonts w:hint="eastAsia" w:cs="宋体"/>
                <w:sz w:val="22"/>
                <w:szCs w:val="21"/>
                <w:highlight w:val="none"/>
              </w:rPr>
              <w:t>-</w:t>
            </w:r>
            <w:r>
              <w:rPr>
                <w:rFonts w:hint="eastAsia" w:cs="宋体"/>
                <w:sz w:val="22"/>
                <w:szCs w:val="21"/>
                <w:highlight w:val="none"/>
                <w:lang w:val="en-US" w:eastAsia="zh-CN"/>
              </w:rPr>
              <w:t>4</w:t>
            </w:r>
            <w:r>
              <w:rPr>
                <w:rFonts w:hint="eastAsia" w:cs="宋体"/>
                <w:sz w:val="22"/>
                <w:szCs w:val="21"/>
                <w:highlight w:val="none"/>
              </w:rPr>
              <w:t>分</w:t>
            </w:r>
            <w:r>
              <w:rPr>
                <w:rFonts w:hint="eastAsia" w:cs="宋体"/>
                <w:sz w:val="22"/>
                <w:szCs w:val="21"/>
                <w:highlight w:val="none"/>
                <w:lang w:eastAsia="zh-CN"/>
              </w:rPr>
              <w:t>；</w:t>
            </w:r>
          </w:p>
          <w:p>
            <w:pPr>
              <w:pStyle w:val="52"/>
              <w:rPr>
                <w:rFonts w:hint="eastAsia" w:cs="宋体"/>
                <w:sz w:val="22"/>
                <w:szCs w:val="21"/>
                <w:highlight w:val="none"/>
                <w:lang w:val="en-US" w:eastAsia="zh-CN"/>
              </w:rPr>
            </w:pPr>
            <w:r>
              <w:rPr>
                <w:rFonts w:hint="eastAsia" w:cs="宋体"/>
                <w:sz w:val="22"/>
                <w:szCs w:val="21"/>
                <w:highlight w:val="none"/>
                <w:lang w:val="en-US" w:eastAsia="zh-CN"/>
              </w:rPr>
              <w:t>3.理解有所欠缺，资料收集不完整的得0-2分。</w:t>
            </w:r>
          </w:p>
          <w:p>
            <w:pPr>
              <w:pStyle w:val="52"/>
              <w:rPr>
                <w:rFonts w:hint="default" w:cs="宋体"/>
                <w:sz w:val="22"/>
                <w:szCs w:val="21"/>
                <w:highlight w:val="none"/>
                <w:lang w:val="en-US" w:eastAsia="zh-CN"/>
              </w:rPr>
            </w:pPr>
            <w:r>
              <w:rPr>
                <w:rFonts w:hint="eastAsia" w:cs="宋体"/>
                <w:sz w:val="22"/>
                <w:szCs w:val="21"/>
                <w:highlight w:val="none"/>
                <w:lang w:val="en-US" w:eastAsia="zh-CN"/>
              </w:rPr>
              <w:t>注</w:t>
            </w:r>
            <w:r>
              <w:rPr>
                <w:rFonts w:hint="eastAsia" w:ascii="宋体" w:hAnsi="宋体" w:cs="宋体"/>
                <w:sz w:val="22"/>
                <w:highlight w:val="none"/>
                <w:lang w:eastAsia="zh-CN"/>
              </w:rPr>
              <w:t>：缺项不得分。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07" w:type="pct"/>
            <w:tcBorders>
              <w:tl2br w:val="nil"/>
              <w:tr2bl w:val="nil"/>
            </w:tcBorders>
            <w:vAlign w:val="center"/>
          </w:tcPr>
          <w:p>
            <w:pPr>
              <w:spacing w:line="300" w:lineRule="exact"/>
              <w:jc w:val="center"/>
              <w:rPr>
                <w:rFonts w:ascii="宋体" w:hAnsi="宋体" w:cs="宋体"/>
                <w:sz w:val="22"/>
                <w:szCs w:val="20"/>
                <w:highlight w:val="none"/>
              </w:rPr>
            </w:pPr>
            <w:bookmarkStart w:id="10" w:name="_Toc5903"/>
            <w:r>
              <w:rPr>
                <w:rFonts w:hint="eastAsia" w:ascii="宋体" w:hAnsi="宋体" w:cs="宋体"/>
                <w:sz w:val="22"/>
                <w:szCs w:val="20"/>
                <w:highlight w:val="none"/>
              </w:rPr>
              <w:t>9</w:t>
            </w:r>
          </w:p>
        </w:tc>
        <w:tc>
          <w:tcPr>
            <w:tcW w:w="655" w:type="pct"/>
            <w:tcBorders>
              <w:tl2br w:val="nil"/>
              <w:tr2bl w:val="nil"/>
            </w:tcBorders>
            <w:vAlign w:val="center"/>
          </w:tcPr>
          <w:p>
            <w:pPr>
              <w:spacing w:line="300" w:lineRule="exact"/>
              <w:jc w:val="center"/>
              <w:rPr>
                <w:rFonts w:hint="eastAsia" w:ascii="宋体" w:hAnsi="宋体" w:eastAsia="宋体" w:cs="宋体"/>
                <w:sz w:val="22"/>
                <w:szCs w:val="20"/>
                <w:highlight w:val="none"/>
                <w:lang w:eastAsia="zh-CN"/>
              </w:rPr>
            </w:pPr>
            <w:r>
              <w:rPr>
                <w:rFonts w:hint="eastAsia" w:ascii="宋体" w:hAnsi="宋体" w:cs="宋体"/>
                <w:sz w:val="22"/>
                <w:szCs w:val="20"/>
                <w:highlight w:val="none"/>
                <w:lang w:eastAsia="zh-CN"/>
              </w:rPr>
              <w:t>针对本项目的合理化建议</w:t>
            </w:r>
          </w:p>
        </w:tc>
        <w:tc>
          <w:tcPr>
            <w:tcW w:w="417" w:type="pct"/>
            <w:tcBorders>
              <w:tl2br w:val="nil"/>
              <w:tr2bl w:val="nil"/>
            </w:tcBorders>
            <w:vAlign w:val="center"/>
          </w:tcPr>
          <w:p>
            <w:pPr>
              <w:spacing w:line="300" w:lineRule="exact"/>
              <w:jc w:val="center"/>
              <w:rPr>
                <w:rFonts w:hint="eastAsia" w:ascii="宋体" w:hAnsi="宋体" w:eastAsia="宋体" w:cs="宋体"/>
                <w:kern w:val="0"/>
                <w:sz w:val="22"/>
                <w:szCs w:val="21"/>
                <w:highlight w:val="none"/>
                <w:lang w:val="zh-CN" w:eastAsia="zh-CN" w:bidi="ar-SA"/>
              </w:rPr>
            </w:pPr>
            <w:r>
              <w:rPr>
                <w:rFonts w:hint="eastAsia" w:ascii="宋体" w:hAnsi="宋体" w:cs="宋体"/>
                <w:kern w:val="0"/>
                <w:sz w:val="22"/>
                <w:szCs w:val="21"/>
                <w:highlight w:val="none"/>
                <w:lang w:val="en-US" w:eastAsia="zh-CN" w:bidi="ar-SA"/>
              </w:rPr>
              <w:t>2</w:t>
            </w:r>
          </w:p>
        </w:tc>
        <w:tc>
          <w:tcPr>
            <w:tcW w:w="3520" w:type="pct"/>
            <w:tcBorders>
              <w:tl2br w:val="nil"/>
              <w:tr2bl w:val="nil"/>
            </w:tcBorders>
            <w:vAlign w:val="center"/>
          </w:tcPr>
          <w:p>
            <w:pPr>
              <w:pStyle w:val="52"/>
              <w:rPr>
                <w:rFonts w:hint="eastAsia" w:ascii="宋体" w:hAnsi="宋体" w:eastAsia="宋体" w:cs="宋体"/>
                <w:kern w:val="0"/>
                <w:sz w:val="22"/>
                <w:szCs w:val="21"/>
                <w:highlight w:val="none"/>
                <w:lang w:val="zh-CN" w:eastAsia="zh-CN" w:bidi="ar-SA"/>
              </w:rPr>
            </w:pPr>
            <w:r>
              <w:rPr>
                <w:rFonts w:hint="eastAsia" w:cs="宋体"/>
                <w:kern w:val="0"/>
                <w:sz w:val="22"/>
                <w:szCs w:val="21"/>
                <w:highlight w:val="none"/>
                <w:lang w:val="zh-CN" w:eastAsia="zh-CN" w:bidi="ar-SA"/>
              </w:rPr>
              <w:t>根据投标人对本项目操作实施提出的合理化建议进行评议采纳，每采纳一条得</w:t>
            </w:r>
            <w:r>
              <w:rPr>
                <w:rFonts w:hint="eastAsia" w:cs="宋体"/>
                <w:kern w:val="0"/>
                <w:sz w:val="22"/>
                <w:szCs w:val="21"/>
                <w:highlight w:val="none"/>
                <w:lang w:val="en-US" w:eastAsia="zh-CN" w:bidi="ar-SA"/>
              </w:rPr>
              <w:t>1分，本项最高得2分</w:t>
            </w:r>
            <w:r>
              <w:rPr>
                <w:rFonts w:hint="eastAsia" w:ascii="宋体" w:hAnsi="宋体" w:eastAsia="宋体" w:cs="宋体"/>
                <w:kern w:val="0"/>
                <w:sz w:val="22"/>
                <w:szCs w:val="21"/>
                <w:highlight w:val="none"/>
                <w:lang w:val="zh-CN" w:eastAsia="zh-CN" w:bidi="ar-SA"/>
              </w:rPr>
              <w:t>。</w:t>
            </w:r>
          </w:p>
        </w:tc>
      </w:tr>
    </w:tbl>
    <w:p>
      <w:pPr>
        <w:widowControl/>
        <w:outlineLvl w:val="0"/>
        <w:rPr>
          <w:rFonts w:hint="eastAsia" w:ascii="宋体" w:hAnsi="宋体" w:cs="宋体"/>
          <w:color w:val="auto"/>
          <w:sz w:val="24"/>
          <w:szCs w:val="24"/>
          <w:highlight w:val="none"/>
          <w:lang w:eastAsia="zh-CN"/>
        </w:rPr>
      </w:pPr>
      <w:r>
        <w:rPr>
          <w:rFonts w:hint="eastAsia" w:ascii="宋体" w:hAnsi="宋体" w:cs="宋体"/>
          <w:b/>
          <w:bCs/>
          <w:szCs w:val="22"/>
          <w:highlight w:val="none"/>
          <w:lang w:val="zh-CN"/>
        </w:rPr>
        <w:t>注：（</w:t>
      </w:r>
      <w:r>
        <w:rPr>
          <w:rFonts w:hint="eastAsia" w:ascii="宋体" w:hAnsi="宋体" w:cs="宋体"/>
          <w:b/>
          <w:bCs/>
          <w:szCs w:val="22"/>
          <w:highlight w:val="none"/>
          <w:lang w:val="en-US" w:eastAsia="zh-CN"/>
        </w:rPr>
        <w:t>1</w:t>
      </w:r>
      <w:r>
        <w:rPr>
          <w:rFonts w:hint="eastAsia" w:ascii="宋体" w:hAnsi="宋体" w:cs="宋体"/>
          <w:b/>
          <w:bCs/>
          <w:szCs w:val="22"/>
          <w:highlight w:val="none"/>
          <w:lang w:val="zh-CN"/>
        </w:rPr>
        <w:t>）上述证明材料中的单位名称与投标单位的名称必须一致，单位发生合法变更的，需提供合法变更的材料。否则不予认可。（</w:t>
      </w:r>
      <w:r>
        <w:rPr>
          <w:rFonts w:hint="eastAsia" w:ascii="宋体" w:hAnsi="宋体" w:cs="宋体"/>
          <w:b/>
          <w:bCs/>
          <w:szCs w:val="22"/>
          <w:highlight w:val="none"/>
          <w:lang w:val="en-US" w:eastAsia="zh-CN"/>
        </w:rPr>
        <w:t>2</w:t>
      </w:r>
      <w:r>
        <w:rPr>
          <w:rFonts w:hint="eastAsia" w:ascii="宋体" w:hAnsi="宋体" w:cs="宋体"/>
          <w:b/>
          <w:bCs/>
          <w:szCs w:val="22"/>
          <w:highlight w:val="none"/>
          <w:lang w:val="zh-CN"/>
        </w:rPr>
        <w:t>）上述评分项，缺项不得分。</w:t>
      </w:r>
    </w:p>
    <w:p>
      <w:pPr>
        <w:spacing w:line="360" w:lineRule="auto"/>
        <w:ind w:left="60" w:right="-336" w:firstLine="540"/>
        <w:rPr>
          <w:rFonts w:hint="eastAsia" w:ascii="宋体" w:hAnsi="宋体" w:cs="宋体"/>
          <w:color w:val="auto"/>
          <w:sz w:val="24"/>
          <w:szCs w:val="24"/>
          <w:highlight w:val="none"/>
          <w:lang w:eastAsia="zh-CN"/>
        </w:rPr>
      </w:pPr>
    </w:p>
    <w:p>
      <w:pPr>
        <w:spacing w:line="360" w:lineRule="auto"/>
        <w:ind w:left="60" w:right="-336" w:firstLine="540"/>
        <w:jc w:val="center"/>
        <w:rPr>
          <w:rFonts w:ascii="宋体" w:cs="宋体"/>
          <w:b/>
          <w:bCs/>
          <w:sz w:val="36"/>
          <w:szCs w:val="36"/>
          <w:highlight w:val="none"/>
        </w:rPr>
      </w:pPr>
      <w:r>
        <w:rPr>
          <w:rFonts w:ascii="宋体" w:cs="宋体"/>
          <w:b/>
          <w:bCs/>
          <w:sz w:val="36"/>
          <w:szCs w:val="36"/>
          <w:highlight w:val="none"/>
        </w:rPr>
        <w:br w:type="page"/>
      </w:r>
      <w:r>
        <w:rPr>
          <w:rFonts w:hint="eastAsia" w:ascii="宋体" w:hAnsi="宋体" w:cs="宋体"/>
          <w:b/>
          <w:bCs/>
          <w:sz w:val="36"/>
          <w:szCs w:val="36"/>
          <w:highlight w:val="none"/>
        </w:rPr>
        <w:t>第四章</w:t>
      </w:r>
      <w:r>
        <w:rPr>
          <w:rFonts w:ascii="宋体" w:hAnsi="宋体" w:cs="宋体"/>
          <w:b/>
          <w:bCs/>
          <w:sz w:val="36"/>
          <w:szCs w:val="36"/>
          <w:highlight w:val="none"/>
        </w:rPr>
        <w:t xml:space="preserve"> </w:t>
      </w:r>
      <w:r>
        <w:rPr>
          <w:rFonts w:hint="eastAsia" w:ascii="宋体" w:hAnsi="宋体" w:cs="宋体"/>
          <w:b/>
          <w:bCs/>
          <w:sz w:val="36"/>
          <w:szCs w:val="36"/>
          <w:highlight w:val="none"/>
        </w:rPr>
        <w:t>采购需求</w:t>
      </w:r>
      <w:bookmarkEnd w:id="10"/>
    </w:p>
    <w:p>
      <w:pPr>
        <w:spacing w:line="400" w:lineRule="exact"/>
        <w:ind w:firstLine="480" w:firstLineChars="200"/>
        <w:rPr>
          <w:rFonts w:ascii="宋体" w:hAnsi="宋体" w:cs="宋体"/>
          <w:b/>
          <w:bCs/>
          <w:sz w:val="24"/>
          <w:szCs w:val="24"/>
          <w:highlight w:val="none"/>
        </w:rPr>
      </w:pPr>
      <w:bookmarkStart w:id="11" w:name="_Toc4500"/>
      <w:bookmarkStart w:id="12" w:name="_Toc29793"/>
      <w:r>
        <w:rPr>
          <w:rFonts w:hint="eastAsia" w:ascii="宋体" w:hAnsi="宋体" w:cs="宋体"/>
          <w:b/>
          <w:bCs/>
          <w:sz w:val="24"/>
          <w:szCs w:val="24"/>
          <w:highlight w:val="none"/>
        </w:rPr>
        <w:t>一、采购内容</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1.1 项目名称：</w:t>
      </w:r>
      <w:r>
        <w:rPr>
          <w:rFonts w:hint="eastAsia" w:ascii="宋体" w:hAnsi="宋体" w:cs="宋体"/>
          <w:sz w:val="24"/>
          <w:szCs w:val="24"/>
          <w:highlight w:val="none"/>
          <w:lang w:eastAsia="zh-CN"/>
        </w:rPr>
        <w:t>温岭市2024年度农业水价综合改革技术支撑</w:t>
      </w:r>
      <w:r>
        <w:rPr>
          <w:rFonts w:hint="eastAsia" w:ascii="宋体" w:hAnsi="宋体" w:cs="宋体"/>
          <w:sz w:val="24"/>
          <w:szCs w:val="24"/>
          <w:highlight w:val="none"/>
        </w:rPr>
        <w:t>。</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1.2 服务期限：</w:t>
      </w:r>
      <w:r>
        <w:rPr>
          <w:rFonts w:hint="eastAsia" w:ascii="宋体" w:hAnsi="宋体" w:cs="宋体"/>
          <w:sz w:val="24"/>
          <w:szCs w:val="24"/>
          <w:highlight w:val="none"/>
          <w:lang w:eastAsia="zh-CN"/>
        </w:rPr>
        <w:t>合同生效后一年，对方案的修改、完善及后续服务工作需延续至成果上报完毕</w:t>
      </w:r>
      <w:r>
        <w:rPr>
          <w:rFonts w:hint="eastAsia" w:ascii="宋体" w:hAnsi="宋体" w:cs="宋体"/>
          <w:sz w:val="24"/>
          <w:szCs w:val="24"/>
          <w:highlight w:val="none"/>
        </w:rPr>
        <w:t>。</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1.3 服务内容：农业水价综合改革是国务院和省政府总体部署，国家和省级水利、发改、财政和农业农村部门联合开展的一项重要工作。2023年起，这项工作纳入国家耕地保护和粮食安全责任制考核，其中，农灌更新升级项目连续多年列入省政府民生实事工程。根据《国家发改委等部门关于全力推进农业水价综合改革工作的通知》（发改价格〔2024〕181号），浙江省水利厅等部门《2024年浙江省农业水价综合改革工作计划》和最新修订的省级绩效考核细则，结合温岭的实际，提出《温岭市2024年度农业水价综合改革技术支撑》项目，主要工作内容如下。</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编制《温岭市2024年度农业用水指标分解报告》。</w:t>
      </w:r>
    </w:p>
    <w:p>
      <w:pPr>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）农田水利灌溉工程更新升级技术服务。</w:t>
      </w:r>
    </w:p>
    <w:p>
      <w:pPr>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）“五个一百”创建技术服务。</w:t>
      </w:r>
    </w:p>
    <w:p>
      <w:pPr>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）协助开展农业水价综合改革“回头看”核查与成果编制。</w:t>
      </w:r>
    </w:p>
    <w:p>
      <w:pPr>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）温岭灌区和全市农业水价成本测算。</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）130座机埠“以电折水”率定</w:t>
      </w:r>
    </w:p>
    <w:p>
      <w:pPr>
        <w:spacing w:line="400" w:lineRule="exact"/>
        <w:ind w:firstLine="480" w:firstLineChars="200"/>
        <w:rPr>
          <w:rFonts w:ascii="宋体" w:hAnsi="宋体" w:cs="宋体"/>
          <w:b/>
          <w:bCs/>
          <w:sz w:val="24"/>
          <w:szCs w:val="24"/>
          <w:highlight w:val="none"/>
        </w:rPr>
      </w:pPr>
      <w:r>
        <w:rPr>
          <w:rFonts w:hint="eastAsia" w:ascii="宋体" w:hAnsi="宋体" w:cs="宋体"/>
          <w:b/>
          <w:bCs/>
          <w:sz w:val="24"/>
          <w:szCs w:val="24"/>
          <w:highlight w:val="none"/>
        </w:rPr>
        <w:t>二、采购要求</w:t>
      </w:r>
    </w:p>
    <w:p>
      <w:pPr>
        <w:spacing w:line="400" w:lineRule="exact"/>
        <w:ind w:firstLine="480" w:firstLineChars="200"/>
        <w:rPr>
          <w:rFonts w:ascii="宋体" w:hAnsi="宋体" w:cs="宋体"/>
          <w:b/>
          <w:bCs/>
          <w:sz w:val="24"/>
          <w:szCs w:val="24"/>
          <w:highlight w:val="none"/>
        </w:rPr>
      </w:pPr>
      <w:r>
        <w:rPr>
          <w:rFonts w:hint="eastAsia" w:ascii="宋体" w:hAnsi="宋体" w:cs="宋体"/>
          <w:b/>
          <w:bCs/>
          <w:sz w:val="24"/>
          <w:szCs w:val="24"/>
          <w:highlight w:val="none"/>
          <w:lang w:val="en-US" w:eastAsia="zh-CN"/>
        </w:rPr>
        <w:t xml:space="preserve">2.1  </w:t>
      </w:r>
      <w:r>
        <w:rPr>
          <w:rFonts w:hint="eastAsia" w:ascii="宋体" w:hAnsi="宋体" w:cs="宋体"/>
          <w:b/>
          <w:bCs/>
          <w:sz w:val="24"/>
          <w:szCs w:val="24"/>
          <w:highlight w:val="none"/>
        </w:rPr>
        <w:t>编制《温岭市2024年度农业用水指标分解报告》</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 xml:space="preserve"> </w:t>
      </w:r>
    </w:p>
    <w:p>
      <w:pPr>
        <w:spacing w:line="360" w:lineRule="auto"/>
        <w:ind w:left="60" w:right="-336" w:firstLine="540"/>
        <w:rPr>
          <w:rFonts w:hint="eastAsia" w:ascii="宋体" w:hAnsi="宋体" w:cs="宋体"/>
          <w:color w:val="000000"/>
          <w:spacing w:val="-4"/>
          <w:sz w:val="24"/>
          <w:szCs w:val="24"/>
          <w:highlight w:val="none"/>
        </w:rPr>
      </w:pPr>
      <w:r>
        <w:rPr>
          <w:rFonts w:hint="eastAsia" w:ascii="宋体" w:hAnsi="宋体" w:cs="宋体"/>
          <w:color w:val="000000"/>
          <w:spacing w:val="-4"/>
          <w:sz w:val="24"/>
          <w:szCs w:val="24"/>
          <w:highlight w:val="none"/>
        </w:rPr>
        <w:t>按照国家和省厅要求，各县（市、区）要下大力气做好用水权或用水指标分配工作，根据计量条件细化分解到用水主体，严格实施总量控制，年底前完成本年度用水权分配。温岭市2024年度农业用水控制指标分解技术服务工作包括：</w:t>
      </w:r>
    </w:p>
    <w:p>
      <w:pPr>
        <w:spacing w:line="360" w:lineRule="auto"/>
        <w:ind w:left="60" w:right="-336" w:firstLine="540"/>
        <w:rPr>
          <w:rFonts w:hint="eastAsia" w:ascii="宋体" w:hAnsi="宋体" w:cs="宋体"/>
          <w:color w:val="000000"/>
          <w:spacing w:val="-4"/>
          <w:sz w:val="24"/>
          <w:szCs w:val="24"/>
          <w:highlight w:val="none"/>
        </w:rPr>
      </w:pPr>
      <w:r>
        <w:rPr>
          <w:rFonts w:hint="eastAsia" w:ascii="宋体" w:hAnsi="宋体" w:cs="宋体"/>
          <w:color w:val="000000"/>
          <w:spacing w:val="-4"/>
          <w:sz w:val="24"/>
          <w:szCs w:val="24"/>
          <w:highlight w:val="none"/>
        </w:rPr>
        <w:t>（1）调查分析2024年度全市已建计量的灌区、行政村种植结构和种植面积；</w:t>
      </w:r>
    </w:p>
    <w:p>
      <w:pPr>
        <w:spacing w:line="360" w:lineRule="auto"/>
        <w:ind w:left="60" w:right="-336" w:firstLine="540"/>
        <w:rPr>
          <w:rFonts w:hint="eastAsia" w:ascii="宋体" w:hAnsi="宋体" w:cs="宋体"/>
          <w:color w:val="000000"/>
          <w:spacing w:val="-4"/>
          <w:sz w:val="24"/>
          <w:szCs w:val="24"/>
          <w:highlight w:val="none"/>
        </w:rPr>
      </w:pPr>
      <w:r>
        <w:rPr>
          <w:rFonts w:hint="eastAsia" w:ascii="宋体" w:hAnsi="宋体" w:cs="宋体"/>
          <w:color w:val="000000"/>
          <w:spacing w:val="-4"/>
          <w:sz w:val="24"/>
          <w:szCs w:val="24"/>
          <w:highlight w:val="none"/>
        </w:rPr>
        <w:t>（2）结合温岭市农业种植结构及《浙江省农业用水定额（2022年）》，确定温岭市农业用水定额，分解温岭市2024年农业用水指标至灌区、镇村；</w:t>
      </w:r>
    </w:p>
    <w:p>
      <w:pPr>
        <w:spacing w:line="360" w:lineRule="auto"/>
        <w:ind w:left="60" w:right="-336" w:firstLine="540"/>
        <w:rPr>
          <w:rFonts w:hint="eastAsia" w:ascii="宋体" w:hAnsi="宋体" w:cs="宋体"/>
          <w:color w:val="000000"/>
          <w:spacing w:val="-4"/>
          <w:sz w:val="24"/>
          <w:szCs w:val="24"/>
          <w:highlight w:val="none"/>
        </w:rPr>
      </w:pPr>
      <w:r>
        <w:rPr>
          <w:rFonts w:hint="eastAsia" w:ascii="宋体" w:hAnsi="宋体" w:cs="宋体"/>
          <w:color w:val="000000"/>
          <w:spacing w:val="-4"/>
          <w:sz w:val="24"/>
          <w:szCs w:val="24"/>
          <w:highlight w:val="none"/>
        </w:rPr>
        <w:t>（3）按照用水总量指标不超过农业取水许可量的要求，将温岭灌区2024年度用水指标分解至实行计量的放水口或取水口，并与终端用水指标对接一致；</w:t>
      </w:r>
    </w:p>
    <w:p>
      <w:pPr>
        <w:spacing w:line="360" w:lineRule="auto"/>
        <w:ind w:left="60" w:right="-336" w:firstLine="540"/>
        <w:rPr>
          <w:rFonts w:ascii="宋体" w:hAnsi="宋体" w:cs="宋体"/>
          <w:sz w:val="24"/>
          <w:szCs w:val="24"/>
          <w:highlight w:val="none"/>
        </w:rPr>
      </w:pPr>
      <w:r>
        <w:rPr>
          <w:rFonts w:hint="eastAsia" w:ascii="宋体" w:hAnsi="宋体" w:cs="宋体"/>
          <w:color w:val="000000"/>
          <w:spacing w:val="-4"/>
          <w:sz w:val="24"/>
          <w:szCs w:val="24"/>
          <w:highlight w:val="none"/>
        </w:rPr>
        <w:t>（4）编制完成《温岭市2024年度农业用水指标分解报告》。</w:t>
      </w:r>
    </w:p>
    <w:p>
      <w:pPr>
        <w:spacing w:line="400" w:lineRule="exact"/>
        <w:ind w:firstLine="480"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2.2  </w:t>
      </w:r>
      <w:r>
        <w:rPr>
          <w:rFonts w:hint="eastAsia" w:ascii="宋体" w:hAnsi="宋体" w:cs="宋体"/>
          <w:b/>
          <w:bCs/>
          <w:sz w:val="24"/>
          <w:szCs w:val="24"/>
          <w:highlight w:val="none"/>
        </w:rPr>
        <w:t>农田水利灌溉工程更新升级技术服务：</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农田水利灌溉工程更新升级项目继续纳入2024年浙江省政府民生实事。温岭市2024年度农田水利灌溉工程更新升级总任务31座，其中省政府民生实事项目12座。农田水利灌溉工程更新升级技术服务工作包括：</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根据《浙江省农业灌溉工程更新升级技术导则（试行）》要求，从土建设施、机电设备、计量配套、安全防护、运行管理等方面综合分析，编制31座农田水利灌溉工程更新升级项目改造任务清单，明确每个工程的改造内容、改造要求和投资估算；</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（2）在建设过程中，协助业主和参加各方，保质保量推进更新升级，满足省级民生实事的建设和管理要求；</w:t>
      </w:r>
    </w:p>
    <w:p>
      <w:pPr>
        <w:spacing w:line="400" w:lineRule="exact"/>
        <w:ind w:firstLine="480" w:firstLineChars="200"/>
        <w:rPr>
          <w:highlight w:val="none"/>
        </w:rPr>
      </w:pPr>
      <w:r>
        <w:rPr>
          <w:rFonts w:hint="eastAsia" w:ascii="宋体" w:hAnsi="宋体" w:cs="宋体"/>
          <w:sz w:val="24"/>
          <w:szCs w:val="24"/>
          <w:highlight w:val="none"/>
        </w:rPr>
        <w:t>（3）按照《浙江省农业灌溉工程更新升级项目验收办法（试行）》要求，指导编制完成31个更新升级项目验收台账。</w:t>
      </w:r>
    </w:p>
    <w:p>
      <w:pPr>
        <w:spacing w:line="400" w:lineRule="exact"/>
        <w:ind w:firstLine="480" w:firstLineChars="200"/>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 xml:space="preserve">2.3  </w:t>
      </w:r>
      <w:r>
        <w:rPr>
          <w:rFonts w:hint="eastAsia" w:ascii="宋体" w:hAnsi="宋体" w:cs="宋体"/>
          <w:b/>
          <w:bCs/>
          <w:sz w:val="24"/>
          <w:szCs w:val="24"/>
          <w:highlight w:val="none"/>
          <w:lang w:eastAsia="zh-CN"/>
        </w:rPr>
        <w:t>“五个一百”创建技术服务：</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全省每年将创建各 100 个（座） 优秀典型的泵站机埠、堰坝水闸、灌区灌片、农民用水管理主体和示范村。通过小切口、大牵引，加快农业灌溉工程更新升级，巩固完善基层水利服务体系，促进农村水利工程良性长效运行。“五个一百”创建纳入省级水价改革绩效评价。</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按照浙江省、台州市的要求，结合温岭实际，2024年度“五个一百”创建任务共11项，其中5座泵站机埠，2个灌区灌片，2个村级农民用水管理组织，2个示范村。“五个一百”创建技术服务工作包括：</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按照《浙江省农业水价综合改革“五个一百”创建活动评定办法》，全面梳理全市灌区灌片基本情况，从组织领导、用水管理、工程管护、农业水价和奖补机制等方面，综合选择条件较好灌区灌片，提出工程和管理提升措施，指导乡镇、村做好创建，编制完成2个灌区灌片创建申报材料，报省市评审。</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按照《浙江省农业水价综合改革“五个一百”创建活动评定办法》，梳理全市农民用水管理主体基本情况，从组织建设、运行管理和评价考核等方面，综合选择条件较好的农民用水管理主体，重点提出运行管理等提升措施，指导乡镇、村做好创建，编制完成2个农民用水管理主体创建申报材料，报省市评审。</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按照《浙江省农业水价综合改革“五个一百”创建活动评定办法》，梳理全市村集体基本情况，从组织建设、基础设施、工程管理和评价考核等方面，综合选择符合条件的村集体，提出硬件设施、工程管理等提升措施，指导乡镇、村做好创建，编制完成2个示范村创建申报材料，报省市评审。</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按照《浙江省农业水价综合改革“五个一百”创建活动评定办法》《浙江省农业灌溉工程更新升级项目验收办法（试行）》要求，结合机埠泵站实际，充分挖掘工程所在地人文、景观等特色亮点，对5个机埠泵站创建开展现场技术服务，并完成5个机埠泵站视频拍摄，报省市参选。</w:t>
      </w:r>
    </w:p>
    <w:p>
      <w:pPr>
        <w:spacing w:line="400" w:lineRule="exact"/>
        <w:ind w:firstLine="480"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2.4  协助开展农业水价综合改革“回头看”核查与成果编制：</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浙江省水利厅等四部门《2024年浙江省农业水价综合改革工作计划》，要求各地开展农业水价综合改革“回头看”核查工作，国家发改委、财政部、水利部和农业农村部将通过调研、抽查等方式核实改革数据。核查的内容同时纳入国家耕地保护和粮食安全责任制考核。农业水价综合改革“回头看”核查工作包括：</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已全面完成改革任务的面积；（2）农业供水计量设施配套完善；（3）农业用水总量指标分解到用水主体；（4）田间工程落实管护主体和管护责任；（5）农业水价调整到不低于运行维护成本；（6）精准补贴和节水奖励兑现情况。</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根据省市要求，对上述六项内容开展县级自查，编制完成《温岭市农业水价综合改革“回头看”核查情况报告》，并汇编相关台账及佐证材料，提出存在问题和进一步改进建议等工作</w:t>
      </w:r>
      <w:r>
        <w:rPr>
          <w:rFonts w:hint="eastAsia" w:ascii="宋体" w:hAnsi="宋体" w:cs="宋体"/>
          <w:color w:val="auto"/>
          <w:sz w:val="24"/>
          <w:szCs w:val="24"/>
          <w:highlight w:val="none"/>
          <w:lang w:eastAsia="zh-CN"/>
        </w:rPr>
        <w:t>。</w:t>
      </w:r>
    </w:p>
    <w:p>
      <w:pPr>
        <w:spacing w:line="400" w:lineRule="exact"/>
        <w:ind w:firstLine="480"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2.5  温岭灌区和全市农业水价成本测算：</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国家部委和省厅要求，大中型灌区和县级面上农业水价须根据《水利工程供水价格管理办法》（国家发展改革委令2022年第54号）《水利工程供水定价成本监审办法》（国家发展改革委令2022年第55号）调整完善农业水价。温岭市农业水价成本测算工作包括：</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根据新出台的水利工程供水价格管理办法和成本监审办法，对温岭灌区农业水价成本开展测算工作。测算范围包括南官河、联树桥河、金清大港、木城河、箬松大河等5条干渠，高桥中心河、运粮河等15条支渠，坦头村水闸、雨伞浦闸等13座水闸，蔡洋翻水站、浮桥头泵站等6座泵站。从灌区固定资产折旧费、无形资产摊销费、运行维护费、准许收益等方面，对温岭灌区开展新一轮水价成本核算，编制完成《温岭市温岭灌区农业水价成本测算报告》。</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2）根据新出台的水利工程供水价格管理办法和成本监审办法，对温岭全市面上农业水价成本开展测算工作。全市范围内分片选择提水、自流等不同灌溉方式，共10个典型样点灌区或末级渠系灌片，调查样点灌区渠首、渠道及渠系建筑物基本情况，从灌区灌片固定资产折旧费、无形资产摊销费、运行维护费、准许收益等方面进行分析，对全市面上水价开展新一轮水价成本测算，编制完成《温岭市农业水价成本测算报告》</w:t>
      </w:r>
      <w:r>
        <w:rPr>
          <w:rFonts w:hint="eastAsia" w:ascii="宋体" w:hAnsi="宋体" w:cs="宋体"/>
          <w:color w:val="auto"/>
          <w:sz w:val="24"/>
          <w:szCs w:val="24"/>
          <w:highlight w:val="none"/>
          <w:lang w:eastAsia="zh-CN"/>
        </w:rPr>
        <w:t>。</w:t>
      </w:r>
    </w:p>
    <w:p>
      <w:pPr>
        <w:spacing w:line="400" w:lineRule="exact"/>
        <w:ind w:firstLine="480"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2.6  130座机埠“以电折水”率定：</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根据国家部委和省厅要求，自2021年以来，已完成更新升级的机埠，实行“以电折水”计量的，要进一步提高计量精度，对机埠进行率定，提交机埠“以电折水”率定报告。</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按照《灌溉渠道系统量水规范》（GB/T21303—2017），对全市130座机埠“以电折水”开展率定工作，通过分析机埠电动机功率、水泵流量，核定机埠单位电量的出水量。编写完成《温岭市2024年度130座机埠“以电折水”率定报告》</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ascii="宋体" w:hAnsi="宋体" w:cs="宋体"/>
          <w:b/>
          <w:bCs/>
          <w:sz w:val="24"/>
          <w:szCs w:val="24"/>
          <w:highlight w:val="none"/>
        </w:rPr>
      </w:pPr>
      <w:r>
        <w:rPr>
          <w:rFonts w:hint="eastAsia" w:ascii="宋体" w:hAnsi="宋体" w:cs="宋体"/>
          <w:b/>
          <w:bCs/>
          <w:sz w:val="24"/>
          <w:szCs w:val="24"/>
          <w:highlight w:val="none"/>
          <w:lang w:eastAsia="zh-CN"/>
        </w:rPr>
        <w:t>三</w:t>
      </w:r>
      <w:r>
        <w:rPr>
          <w:rFonts w:hint="eastAsia" w:ascii="宋体" w:hAnsi="宋体" w:cs="宋体"/>
          <w:b/>
          <w:bCs/>
          <w:sz w:val="24"/>
          <w:szCs w:val="24"/>
          <w:highlight w:val="none"/>
        </w:rPr>
        <w:t>、其他</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根据《国家发改委等部门关于全力推进农业水价综合改革工作的通知》（发改价格〔2024〕181号），浙江省水利厅等部门《2024年浙江省农业水价综合改革工作计划》和最新修订的省级绩效考核细则等</w:t>
      </w:r>
      <w:r>
        <w:rPr>
          <w:rFonts w:hint="eastAsia" w:ascii="宋体" w:hAnsi="宋体" w:cs="宋体"/>
          <w:sz w:val="24"/>
          <w:szCs w:val="24"/>
          <w:highlight w:val="none"/>
        </w:rPr>
        <w:t>文件精神，并满足省级、台州市、温岭市水利部门的相关要求。</w:t>
      </w:r>
      <w:bookmarkEnd w:id="11"/>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四、付款方式：</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签订合同后</w:t>
      </w:r>
      <w:r>
        <w:rPr>
          <w:rFonts w:hint="eastAsia" w:ascii="宋体" w:hAnsi="宋体" w:cs="宋体"/>
          <w:sz w:val="24"/>
          <w:szCs w:val="24"/>
          <w:highlight w:val="none"/>
          <w:lang w:val="en-US" w:eastAsia="zh-CN"/>
        </w:rPr>
        <w:t>7</w:t>
      </w:r>
      <w:r>
        <w:rPr>
          <w:rFonts w:hint="eastAsia" w:ascii="宋体" w:hAnsi="宋体" w:cs="宋体"/>
          <w:sz w:val="24"/>
          <w:szCs w:val="24"/>
          <w:highlight w:val="none"/>
          <w:lang w:val="zh-CN"/>
        </w:rPr>
        <w:t>个工作日内支付至合同总额的</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0%；完成所有服务内容的资料整理并上报后后15个工作日内支付至80%；完成所有服务内容并通过省市年度考核后15个工作日内，支付至合同总额的100%。</w:t>
      </w:r>
    </w:p>
    <w:p>
      <w:pPr>
        <w:jc w:val="center"/>
        <w:rPr>
          <w:rFonts w:ascii="宋体" w:cs="宋体"/>
          <w:b/>
          <w:bCs/>
          <w:sz w:val="36"/>
          <w:szCs w:val="36"/>
          <w:highlight w:val="none"/>
        </w:rPr>
      </w:pPr>
    </w:p>
    <w:p>
      <w:pPr>
        <w:jc w:val="center"/>
        <w:rPr>
          <w:rFonts w:ascii="宋体" w:cs="宋体"/>
          <w:b/>
          <w:bCs/>
          <w:sz w:val="36"/>
          <w:szCs w:val="36"/>
          <w:highlight w:val="none"/>
        </w:rPr>
      </w:pPr>
    </w:p>
    <w:p>
      <w:pPr>
        <w:jc w:val="center"/>
        <w:rPr>
          <w:rFonts w:ascii="宋体" w:cs="宋体"/>
          <w:b/>
          <w:bCs/>
          <w:sz w:val="36"/>
          <w:szCs w:val="36"/>
          <w:highlight w:val="none"/>
        </w:rPr>
      </w:pPr>
      <w:r>
        <w:rPr>
          <w:rFonts w:ascii="宋体" w:cs="宋体"/>
          <w:b/>
          <w:bCs/>
          <w:sz w:val="36"/>
          <w:szCs w:val="36"/>
          <w:highlight w:val="none"/>
        </w:rPr>
        <w:br w:type="page"/>
      </w:r>
      <w:r>
        <w:rPr>
          <w:rFonts w:hint="eastAsia" w:ascii="宋体" w:hAnsi="宋体" w:cs="宋体"/>
          <w:b/>
          <w:bCs/>
          <w:sz w:val="36"/>
          <w:szCs w:val="36"/>
          <w:highlight w:val="none"/>
        </w:rPr>
        <w:t>第五章</w:t>
      </w:r>
      <w:r>
        <w:rPr>
          <w:rFonts w:ascii="宋体" w:hAnsi="宋体" w:cs="宋体"/>
          <w:b/>
          <w:bCs/>
          <w:sz w:val="36"/>
          <w:szCs w:val="36"/>
          <w:highlight w:val="none"/>
        </w:rPr>
        <w:t xml:space="preserve"> </w:t>
      </w:r>
      <w:r>
        <w:rPr>
          <w:rFonts w:hint="eastAsia" w:ascii="宋体" w:hAnsi="宋体" w:cs="宋体"/>
          <w:b/>
          <w:bCs/>
          <w:sz w:val="36"/>
          <w:szCs w:val="36"/>
          <w:highlight w:val="none"/>
        </w:rPr>
        <w:t>合同文本</w:t>
      </w:r>
      <w:bookmarkEnd w:id="12"/>
    </w:p>
    <w:p>
      <w:pPr>
        <w:spacing w:line="360" w:lineRule="auto"/>
        <w:rPr>
          <w:rFonts w:ascii="宋体" w:hAnsi="宋体" w:cs="宋体"/>
          <w:b/>
          <w:sz w:val="24"/>
          <w:szCs w:val="24"/>
          <w:highlight w:val="none"/>
          <w:u w:val="single"/>
        </w:rPr>
      </w:pPr>
      <w:r>
        <w:rPr>
          <w:rFonts w:hint="eastAsia" w:ascii="宋体" w:hAnsi="宋体" w:cs="宋体"/>
          <w:b/>
          <w:sz w:val="24"/>
          <w:szCs w:val="24"/>
          <w:highlight w:val="none"/>
          <w:lang w:eastAsia="zh-CN"/>
        </w:rPr>
        <w:t>采购人（以下简称</w:t>
      </w:r>
      <w:r>
        <w:rPr>
          <w:rFonts w:hint="eastAsia" w:ascii="宋体" w:hAnsi="宋体" w:cs="宋体"/>
          <w:b/>
          <w:sz w:val="24"/>
          <w:szCs w:val="24"/>
          <w:highlight w:val="none"/>
        </w:rPr>
        <w:t>甲方</w:t>
      </w:r>
      <w:r>
        <w:rPr>
          <w:rFonts w:hint="eastAsia" w:ascii="宋体" w:hAnsi="宋体" w:cs="宋体"/>
          <w:b/>
          <w:sz w:val="24"/>
          <w:szCs w:val="24"/>
          <w:highlight w:val="none"/>
          <w:lang w:eastAsia="zh-CN"/>
        </w:rPr>
        <w:t>）</w:t>
      </w:r>
      <w:r>
        <w:rPr>
          <w:rFonts w:hint="eastAsia" w:ascii="宋体" w:hAnsi="宋体" w:cs="宋体"/>
          <w:b/>
          <w:sz w:val="24"/>
          <w:szCs w:val="24"/>
          <w:highlight w:val="none"/>
        </w:rPr>
        <w:t>：</w:t>
      </w:r>
      <w:r>
        <w:rPr>
          <w:rFonts w:hint="eastAsia" w:ascii="宋体" w:hAnsi="宋体" w:cs="宋体"/>
          <w:sz w:val="24"/>
          <w:szCs w:val="24"/>
          <w:highlight w:val="none"/>
          <w:u w:val="single"/>
          <w:lang w:eastAsia="zh-CN"/>
        </w:rPr>
        <w:t>温岭市农业农村和水利局</w:t>
      </w:r>
    </w:p>
    <w:p>
      <w:pPr>
        <w:spacing w:line="360" w:lineRule="auto"/>
        <w:rPr>
          <w:rFonts w:ascii="宋体" w:hAnsi="宋体" w:cs="宋体"/>
          <w:sz w:val="24"/>
          <w:szCs w:val="24"/>
          <w:highlight w:val="none"/>
        </w:rPr>
      </w:pPr>
      <w:r>
        <w:rPr>
          <w:rFonts w:hint="eastAsia" w:ascii="宋体" w:hAnsi="宋体" w:cs="宋体"/>
          <w:b/>
          <w:sz w:val="24"/>
          <w:szCs w:val="24"/>
          <w:highlight w:val="none"/>
          <w:lang w:eastAsia="zh-CN"/>
        </w:rPr>
        <w:t>中标人（以下简称</w:t>
      </w:r>
      <w:r>
        <w:rPr>
          <w:rFonts w:hint="eastAsia" w:ascii="宋体" w:hAnsi="宋体" w:cs="宋体"/>
          <w:b/>
          <w:sz w:val="24"/>
          <w:szCs w:val="24"/>
          <w:highlight w:val="none"/>
        </w:rPr>
        <w:t>乙方</w:t>
      </w:r>
      <w:r>
        <w:rPr>
          <w:rFonts w:hint="eastAsia" w:ascii="宋体" w:hAnsi="宋体" w:cs="宋体"/>
          <w:b/>
          <w:sz w:val="24"/>
          <w:szCs w:val="24"/>
          <w:highlight w:val="none"/>
          <w:lang w:eastAsia="zh-CN"/>
        </w:rPr>
        <w:t>）</w:t>
      </w:r>
      <w:r>
        <w:rPr>
          <w:rFonts w:hint="eastAsia" w:ascii="宋体" w:hAnsi="宋体" w:cs="宋体"/>
          <w:b/>
          <w:sz w:val="24"/>
          <w:szCs w:val="24"/>
          <w:highlight w:val="none"/>
        </w:rPr>
        <w:t>：</w:t>
      </w:r>
      <w:r>
        <w:rPr>
          <w:rFonts w:hint="eastAsia" w:ascii="宋体" w:hAnsi="宋体" w:cs="宋体"/>
          <w:b/>
          <w:sz w:val="24"/>
          <w:szCs w:val="24"/>
          <w:highlight w:val="none"/>
          <w:u w:val="singl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甲</w:t>
      </w:r>
      <w:r>
        <w:rPr>
          <w:rFonts w:hint="eastAsia" w:ascii="宋体" w:hAnsi="宋体" w:cs="宋体"/>
          <w:spacing w:val="-2"/>
          <w:sz w:val="24"/>
          <w:highlight w:val="none"/>
        </w:rPr>
        <w:t>、</w:t>
      </w:r>
      <w:r>
        <w:rPr>
          <w:rFonts w:hint="eastAsia" w:ascii="宋体" w:hAnsi="宋体" w:cs="宋体"/>
          <w:sz w:val="24"/>
          <w:highlight w:val="none"/>
        </w:rPr>
        <w:t>乙</w:t>
      </w:r>
      <w:r>
        <w:rPr>
          <w:rFonts w:hint="eastAsia" w:ascii="宋体" w:hAnsi="宋体" w:cs="宋体"/>
          <w:spacing w:val="-2"/>
          <w:sz w:val="24"/>
          <w:highlight w:val="none"/>
        </w:rPr>
        <w:t>双方</w:t>
      </w:r>
      <w:r>
        <w:rPr>
          <w:rFonts w:hint="eastAsia" w:ascii="宋体" w:hAnsi="宋体" w:cs="宋体"/>
          <w:color w:val="000000"/>
          <w:sz w:val="24"/>
          <w:highlight w:val="none"/>
        </w:rPr>
        <w:t>根据</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日温岭市农业农村和水利局</w:t>
      </w:r>
      <w:r>
        <w:rPr>
          <w:rFonts w:hint="eastAsia" w:ascii="宋体" w:hAnsi="宋体" w:cs="宋体"/>
          <w:spacing w:val="-2"/>
          <w:sz w:val="24"/>
          <w:szCs w:val="24"/>
          <w:highlight w:val="none"/>
        </w:rPr>
        <w:t>关于</w:t>
      </w:r>
      <w:r>
        <w:rPr>
          <w:rFonts w:hint="eastAsia" w:ascii="宋体" w:hAnsi="宋体" w:cs="宋体"/>
          <w:sz w:val="24"/>
          <w:szCs w:val="24"/>
          <w:highlight w:val="none"/>
          <w:u w:val="single"/>
          <w:lang w:eastAsia="zh-CN"/>
        </w:rPr>
        <w:t>温岭市2024年度农业水价综合改革技术支撑</w:t>
      </w:r>
      <w:r>
        <w:rPr>
          <w:rFonts w:hint="eastAsia" w:ascii="宋体" w:hAnsi="宋体" w:cs="宋体"/>
          <w:spacing w:val="-2"/>
          <w:sz w:val="24"/>
          <w:szCs w:val="24"/>
          <w:highlight w:val="none"/>
          <w:u w:val="single"/>
        </w:rPr>
        <w:t>项目</w:t>
      </w:r>
      <w:r>
        <w:rPr>
          <w:rFonts w:hint="eastAsia" w:ascii="宋体" w:hAnsi="宋体" w:cs="宋体"/>
          <w:sz w:val="24"/>
          <w:szCs w:val="24"/>
          <w:highlight w:val="none"/>
        </w:rPr>
        <w:t>招标采购结果和招标文件的要求，双方在平等、自愿的基础上，经协商一致，</w:t>
      </w:r>
      <w:r>
        <w:rPr>
          <w:rFonts w:hint="eastAsia" w:ascii="宋体" w:hAnsi="宋体" w:cs="宋体"/>
          <w:color w:val="000000"/>
          <w:sz w:val="24"/>
          <w:szCs w:val="24"/>
          <w:highlight w:val="none"/>
        </w:rPr>
        <w:t>订立本合同。</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一、项目概况</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rPr>
        <w:t>农业水价综合改革是国务院和省政府总体部署，国家和省级水利、发改、财政和农业农村部门联合开展的一项重要工作。2023年起，这项工作纳入国家耕地保护和粮食安全责任制考核，其中，农灌更新升级项目连续多年列入省政府民生实事工程。根据《国家发改委等部门关于全力推进农业水价综合改革工作的通知》（发改价格〔2024〕181号），浙江省水利厅等部门《2024年浙江省农业水价综合改革工作计划》和最新修订的省级绩效考核细则，结合温岭的实际，提出《温岭市2024年度农业水价综合改革技术支撑》项目。</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二、服务内容</w:t>
      </w:r>
    </w:p>
    <w:p>
      <w:pPr>
        <w:spacing w:line="360" w:lineRule="auto"/>
        <w:ind w:firstLine="338" w:firstLineChars="141"/>
        <w:rPr>
          <w:rFonts w:ascii="宋体" w:hAnsi="宋体" w:cs="宋体"/>
          <w:sz w:val="24"/>
          <w:szCs w:val="24"/>
          <w:highlight w:val="none"/>
        </w:rPr>
      </w:pPr>
      <w:r>
        <w:rPr>
          <w:rFonts w:hint="eastAsia" w:ascii="宋体" w:hAnsi="宋体" w:cs="宋体"/>
          <w:b/>
          <w:bCs/>
          <w:sz w:val="24"/>
          <w:szCs w:val="24"/>
          <w:highlight w:val="none"/>
          <w:lang w:val="en-US" w:eastAsia="zh-CN"/>
        </w:rPr>
        <w:t>详见采购需求</w:t>
      </w:r>
      <w:r>
        <w:rPr>
          <w:rFonts w:hint="eastAsia" w:ascii="宋体" w:hAnsi="宋体" w:cs="宋体"/>
          <w:sz w:val="24"/>
          <w:szCs w:val="24"/>
          <w:highlight w:val="none"/>
        </w:rPr>
        <w:t>。</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三、服务要求</w:t>
      </w:r>
    </w:p>
    <w:p>
      <w:pPr>
        <w:spacing w:line="360" w:lineRule="auto"/>
        <w:ind w:firstLine="338" w:firstLineChars="141"/>
        <w:rPr>
          <w:rFonts w:ascii="宋体" w:hAnsi="宋体" w:cs="宋体"/>
          <w:sz w:val="24"/>
          <w:szCs w:val="24"/>
          <w:highlight w:val="none"/>
          <w:lang w:val="zh-CN"/>
        </w:rPr>
      </w:pPr>
      <w:r>
        <w:rPr>
          <w:rFonts w:hint="eastAsia" w:ascii="宋体" w:hAnsi="宋体" w:cs="宋体"/>
          <w:sz w:val="24"/>
          <w:szCs w:val="24"/>
          <w:highlight w:val="none"/>
          <w:lang w:val="zh-CN"/>
        </w:rPr>
        <w:t>根据《国家发改委等部门关于全力推进农业水价综合改革工作的通知》（发改价格〔2024〕181号），浙江省水利厅等部门《2024年浙江省农业水价综合改革工作计划》和最新修订的省级绩效考核细则等文件精神，并满足省级、台州市、温岭市水利部门的相关要求。</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四、服务期限</w:t>
      </w:r>
    </w:p>
    <w:p>
      <w:pPr>
        <w:spacing w:line="360" w:lineRule="auto"/>
        <w:ind w:firstLine="338" w:firstLineChars="141"/>
        <w:rPr>
          <w:rFonts w:hint="eastAsia" w:ascii="宋体" w:hAnsi="宋体" w:cs="宋体"/>
          <w:sz w:val="24"/>
          <w:szCs w:val="24"/>
          <w:highlight w:val="none"/>
        </w:rPr>
      </w:pPr>
      <w:r>
        <w:rPr>
          <w:rFonts w:hint="eastAsia" w:ascii="宋体" w:hAnsi="宋体" w:cs="宋体"/>
          <w:sz w:val="24"/>
          <w:szCs w:val="24"/>
          <w:highlight w:val="none"/>
        </w:rPr>
        <w:t>合同签订之日起一年，自2024年  月   日至2025年  月  日，对方案的修改、完善及后续服务工作需延续至成果上报完毕。</w:t>
      </w:r>
    </w:p>
    <w:p>
      <w:pPr>
        <w:spacing w:line="360" w:lineRule="auto"/>
        <w:ind w:firstLine="338" w:firstLineChars="141"/>
        <w:rPr>
          <w:rFonts w:ascii="宋体" w:hAnsi="宋体" w:cs="宋体"/>
          <w:sz w:val="24"/>
          <w:szCs w:val="24"/>
          <w:highlight w:val="none"/>
        </w:rPr>
      </w:pP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合同金额：</w:t>
      </w:r>
      <w:r>
        <w:rPr>
          <w:rFonts w:hint="eastAsia" w:ascii="宋体" w:hAnsi="宋体" w:cs="宋体"/>
          <w:sz w:val="24"/>
          <w:szCs w:val="24"/>
          <w:highlight w:val="none"/>
        </w:rPr>
        <w:t>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（元整） </w:t>
      </w:r>
    </w:p>
    <w:p>
      <w:pPr>
        <w:spacing w:line="360" w:lineRule="auto"/>
        <w:ind w:left="60" w:right="-336" w:firstLine="540"/>
        <w:rPr>
          <w:rFonts w:hint="eastAsia" w:ascii="宋体" w:hAnsi="宋体" w:cs="宋体"/>
          <w:color w:val="000000"/>
          <w:spacing w:val="-4"/>
          <w:sz w:val="24"/>
          <w:szCs w:val="24"/>
          <w:highlight w:val="none"/>
        </w:rPr>
      </w:pPr>
      <w:r>
        <w:rPr>
          <w:rFonts w:hint="eastAsia" w:ascii="宋体" w:hAnsi="宋体" w:cs="宋体"/>
          <w:color w:val="000000"/>
          <w:spacing w:val="-4"/>
          <w:sz w:val="24"/>
          <w:szCs w:val="24"/>
          <w:highlight w:val="none"/>
        </w:rPr>
        <w:t>1.该价格已包括为提供服务所需的一切人员工资、奖金、各种加班费、夜餐费、高温补贴、各种社会保险、餐饮与交通、专用设备及工具、器械、服装、安全、管理费用、税费、利润、完成合同所需的一切本身和不可或缺的所有工作开支、政策性文件规定即合同包含的所有风险、责任等各项全部费用并承担一切风险责任。</w:t>
      </w:r>
    </w:p>
    <w:p>
      <w:pPr>
        <w:spacing w:line="360" w:lineRule="auto"/>
        <w:ind w:left="60" w:right="-336" w:firstLine="540"/>
        <w:rPr>
          <w:rFonts w:hint="eastAsia" w:ascii="宋体" w:hAnsi="宋体" w:eastAsia="宋体" w:cs="宋体"/>
          <w:color w:val="000000"/>
          <w:spacing w:val="-4"/>
          <w:sz w:val="24"/>
          <w:szCs w:val="24"/>
          <w:highlight w:val="none"/>
          <w:lang w:eastAsia="zh-CN"/>
        </w:rPr>
      </w:pPr>
      <w:r>
        <w:rPr>
          <w:rFonts w:hint="eastAsia" w:ascii="宋体" w:hAnsi="宋体" w:cs="宋体"/>
          <w:color w:val="000000"/>
          <w:spacing w:val="-4"/>
          <w:sz w:val="24"/>
          <w:szCs w:val="24"/>
          <w:highlight w:val="none"/>
        </w:rPr>
        <w:t>2.承包合同价格除按本合同的规定外，不能作任何调整，任何计算错误皆视为已获双方接受：合同价亦不会因人工、物价或汇率等的变动而作任何调整</w:t>
      </w:r>
      <w:r>
        <w:rPr>
          <w:rFonts w:hint="eastAsia" w:ascii="宋体" w:hAnsi="宋体" w:cs="宋体"/>
          <w:color w:val="000000"/>
          <w:spacing w:val="-4"/>
          <w:sz w:val="24"/>
          <w:szCs w:val="24"/>
          <w:highlight w:val="none"/>
          <w:lang w:eastAsia="zh-CN"/>
        </w:rPr>
        <w:t>。</w:t>
      </w:r>
    </w:p>
    <w:p>
      <w:pPr>
        <w:spacing w:line="360" w:lineRule="auto"/>
        <w:rPr>
          <w:rFonts w:ascii="宋体" w:hAnsi="宋体" w:cs="宋体"/>
          <w:sz w:val="24"/>
          <w:szCs w:val="24"/>
          <w:highlight w:val="none"/>
        </w:rPr>
      </w:pPr>
      <w:r>
        <w:rPr>
          <w:rFonts w:hint="eastAsia" w:ascii="宋体" w:hAnsi="宋体" w:cs="宋体"/>
          <w:b/>
          <w:bCs/>
          <w:sz w:val="24"/>
          <w:szCs w:val="24"/>
          <w:highlight w:val="none"/>
        </w:rPr>
        <w:t xml:space="preserve">   六、付款方式</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rPr>
        <w:t>签订合同后</w:t>
      </w:r>
      <w:r>
        <w:rPr>
          <w:rFonts w:hint="eastAsia" w:ascii="宋体" w:hAnsi="宋体" w:cs="宋体"/>
          <w:sz w:val="24"/>
          <w:szCs w:val="24"/>
          <w:highlight w:val="none"/>
          <w:lang w:val="en-US" w:eastAsia="zh-CN"/>
        </w:rPr>
        <w:t>7</w:t>
      </w:r>
      <w:r>
        <w:rPr>
          <w:rFonts w:hint="eastAsia" w:ascii="宋体" w:hAnsi="宋体" w:cs="宋体"/>
          <w:sz w:val="24"/>
          <w:szCs w:val="24"/>
          <w:highlight w:val="none"/>
        </w:rPr>
        <w:t>个工作日内支付至合同总额的20%；完成所有服务内容的资料整理并上报后后15个工作日内支付至80%；完成所有服务内容并通过省市年度考核后15个工作日内，支付至合同总额的100%。</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 xml:space="preserve">七、违约责任 </w:t>
      </w:r>
    </w:p>
    <w:p>
      <w:pPr>
        <w:pStyle w:val="32"/>
        <w:ind w:left="0" w:leftChars="0"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1.甲方无正当理由拒绝接受服务的，甲方向乙方偿付合同款项百分之五的违约金。</w:t>
      </w:r>
    </w:p>
    <w:p>
      <w:pPr>
        <w:pStyle w:val="32"/>
        <w:ind w:left="0" w:leftChars="0"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2.甲方无故逾期验收和办理款项支付手续的,甲方应按逾期付款总额每日万分之五向乙方支付违约金。</w:t>
      </w:r>
    </w:p>
    <w:p>
      <w:pPr>
        <w:pStyle w:val="32"/>
        <w:ind w:left="0" w:leftChars="0"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乙方逾期提供服务的，每日向甲方支付合同总价款千分之六的违约金。逾期超过约定日期10个工作日不能提供服务的，甲方可解除本合同。乙方因逾期提供服务或因其他违约行为导致甲方解除合同的，乙方应另行向甲方支付合同价款5%的违约金，如造成甲方损失超过违约金的，超出部分由乙方继续承担赔偿责任。</w:t>
      </w:r>
    </w:p>
    <w:p>
      <w:pPr>
        <w:pStyle w:val="32"/>
        <w:ind w:left="0" w:leftChars="0"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6.乙方在规定时间内不能交付成果报告的，应向甲方偿付相当于不能交出成果报告部分货款的35%的违约金。</w:t>
      </w:r>
    </w:p>
    <w:p>
      <w:pPr>
        <w:pStyle w:val="32"/>
        <w:ind w:left="0" w:leftChars="0" w:firstLine="480" w:firstLineChars="200"/>
        <w:rPr>
          <w:rFonts w:hint="eastAsia" w:eastAsia="宋体"/>
          <w:highlight w:val="none"/>
          <w:lang w:val="en-US" w:eastAsia="zh-CN"/>
        </w:rPr>
      </w:pPr>
      <w:r>
        <w:rPr>
          <w:rFonts w:hint="eastAsia" w:ascii="宋体" w:hAnsi="宋体" w:cs="宋体"/>
          <w:sz w:val="24"/>
          <w:szCs w:val="24"/>
          <w:highlight w:val="none"/>
          <w:lang w:eastAsia="zh-CN"/>
        </w:rPr>
        <w:t>7.乙方在规定时间内逾期交付成果报告的，向甲方偿付每日5千元的违约金，并承担甲方因此所受的损失费用。</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八、异议的时间和办法</w:t>
      </w:r>
    </w:p>
    <w:p>
      <w:pPr>
        <w:pStyle w:val="32"/>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1.甲方在验收中，如果发现成果报告不合规定，应妥为保管，并在30日内向乙方提出书面异议；</w:t>
      </w:r>
    </w:p>
    <w:p>
      <w:pPr>
        <w:pStyle w:val="32"/>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2.乙方在按到甲方书面异议后，应在5日内负责处理，否则，即视为默认甲方提出的异议和处理意见。</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九、不可抗力事件处理</w:t>
      </w:r>
    </w:p>
    <w:p>
      <w:pPr>
        <w:spacing w:line="360" w:lineRule="auto"/>
        <w:ind w:firstLine="338" w:firstLineChars="141"/>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在承包期间发生地震、火灾及其他双方不能控制的原因，导致承包区域不能正常经营，合同不能或不能全部履行，双方可以按以下各项执行：</w:t>
      </w:r>
    </w:p>
    <w:p>
      <w:pPr>
        <w:spacing w:line="360" w:lineRule="auto"/>
        <w:ind w:firstLine="338" w:firstLineChars="141"/>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任何一方可以书面形式终止合同无需做出任何赔偿。</w:t>
      </w:r>
    </w:p>
    <w:p>
      <w:pPr>
        <w:spacing w:line="360" w:lineRule="auto"/>
        <w:ind w:firstLine="338" w:firstLineChars="141"/>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因不可抗力导致合同终止，并不影响任何一方对不可抗力先前发生的违约行为合法追偿。</w:t>
      </w:r>
    </w:p>
    <w:p>
      <w:pPr>
        <w:spacing w:line="360" w:lineRule="auto"/>
        <w:ind w:firstLine="338" w:firstLineChars="141"/>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甲方不负责因不可抗力造成合同不能正常履行的责任。</w:t>
      </w:r>
    </w:p>
    <w:p>
      <w:pPr>
        <w:spacing w:line="360" w:lineRule="auto"/>
        <w:ind w:firstLine="338" w:firstLineChars="141"/>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因不可抗力造成甲方的损害，甲方的保险赔偿不受影响。对恢复承包合同期间的价格及其它费用双方可以协商解决。</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如遇上级、部门政策调整等不可控因素影响，无法继续执行的，合同自动废止。</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十、争议的解决</w:t>
      </w:r>
    </w:p>
    <w:p>
      <w:pPr>
        <w:spacing w:line="360" w:lineRule="auto"/>
        <w:ind w:firstLine="338" w:firstLineChars="141"/>
        <w:rPr>
          <w:rFonts w:hint="eastAsia" w:ascii="宋体" w:hAnsi="宋体" w:cs="宋体"/>
          <w:sz w:val="24"/>
          <w:szCs w:val="24"/>
          <w:highlight w:val="none"/>
        </w:rPr>
      </w:pPr>
      <w:r>
        <w:rPr>
          <w:rFonts w:hint="eastAsia" w:ascii="宋体" w:hAnsi="宋体" w:cs="宋体"/>
          <w:sz w:val="24"/>
          <w:szCs w:val="24"/>
          <w:highlight w:val="none"/>
        </w:rPr>
        <w:t>1.因服务的质量问题发生争议，由法律及有关规章规定的技术单位进行质量鉴定，双方无条件服从该鉴定的结论；</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rPr>
        <w:t>2.执行本合同发生纠纷，当事人双方应当及时协商解决，协商不成的，依法向合同签订地人民法院提起诉讼。</w:t>
      </w:r>
    </w:p>
    <w:p>
      <w:pPr>
        <w:spacing w:line="360" w:lineRule="auto"/>
        <w:ind w:firstLine="338" w:firstLineChars="141"/>
        <w:rPr>
          <w:rFonts w:ascii="宋体" w:hAnsi="宋体" w:cs="宋体"/>
          <w:b/>
          <w:bCs/>
          <w:sz w:val="24"/>
          <w:szCs w:val="24"/>
          <w:highlight w:val="none"/>
        </w:rPr>
      </w:pPr>
      <w:r>
        <w:rPr>
          <w:rFonts w:hint="eastAsia" w:ascii="宋体" w:hAnsi="宋体" w:cs="宋体"/>
          <w:b/>
          <w:bCs/>
          <w:sz w:val="24"/>
          <w:szCs w:val="24"/>
          <w:highlight w:val="none"/>
        </w:rPr>
        <w:t>十一、合同生效及其它</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rPr>
        <w:t>1、合同经双方法定代表人或授权委托代理人签名并加盖单位公章后生效。</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rPr>
        <w:t>2、如需修改或补充合同内容，经协商，双方应签署书面修改或补充协议，该协议将作为本合同的一个组成部分。</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rPr>
        <w:t>3、本合同未尽事宜，遵照《</w:t>
      </w:r>
      <w:r>
        <w:rPr>
          <w:rFonts w:hint="eastAsia" w:ascii="宋体" w:hAnsi="宋体" w:cs="宋体"/>
          <w:sz w:val="24"/>
          <w:szCs w:val="24"/>
          <w:highlight w:val="none"/>
          <w:lang w:eastAsia="zh-CN"/>
        </w:rPr>
        <w:t>民法典</w:t>
      </w:r>
      <w:r>
        <w:rPr>
          <w:rFonts w:hint="eastAsia" w:ascii="宋体" w:hAnsi="宋体" w:cs="宋体"/>
          <w:sz w:val="24"/>
          <w:szCs w:val="24"/>
          <w:highlight w:val="none"/>
        </w:rPr>
        <w:t>》有关条文执行。</w:t>
      </w:r>
    </w:p>
    <w:p>
      <w:pPr>
        <w:spacing w:line="360" w:lineRule="auto"/>
        <w:ind w:firstLine="338" w:firstLineChars="141"/>
        <w:rPr>
          <w:rFonts w:ascii="宋体" w:hAnsi="宋体" w:cs="宋体"/>
          <w:sz w:val="24"/>
          <w:szCs w:val="24"/>
          <w:highlight w:val="none"/>
        </w:rPr>
      </w:pPr>
      <w:r>
        <w:rPr>
          <w:rFonts w:hint="eastAsia" w:ascii="宋体" w:hAnsi="宋体" w:cs="宋体"/>
          <w:sz w:val="24"/>
          <w:szCs w:val="24"/>
          <w:highlight w:val="none"/>
        </w:rPr>
        <w:t>4、本合同一式8份，正本一式两份，具有同等法律效力，甲乙双方各执一份；副本陆份，甲乙双方各执</w:t>
      </w:r>
      <w:r>
        <w:rPr>
          <w:rFonts w:hint="eastAsia" w:ascii="宋体" w:hAnsi="宋体" w:cs="宋体"/>
          <w:sz w:val="24"/>
          <w:szCs w:val="24"/>
          <w:highlight w:val="none"/>
          <w:lang w:eastAsia="zh-CN"/>
        </w:rPr>
        <w:t>贰</w:t>
      </w:r>
      <w:r>
        <w:rPr>
          <w:rFonts w:hint="eastAsia" w:ascii="宋体" w:hAnsi="宋体" w:cs="宋体"/>
          <w:sz w:val="24"/>
          <w:szCs w:val="24"/>
          <w:highlight w:val="none"/>
        </w:rPr>
        <w:t>份，其余送交有关部门备案。</w:t>
      </w:r>
    </w:p>
    <w:p>
      <w:pPr>
        <w:spacing w:line="360" w:lineRule="auto"/>
        <w:ind w:firstLine="1020" w:firstLineChars="425"/>
        <w:rPr>
          <w:rFonts w:hint="eastAsia" w:ascii="宋体" w:hAnsi="宋体" w:cs="宋体"/>
          <w:sz w:val="24"/>
          <w:szCs w:val="24"/>
          <w:highlight w:val="none"/>
        </w:rPr>
      </w:pPr>
    </w:p>
    <w:p>
      <w:pPr>
        <w:spacing w:line="360" w:lineRule="auto"/>
        <w:ind w:firstLine="1020" w:firstLineChars="425"/>
        <w:rPr>
          <w:rFonts w:hint="eastAsia"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甲方（公章）：                     乙方（公章）：</w:t>
      </w:r>
    </w:p>
    <w:p>
      <w:pPr>
        <w:spacing w:line="360" w:lineRule="auto"/>
        <w:ind w:firstLine="1020" w:firstLineChars="425"/>
        <w:rPr>
          <w:rFonts w:ascii="宋体" w:hAnsi="宋体" w:cs="宋体"/>
          <w:sz w:val="24"/>
          <w:szCs w:val="24"/>
          <w:highlight w:val="none"/>
        </w:rPr>
      </w:pPr>
      <w:r>
        <w:rPr>
          <w:rFonts w:hint="eastAsia" w:ascii="宋体" w:hAnsi="宋体" w:cs="宋体"/>
          <w:sz w:val="24"/>
          <w:szCs w:val="24"/>
          <w:highlight w:val="none"/>
        </w:rPr>
        <w:t xml:space="preserve">                           </w:t>
      </w:r>
    </w:p>
    <w:p>
      <w:pPr>
        <w:spacing w:line="360" w:lineRule="auto"/>
        <w:rPr>
          <w:rFonts w:ascii="宋体" w:hAnsi="宋体" w:cs="宋体"/>
          <w:sz w:val="24"/>
          <w:szCs w:val="24"/>
          <w:highlight w:val="none"/>
        </w:rPr>
      </w:pPr>
      <w:r>
        <w:rPr>
          <w:rFonts w:hint="eastAsia" w:ascii="宋体" w:hAnsi="宋体" w:cs="宋体"/>
          <w:sz w:val="24"/>
          <w:highlight w:val="none"/>
        </w:rPr>
        <w:t>法定代表人</w:t>
      </w:r>
      <w:r>
        <w:rPr>
          <w:rFonts w:hint="eastAsia" w:ascii="宋体" w:hAnsi="宋体" w:cs="宋体"/>
          <w:sz w:val="24"/>
          <w:szCs w:val="24"/>
          <w:highlight w:val="none"/>
        </w:rPr>
        <w:t xml:space="preserve">：                       </w:t>
      </w:r>
      <w:r>
        <w:rPr>
          <w:rFonts w:hint="eastAsia" w:ascii="宋体" w:hAnsi="宋体" w:cs="宋体"/>
          <w:sz w:val="24"/>
          <w:highlight w:val="none"/>
        </w:rPr>
        <w:t>法定代表人</w:t>
      </w: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授权代表：                         授权代表：</w:t>
      </w:r>
    </w:p>
    <w:p>
      <w:pPr>
        <w:spacing w:line="360" w:lineRule="auto"/>
        <w:rPr>
          <w:rFonts w:ascii="宋体" w:hAnsi="宋体" w:cs="宋体"/>
          <w:sz w:val="24"/>
          <w:szCs w:val="24"/>
          <w:highlight w:val="none"/>
        </w:rPr>
      </w:pPr>
      <w:r>
        <w:rPr>
          <w:rFonts w:hint="eastAsia" w:ascii="宋体" w:hAnsi="宋体" w:cs="宋体"/>
          <w:sz w:val="24"/>
          <w:szCs w:val="24"/>
          <w:highlight w:val="none"/>
        </w:rPr>
        <w:t>联系电话：                         联系电话：</w:t>
      </w:r>
    </w:p>
    <w:p>
      <w:pPr>
        <w:spacing w:line="360" w:lineRule="auto"/>
        <w:rPr>
          <w:rFonts w:ascii="宋体" w:hAnsi="宋体" w:cs="宋体"/>
          <w:sz w:val="24"/>
          <w:szCs w:val="24"/>
          <w:highlight w:val="none"/>
        </w:rPr>
      </w:pPr>
      <w:r>
        <w:rPr>
          <w:rFonts w:hint="eastAsia" w:ascii="宋体" w:hAnsi="宋体" w:cs="宋体"/>
          <w:sz w:val="24"/>
          <w:szCs w:val="24"/>
          <w:highlight w:val="none"/>
        </w:rPr>
        <w:t>开户银行：                         开户银行：</w:t>
      </w:r>
    </w:p>
    <w:p>
      <w:pPr>
        <w:spacing w:line="360" w:lineRule="auto"/>
        <w:outlineLvl w:val="0"/>
        <w:rPr>
          <w:rFonts w:ascii="宋体" w:hAnsi="宋体" w:cs="宋体"/>
          <w:sz w:val="24"/>
          <w:szCs w:val="24"/>
          <w:highlight w:val="none"/>
        </w:rPr>
      </w:pPr>
      <w:r>
        <w:rPr>
          <w:rFonts w:hint="eastAsia" w:ascii="宋体" w:hAnsi="宋体" w:cs="宋体"/>
          <w:sz w:val="24"/>
          <w:szCs w:val="24"/>
          <w:highlight w:val="none"/>
        </w:rPr>
        <w:t>银行</w:t>
      </w:r>
      <w:r>
        <w:rPr>
          <w:rFonts w:hint="eastAsia" w:ascii="宋体" w:hAnsi="宋体" w:cs="宋体"/>
          <w:sz w:val="24"/>
          <w:szCs w:val="24"/>
          <w:highlight w:val="none"/>
          <w:lang w:eastAsia="zh-CN"/>
        </w:rPr>
        <w:t>账号</w:t>
      </w: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银行账号</w:t>
      </w:r>
      <w:r>
        <w:rPr>
          <w:rFonts w:hint="eastAsia" w:ascii="宋体" w:hAnsi="宋体" w:cs="宋体"/>
          <w:sz w:val="24"/>
          <w:szCs w:val="24"/>
          <w:highlight w:val="none"/>
        </w:rPr>
        <w:t>：</w:t>
      </w:r>
    </w:p>
    <w:p>
      <w:pPr>
        <w:snapToGrid w:val="0"/>
        <w:spacing w:line="360" w:lineRule="auto"/>
        <w:jc w:val="center"/>
        <w:rPr>
          <w:rFonts w:ascii="宋体" w:hAnsi="宋体" w:cs="宋体"/>
          <w:sz w:val="24"/>
          <w:szCs w:val="24"/>
          <w:highlight w:val="none"/>
        </w:rPr>
        <w:sectPr>
          <w:footerReference r:id="rId7" w:type="first"/>
          <w:footerReference r:id="rId6" w:type="default"/>
          <w:pgSz w:w="11907" w:h="16840"/>
          <w:pgMar w:top="1440" w:right="1531" w:bottom="1440" w:left="1928" w:header="851" w:footer="1304" w:gutter="0"/>
          <w:pgNumType w:fmt="decimal" w:start="1"/>
          <w:cols w:space="720" w:num="1"/>
          <w:docGrid w:type="linesAndChars" w:linePitch="312" w:charSpace="0"/>
        </w:sectPr>
      </w:pPr>
      <w:r>
        <w:rPr>
          <w:rFonts w:hint="eastAsia" w:ascii="宋体" w:hAnsi="宋体" w:cs="宋体"/>
          <w:sz w:val="24"/>
          <w:szCs w:val="24"/>
          <w:highlight w:val="none"/>
        </w:rPr>
        <w:t>合同签订时间：</w:t>
      </w:r>
    </w:p>
    <w:p>
      <w:pPr>
        <w:spacing w:line="360" w:lineRule="auto"/>
        <w:jc w:val="center"/>
        <w:rPr>
          <w:rFonts w:ascii="宋体" w:cs="宋体"/>
          <w:b/>
          <w:bCs/>
          <w:sz w:val="36"/>
          <w:szCs w:val="36"/>
          <w:highlight w:val="none"/>
        </w:rPr>
      </w:pPr>
    </w:p>
    <w:p>
      <w:pPr>
        <w:pStyle w:val="22"/>
        <w:rPr>
          <w:rFonts w:ascii="宋体" w:cs="宋体"/>
          <w:bCs/>
          <w:sz w:val="36"/>
          <w:szCs w:val="36"/>
          <w:highlight w:val="none"/>
        </w:rPr>
      </w:pPr>
    </w:p>
    <w:p>
      <w:pPr>
        <w:rPr>
          <w:rFonts w:ascii="宋体" w:cs="宋体"/>
          <w:b/>
          <w:bCs/>
          <w:sz w:val="36"/>
          <w:szCs w:val="36"/>
          <w:highlight w:val="none"/>
        </w:rPr>
      </w:pPr>
    </w:p>
    <w:p>
      <w:pPr>
        <w:pStyle w:val="22"/>
        <w:rPr>
          <w:rFonts w:ascii="宋体" w:cs="宋体"/>
          <w:bCs/>
          <w:sz w:val="36"/>
          <w:szCs w:val="36"/>
          <w:highlight w:val="none"/>
        </w:rPr>
      </w:pPr>
    </w:p>
    <w:p>
      <w:pPr>
        <w:rPr>
          <w:highlight w:val="none"/>
        </w:rPr>
      </w:pPr>
    </w:p>
    <w:p>
      <w:pPr>
        <w:spacing w:line="360" w:lineRule="auto"/>
        <w:jc w:val="center"/>
        <w:rPr>
          <w:rFonts w:ascii="宋体" w:cs="宋体"/>
          <w:b/>
          <w:bCs/>
          <w:sz w:val="36"/>
          <w:szCs w:val="36"/>
          <w:highlight w:val="none"/>
        </w:rPr>
      </w:pPr>
    </w:p>
    <w:p>
      <w:pPr>
        <w:spacing w:line="360" w:lineRule="auto"/>
        <w:jc w:val="center"/>
        <w:outlineLvl w:val="0"/>
        <w:rPr>
          <w:rFonts w:ascii="宋体" w:cs="宋体"/>
          <w:b/>
          <w:bCs/>
          <w:sz w:val="36"/>
          <w:szCs w:val="36"/>
          <w:highlight w:val="none"/>
        </w:rPr>
      </w:pPr>
      <w:bookmarkStart w:id="13" w:name="_Toc19701"/>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13"/>
    </w:p>
    <w:p>
      <w:pPr>
        <w:rPr>
          <w:rFonts w:ascii="宋体"/>
          <w:b/>
          <w:bCs/>
          <w:kern w:val="0"/>
          <w:sz w:val="28"/>
          <w:szCs w:val="28"/>
          <w:highlight w:val="none"/>
        </w:rPr>
      </w:pPr>
      <w:r>
        <w:rPr>
          <w:rFonts w:ascii="宋体" w:cs="宋体"/>
          <w:b/>
          <w:bCs/>
          <w:kern w:val="0"/>
          <w:sz w:val="28"/>
          <w:szCs w:val="28"/>
          <w:highlight w:val="none"/>
        </w:rPr>
        <w:br w:type="page"/>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239" w:leftChars="114" w:right="-308" w:firstLine="261" w:firstLineChars="59"/>
        <w:rPr>
          <w:rFonts w:ascii="宋体" w:cs="宋体"/>
          <w:b/>
          <w:bCs/>
          <w:kern w:val="0"/>
          <w:sz w:val="44"/>
          <w:szCs w:val="44"/>
          <w:highlight w:val="none"/>
        </w:rPr>
      </w:pPr>
    </w:p>
    <w:p>
      <w:pPr>
        <w:pStyle w:val="22"/>
        <w:rPr>
          <w:rFonts w:hint="eastAsia"/>
          <w:highlight w:val="none"/>
          <w:lang w:eastAsia="zh-CN"/>
        </w:rPr>
      </w:pPr>
      <w:r>
        <w:rPr>
          <w:rFonts w:hint="eastAsia" w:ascii="宋体" w:cs="宋体"/>
          <w:b/>
          <w:bCs/>
          <w:kern w:val="0"/>
          <w:sz w:val="44"/>
          <w:szCs w:val="44"/>
          <w:highlight w:val="none"/>
          <w:lang w:eastAsia="zh-CN"/>
        </w:rPr>
        <w:t>温岭市2024年度农业水价综合改革技术支撑</w:t>
      </w:r>
    </w:p>
    <w:p>
      <w:pPr>
        <w:spacing w:beforeLines="100" w:line="360" w:lineRule="auto"/>
        <w:ind w:right="-108"/>
        <w:jc w:val="center"/>
        <w:rPr>
          <w:rFonts w:ascii="宋体" w:cs="宋体"/>
          <w:sz w:val="36"/>
          <w:szCs w:val="36"/>
          <w:highlight w:val="none"/>
        </w:rPr>
      </w:pPr>
    </w:p>
    <w:p>
      <w:pPr>
        <w:spacing w:beforeLines="100" w:line="360" w:lineRule="auto"/>
        <w:ind w:right="-108"/>
        <w:jc w:val="center"/>
        <w:rPr>
          <w:rFonts w:hint="eastAsia" w:asci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JJWL240425122</w:t>
      </w:r>
    </w:p>
    <w:p>
      <w:pPr>
        <w:autoSpaceDE w:val="0"/>
        <w:autoSpaceDN w:val="0"/>
        <w:adjustRightInd w:val="0"/>
        <w:spacing w:line="360" w:lineRule="auto"/>
        <w:jc w:val="center"/>
        <w:rPr>
          <w:rFonts w:hint="eastAsia" w:ascii="宋体" w:hAnsi="宋体" w:cs="宋体"/>
          <w:sz w:val="84"/>
          <w:szCs w:val="84"/>
          <w:highlight w:val="none"/>
          <w:lang w:val="zh-CN"/>
        </w:rPr>
      </w:pPr>
    </w:p>
    <w:p>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pP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pPr>
        <w:spacing w:line="360" w:lineRule="auto"/>
        <w:ind w:right="532" w:firstLine="720" w:firstLineChars="200"/>
        <w:rPr>
          <w:rFonts w:ascii="宋体" w:cs="宋体"/>
          <w:sz w:val="36"/>
          <w:szCs w:val="36"/>
          <w:highlight w:val="none"/>
        </w:rPr>
      </w:pPr>
    </w:p>
    <w:p>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pPr>
        <w:snapToGrid w:val="0"/>
        <w:spacing w:before="50" w:after="50" w:line="360" w:lineRule="auto"/>
        <w:rPr>
          <w:rFonts w:ascii="仿宋_GB2312" w:hAnsi="宋体" w:eastAsia="仿宋_GB2312"/>
          <w:b/>
          <w:bCs/>
          <w:sz w:val="36"/>
          <w:szCs w:val="36"/>
          <w:highlight w:val="none"/>
        </w:rPr>
      </w:pPr>
    </w:p>
    <w:p>
      <w:pPr>
        <w:snapToGrid w:val="0"/>
        <w:spacing w:before="50" w:after="50" w:line="360" w:lineRule="auto"/>
        <w:jc w:val="center"/>
        <w:rPr>
          <w:rFonts w:ascii="宋体" w:hAnsi="宋体" w:cs="宋体"/>
          <w:b/>
          <w:bCs/>
          <w:sz w:val="36"/>
          <w:szCs w:val="36"/>
          <w:highlight w:val="none"/>
        </w:rPr>
      </w:pPr>
    </w:p>
    <w:p>
      <w:pPr>
        <w:snapToGrid w:val="0"/>
        <w:spacing w:before="50" w:after="50" w:line="360" w:lineRule="auto"/>
        <w:jc w:val="center"/>
        <w:rPr>
          <w:rFonts w:ascii="宋体"/>
          <w:b/>
          <w:bCs/>
          <w:sz w:val="36"/>
          <w:szCs w:val="36"/>
          <w:highlight w:val="none"/>
        </w:rPr>
      </w:pPr>
      <w:r>
        <w:rPr>
          <w:rFonts w:hint="eastAsia" w:ascii="宋体" w:hAnsi="宋体" w:cs="宋体"/>
          <w:b/>
          <w:bCs/>
          <w:sz w:val="36"/>
          <w:szCs w:val="36"/>
          <w:highlight w:val="none"/>
        </w:rPr>
        <w:t>资格证明文件包含以下内容</w:t>
      </w:r>
    </w:p>
    <w:p>
      <w:pPr>
        <w:snapToGrid w:val="0"/>
        <w:spacing w:before="50" w:after="50" w:line="360" w:lineRule="auto"/>
        <w:jc w:val="center"/>
        <w:rPr>
          <w:rFonts w:ascii="仿宋_GB2312" w:hAnsi="宋体" w:eastAsia="仿宋_GB2312"/>
          <w:b/>
          <w:bCs/>
          <w:sz w:val="36"/>
          <w:szCs w:val="36"/>
          <w:highlight w:val="none"/>
        </w:rPr>
      </w:pPr>
    </w:p>
    <w:p>
      <w:pPr>
        <w:numPr>
          <w:ilvl w:val="0"/>
          <w:numId w:val="6"/>
        </w:numPr>
        <w:snapToGrid w:val="0"/>
        <w:spacing w:line="360" w:lineRule="auto"/>
        <w:jc w:val="left"/>
        <w:rPr>
          <w:rFonts w:ascii="宋体" w:cs="宋体"/>
          <w:sz w:val="28"/>
          <w:szCs w:val="28"/>
          <w:highlight w:val="none"/>
        </w:rPr>
      </w:pPr>
      <w:r>
        <w:rPr>
          <w:rFonts w:hint="eastAsia" w:ascii="宋体" w:hAnsi="宋体" w:cs="宋体"/>
          <w:sz w:val="28"/>
          <w:szCs w:val="28"/>
          <w:highlight w:val="none"/>
        </w:rPr>
        <w:t>投标声明书及其他证明材料；</w:t>
      </w:r>
    </w:p>
    <w:p>
      <w:pPr>
        <w:numPr>
          <w:ilvl w:val="0"/>
          <w:numId w:val="6"/>
        </w:numPr>
        <w:snapToGrid w:val="0"/>
        <w:spacing w:line="360" w:lineRule="auto"/>
        <w:jc w:val="left"/>
        <w:rPr>
          <w:rFonts w:ascii="宋体"/>
          <w:kern w:val="0"/>
          <w:sz w:val="28"/>
          <w:szCs w:val="28"/>
          <w:highlight w:val="none"/>
        </w:rPr>
      </w:pPr>
      <w:r>
        <w:rPr>
          <w:rFonts w:hint="eastAsia" w:cs="宋体"/>
          <w:sz w:val="28"/>
          <w:szCs w:val="28"/>
          <w:highlight w:val="none"/>
        </w:rPr>
        <w:t>授权委托书、法定代表人身份证明书；</w:t>
      </w:r>
    </w:p>
    <w:p>
      <w:pPr>
        <w:numPr>
          <w:ilvl w:val="0"/>
          <w:numId w:val="6"/>
        </w:numPr>
        <w:snapToGrid w:val="0"/>
        <w:spacing w:line="360" w:lineRule="auto"/>
        <w:jc w:val="left"/>
        <w:rPr>
          <w:rFonts w:ascii="宋体"/>
          <w:kern w:val="0"/>
          <w:sz w:val="28"/>
          <w:szCs w:val="28"/>
          <w:highlight w:val="none"/>
        </w:rPr>
      </w:pPr>
      <w:r>
        <w:rPr>
          <w:rFonts w:hint="eastAsia" w:cs="宋体"/>
          <w:sz w:val="28"/>
          <w:szCs w:val="28"/>
          <w:highlight w:val="none"/>
        </w:rPr>
        <w:t>法人或者其他组织的营业执照等证明文件，自然人的身份证明；</w:t>
      </w:r>
    </w:p>
    <w:p>
      <w:pPr>
        <w:numPr>
          <w:ilvl w:val="0"/>
          <w:numId w:val="6"/>
        </w:numPr>
        <w:snapToGrid w:val="0"/>
        <w:spacing w:line="360" w:lineRule="auto"/>
        <w:jc w:val="left"/>
        <w:rPr>
          <w:rFonts w:ascii="宋体"/>
          <w:kern w:val="0"/>
          <w:sz w:val="28"/>
          <w:szCs w:val="28"/>
          <w:highlight w:val="none"/>
        </w:rPr>
      </w:pPr>
      <w:r>
        <w:rPr>
          <w:rFonts w:hint="eastAsia" w:cs="宋体"/>
          <w:sz w:val="28"/>
          <w:szCs w:val="28"/>
          <w:highlight w:val="none"/>
        </w:rPr>
        <w:t>具备履行合同所必需的设备和专业技术能力的证明材料</w:t>
      </w:r>
      <w:r>
        <w:rPr>
          <w:rFonts w:hint="eastAsia" w:ascii="宋体" w:hAnsi="宋体" w:cs="宋体"/>
          <w:sz w:val="28"/>
          <w:szCs w:val="28"/>
          <w:highlight w:val="none"/>
        </w:rPr>
        <w:t>；</w:t>
      </w:r>
    </w:p>
    <w:p>
      <w:pPr>
        <w:numPr>
          <w:ilvl w:val="0"/>
          <w:numId w:val="6"/>
        </w:numPr>
        <w:snapToGrid w:val="0"/>
        <w:spacing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投标人的《中小企业声明函（服务）》等相关证明材料；</w:t>
      </w:r>
    </w:p>
    <w:p>
      <w:pPr>
        <w:numPr>
          <w:ilvl w:val="0"/>
          <w:numId w:val="6"/>
        </w:numPr>
        <w:snapToGrid w:val="0"/>
        <w:spacing w:line="360" w:lineRule="auto"/>
        <w:jc w:val="left"/>
        <w:rPr>
          <w:rFonts w:ascii="宋体"/>
          <w:kern w:val="0"/>
          <w:sz w:val="28"/>
          <w:szCs w:val="28"/>
          <w:highlight w:val="none"/>
        </w:rPr>
      </w:pPr>
      <w:r>
        <w:rPr>
          <w:rFonts w:hint="eastAsia" w:ascii="宋体" w:hAnsi="宋体" w:cs="宋体"/>
          <w:kern w:val="0"/>
          <w:sz w:val="28"/>
          <w:szCs w:val="28"/>
          <w:highlight w:val="none"/>
        </w:rPr>
        <w:t>投标人认为需要提供的其它文件和资料</w:t>
      </w:r>
      <w:r>
        <w:rPr>
          <w:rFonts w:hint="eastAsia" w:ascii="宋体" w:hAnsi="宋体" w:cs="宋体"/>
          <w:sz w:val="28"/>
          <w:szCs w:val="28"/>
          <w:highlight w:val="none"/>
        </w:rPr>
        <w:t>。</w:t>
      </w:r>
    </w:p>
    <w:p>
      <w:pPr>
        <w:spacing w:line="360" w:lineRule="auto"/>
        <w:rPr>
          <w:rFonts w:ascii="宋体"/>
          <w:b/>
          <w:bCs/>
          <w:sz w:val="28"/>
          <w:szCs w:val="28"/>
          <w:highlight w:val="none"/>
        </w:rPr>
      </w:pPr>
    </w:p>
    <w:p>
      <w:pPr>
        <w:spacing w:line="360" w:lineRule="auto"/>
        <w:ind w:left="420"/>
        <w:rPr>
          <w:rFonts w:ascii="宋体"/>
          <w:b/>
          <w:bCs/>
          <w:sz w:val="28"/>
          <w:szCs w:val="28"/>
          <w:highlight w:val="none"/>
        </w:rPr>
      </w:pPr>
    </w:p>
    <w:p>
      <w:pPr>
        <w:spacing w:line="360" w:lineRule="auto"/>
        <w:ind w:left="420"/>
        <w:rPr>
          <w:rFonts w:ascii="宋体"/>
          <w:b/>
          <w:bCs/>
          <w:sz w:val="28"/>
          <w:szCs w:val="28"/>
          <w:highlight w:val="none"/>
        </w:rPr>
      </w:pPr>
    </w:p>
    <w:p>
      <w:pPr>
        <w:spacing w:line="360" w:lineRule="auto"/>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rPr>
        <w:t>注：1、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pPr>
        <w:pStyle w:val="22"/>
        <w:rPr>
          <w:highlight w:val="none"/>
        </w:rPr>
      </w:pPr>
    </w:p>
    <w:p>
      <w:pPr>
        <w:spacing w:line="360" w:lineRule="auto"/>
        <w:ind w:left="420"/>
        <w:rPr>
          <w:rFonts w:ascii="宋体"/>
          <w:b/>
          <w:bCs/>
          <w:sz w:val="28"/>
          <w:szCs w:val="28"/>
          <w:highlight w:val="none"/>
        </w:rPr>
      </w:pPr>
    </w:p>
    <w:p>
      <w:pPr>
        <w:spacing w:line="360" w:lineRule="auto"/>
        <w:ind w:left="420"/>
        <w:rPr>
          <w:rFonts w:ascii="宋体"/>
          <w:b/>
          <w:bCs/>
          <w:sz w:val="28"/>
          <w:szCs w:val="28"/>
          <w:highlight w:val="none"/>
        </w:rPr>
      </w:pPr>
    </w:p>
    <w:p>
      <w:pPr>
        <w:spacing w:line="360" w:lineRule="auto"/>
        <w:ind w:left="420"/>
        <w:rPr>
          <w:rFonts w:ascii="宋体"/>
          <w:b/>
          <w:bCs/>
          <w:sz w:val="28"/>
          <w:szCs w:val="28"/>
          <w:highlight w:val="none"/>
        </w:rPr>
      </w:pPr>
    </w:p>
    <w:p>
      <w:pPr>
        <w:spacing w:line="360" w:lineRule="auto"/>
        <w:ind w:left="420"/>
        <w:rPr>
          <w:rFonts w:ascii="宋体"/>
          <w:b/>
          <w:bCs/>
          <w:sz w:val="28"/>
          <w:szCs w:val="28"/>
          <w:highlight w:val="none"/>
        </w:rPr>
      </w:pPr>
    </w:p>
    <w:p>
      <w:pPr>
        <w:widowControl/>
        <w:jc w:val="left"/>
        <w:rPr>
          <w:rFonts w:hint="eastAsia" w:ascii="宋体" w:hAnsi="宋体" w:cs="宋体"/>
          <w:b/>
          <w:bCs/>
          <w:sz w:val="24"/>
          <w:szCs w:val="24"/>
          <w:highlight w:val="none"/>
        </w:rPr>
      </w:pPr>
    </w:p>
    <w:p>
      <w:pPr>
        <w:rPr>
          <w:rFonts w:hint="eastAsia" w:ascii="宋体" w:hAnsi="宋体" w:cs="宋体"/>
          <w:b/>
          <w:bCs/>
          <w:sz w:val="24"/>
          <w:szCs w:val="24"/>
          <w:highlight w:val="none"/>
        </w:rPr>
      </w:pPr>
      <w:r>
        <w:rPr>
          <w:rFonts w:hint="eastAsia" w:ascii="宋体" w:hAnsi="宋体" w:cs="宋体"/>
          <w:b/>
          <w:bCs/>
          <w:sz w:val="24"/>
          <w:szCs w:val="24"/>
          <w:highlight w:val="none"/>
        </w:rPr>
        <w:br w:type="page"/>
      </w:r>
    </w:p>
    <w:p>
      <w:pPr>
        <w:widowControl/>
        <w:jc w:val="left"/>
        <w:rPr>
          <w:rFonts w:ascii="宋体"/>
          <w:b/>
          <w:bCs/>
          <w:sz w:val="28"/>
          <w:szCs w:val="28"/>
          <w:highlight w:val="none"/>
        </w:rPr>
      </w:pPr>
      <w:r>
        <w:rPr>
          <w:rFonts w:hint="eastAsia" w:ascii="宋体" w:hAnsi="宋体" w:cs="宋体"/>
          <w:b/>
          <w:bCs/>
          <w:sz w:val="24"/>
          <w:szCs w:val="24"/>
          <w:highlight w:val="none"/>
        </w:rPr>
        <w:t>附件</w:t>
      </w:r>
      <w:r>
        <w:rPr>
          <w:rFonts w:ascii="宋体" w:hAnsi="宋体" w:cs="宋体"/>
          <w:b/>
          <w:bCs/>
          <w:sz w:val="24"/>
          <w:szCs w:val="24"/>
          <w:highlight w:val="none"/>
        </w:rPr>
        <w:t>1</w:t>
      </w:r>
      <w:r>
        <w:rPr>
          <w:rFonts w:hint="eastAsia" w:ascii="宋体" w:hAnsi="宋体" w:cs="宋体"/>
          <w:b/>
          <w:bCs/>
          <w:sz w:val="24"/>
          <w:szCs w:val="24"/>
          <w:highlight w:val="none"/>
        </w:rPr>
        <w:t>：</w:t>
      </w:r>
    </w:p>
    <w:p>
      <w:pP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建经投资咨询有限公司：</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u w:val="single"/>
          <w:lang w:val="zh-CN"/>
        </w:rPr>
        <w:t>（投标人名称）</w:t>
      </w:r>
      <w:r>
        <w:rPr>
          <w:rFonts w:hint="eastAsia" w:ascii="宋体" w:hAnsi="宋体" w:eastAsia="宋体" w:cs="宋体"/>
          <w:kern w:val="0"/>
          <w:sz w:val="22"/>
          <w:szCs w:val="22"/>
          <w:highlight w:val="none"/>
          <w:lang w:val="zh-CN"/>
        </w:rPr>
        <w:t>系中华人民共和国合法企业，</w:t>
      </w:r>
      <w:r>
        <w:rPr>
          <w:rFonts w:hint="eastAsia" w:ascii="宋体" w:hAnsi="宋体" w:eastAsia="宋体" w:cs="宋体"/>
          <w:kern w:val="0"/>
          <w:sz w:val="22"/>
          <w:szCs w:val="22"/>
          <w:highlight w:val="none"/>
          <w:u w:val="single"/>
          <w:lang w:val="zh-CN"/>
        </w:rPr>
        <w:t>（经营地址）</w:t>
      </w:r>
      <w:r>
        <w:rPr>
          <w:rFonts w:hint="eastAsia" w:ascii="宋体" w:hAnsi="宋体" w:eastAsia="宋体" w:cs="宋体"/>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我</w:t>
      </w:r>
      <w:r>
        <w:rPr>
          <w:rFonts w:hint="eastAsia" w:ascii="宋体" w:hAnsi="宋体" w:eastAsia="宋体" w:cs="宋体"/>
          <w:kern w:val="0"/>
          <w:sz w:val="22"/>
          <w:szCs w:val="22"/>
          <w:highlight w:val="none"/>
          <w:u w:val="single"/>
          <w:lang w:val="zh-CN"/>
        </w:rPr>
        <w:t>（ 姓名 ）</w:t>
      </w:r>
      <w:r>
        <w:rPr>
          <w:rFonts w:hint="eastAsia" w:ascii="宋体" w:hAnsi="宋体" w:eastAsia="宋体" w:cs="宋体"/>
          <w:kern w:val="0"/>
          <w:sz w:val="22"/>
          <w:szCs w:val="22"/>
          <w:highlight w:val="none"/>
          <w:lang w:val="zh-CN"/>
        </w:rPr>
        <w:t>系</w:t>
      </w:r>
      <w:r>
        <w:rPr>
          <w:rFonts w:hint="eastAsia" w:ascii="宋体" w:hAnsi="宋体" w:eastAsia="宋体" w:cs="宋体"/>
          <w:kern w:val="0"/>
          <w:sz w:val="22"/>
          <w:szCs w:val="22"/>
          <w:highlight w:val="none"/>
          <w:u w:val="single"/>
          <w:lang w:val="zh-CN"/>
        </w:rPr>
        <w:t>（ 投标人名称 ）</w:t>
      </w:r>
      <w:r>
        <w:rPr>
          <w:rFonts w:hint="eastAsia" w:ascii="宋体" w:hAnsi="宋体" w:eastAsia="宋体" w:cs="宋体"/>
          <w:kern w:val="0"/>
          <w:sz w:val="22"/>
          <w:szCs w:val="22"/>
          <w:highlight w:val="none"/>
          <w:lang w:val="zh-CN"/>
        </w:rPr>
        <w:t>的法定代表人，我公司自愿参加贵方组织的</w:t>
      </w:r>
      <w:r>
        <w:rPr>
          <w:rFonts w:hint="eastAsia" w:ascii="宋体" w:hAnsi="宋体" w:cs="宋体"/>
          <w:kern w:val="0"/>
          <w:sz w:val="22"/>
          <w:szCs w:val="22"/>
          <w:highlight w:val="none"/>
          <w:u w:val="single"/>
          <w:lang w:val="zh-CN" w:eastAsia="zh-CN"/>
        </w:rPr>
        <w:t>温岭市2024年度农业水价综合改革技术支撑</w:t>
      </w:r>
      <w:r>
        <w:rPr>
          <w:rFonts w:hint="eastAsia" w:ascii="宋体" w:hAnsi="宋体" w:eastAsia="宋体" w:cs="宋体"/>
          <w:kern w:val="0"/>
          <w:sz w:val="22"/>
          <w:szCs w:val="22"/>
          <w:highlight w:val="none"/>
          <w:u w:val="single"/>
          <w:lang w:val="zh-CN"/>
        </w:rPr>
        <w:t>（编号为</w:t>
      </w:r>
      <w:r>
        <w:rPr>
          <w:rFonts w:hint="eastAsia" w:ascii="宋体" w:hAnsi="宋体" w:cs="宋体"/>
          <w:kern w:val="0"/>
          <w:sz w:val="22"/>
          <w:szCs w:val="22"/>
          <w:highlight w:val="none"/>
          <w:u w:val="single"/>
          <w:lang w:val="zh-CN" w:eastAsia="zh-CN"/>
        </w:rPr>
        <w:t>JJWL240425122</w:t>
      </w:r>
      <w:r>
        <w:rPr>
          <w:rFonts w:hint="eastAsia" w:ascii="宋体" w:hAnsi="宋体" w:eastAsia="宋体" w:cs="宋体"/>
          <w:kern w:val="0"/>
          <w:sz w:val="22"/>
          <w:szCs w:val="22"/>
          <w:highlight w:val="none"/>
          <w:u w:val="single"/>
          <w:lang w:val="zh-CN"/>
        </w:rPr>
        <w:t>）</w:t>
      </w:r>
      <w:r>
        <w:rPr>
          <w:rFonts w:hint="eastAsia" w:ascii="宋体" w:hAnsi="宋体" w:eastAsia="宋体" w:cs="宋体"/>
          <w:kern w:val="0"/>
          <w:sz w:val="22"/>
          <w:szCs w:val="22"/>
          <w:highlight w:val="none"/>
          <w:lang w:val="zh-CN"/>
        </w:rPr>
        <w:t>的投标，为此，我公司就本次投标有关事项郑重声明如下：</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1、我公司具有良好的商业信誉和健全的财务会计制度；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2、我公司具有依法缴纳税收和社会保障资金的良好记录；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3、我公司截止投标时间近三年以来，在经营活动中无重大违法记录（重大违法记录是指供应商因违法经营受到刑事处罚或者责令停产停业、吊销许可证或者执照、较大数额罚款等行政处罚）。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4、我公司截止投标时间近三年以来，未被“信用中国”（www.creditchina.gov.cn）、“中国政府采购网”（www.ccgp.gov.cn）列入失信被执行人、重大税收违法失信主体、政府采购严重违法失信行为记录名单。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6、我公司不是采购人的附属机构；在获知本项目采购信息后，与采购人聘请的为此项目提供咨询服务的公司及其附属机构没有任何联系。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7、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8、我公司严格履行政府采购合同，不降低合同约定的产品质量和服务，不擅自变更、中止、终止合同，或拒绝履行合同义务；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9</w:t>
      </w:r>
      <w:r>
        <w:rPr>
          <w:rFonts w:hint="eastAsia" w:ascii="宋体" w:hAnsi="宋体" w:cs="宋体"/>
          <w:kern w:val="0"/>
          <w:sz w:val="22"/>
          <w:szCs w:val="22"/>
          <w:highlight w:val="none"/>
          <w:lang w:val="zh-CN"/>
        </w:rPr>
        <w:t>、我公司承诺单位负责人为同一人或者存在控股、管理关系的不同单位，不参加同一标项投标。</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w:t>
      </w:r>
      <w:r>
        <w:rPr>
          <w:rFonts w:hint="eastAsia" w:ascii="宋体" w:hAnsi="宋体" w:cs="宋体"/>
          <w:kern w:val="0"/>
          <w:sz w:val="22"/>
          <w:szCs w:val="22"/>
          <w:highlight w:val="none"/>
          <w:lang w:val="en-US" w:eastAsia="zh-CN"/>
        </w:rPr>
        <w:t>0</w:t>
      </w:r>
      <w:r>
        <w:rPr>
          <w:rFonts w:hint="eastAsia" w:ascii="宋体" w:hAnsi="宋体" w:cs="宋体"/>
          <w:kern w:val="0"/>
          <w:sz w:val="22"/>
          <w:szCs w:val="22"/>
          <w:highlight w:val="none"/>
          <w:lang w:val="zh-CN"/>
        </w:rPr>
        <w:t>、我公司没有为采购项目提供整体设计、规范编制或者项目管理、监理、检测等服务。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11、</w:t>
      </w:r>
      <w:r>
        <w:rPr>
          <w:rFonts w:hint="eastAsia" w:ascii="宋体" w:hAnsi="宋体" w:cs="宋体"/>
          <w:kern w:val="0"/>
          <w:sz w:val="22"/>
          <w:szCs w:val="22"/>
          <w:highlight w:val="none"/>
          <w:lang w:val="zh-CN"/>
        </w:rPr>
        <w:t>我公司不属于公益一类事业单位。</w:t>
      </w:r>
    </w:p>
    <w:p>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12</w:t>
      </w:r>
      <w:r>
        <w:rPr>
          <w:rFonts w:hint="eastAsia" w:ascii="宋体" w:hAnsi="宋体" w:cs="宋体"/>
          <w:kern w:val="0"/>
          <w:sz w:val="22"/>
          <w:szCs w:val="22"/>
          <w:highlight w:val="none"/>
          <w:lang w:val="zh-CN"/>
        </w:rPr>
        <w:t>、以上事项如有虚假或隐瞒，我公司愿意承担一切后果，并不再寻求任何旨在减轻或免除法律责任的辩解。</w:t>
      </w:r>
    </w:p>
    <w:p>
      <w:pPr>
        <w:snapToGrid w:val="0"/>
        <w:spacing w:line="440" w:lineRule="exact"/>
        <w:ind w:firstLine="440" w:firstLineChars="200"/>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投标人名称</w:t>
      </w:r>
      <w:r>
        <w:rPr>
          <w:rFonts w:hint="eastAsia" w:ascii="宋体" w:hAnsi="宋体" w:cs="宋体"/>
          <w:kern w:val="0"/>
          <w:sz w:val="22"/>
          <w:szCs w:val="22"/>
          <w:highlight w:val="none"/>
          <w:lang w:val="zh-CN"/>
        </w:rPr>
        <w:t>（</w:t>
      </w:r>
      <w:r>
        <w:rPr>
          <w:rFonts w:hint="eastAsia" w:ascii="宋体" w:hAnsi="宋体" w:eastAsia="宋体" w:cs="宋体"/>
          <w:kern w:val="0"/>
          <w:sz w:val="22"/>
          <w:szCs w:val="22"/>
          <w:highlight w:val="none"/>
          <w:lang w:val="zh-CN"/>
        </w:rPr>
        <w:t>公章</w:t>
      </w:r>
      <w:r>
        <w:rPr>
          <w:rFonts w:hint="eastAsia" w:ascii="宋体" w:hAnsi="宋体" w:cs="宋体"/>
          <w:kern w:val="0"/>
          <w:sz w:val="22"/>
          <w:szCs w:val="22"/>
          <w:highlight w:val="none"/>
          <w:lang w:val="zh-CN"/>
        </w:rPr>
        <w:t>）</w:t>
      </w:r>
      <w:r>
        <w:rPr>
          <w:rFonts w:hint="eastAsia" w:ascii="宋体" w:hAnsi="宋体" w:eastAsia="宋体" w:cs="宋体"/>
          <w:kern w:val="0"/>
          <w:sz w:val="22"/>
          <w:szCs w:val="22"/>
          <w:highlight w:val="none"/>
          <w:lang w:val="zh-CN"/>
        </w:rPr>
        <w:t>：</w:t>
      </w:r>
    </w:p>
    <w:p>
      <w:pPr>
        <w:snapToGrid w:val="0"/>
        <w:spacing w:line="440" w:lineRule="exact"/>
        <w:ind w:firstLine="440" w:firstLineChars="200"/>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法定代表人或授权委托人</w:t>
      </w:r>
      <w:r>
        <w:rPr>
          <w:rFonts w:hint="eastAsia" w:ascii="宋体" w:hAnsi="宋体" w:cs="宋体"/>
          <w:kern w:val="0"/>
          <w:sz w:val="22"/>
          <w:szCs w:val="22"/>
          <w:highlight w:val="none"/>
          <w:lang w:val="zh-CN"/>
        </w:rPr>
        <w:t>（</w:t>
      </w:r>
      <w:r>
        <w:rPr>
          <w:rFonts w:hint="eastAsia" w:ascii="宋体" w:hAnsi="宋体" w:eastAsia="宋体" w:cs="宋体"/>
          <w:kern w:val="0"/>
          <w:sz w:val="22"/>
          <w:szCs w:val="22"/>
          <w:highlight w:val="none"/>
          <w:lang w:val="zh-CN"/>
        </w:rPr>
        <w:t>签名或盖章</w:t>
      </w:r>
      <w:r>
        <w:rPr>
          <w:rFonts w:hint="eastAsia" w:ascii="宋体" w:hAnsi="宋体" w:cs="宋体"/>
          <w:kern w:val="0"/>
          <w:sz w:val="22"/>
          <w:szCs w:val="22"/>
          <w:highlight w:val="none"/>
          <w:lang w:val="zh-CN"/>
        </w:rPr>
        <w:t>）</w:t>
      </w:r>
      <w:r>
        <w:rPr>
          <w:rFonts w:hint="eastAsia" w:ascii="宋体" w:hAnsi="宋体" w:eastAsia="宋体" w:cs="宋体"/>
          <w:kern w:val="0"/>
          <w:sz w:val="22"/>
          <w:szCs w:val="22"/>
          <w:highlight w:val="none"/>
          <w:lang w:val="zh-CN"/>
        </w:rPr>
        <w:t>：</w:t>
      </w:r>
    </w:p>
    <w:p>
      <w:pPr>
        <w:snapToGrid w:val="0"/>
        <w:spacing w:line="440" w:lineRule="exact"/>
        <w:ind w:firstLine="440" w:firstLineChars="200"/>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日期：  年    月    日</w:t>
      </w:r>
    </w:p>
    <w:p>
      <w:pPr>
        <w:rPr>
          <w:rFonts w:ascii="宋体" w:cs="宋体"/>
          <w:b/>
          <w:bCs/>
          <w:sz w:val="24"/>
          <w:szCs w:val="24"/>
          <w:highlight w:val="none"/>
        </w:rPr>
      </w:pPr>
      <w:r>
        <w:rPr>
          <w:rFonts w:ascii="宋体" w:cs="宋体"/>
          <w:b/>
          <w:bCs/>
          <w:sz w:val="24"/>
          <w:szCs w:val="24"/>
          <w:highlight w:val="none"/>
        </w:rPr>
        <w:br w:type="page"/>
      </w:r>
    </w:p>
    <w:p>
      <w:pPr>
        <w:adjustRightInd w:val="0"/>
        <w:snapToGrid w:val="0"/>
        <w:spacing w:line="360" w:lineRule="auto"/>
        <w:ind w:right="480"/>
        <w:rPr>
          <w:rFonts w:ascii="宋体"/>
          <w:b/>
          <w:bCs/>
          <w:sz w:val="28"/>
          <w:szCs w:val="28"/>
          <w:highlight w:val="none"/>
        </w:rPr>
      </w:pPr>
      <w:r>
        <w:rPr>
          <w:rFonts w:hint="eastAsia" w:ascii="宋体" w:hAnsi="宋体" w:cs="宋体"/>
          <w:b/>
          <w:bCs/>
          <w:sz w:val="24"/>
          <w:szCs w:val="24"/>
          <w:highlight w:val="none"/>
        </w:rPr>
        <w:t>附件</w:t>
      </w:r>
      <w:r>
        <w:rPr>
          <w:rFonts w:ascii="宋体" w:hAnsi="宋体" w:cs="宋体"/>
          <w:b/>
          <w:bCs/>
          <w:sz w:val="24"/>
          <w:szCs w:val="24"/>
          <w:highlight w:val="none"/>
        </w:rPr>
        <w:t>2-1:</w:t>
      </w:r>
    </w:p>
    <w:p>
      <w:pPr>
        <w:pStyle w:val="14"/>
        <w:spacing w:before="120" w:after="120" w:line="480" w:lineRule="auto"/>
        <w:jc w:val="center"/>
        <w:rPr>
          <w:rFonts w:ascii="仿宋_GB2312" w:hAnsi="宋体" w:eastAsia="仿宋_GB2312"/>
          <w:b/>
          <w:color w:val="000000"/>
          <w:sz w:val="36"/>
          <w:szCs w:val="36"/>
          <w:highlight w:val="none"/>
        </w:rPr>
      </w:pPr>
      <w:r>
        <w:rPr>
          <w:rFonts w:hint="eastAsia" w:ascii="仿宋_GB2312" w:hAnsi="宋体" w:eastAsia="仿宋_GB2312"/>
          <w:b/>
          <w:color w:val="000000"/>
          <w:sz w:val="36"/>
          <w:szCs w:val="36"/>
          <w:highlight w:val="none"/>
        </w:rPr>
        <w:t>法定代表人身份证明书</w:t>
      </w:r>
    </w:p>
    <w:p>
      <w:pPr>
        <w:spacing w:line="540" w:lineRule="exact"/>
        <w:ind w:firstLine="480"/>
        <w:jc w:val="center"/>
        <w:rPr>
          <w:rFonts w:ascii="宋体"/>
          <w:highlight w:val="none"/>
        </w:rPr>
      </w:pPr>
    </w:p>
    <w:p>
      <w:pPr>
        <w:spacing w:line="540" w:lineRule="exact"/>
        <w:ind w:firstLine="480"/>
        <w:rPr>
          <w:rFonts w:ascii="宋体"/>
          <w:highlight w:val="none"/>
        </w:rPr>
      </w:pPr>
    </w:p>
    <w:p>
      <w:pPr>
        <w:spacing w:line="540" w:lineRule="exact"/>
        <w:ind w:firstLine="480"/>
        <w:rPr>
          <w:rFonts w:ascii="宋体"/>
          <w:highlight w:val="none"/>
        </w:rPr>
      </w:pPr>
      <w:r>
        <w:rPr>
          <w:rFonts w:hint="eastAsia" w:ascii="宋体" w:hAnsi="宋体"/>
          <w:highlight w:val="none"/>
          <w:u w:val="single"/>
        </w:rPr>
        <w:t>　</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u w:val="single"/>
        </w:rPr>
        <w:t xml:space="preserve"> </w:t>
      </w:r>
      <w:r>
        <w:rPr>
          <w:rFonts w:hint="eastAsia" w:ascii="宋体" w:hAnsi="宋体"/>
          <w:highlight w:val="none"/>
          <w:u w:val="single"/>
        </w:rPr>
        <w:t>　</w:t>
      </w:r>
      <w:r>
        <w:rPr>
          <w:rFonts w:hint="eastAsia" w:ascii="宋体" w:hAnsi="宋体"/>
          <w:highlight w:val="none"/>
        </w:rPr>
        <w:t>，</w:t>
      </w:r>
      <w:r>
        <w:rPr>
          <w:rFonts w:hint="eastAsia" w:ascii="宋体" w:hAnsi="宋体"/>
          <w:highlight w:val="none"/>
          <w:u w:val="single"/>
        </w:rPr>
        <w:t>　｛性别｝　</w:t>
      </w:r>
      <w:r>
        <w:rPr>
          <w:rFonts w:hint="eastAsia" w:ascii="宋体" w:hAnsi="宋体"/>
          <w:highlight w:val="none"/>
        </w:rPr>
        <w:t>，</w:t>
      </w:r>
      <w:r>
        <w:rPr>
          <w:rFonts w:hint="eastAsia" w:ascii="宋体" w:hAnsi="宋体"/>
          <w:highlight w:val="none"/>
          <w:u w:val="single"/>
        </w:rPr>
        <w:t>　｛年龄｝　</w:t>
      </w:r>
      <w:r>
        <w:rPr>
          <w:rFonts w:hint="eastAsia" w:ascii="宋体" w:hAnsi="宋体"/>
          <w:highlight w:val="none"/>
        </w:rPr>
        <w:t>，</w:t>
      </w:r>
      <w:r>
        <w:rPr>
          <w:rFonts w:hint="eastAsia" w:ascii="宋体" w:hAnsi="宋体"/>
          <w:highlight w:val="none"/>
          <w:u w:val="single"/>
        </w:rPr>
        <w:t>　｛职务｝　</w:t>
      </w:r>
      <w:r>
        <w:rPr>
          <w:rFonts w:hint="eastAsia" w:ascii="宋体" w:hAnsi="宋体"/>
          <w:highlight w:val="none"/>
        </w:rPr>
        <w:t>，身份证号码：</w:t>
      </w:r>
      <w:r>
        <w:rPr>
          <w:rFonts w:ascii="宋体" w:hAnsi="宋体"/>
          <w:highlight w:val="none"/>
          <w:u w:val="single"/>
        </w:rPr>
        <w:t xml:space="preserve">                       </w:t>
      </w:r>
      <w:r>
        <w:rPr>
          <w:rFonts w:hint="eastAsia" w:ascii="宋体" w:hAnsi="宋体"/>
          <w:highlight w:val="none"/>
        </w:rPr>
        <w:t>，系</w:t>
      </w:r>
      <w:r>
        <w:rPr>
          <w:rFonts w:hint="eastAsia" w:ascii="宋体" w:hAnsi="宋体"/>
          <w:highlight w:val="none"/>
          <w:u w:val="single"/>
        </w:rPr>
        <w:t>　｛投标人名称｝</w:t>
      </w:r>
      <w:r>
        <w:rPr>
          <w:rFonts w:ascii="宋体" w:hAnsi="宋体"/>
          <w:highlight w:val="none"/>
          <w:u w:val="single"/>
        </w:rPr>
        <w:t xml:space="preserve"> </w:t>
      </w:r>
      <w:r>
        <w:rPr>
          <w:rFonts w:hint="eastAsia" w:ascii="宋体" w:hAnsi="宋体"/>
          <w:highlight w:val="none"/>
        </w:rPr>
        <w:t>的法定代表人。</w:t>
      </w:r>
    </w:p>
    <w:p>
      <w:pPr>
        <w:spacing w:line="540" w:lineRule="exact"/>
        <w:ind w:firstLine="480"/>
        <w:rPr>
          <w:rFonts w:ascii="宋体"/>
          <w:highlight w:val="none"/>
        </w:rPr>
      </w:pPr>
      <w:r>
        <w:rPr>
          <w:rFonts w:hint="eastAsia" w:ascii="宋体" w:hAnsi="宋体"/>
          <w:highlight w:val="none"/>
        </w:rPr>
        <w:t>特此证明。</w:t>
      </w:r>
    </w:p>
    <w:p>
      <w:pPr>
        <w:spacing w:line="540" w:lineRule="exact"/>
        <w:ind w:firstLine="480"/>
        <w:rPr>
          <w:rFonts w:ascii="宋体"/>
          <w:highlight w:val="none"/>
        </w:rPr>
      </w:pPr>
    </w:p>
    <w:p>
      <w:pPr>
        <w:spacing w:line="540" w:lineRule="exact"/>
        <w:ind w:firstLine="480"/>
        <w:rPr>
          <w:rFonts w:ascii="宋体"/>
          <w:highlight w:val="none"/>
        </w:rPr>
      </w:pPr>
    </w:p>
    <w:p>
      <w:pPr>
        <w:spacing w:line="540" w:lineRule="exact"/>
        <w:ind w:firstLine="3675" w:firstLineChars="1750"/>
        <w:rPr>
          <w:rFonts w:ascii="宋体"/>
          <w:highlight w:val="none"/>
        </w:rPr>
      </w:pPr>
      <w:r>
        <w:rPr>
          <w:rFonts w:hint="eastAsia" w:ascii="宋体" w:hAnsi="宋体"/>
          <w:highlight w:val="none"/>
          <w:u w:val="single"/>
        </w:rPr>
        <w:t>　｛投标人名称｝　</w:t>
      </w:r>
      <w:r>
        <w:rPr>
          <w:rFonts w:hint="eastAsia" w:ascii="宋体" w:hAnsi="宋体"/>
          <w:highlight w:val="none"/>
        </w:rPr>
        <w:t>（盖章）</w:t>
      </w:r>
    </w:p>
    <w:p>
      <w:pPr>
        <w:spacing w:line="540" w:lineRule="exact"/>
        <w:ind w:firstLine="3990" w:firstLineChars="1900"/>
        <w:rPr>
          <w:rFonts w:ascii="宋体"/>
          <w:highlight w:val="none"/>
        </w:rPr>
      </w:pP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p>
    <w:tbl>
      <w:tblPr>
        <w:tblStyle w:val="25"/>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vAlign w:val="center"/>
          </w:tcPr>
          <w:p>
            <w:pPr>
              <w:ind w:firstLine="480"/>
              <w:jc w:val="center"/>
              <w:rPr>
                <w:rFonts w:ascii="宋体"/>
                <w:highlight w:val="none"/>
              </w:rPr>
            </w:pPr>
            <w:r>
              <w:rPr>
                <w:rFonts w:hint="eastAsia" w:ascii="宋体" w:hAnsi="宋体"/>
                <w:highlight w:val="none"/>
              </w:rPr>
              <w:t>法定代表人身份证正反面复印件粘贴处</w:t>
            </w:r>
          </w:p>
        </w:tc>
      </w:tr>
    </w:tbl>
    <w:p>
      <w:pPr>
        <w:spacing w:line="540" w:lineRule="exact"/>
        <w:ind w:firstLine="480"/>
        <w:rPr>
          <w:rFonts w:ascii="宋体"/>
          <w:highlight w:val="none"/>
        </w:rPr>
      </w:pPr>
    </w:p>
    <w:p>
      <w:pPr>
        <w:spacing w:line="540" w:lineRule="exact"/>
        <w:ind w:firstLine="480"/>
        <w:rPr>
          <w:rFonts w:ascii="宋体"/>
          <w:highlight w:val="none"/>
        </w:rPr>
      </w:pPr>
    </w:p>
    <w:p>
      <w:pPr>
        <w:spacing w:line="540" w:lineRule="exact"/>
        <w:ind w:firstLine="480"/>
        <w:rPr>
          <w:rFonts w:ascii="宋体"/>
          <w:highlight w:val="none"/>
        </w:rPr>
      </w:pPr>
    </w:p>
    <w:p>
      <w:pPr>
        <w:spacing w:line="540" w:lineRule="exact"/>
        <w:ind w:firstLine="480"/>
        <w:rPr>
          <w:rFonts w:ascii="宋体"/>
          <w:highlight w:val="none"/>
        </w:rPr>
      </w:pPr>
      <w:r>
        <w:rPr>
          <w:rFonts w:ascii="宋体" w:hAnsi="宋体"/>
          <w:highlight w:val="none"/>
        </w:rPr>
        <w:t xml:space="preserve">  </w:t>
      </w:r>
    </w:p>
    <w:p>
      <w:pPr>
        <w:ind w:firstLine="480"/>
        <w:rPr>
          <w:rFonts w:ascii="宋体"/>
          <w:highlight w:val="none"/>
        </w:rPr>
      </w:pPr>
    </w:p>
    <w:p>
      <w:pPr>
        <w:adjustRightInd w:val="0"/>
        <w:snapToGrid w:val="0"/>
        <w:spacing w:line="360" w:lineRule="auto"/>
        <w:ind w:right="480"/>
        <w:rPr>
          <w:rFonts w:ascii="宋体"/>
          <w:b/>
          <w:bCs/>
          <w:sz w:val="28"/>
          <w:szCs w:val="28"/>
          <w:highlight w:val="none"/>
        </w:rPr>
      </w:pPr>
      <w:r>
        <w:rPr>
          <w:bCs/>
          <w:highlight w:val="none"/>
        </w:rPr>
        <w:br w:type="page"/>
      </w:r>
      <w:r>
        <w:rPr>
          <w:rFonts w:hint="eastAsia" w:ascii="宋体" w:hAnsi="宋体" w:cs="宋体"/>
          <w:b/>
          <w:bCs/>
          <w:sz w:val="24"/>
          <w:szCs w:val="24"/>
          <w:highlight w:val="none"/>
        </w:rPr>
        <w:t>附件</w:t>
      </w:r>
      <w:r>
        <w:rPr>
          <w:rFonts w:ascii="宋体" w:hAnsi="宋体" w:cs="宋体"/>
          <w:b/>
          <w:bCs/>
          <w:sz w:val="24"/>
          <w:szCs w:val="24"/>
          <w:highlight w:val="none"/>
        </w:rPr>
        <w:t>2-2:</w:t>
      </w:r>
    </w:p>
    <w:p>
      <w:pP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pPr>
        <w:spacing w:line="360" w:lineRule="auto"/>
        <w:ind w:firstLine="420" w:firstLineChars="200"/>
        <w:rPr>
          <w:rFonts w:ascii="宋体"/>
          <w:highlight w:val="none"/>
        </w:rPr>
      </w:pPr>
    </w:p>
    <w:p>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highlight w:val="none"/>
        </w:rPr>
        <w:t>,</w:t>
      </w:r>
      <w:r>
        <w:rPr>
          <w:rFonts w:hint="eastAsia" w:ascii="宋体" w:hAnsi="宋体" w:cs="宋体"/>
          <w:kern w:val="0"/>
          <w:sz w:val="24"/>
          <w:szCs w:val="24"/>
          <w:highlight w:val="none"/>
        </w:rPr>
        <w:t>本单位将承担该代理人行为的全部法律后果和法律责任。代理人无权转换委托权。</w:t>
      </w:r>
    </w:p>
    <w:p>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pPr>
        <w:widowControl/>
        <w:shd w:val="clear" w:color="auto" w:fill="FFFFFF"/>
        <w:spacing w:line="360" w:lineRule="auto"/>
        <w:ind w:firstLine="480" w:firstLineChars="200"/>
        <w:rPr>
          <w:rFonts w:ascii="宋体"/>
          <w:kern w:val="0"/>
          <w:sz w:val="24"/>
          <w:szCs w:val="24"/>
          <w:highlight w:val="none"/>
        </w:rPr>
      </w:pPr>
    </w:p>
    <w:p>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pPr>
        <w:widowControl/>
        <w:shd w:val="clear" w:color="auto" w:fill="FFFFFF"/>
        <w:spacing w:line="360" w:lineRule="auto"/>
        <w:ind w:firstLine="480" w:firstLineChars="200"/>
        <w:rPr>
          <w:rFonts w:ascii="宋体"/>
          <w:kern w:val="0"/>
          <w:sz w:val="24"/>
          <w:szCs w:val="24"/>
          <w:highlight w:val="none"/>
        </w:rPr>
      </w:pPr>
    </w:p>
    <w:p>
      <w:pPr>
        <w:widowControl/>
        <w:shd w:val="clear" w:color="auto" w:fill="FFFFFF"/>
        <w:spacing w:line="360" w:lineRule="auto"/>
        <w:ind w:firstLine="480" w:firstLineChars="200"/>
        <w:rPr>
          <w:rFonts w:ascii="宋体"/>
          <w:kern w:val="0"/>
          <w:sz w:val="24"/>
          <w:szCs w:val="24"/>
          <w:highlight w:val="none"/>
        </w:rPr>
      </w:pPr>
    </w:p>
    <w:p>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法定代表人（签章）：　　　　　日期：　　年　　月　　日</w:t>
      </w:r>
    </w:p>
    <w:p>
      <w:pPr>
        <w:widowControl/>
        <w:shd w:val="clear" w:color="auto" w:fill="FFFFFF"/>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pPr>
        <w:spacing w:line="360" w:lineRule="auto"/>
        <w:ind w:firstLine="480" w:firstLineChars="200"/>
        <w:jc w:val="left"/>
        <w:rPr>
          <w:rFonts w:ascii="宋体"/>
          <w:kern w:val="0"/>
          <w:sz w:val="24"/>
          <w:szCs w:val="24"/>
          <w:highlight w:val="none"/>
        </w:rPr>
      </w:pPr>
    </w:p>
    <w:p>
      <w:pPr>
        <w:spacing w:line="360" w:lineRule="auto"/>
        <w:ind w:firstLine="480" w:firstLineChars="200"/>
        <w:jc w:val="left"/>
        <w:rPr>
          <w:rFonts w:ascii="宋体"/>
          <w:kern w:val="0"/>
          <w:sz w:val="24"/>
          <w:szCs w:val="24"/>
          <w:highlight w:val="none"/>
        </w:rPr>
      </w:pPr>
    </w:p>
    <w:p>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、代理人身份证复印件（单位加盖公章）</w:t>
      </w:r>
    </w:p>
    <w:p>
      <w:pP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、法定代表人身份证复印件（单位加盖公章）</w:t>
      </w:r>
    </w:p>
    <w:p>
      <w:pPr>
        <w:rPr>
          <w:rFonts w:ascii="宋体"/>
          <w:b/>
          <w:bCs/>
          <w:sz w:val="28"/>
          <w:szCs w:val="28"/>
          <w:highlight w:val="none"/>
        </w:rPr>
      </w:pPr>
      <w:r>
        <w:rPr>
          <w:rFonts w:ascii="宋体"/>
          <w:b/>
          <w:bCs/>
          <w:sz w:val="28"/>
          <w:szCs w:val="28"/>
          <w:highlight w:val="none"/>
        </w:rPr>
        <w:br w:type="page"/>
      </w:r>
    </w:p>
    <w:p>
      <w:pPr>
        <w:rPr>
          <w:rFonts w:ascii="仿宋_GB2312" w:hAnsi="宋体"/>
          <w:sz w:val="30"/>
          <w:szCs w:val="30"/>
          <w:highlight w:val="none"/>
        </w:rPr>
      </w:pPr>
      <w:r>
        <w:rPr>
          <w:rFonts w:hint="eastAsia" w:ascii="宋体" w:hAnsi="宋体" w:cs="宋体"/>
          <w:b/>
          <w:bCs/>
          <w:sz w:val="24"/>
          <w:szCs w:val="24"/>
          <w:highlight w:val="none"/>
        </w:rPr>
        <w:t>附件3（</w:t>
      </w:r>
      <w:r>
        <w:rPr>
          <w:rFonts w:hint="eastAsia" w:ascii="宋体" w:hAnsi="宋体" w:cs="宋体"/>
          <w:b/>
          <w:bCs/>
          <w:color w:val="0000FF"/>
          <w:sz w:val="24"/>
          <w:szCs w:val="24"/>
          <w:highlight w:val="none"/>
          <w:u w:val="single"/>
        </w:rPr>
        <w:t>必须提供</w:t>
      </w:r>
      <w:r>
        <w:rPr>
          <w:rFonts w:hint="eastAsia" w:ascii="宋体" w:hAnsi="宋体" w:cs="宋体"/>
          <w:b/>
          <w:bCs/>
          <w:sz w:val="24"/>
          <w:szCs w:val="24"/>
          <w:highlight w:val="none"/>
        </w:rPr>
        <w:t>）:</w:t>
      </w:r>
    </w:p>
    <w:p>
      <w:pPr>
        <w:widowControl/>
        <w:jc w:val="center"/>
        <w:rPr>
          <w:highlight w:val="none"/>
        </w:rPr>
      </w:pPr>
      <w:r>
        <w:rPr>
          <w:rFonts w:hint="eastAsia" w:ascii="宋体" w:hAnsi="宋体" w:cs="宋体"/>
          <w:b/>
          <w:color w:val="000000"/>
          <w:kern w:val="0"/>
          <w:sz w:val="36"/>
          <w:szCs w:val="36"/>
          <w:highlight w:val="none"/>
        </w:rPr>
        <w:t>中小企业声明函（服务）</w:t>
      </w:r>
    </w:p>
    <w:p>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（单位名称）</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采购活动，服务全部由符合政策要求的中小企业承接。相关企业（含联合体中的中小企业、签订分包意向协议的中小企业）的具体情况如下：</w:t>
      </w:r>
    </w:p>
    <w:p>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w:t>
      </w:r>
      <w:r>
        <w:rPr>
          <w:rFonts w:hint="eastAsia" w:ascii="宋体" w:hAnsi="宋体" w:cs="宋体"/>
          <w:spacing w:val="6"/>
          <w:sz w:val="24"/>
          <w:szCs w:val="24"/>
          <w:highlight w:val="none"/>
          <w:u w:val="single"/>
        </w:rPr>
        <w:t xml:space="preserve"> （标的名称） </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 xml:space="preserve"> 水利、环境和公共设施管理业 </w:t>
      </w:r>
      <w:r>
        <w:rPr>
          <w:rFonts w:hint="eastAsia" w:ascii="宋体" w:hAnsi="宋体" w:cs="宋体"/>
          <w:spacing w:val="6"/>
          <w:sz w:val="24"/>
          <w:szCs w:val="24"/>
          <w:highlight w:val="none"/>
        </w:rPr>
        <w:t>；承建（承接）企业为</w:t>
      </w:r>
      <w:r>
        <w:rPr>
          <w:rFonts w:hint="eastAsia" w:ascii="宋体" w:hAnsi="宋体" w:cs="宋体"/>
          <w:spacing w:val="6"/>
          <w:sz w:val="24"/>
          <w:szCs w:val="24"/>
          <w:highlight w:val="none"/>
          <w:u w:val="single"/>
        </w:rPr>
        <w:t>（企业名称）</w:t>
      </w:r>
      <w:r>
        <w:rPr>
          <w:rFonts w:hint="eastAsia" w:ascii="宋体" w:hAnsi="宋体" w:cs="宋体"/>
          <w:spacing w:val="6"/>
          <w:sz w:val="24"/>
          <w:szCs w:val="24"/>
          <w:highlight w:val="none"/>
        </w:rPr>
        <w:t>，从业人员</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人，营业收入为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万元，资产总额为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w:t>
      </w:r>
      <w:r>
        <w:rPr>
          <w:rFonts w:ascii="Calibri" w:hAnsi="Calibri" w:cs="Calibri"/>
          <w:color w:val="000000"/>
          <w:kern w:val="0"/>
          <w:sz w:val="16"/>
          <w:szCs w:val="16"/>
          <w:highlight w:val="none"/>
        </w:rPr>
        <w:t>①</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（中型企业、小型企业、微型企业）</w:t>
      </w:r>
      <w:r>
        <w:rPr>
          <w:rFonts w:hint="eastAsia" w:ascii="宋体" w:hAnsi="宋体" w:cs="宋体"/>
          <w:spacing w:val="6"/>
          <w:sz w:val="24"/>
          <w:szCs w:val="24"/>
          <w:highlight w:val="none"/>
        </w:rPr>
        <w:t xml:space="preserve">； </w:t>
      </w:r>
    </w:p>
    <w:p>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w:t>
      </w:r>
      <w:r>
        <w:rPr>
          <w:rFonts w:hint="eastAsia" w:ascii="宋体" w:hAnsi="宋体" w:cs="宋体"/>
          <w:spacing w:val="6"/>
          <w:sz w:val="24"/>
          <w:szCs w:val="24"/>
          <w:highlight w:val="none"/>
          <w:u w:val="single"/>
        </w:rPr>
        <w:t xml:space="preserve"> （标的名称） </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（采购文件中明确的所属行业）</w:t>
      </w:r>
      <w:r>
        <w:rPr>
          <w:rFonts w:hint="eastAsia" w:ascii="宋体" w:hAnsi="宋体" w:cs="宋体"/>
          <w:spacing w:val="6"/>
          <w:sz w:val="24"/>
          <w:szCs w:val="24"/>
          <w:highlight w:val="none"/>
        </w:rPr>
        <w:t>；承建（承接）企业为</w:t>
      </w:r>
      <w:r>
        <w:rPr>
          <w:rFonts w:hint="eastAsia" w:ascii="宋体" w:hAnsi="宋体" w:cs="宋体"/>
          <w:spacing w:val="6"/>
          <w:sz w:val="24"/>
          <w:szCs w:val="24"/>
          <w:highlight w:val="none"/>
          <w:u w:val="single"/>
        </w:rPr>
        <w:t>（企业名称）</w:t>
      </w:r>
      <w:r>
        <w:rPr>
          <w:rFonts w:hint="eastAsia" w:ascii="宋体" w:hAnsi="宋体" w:cs="宋体"/>
          <w:spacing w:val="6"/>
          <w:sz w:val="24"/>
          <w:szCs w:val="24"/>
          <w:highlight w:val="none"/>
        </w:rPr>
        <w:t>，从业人员</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人，营业收入为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万元，资产总额为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万元，属于</w:t>
      </w:r>
      <w:r>
        <w:rPr>
          <w:rFonts w:hint="eastAsia" w:ascii="宋体" w:hAnsi="宋体" w:cs="宋体"/>
          <w:spacing w:val="6"/>
          <w:sz w:val="24"/>
          <w:szCs w:val="24"/>
          <w:highlight w:val="none"/>
          <w:u w:val="single"/>
        </w:rPr>
        <w:t>（中型企业、小型企业、微型企业）</w:t>
      </w:r>
      <w:r>
        <w:rPr>
          <w:rFonts w:hint="eastAsia" w:ascii="宋体" w:hAnsi="宋体" w:cs="宋体"/>
          <w:spacing w:val="6"/>
          <w:sz w:val="24"/>
          <w:szCs w:val="24"/>
          <w:highlight w:val="none"/>
        </w:rPr>
        <w:t xml:space="preserve">； </w:t>
      </w:r>
    </w:p>
    <w:p>
      <w:pPr>
        <w:spacing w:line="588" w:lineRule="exact"/>
        <w:rPr>
          <w:rFonts w:ascii="宋体" w:hAnsi="宋体" w:cs="宋体"/>
          <w:spacing w:val="6"/>
          <w:sz w:val="24"/>
          <w:szCs w:val="24"/>
          <w:highlight w:val="none"/>
        </w:rPr>
      </w:pPr>
      <w:r>
        <w:rPr>
          <w:rFonts w:hint="eastAsia" w:ascii="宋体" w:hAnsi="宋体" w:cs="宋体"/>
          <w:spacing w:val="6"/>
          <w:sz w:val="24"/>
          <w:szCs w:val="24"/>
          <w:highlight w:val="none"/>
        </w:rPr>
        <w:t>……</w:t>
      </w:r>
    </w:p>
    <w:p>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本企业对上述声明内容的真实性负责。如有虚假，将依法承担相应责任。 </w:t>
      </w:r>
    </w:p>
    <w:p>
      <w:pPr>
        <w:spacing w:line="588" w:lineRule="exact"/>
        <w:ind w:firstLine="504" w:firstLineChars="200"/>
        <w:rPr>
          <w:rFonts w:ascii="宋体" w:hAnsi="宋体" w:cs="宋体"/>
          <w:spacing w:val="6"/>
          <w:sz w:val="24"/>
          <w:szCs w:val="24"/>
          <w:highlight w:val="none"/>
        </w:rPr>
      </w:pPr>
    </w:p>
    <w:p>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企业名称（盖章）： </w:t>
      </w:r>
    </w:p>
    <w:p>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日 期： </w:t>
      </w:r>
    </w:p>
    <w:p>
      <w:pPr>
        <w:widowControl/>
        <w:jc w:val="left"/>
        <w:rPr>
          <w:color w:val="000000"/>
          <w:kern w:val="0"/>
          <w:sz w:val="10"/>
          <w:szCs w:val="10"/>
          <w:highlight w:val="none"/>
        </w:rPr>
      </w:pPr>
    </w:p>
    <w:p>
      <w:pPr>
        <w:widowControl/>
        <w:jc w:val="left"/>
        <w:rPr>
          <w:color w:val="000000"/>
          <w:kern w:val="0"/>
          <w:sz w:val="10"/>
          <w:szCs w:val="10"/>
          <w:highlight w:val="none"/>
        </w:rPr>
      </w:pPr>
    </w:p>
    <w:p>
      <w:pPr>
        <w:widowControl/>
        <w:jc w:val="left"/>
        <w:rPr>
          <w:rFonts w:ascii="宋体" w:hAnsi="宋体" w:cs="宋体"/>
          <w:color w:val="000000"/>
          <w:kern w:val="0"/>
          <w:sz w:val="16"/>
          <w:szCs w:val="16"/>
          <w:highlight w:val="none"/>
        </w:rPr>
        <w:sectPr>
          <w:headerReference r:id="rId8" w:type="default"/>
          <w:footerReference r:id="rId9" w:type="default"/>
          <w:pgSz w:w="11906" w:h="16838"/>
          <w:pgMar w:top="1361" w:right="1644" w:bottom="1361" w:left="1644" w:header="851" w:footer="964" w:gutter="0"/>
          <w:pgNumType w:fmt="decimal"/>
          <w:cols w:space="425" w:num="1"/>
          <w:docGrid w:type="lines" w:linePitch="312" w:charSpace="0"/>
        </w:sectPr>
      </w:pPr>
      <w:r>
        <w:rPr>
          <w:rFonts w:ascii="Calibri" w:hAnsi="Calibri" w:cs="Calibri"/>
          <w:color w:val="000000"/>
          <w:kern w:val="0"/>
          <w:sz w:val="16"/>
          <w:szCs w:val="16"/>
          <w:highlight w:val="none"/>
        </w:rPr>
        <w:t>①</w:t>
      </w:r>
      <w:r>
        <w:rPr>
          <w:rFonts w:hint="eastAsia" w:ascii="宋体" w:hAnsi="宋体" w:cs="宋体"/>
          <w:color w:val="000000"/>
          <w:kern w:val="0"/>
          <w:sz w:val="16"/>
          <w:szCs w:val="16"/>
          <w:highlight w:val="none"/>
        </w:rPr>
        <w:t>从业人员、营业收入、资产总额填报上一年度数据，无上一年度数据的新成立企业可不填报。</w:t>
      </w:r>
    </w:p>
    <w:tbl>
      <w:tblPr>
        <w:tblStyle w:val="25"/>
        <w:tblW w:w="14800" w:type="dxa"/>
        <w:tblInd w:w="-176" w:type="dxa"/>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vAlign w:val="bottom"/>
          </w:tcPr>
          <w:p>
            <w:pPr>
              <w:widowControl/>
              <w:jc w:val="center"/>
              <w:rPr>
                <w:rFonts w:ascii="宋体" w:hAnsi="宋体" w:cs="宋体"/>
                <w:b/>
                <w:bCs/>
                <w:kern w:val="0"/>
                <w:sz w:val="32"/>
                <w:szCs w:val="32"/>
                <w:highlight w:val="none"/>
              </w:rPr>
            </w:pPr>
            <w:r>
              <w:rPr>
                <w:rFonts w:hint="eastAsia" w:ascii="宋体" w:hAnsi="宋体" w:cs="宋体"/>
                <w:b/>
                <w:bCs/>
                <w:kern w:val="0"/>
                <w:sz w:val="24"/>
                <w:highlight w:val="none"/>
              </w:rPr>
              <w:t>中小微行业划型标准规定（根据工信部联企业〔2011〕300号制定）</w:t>
            </w:r>
          </w:p>
        </w:tc>
      </w:tr>
      <w:tr>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行业</w:t>
            </w:r>
          </w:p>
        </w:tc>
        <w:tc>
          <w:tcPr>
            <w:tcW w:w="487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highlight w:val="none"/>
              </w:rPr>
            </w:pPr>
            <w:r>
              <w:rPr>
                <w:rFonts w:hint="eastAsia" w:ascii="宋体" w:hAnsi="宋体" w:cs="宋体"/>
                <w:b/>
                <w:bCs/>
                <w:kern w:val="0"/>
                <w:sz w:val="24"/>
                <w:highlight w:val="none"/>
              </w:rPr>
              <w:t>中型企业</w:t>
            </w:r>
          </w:p>
        </w:tc>
        <w:tc>
          <w:tcPr>
            <w:tcW w:w="460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highlight w:val="none"/>
              </w:rPr>
            </w:pPr>
            <w:r>
              <w:rPr>
                <w:rFonts w:hint="eastAsia" w:ascii="宋体" w:hAnsi="宋体" w:cs="宋体"/>
                <w:b/>
                <w:bCs/>
                <w:kern w:val="0"/>
                <w:sz w:val="24"/>
                <w:highlight w:val="none"/>
              </w:rPr>
              <w:t>小型企业</w:t>
            </w:r>
          </w:p>
        </w:tc>
        <w:tc>
          <w:tcPr>
            <w:tcW w:w="3346"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highlight w:val="none"/>
              </w:rPr>
            </w:pPr>
            <w:r>
              <w:rPr>
                <w:rFonts w:hint="eastAsia" w:ascii="宋体" w:hAnsi="宋体" w:cs="宋体"/>
                <w:b/>
                <w:bCs/>
                <w:kern w:val="0"/>
                <w:sz w:val="24"/>
                <w:highlight w:val="none"/>
              </w:rPr>
              <w:t>微型企业</w:t>
            </w:r>
          </w:p>
        </w:tc>
      </w:tr>
      <w:tr>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kern w:val="0"/>
                <w:sz w:val="24"/>
                <w:highlight w:val="none"/>
              </w:rPr>
            </w:pPr>
          </w:p>
        </w:tc>
        <w:tc>
          <w:tcPr>
            <w:tcW w:w="1441" w:type="dxa"/>
            <w:tcBorders>
              <w:top w:val="nil"/>
              <w:left w:val="nil"/>
              <w:bottom w:val="single" w:color="auto" w:sz="4" w:space="0"/>
              <w:right w:val="single" w:color="auto" w:sz="4"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790" w:type="dxa"/>
            <w:tcBorders>
              <w:top w:val="nil"/>
              <w:left w:val="nil"/>
              <w:bottom w:val="single" w:color="auto" w:sz="4" w:space="0"/>
              <w:right w:val="single" w:color="auto" w:sz="4"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营业收入Y</w:t>
            </w:r>
          </w:p>
          <w:p>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647" w:type="dxa"/>
            <w:tcBorders>
              <w:top w:val="nil"/>
              <w:left w:val="nil"/>
              <w:bottom w:val="single" w:color="auto" w:sz="4" w:space="0"/>
              <w:right w:val="single" w:color="auto" w:sz="8"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资产总额Z</w:t>
            </w:r>
          </w:p>
          <w:p>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321" w:type="dxa"/>
            <w:tcBorders>
              <w:top w:val="nil"/>
              <w:left w:val="nil"/>
              <w:bottom w:val="single" w:color="auto" w:sz="4" w:space="0"/>
              <w:right w:val="single" w:color="auto" w:sz="4"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623" w:type="dxa"/>
            <w:tcBorders>
              <w:top w:val="nil"/>
              <w:left w:val="nil"/>
              <w:bottom w:val="single" w:color="auto" w:sz="4" w:space="0"/>
              <w:right w:val="single" w:color="auto" w:sz="4"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营业收入Y</w:t>
            </w:r>
          </w:p>
          <w:p>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664" w:type="dxa"/>
            <w:tcBorders>
              <w:top w:val="nil"/>
              <w:left w:val="nil"/>
              <w:bottom w:val="single" w:color="auto" w:sz="4" w:space="0"/>
              <w:right w:val="single" w:color="auto" w:sz="8"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资产总额Z</w:t>
            </w:r>
          </w:p>
          <w:p>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036" w:type="dxa"/>
            <w:tcBorders>
              <w:top w:val="nil"/>
              <w:left w:val="nil"/>
              <w:bottom w:val="single" w:color="auto" w:sz="4" w:space="0"/>
              <w:right w:val="single" w:color="auto" w:sz="4"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25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营业收入Y（万元）</w:t>
            </w:r>
          </w:p>
        </w:tc>
        <w:tc>
          <w:tcPr>
            <w:tcW w:w="1055" w:type="dxa"/>
            <w:tcBorders>
              <w:top w:val="nil"/>
              <w:left w:val="nil"/>
              <w:bottom w:val="single" w:color="auto" w:sz="4" w:space="0"/>
              <w:right w:val="single" w:color="auto" w:sz="8" w:space="0"/>
            </w:tcBorders>
            <w:vAlign w:val="bottom"/>
          </w:tcPr>
          <w:p>
            <w:pPr>
              <w:widowControl/>
              <w:jc w:val="center"/>
              <w:rPr>
                <w:rFonts w:ascii="宋体" w:hAnsi="宋体" w:cs="宋体"/>
                <w:kern w:val="0"/>
                <w:sz w:val="20"/>
                <w:highlight w:val="none"/>
              </w:rPr>
            </w:pPr>
            <w:r>
              <w:rPr>
                <w:rFonts w:hint="eastAsia" w:ascii="宋体" w:hAnsi="宋体" w:cs="宋体"/>
                <w:kern w:val="0"/>
                <w:sz w:val="20"/>
                <w:highlight w:val="none"/>
              </w:rPr>
              <w:t>资产总额Z（万元）</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1、农林牧渔业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xml:space="preserve"> 500≤Y＜20000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xml:space="preserve"> 50≤Y＜500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Y＜50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2、工业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2000≤Y＜40000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Y＜300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3、建筑业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6000≤Y＜80000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5000≤Z＜80000</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300≤Y＜6000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300≤Z＜5000</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Y＜300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Z＜300</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4、批发业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xml:space="preserve"> 20≤X＜200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5000≤Y＜40000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xml:space="preserve"> 5≤X＜20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1000≤Y＜5000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X＜5</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Y＜1000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5、零售业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xml:space="preserve"> 50≤X＜300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xml:space="preserve"> 500≤Y＜20000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10≤X＜50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100≤Y＜500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6、交通运输业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3000≤Y＜30000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200≤Y＜3000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V＜200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7、仓储业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100≤X＜200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1000≤Y＜30000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8、邮政业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2000≤Y＜30000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9、住宿业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2000≤Y＜10000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10、餐饮业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2000≤Y＜10000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100≤Y＜2000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V＜100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11、信息传输业</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100≤X＜2000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1000≤Y＜100000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12、软件和信息技术服务业</w:t>
            </w:r>
          </w:p>
        </w:tc>
        <w:tc>
          <w:tcPr>
            <w:tcW w:w="1441"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1000≤Y＜10000</w:t>
            </w:r>
          </w:p>
        </w:tc>
        <w:tc>
          <w:tcPr>
            <w:tcW w:w="1647" w:type="dxa"/>
            <w:tcBorders>
              <w:top w:val="nil"/>
              <w:left w:val="nil"/>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50≤Y＜1000</w:t>
            </w:r>
          </w:p>
        </w:tc>
        <w:tc>
          <w:tcPr>
            <w:tcW w:w="1664" w:type="dxa"/>
            <w:tcBorders>
              <w:top w:val="nil"/>
              <w:left w:val="nil"/>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Y＜50</w:t>
            </w:r>
          </w:p>
        </w:tc>
        <w:tc>
          <w:tcPr>
            <w:tcW w:w="1055" w:type="dxa"/>
            <w:tcBorders>
              <w:top w:val="nil"/>
              <w:left w:val="nil"/>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13、房地产开发经营</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1000≤Y＜200000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5000≤Z＜10000</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2000≤Z＜5000</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Z＜2000</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14、物业管理</w:t>
            </w:r>
          </w:p>
        </w:tc>
        <w:tc>
          <w:tcPr>
            <w:tcW w:w="144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1000≤Y＜5000</w:t>
            </w:r>
          </w:p>
        </w:tc>
        <w:tc>
          <w:tcPr>
            <w:tcW w:w="1647"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623"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500≤Y＜1000</w:t>
            </w:r>
          </w:p>
        </w:tc>
        <w:tc>
          <w:tcPr>
            <w:tcW w:w="1664"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X＜100</w:t>
            </w:r>
          </w:p>
        </w:tc>
        <w:tc>
          <w:tcPr>
            <w:tcW w:w="1255" w:type="dxa"/>
            <w:tcBorders>
              <w:top w:val="nil"/>
              <w:left w:val="nil"/>
              <w:bottom w:val="single" w:color="auto" w:sz="4"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Y＜500</w:t>
            </w:r>
          </w:p>
        </w:tc>
        <w:tc>
          <w:tcPr>
            <w:tcW w:w="1055" w:type="dxa"/>
            <w:tcBorders>
              <w:top w:val="nil"/>
              <w:left w:val="nil"/>
              <w:bottom w:val="single" w:color="auto" w:sz="4"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15、租赁和商务服务业</w:t>
            </w:r>
          </w:p>
        </w:tc>
        <w:tc>
          <w:tcPr>
            <w:tcW w:w="1441"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w:t>
            </w:r>
          </w:p>
        </w:tc>
        <w:tc>
          <w:tcPr>
            <w:tcW w:w="1647" w:type="dxa"/>
            <w:tcBorders>
              <w:top w:val="nil"/>
              <w:left w:val="nil"/>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8000≤Z＜120000</w:t>
            </w:r>
          </w:p>
        </w:tc>
        <w:tc>
          <w:tcPr>
            <w:tcW w:w="1321"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w:t>
            </w:r>
          </w:p>
        </w:tc>
        <w:tc>
          <w:tcPr>
            <w:tcW w:w="1664" w:type="dxa"/>
            <w:tcBorders>
              <w:top w:val="nil"/>
              <w:left w:val="nil"/>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xml:space="preserve"> 100≤Z＜8000</w:t>
            </w:r>
          </w:p>
        </w:tc>
        <w:tc>
          <w:tcPr>
            <w:tcW w:w="1036"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　</w:t>
            </w:r>
          </w:p>
        </w:tc>
        <w:tc>
          <w:tcPr>
            <w:tcW w:w="1055" w:type="dxa"/>
            <w:tcBorders>
              <w:top w:val="nil"/>
              <w:left w:val="nil"/>
              <w:bottom w:val="single" w:color="auto" w:sz="4"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Z＜100</w:t>
            </w:r>
          </w:p>
        </w:tc>
      </w:tr>
      <w:tr>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8" w:space="0"/>
              <w:right w:val="single" w:color="auto" w:sz="8" w:space="0"/>
            </w:tcBorders>
            <w:vAlign w:val="center"/>
          </w:tcPr>
          <w:p>
            <w:pPr>
              <w:widowControl/>
              <w:rPr>
                <w:rFonts w:ascii="宋体" w:hAnsi="宋体" w:cs="宋体"/>
                <w:kern w:val="0"/>
                <w:sz w:val="20"/>
                <w:highlight w:val="none"/>
              </w:rPr>
            </w:pPr>
            <w:r>
              <w:rPr>
                <w:rFonts w:hint="eastAsia" w:ascii="宋体" w:hAnsi="宋体" w:cs="宋体"/>
                <w:kern w:val="0"/>
                <w:sz w:val="20"/>
                <w:highlight w:val="none"/>
              </w:rPr>
              <w:t>16、其他未列明行业</w:t>
            </w:r>
          </w:p>
        </w:tc>
        <w:tc>
          <w:tcPr>
            <w:tcW w:w="1441" w:type="dxa"/>
            <w:tcBorders>
              <w:top w:val="nil"/>
              <w:left w:val="nil"/>
              <w:bottom w:val="single" w:color="auto" w:sz="8"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8"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647" w:type="dxa"/>
            <w:tcBorders>
              <w:top w:val="nil"/>
              <w:left w:val="nil"/>
              <w:bottom w:val="single" w:color="auto" w:sz="8"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8"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8"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664" w:type="dxa"/>
            <w:tcBorders>
              <w:top w:val="nil"/>
              <w:left w:val="nil"/>
              <w:bottom w:val="single" w:color="auto" w:sz="8"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8"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8" w:space="0"/>
              <w:right w:val="single" w:color="auto" w:sz="4"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055" w:type="dxa"/>
            <w:tcBorders>
              <w:top w:val="nil"/>
              <w:left w:val="nil"/>
              <w:bottom w:val="single" w:color="auto" w:sz="8" w:space="0"/>
              <w:right w:val="single" w:color="auto" w:sz="8" w:space="0"/>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　</w:t>
            </w:r>
          </w:p>
        </w:tc>
      </w:tr>
      <w:tr>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vAlign w:val="bottom"/>
          </w:tcPr>
          <w:p>
            <w:pPr>
              <w:widowControl/>
              <w:jc w:val="left"/>
              <w:rPr>
                <w:rFonts w:ascii="宋体" w:hAnsi="宋体" w:cs="宋体"/>
                <w:kern w:val="0"/>
                <w:sz w:val="20"/>
                <w:highlight w:val="none"/>
              </w:rPr>
            </w:pPr>
            <w:r>
              <w:rPr>
                <w:rFonts w:hint="eastAsia" w:ascii="宋体" w:hAnsi="宋体" w:cs="宋体"/>
                <w:kern w:val="0"/>
                <w:sz w:val="20"/>
                <w:highlight w:val="none"/>
              </w:rPr>
              <w:t>说明　1、企业类型的划分以统计部门的统计数据为依据。</w:t>
            </w:r>
          </w:p>
          <w:p>
            <w:pPr>
              <w:widowControl/>
              <w:ind w:firstLine="600" w:firstLineChars="300"/>
              <w:jc w:val="left"/>
              <w:rPr>
                <w:rFonts w:ascii="宋体" w:hAnsi="宋体" w:cs="宋体"/>
                <w:kern w:val="0"/>
                <w:sz w:val="20"/>
                <w:highlight w:val="none"/>
              </w:rPr>
            </w:pPr>
            <w:r>
              <w:rPr>
                <w:rFonts w:hint="eastAsia" w:ascii="宋体" w:hAnsi="宋体" w:cs="宋体"/>
                <w:kern w:val="0"/>
                <w:sz w:val="20"/>
                <w:highlight w:val="none"/>
              </w:rPr>
              <w:t>2、个体工商户和本规定以外的行业，参照本规定进行划型。</w:t>
            </w:r>
          </w:p>
          <w:p>
            <w:pPr>
              <w:widowControl/>
              <w:ind w:firstLine="600" w:firstLineChars="300"/>
              <w:jc w:val="left"/>
              <w:rPr>
                <w:rFonts w:ascii="宋体" w:hAnsi="宋体" w:cs="宋体"/>
                <w:kern w:val="0"/>
                <w:sz w:val="20"/>
                <w:highlight w:val="none"/>
              </w:rPr>
            </w:pPr>
            <w:r>
              <w:rPr>
                <w:rFonts w:hint="eastAsia" w:ascii="宋体" w:hAnsi="宋体" w:cs="宋体"/>
                <w:kern w:val="0"/>
                <w:sz w:val="20"/>
                <w:highlight w:val="none"/>
              </w:rPr>
              <w:t>3、本规定的中型企业标准上限即为大型企业标准的下限。</w:t>
            </w:r>
          </w:p>
        </w:tc>
      </w:tr>
    </w:tbl>
    <w:p>
      <w:pPr>
        <w:widowControl/>
        <w:jc w:val="left"/>
        <w:rPr>
          <w:rFonts w:ascii="宋体"/>
          <w:b/>
          <w:bCs/>
          <w:spacing w:val="21"/>
          <w:kern w:val="0"/>
          <w:sz w:val="32"/>
          <w:szCs w:val="32"/>
          <w:highlight w:val="none"/>
        </w:rPr>
        <w:sectPr>
          <w:pgSz w:w="16838" w:h="11906" w:orient="landscape"/>
          <w:pgMar w:top="850" w:right="1361" w:bottom="1134" w:left="1361" w:header="851" w:footer="964" w:gutter="0"/>
          <w:pgNumType w:fmt="decimal"/>
          <w:cols w:space="425" w:num="1"/>
          <w:docGrid w:type="lines" w:linePitch="312" w:charSpace="0"/>
        </w:sectPr>
      </w:pPr>
    </w:p>
    <w:p>
      <w:pPr>
        <w:pStyle w:val="12"/>
        <w:spacing w:line="400" w:lineRule="exact"/>
        <w:rPr>
          <w:rFonts w:ascii="宋体" w:hAnsi="宋体" w:cs="宋体"/>
          <w:highlight w:val="none"/>
        </w:rPr>
      </w:pPr>
      <w:r>
        <w:rPr>
          <w:rFonts w:hint="eastAsia" w:ascii="宋体" w:hAnsi="宋体" w:cs="宋体"/>
          <w:highlight w:val="none"/>
        </w:rPr>
        <w:t>中小企业声明函填写说明：</w:t>
      </w:r>
    </w:p>
    <w:p>
      <w:pPr>
        <w:pStyle w:val="12"/>
        <w:spacing w:line="400" w:lineRule="exact"/>
        <w:rPr>
          <w:rFonts w:ascii="宋体" w:hAnsi="宋体" w:cs="宋体"/>
          <w:highlight w:val="none"/>
        </w:rPr>
      </w:pPr>
      <w:r>
        <w:rPr>
          <w:rFonts w:hint="eastAsia" w:ascii="宋体" w:hAnsi="宋体" w:cs="宋体"/>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70"/>
        <w:spacing w:line="360" w:lineRule="auto"/>
        <w:ind w:right="360"/>
        <w:rPr>
          <w:rFonts w:ascii="宋体"/>
          <w:b/>
          <w:bCs/>
          <w:spacing w:val="21"/>
          <w:kern w:val="0"/>
          <w:sz w:val="32"/>
          <w:szCs w:val="32"/>
          <w:highlight w:val="none"/>
        </w:rPr>
        <w:sectPr>
          <w:pgSz w:w="16838" w:h="11906" w:orient="landscape"/>
          <w:pgMar w:top="1644" w:right="1361" w:bottom="1644" w:left="1361" w:header="851" w:footer="964" w:gutter="0"/>
          <w:pgNumType w:fmt="decimal"/>
          <w:cols w:space="425" w:num="1"/>
          <w:docGrid w:type="lines" w:linePitch="312" w:charSpace="0"/>
        </w:sectPr>
      </w:pPr>
      <w:r>
        <w:rPr>
          <w:rFonts w:hint="eastAsia" w:ascii="宋体" w:hAnsi="宋体" w:cs="宋体"/>
          <w:highlight w:val="none"/>
        </w:rPr>
        <w:t xml:space="preserve">    2、</w:t>
      </w:r>
      <w:r>
        <w:rPr>
          <w:rFonts w:hint="eastAsia" w:ascii="宋体" w:hAnsi="宋体" w:cs="宋体"/>
          <w:b/>
          <w:bCs/>
          <w:highlight w:val="none"/>
          <w:u w:val="single"/>
        </w:rPr>
        <w:t>本项目标的所属行业为：其他未列明行业</w:t>
      </w:r>
      <w:r>
        <w:rPr>
          <w:rFonts w:hint="eastAsia" w:ascii="宋体" w:hAnsi="宋体" w:cs="宋体"/>
          <w:b/>
          <w:bCs/>
          <w:highlight w:val="none"/>
          <w:u w:val="single"/>
          <w:lang w:eastAsia="zh-CN"/>
        </w:rPr>
        <w:t>（</w:t>
      </w:r>
      <w:r>
        <w:rPr>
          <w:rFonts w:hint="eastAsia" w:ascii="宋体" w:hAnsi="宋体" w:cs="宋体"/>
          <w:b/>
          <w:bCs/>
          <w:highlight w:val="none"/>
          <w:u w:val="single"/>
        </w:rPr>
        <w:t>水利、环境和公共设施管理业</w:t>
      </w:r>
      <w:r>
        <w:rPr>
          <w:rFonts w:hint="eastAsia" w:ascii="宋体" w:hAnsi="宋体" w:cs="宋体"/>
          <w:b/>
          <w:bCs/>
          <w:highlight w:val="none"/>
          <w:u w:val="single"/>
          <w:lang w:eastAsia="zh-CN"/>
        </w:rPr>
        <w:t>）</w:t>
      </w:r>
      <w:r>
        <w:rPr>
          <w:rFonts w:hint="eastAsia" w:ascii="宋体" w:hAnsi="宋体" w:cs="宋体"/>
          <w:b/>
          <w:bCs/>
          <w:highlight w:val="none"/>
          <w:u w:val="single"/>
        </w:rPr>
        <w:t>。</w:t>
      </w:r>
    </w:p>
    <w:p>
      <w:pPr>
        <w:widowControl/>
        <w:jc w:val="left"/>
        <w:rPr>
          <w:rFonts w:ascii="宋体"/>
          <w:b/>
          <w:bCs/>
          <w:sz w:val="28"/>
          <w:szCs w:val="28"/>
          <w:highlight w:val="none"/>
        </w:rPr>
      </w:pPr>
      <w:r>
        <w:rPr>
          <w:rFonts w:hint="eastAsia" w:ascii="宋体" w:hAnsi="宋体" w:cs="宋体"/>
          <w:b/>
          <w:bCs/>
          <w:sz w:val="24"/>
          <w:szCs w:val="24"/>
          <w:highlight w:val="none"/>
        </w:rPr>
        <w:t>附件4（选择性提供）</w:t>
      </w:r>
      <w:r>
        <w:rPr>
          <w:rFonts w:ascii="宋体" w:hAnsi="宋体" w:cs="宋体"/>
          <w:b/>
          <w:bCs/>
          <w:sz w:val="24"/>
          <w:szCs w:val="24"/>
          <w:highlight w:val="none"/>
        </w:rPr>
        <w:t>:</w:t>
      </w:r>
    </w:p>
    <w:p>
      <w:pPr>
        <w:widowControl/>
        <w:jc w:val="center"/>
        <w:rPr>
          <w:rFonts w:ascii="宋体"/>
          <w:b/>
          <w:bCs/>
          <w:spacing w:val="21"/>
          <w:kern w:val="0"/>
          <w:sz w:val="32"/>
          <w:szCs w:val="32"/>
          <w:highlight w:val="none"/>
        </w:rPr>
      </w:pPr>
      <w:r>
        <w:rPr>
          <w:rFonts w:hint="eastAsia" w:hAnsi="宋体" w:cs="宋体"/>
          <w:b/>
          <w:bCs/>
          <w:spacing w:val="21"/>
          <w:kern w:val="0"/>
          <w:sz w:val="32"/>
          <w:szCs w:val="32"/>
          <w:highlight w:val="none"/>
        </w:rPr>
        <w:t>残疾人福利性单位声明函</w:t>
      </w:r>
    </w:p>
    <w:p>
      <w:pP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本单位郑重声明，根据《财政部</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民政部</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中国残疾人联合会关于促进残疾人就业政府采购政策的通知》（财库〔</w:t>
      </w:r>
      <w:r>
        <w:rPr>
          <w:rFonts w:ascii="宋体" w:hAnsi="宋体" w:cs="宋体"/>
          <w:spacing w:val="6"/>
          <w:sz w:val="24"/>
          <w:szCs w:val="24"/>
          <w:highlight w:val="none"/>
        </w:rPr>
        <w:t>2017</w:t>
      </w:r>
      <w:r>
        <w:rPr>
          <w:rFonts w:hint="eastAsia" w:ascii="宋体" w:hAnsi="宋体" w:cs="宋体"/>
          <w:spacing w:val="6"/>
          <w:sz w:val="24"/>
          <w:szCs w:val="24"/>
          <w:highlight w:val="none"/>
        </w:rPr>
        <w:t>〕</w:t>
      </w:r>
      <w:r>
        <w:rPr>
          <w:rFonts w:ascii="宋体" w:hAnsi="宋体" w:cs="宋体"/>
          <w:spacing w:val="6"/>
          <w:sz w:val="24"/>
          <w:szCs w:val="24"/>
          <w:highlight w:val="none"/>
        </w:rPr>
        <w:t>141</w:t>
      </w:r>
      <w:r>
        <w:rPr>
          <w:rFonts w:hint="eastAsia" w:ascii="宋体" w:hAnsi="宋体" w:cs="宋体"/>
          <w:spacing w:val="6"/>
          <w:sz w:val="24"/>
          <w:szCs w:val="24"/>
          <w:highlight w:val="none"/>
        </w:rPr>
        <w:t>号）的规定，本单位为符合条件的残疾人福利性单位，且本单位参加单位的项目采购活动提供本单位制造的货物（由本单位承担工程</w:t>
      </w:r>
      <w:r>
        <w:rPr>
          <w:rFonts w:ascii="宋体" w:hAnsi="宋体" w:cs="宋体"/>
          <w:spacing w:val="6"/>
          <w:sz w:val="24"/>
          <w:szCs w:val="24"/>
          <w:highlight w:val="none"/>
        </w:rPr>
        <w:t>/</w:t>
      </w:r>
      <w:r>
        <w:rPr>
          <w:rFonts w:hint="eastAsia" w:ascii="宋体" w:hAnsi="宋体" w:cs="宋体"/>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spacing w:val="6"/>
          <w:sz w:val="24"/>
          <w:szCs w:val="24"/>
          <w:highlight w:val="none"/>
        </w:rPr>
      </w:pPr>
    </w:p>
    <w:p>
      <w:pPr>
        <w:tabs>
          <w:tab w:val="left" w:pos="4860"/>
        </w:tabs>
        <w:spacing w:line="588" w:lineRule="exact"/>
        <w:ind w:right="1560" w:firstLine="504" w:firstLineChars="200"/>
        <w:jc w:val="center"/>
        <w:rPr>
          <w:rFonts w:ascii="宋体"/>
          <w:spacing w:val="6"/>
          <w:sz w:val="24"/>
          <w:szCs w:val="24"/>
          <w:highlight w:val="none"/>
        </w:rPr>
      </w:pPr>
      <w:r>
        <w:rPr>
          <w:rFonts w:ascii="宋体" w:hAnsi="宋体" w:cs="宋体"/>
          <w:spacing w:val="6"/>
          <w:sz w:val="24"/>
          <w:szCs w:val="24"/>
          <w:highlight w:val="none"/>
        </w:rPr>
        <w:t xml:space="preserve">             </w:t>
      </w:r>
      <w:r>
        <w:rPr>
          <w:rFonts w:hint="eastAsia" w:ascii="宋体" w:hAnsi="宋体" w:cs="宋体"/>
          <w:spacing w:val="6"/>
          <w:sz w:val="24"/>
          <w:szCs w:val="24"/>
          <w:highlight w:val="none"/>
        </w:rPr>
        <w:t>单位名称（盖章）：</w:t>
      </w:r>
    </w:p>
    <w:p>
      <w:pPr>
        <w:tabs>
          <w:tab w:val="left" w:pos="4860"/>
        </w:tabs>
        <w:spacing w:line="588" w:lineRule="exact"/>
        <w:ind w:right="1560" w:firstLine="504" w:firstLineChars="200"/>
        <w:jc w:val="center"/>
        <w:rPr>
          <w:rFonts w:ascii="宋体"/>
          <w:sz w:val="24"/>
          <w:szCs w:val="24"/>
          <w:highlight w:val="none"/>
        </w:rPr>
      </w:pPr>
      <w:r>
        <w:rPr>
          <w:rFonts w:ascii="宋体" w:hAnsi="宋体" w:cs="宋体"/>
          <w:spacing w:val="6"/>
          <w:sz w:val="24"/>
          <w:szCs w:val="24"/>
          <w:highlight w:val="none"/>
        </w:rPr>
        <w:t xml:space="preserve">       </w:t>
      </w:r>
      <w:r>
        <w:rPr>
          <w:rFonts w:hint="eastAsia" w:ascii="宋体" w:hAnsi="宋体" w:cs="宋体"/>
          <w:spacing w:val="6"/>
          <w:sz w:val="24"/>
          <w:szCs w:val="24"/>
          <w:highlight w:val="none"/>
        </w:rPr>
        <w:t>日</w:t>
      </w:r>
      <w:r>
        <w:rPr>
          <w:rFonts w:ascii="宋体" w:hAnsi="宋体" w:cs="宋体"/>
          <w:spacing w:val="6"/>
          <w:sz w:val="24"/>
          <w:szCs w:val="24"/>
          <w:highlight w:val="none"/>
        </w:rPr>
        <w:t xml:space="preserve">  </w:t>
      </w:r>
      <w:r>
        <w:rPr>
          <w:rFonts w:hint="eastAsia" w:ascii="宋体" w:hAnsi="宋体" w:cs="宋体"/>
          <w:spacing w:val="6"/>
          <w:sz w:val="24"/>
          <w:szCs w:val="24"/>
          <w:highlight w:val="none"/>
        </w:rPr>
        <w:t>期：</w:t>
      </w:r>
    </w:p>
    <w:p>
      <w:pPr>
        <w:pStyle w:val="22"/>
        <w:rPr>
          <w:rFonts w:hint="eastAsia"/>
          <w:highlight w:val="none"/>
          <w:lang w:eastAsia="zh-CN"/>
        </w:rPr>
      </w:pPr>
      <w:r>
        <w:rPr>
          <w:rFonts w:ascii="宋体"/>
          <w:b/>
          <w:bCs/>
          <w:sz w:val="28"/>
          <w:szCs w:val="28"/>
          <w:highlight w:val="none"/>
        </w:rPr>
        <w:br w:type="page"/>
      </w:r>
      <w:r>
        <w:rPr>
          <w:rFonts w:hint="eastAsia" w:ascii="宋体" w:cs="宋体"/>
          <w:b/>
          <w:bCs/>
          <w:kern w:val="0"/>
          <w:sz w:val="44"/>
          <w:szCs w:val="44"/>
          <w:highlight w:val="none"/>
          <w:lang w:eastAsia="zh-CN"/>
        </w:rPr>
        <w:t>温岭市2024年度农业水价综合改革技术支撑</w:t>
      </w:r>
    </w:p>
    <w:p>
      <w:pPr>
        <w:spacing w:beforeLines="100" w:line="360" w:lineRule="auto"/>
        <w:ind w:right="-108"/>
        <w:jc w:val="center"/>
        <w:rPr>
          <w:rFonts w:ascii="宋体" w:cs="宋体"/>
          <w:sz w:val="36"/>
          <w:szCs w:val="36"/>
          <w:highlight w:val="none"/>
        </w:rPr>
      </w:pPr>
    </w:p>
    <w:p>
      <w:pPr>
        <w:spacing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JJWL240425122</w:t>
      </w:r>
    </w:p>
    <w:p>
      <w:pPr>
        <w:autoSpaceDE w:val="0"/>
        <w:autoSpaceDN w:val="0"/>
        <w:adjustRightInd w:val="0"/>
        <w:spacing w:line="360" w:lineRule="auto"/>
        <w:jc w:val="center"/>
        <w:rPr>
          <w:rFonts w:ascii="宋体"/>
          <w:sz w:val="56"/>
          <w:szCs w:val="56"/>
          <w:highlight w:val="none"/>
          <w:lang w:val="zh-CN"/>
        </w:rPr>
      </w:pPr>
    </w:p>
    <w:p>
      <w:pPr>
        <w:pStyle w:val="22"/>
        <w:rPr>
          <w:lang w:val="zh-CN"/>
        </w:rPr>
      </w:pPr>
    </w:p>
    <w:p>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pPr>
        <w:spacing w:after="100" w:afterAutospacing="1" w:line="360" w:lineRule="auto"/>
        <w:ind w:right="-108"/>
        <w:jc w:val="center"/>
        <w:rPr>
          <w:rFonts w:asci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pPr>
        <w:spacing w:line="360" w:lineRule="auto"/>
        <w:ind w:right="532" w:firstLine="720" w:firstLineChars="200"/>
        <w:rPr>
          <w:rFonts w:ascii="宋体" w:cs="宋体"/>
          <w:sz w:val="36"/>
          <w:szCs w:val="36"/>
          <w:highlight w:val="none"/>
        </w:rPr>
      </w:pPr>
    </w:p>
    <w:p>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pPr>
        <w:snapToGrid w:val="0"/>
        <w:spacing w:before="50" w:after="50" w:line="360" w:lineRule="auto"/>
        <w:jc w:val="center"/>
        <w:rPr>
          <w:rFonts w:ascii="宋体"/>
          <w:b/>
          <w:bCs/>
          <w:sz w:val="32"/>
          <w:szCs w:val="32"/>
          <w:highlight w:val="none"/>
        </w:rPr>
      </w:pPr>
      <w:r>
        <w:rPr>
          <w:rFonts w:asci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目录（供参考）</w:t>
      </w:r>
    </w:p>
    <w:p>
      <w:pPr>
        <w:numPr>
          <w:ilvl w:val="0"/>
          <w:numId w:val="7"/>
        </w:numPr>
        <w:snapToGrid w:val="0"/>
        <w:spacing w:line="360" w:lineRule="auto"/>
        <w:ind w:firstLine="560" w:firstLineChars="200"/>
        <w:rPr>
          <w:rFonts w:cs="宋体"/>
          <w:sz w:val="28"/>
          <w:szCs w:val="28"/>
          <w:highlight w:val="none"/>
        </w:rPr>
      </w:pPr>
      <w:r>
        <w:rPr>
          <w:rFonts w:hint="eastAsia" w:cs="宋体"/>
          <w:sz w:val="28"/>
          <w:szCs w:val="28"/>
          <w:highlight w:val="none"/>
        </w:rPr>
        <w:t>供应商自评表………………………………………………页码；</w:t>
      </w:r>
    </w:p>
    <w:p>
      <w:pPr>
        <w:numPr>
          <w:ilvl w:val="0"/>
          <w:numId w:val="7"/>
        </w:numPr>
        <w:snapToGrid w:val="0"/>
        <w:spacing w:line="360" w:lineRule="auto"/>
        <w:ind w:left="631" w:leftChars="265" w:hanging="75" w:hangingChars="27"/>
        <w:rPr>
          <w:rFonts w:cs="宋体"/>
          <w:sz w:val="28"/>
          <w:szCs w:val="28"/>
          <w:highlight w:val="none"/>
        </w:rPr>
      </w:pPr>
      <w:r>
        <w:rPr>
          <w:rFonts w:hint="eastAsia" w:cs="宋体"/>
          <w:sz w:val="28"/>
          <w:szCs w:val="28"/>
          <w:highlight w:val="none"/>
        </w:rPr>
        <w:t>投标人基本情况表…………………………………………页码；</w:t>
      </w:r>
    </w:p>
    <w:p>
      <w:pPr>
        <w:numPr>
          <w:ilvl w:val="0"/>
          <w:numId w:val="7"/>
        </w:numPr>
        <w:snapToGrid w:val="0"/>
        <w:spacing w:line="360" w:lineRule="auto"/>
        <w:ind w:firstLine="560" w:firstLineChars="200"/>
        <w:rPr>
          <w:rFonts w:cs="宋体"/>
          <w:sz w:val="28"/>
          <w:szCs w:val="28"/>
          <w:highlight w:val="none"/>
        </w:rPr>
      </w:pPr>
      <w:r>
        <w:rPr>
          <w:rFonts w:hint="eastAsia" w:cs="宋体"/>
          <w:sz w:val="28"/>
          <w:szCs w:val="28"/>
          <w:highlight w:val="none"/>
        </w:rPr>
        <w:t>证书一览表…………………………………………………页码；</w:t>
      </w:r>
    </w:p>
    <w:p>
      <w:pPr>
        <w:numPr>
          <w:ilvl w:val="0"/>
          <w:numId w:val="7"/>
        </w:numPr>
        <w:snapToGrid w:val="0"/>
        <w:spacing w:line="360" w:lineRule="auto"/>
        <w:ind w:firstLine="560" w:firstLineChars="200"/>
        <w:rPr>
          <w:rFonts w:cs="宋体"/>
          <w:sz w:val="28"/>
          <w:szCs w:val="28"/>
          <w:highlight w:val="none"/>
        </w:rPr>
      </w:pPr>
      <w:r>
        <w:rPr>
          <w:rFonts w:hint="eastAsia" w:cs="宋体"/>
          <w:sz w:val="28"/>
          <w:szCs w:val="28"/>
          <w:highlight w:val="none"/>
        </w:rPr>
        <w:t>拟投入人员配备表…………………………………………页码；</w:t>
      </w:r>
    </w:p>
    <w:p>
      <w:pPr>
        <w:numPr>
          <w:ilvl w:val="0"/>
          <w:numId w:val="7"/>
        </w:numPr>
        <w:snapToGrid w:val="0"/>
        <w:spacing w:line="360" w:lineRule="auto"/>
        <w:ind w:firstLine="560" w:firstLineChars="200"/>
        <w:rPr>
          <w:rFonts w:cs="宋体"/>
          <w:sz w:val="28"/>
          <w:szCs w:val="28"/>
          <w:highlight w:val="none"/>
        </w:rPr>
      </w:pPr>
      <w:r>
        <w:rPr>
          <w:rFonts w:hint="eastAsia" w:cs="宋体"/>
          <w:sz w:val="28"/>
          <w:szCs w:val="28"/>
          <w:highlight w:val="none"/>
        </w:rPr>
        <w:t>类似业绩一览表……………………………………………页码；</w:t>
      </w:r>
    </w:p>
    <w:p>
      <w:pPr>
        <w:numPr>
          <w:ilvl w:val="0"/>
          <w:numId w:val="7"/>
        </w:numPr>
        <w:snapToGrid w:val="0"/>
        <w:spacing w:line="360" w:lineRule="auto"/>
        <w:ind w:firstLine="560" w:firstLineChars="200"/>
        <w:rPr>
          <w:rFonts w:cs="宋体"/>
          <w:sz w:val="28"/>
          <w:szCs w:val="28"/>
          <w:highlight w:val="none"/>
        </w:rPr>
      </w:pPr>
      <w:r>
        <w:rPr>
          <w:rFonts w:hint="eastAsia" w:cs="宋体"/>
          <w:sz w:val="28"/>
          <w:szCs w:val="28"/>
          <w:highlight w:val="none"/>
        </w:rPr>
        <w:t>类似项目情况表……………………………………………页码；</w:t>
      </w:r>
    </w:p>
    <w:p>
      <w:pPr>
        <w:numPr>
          <w:ilvl w:val="0"/>
          <w:numId w:val="7"/>
        </w:numPr>
        <w:snapToGrid w:val="0"/>
        <w:spacing w:line="360" w:lineRule="auto"/>
        <w:ind w:firstLine="560" w:firstLineChars="200"/>
        <w:rPr>
          <w:rFonts w:cs="宋体"/>
          <w:sz w:val="28"/>
          <w:szCs w:val="28"/>
          <w:highlight w:val="none"/>
        </w:rPr>
      </w:pPr>
      <w:r>
        <w:rPr>
          <w:rFonts w:hint="eastAsia" w:cs="宋体"/>
          <w:sz w:val="28"/>
          <w:szCs w:val="28"/>
          <w:highlight w:val="none"/>
        </w:rPr>
        <w:t>技术、商务响应表…………………………………………页码；</w:t>
      </w:r>
    </w:p>
    <w:p>
      <w:pPr>
        <w:numPr>
          <w:ilvl w:val="0"/>
          <w:numId w:val="7"/>
        </w:numPr>
        <w:snapToGrid w:val="0"/>
        <w:spacing w:line="360" w:lineRule="auto"/>
        <w:ind w:firstLine="560" w:firstLineChars="200"/>
        <w:rPr>
          <w:rFonts w:cs="宋体"/>
          <w:sz w:val="28"/>
          <w:szCs w:val="28"/>
          <w:highlight w:val="none"/>
        </w:rPr>
      </w:pPr>
      <w:r>
        <w:rPr>
          <w:rFonts w:hint="eastAsia" w:cs="宋体"/>
          <w:sz w:val="28"/>
          <w:szCs w:val="28"/>
          <w:highlight w:val="none"/>
        </w:rPr>
        <w:t>投标人认为需要提供的其他内容…………………………页码。</w:t>
      </w:r>
    </w:p>
    <w:p>
      <w:pPr>
        <w:pStyle w:val="22"/>
        <w:jc w:val="both"/>
        <w:outlineLvl w:val="9"/>
        <w:rPr>
          <w:highlight w:val="none"/>
        </w:rPr>
      </w:pPr>
    </w:p>
    <w:p>
      <w:pPr>
        <w:rPr>
          <w:rFonts w:ascii="宋体" w:cs="宋体"/>
          <w:b/>
          <w:bCs/>
          <w:sz w:val="24"/>
          <w:highlight w:val="none"/>
        </w:rPr>
      </w:pPr>
      <w:r>
        <w:rPr>
          <w:b/>
          <w:bCs/>
          <w:sz w:val="28"/>
          <w:szCs w:val="28"/>
          <w:highlight w:val="none"/>
        </w:rPr>
        <w:br w:type="page"/>
      </w:r>
      <w:r>
        <w:rPr>
          <w:rFonts w:hint="eastAsia" w:ascii="宋体" w:hAnsi="宋体" w:cs="宋体"/>
          <w:b/>
          <w:bCs/>
          <w:sz w:val="24"/>
          <w:highlight w:val="none"/>
        </w:rPr>
        <w:t>附件</w:t>
      </w:r>
      <w:r>
        <w:rPr>
          <w:rFonts w:ascii="宋体" w:hAnsi="宋体" w:cs="宋体"/>
          <w:b/>
          <w:bCs/>
          <w:sz w:val="24"/>
          <w:highlight w:val="none"/>
        </w:rPr>
        <w:t>1</w:t>
      </w:r>
      <w:r>
        <w:rPr>
          <w:rFonts w:hint="eastAsia" w:ascii="宋体" w:hAnsi="宋体" w:cs="宋体"/>
          <w:b/>
          <w:bCs/>
          <w:sz w:val="24"/>
          <w:highlight w:val="none"/>
        </w:rPr>
        <w:t>：</w:t>
      </w:r>
    </w:p>
    <w:p>
      <w:pPr>
        <w:pStyle w:val="14"/>
        <w:spacing w:before="120" w:after="120" w:line="48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供应商自评表</w:t>
      </w:r>
    </w:p>
    <w:tbl>
      <w:tblPr>
        <w:tblStyle w:val="25"/>
        <w:tblW w:w="10538"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23"/>
        <w:gridCol w:w="7548"/>
        <w:gridCol w:w="665"/>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608" w:type="dxa"/>
            <w:vAlign w:val="center"/>
          </w:tcPr>
          <w:p>
            <w:pPr>
              <w:pStyle w:val="14"/>
              <w:spacing w:before="120" w:after="120" w:line="480" w:lineRule="auto"/>
              <w:jc w:val="center"/>
              <w:rPr>
                <w:rFonts w:hAnsi="宋体"/>
                <w:b/>
                <w:sz w:val="18"/>
                <w:szCs w:val="18"/>
                <w:highlight w:val="none"/>
              </w:rPr>
            </w:pPr>
            <w:r>
              <w:rPr>
                <w:rFonts w:hAnsi="宋体"/>
                <w:b/>
                <w:sz w:val="18"/>
                <w:szCs w:val="18"/>
                <w:highlight w:val="none"/>
              </w:rPr>
              <w:t>序号</w:t>
            </w:r>
          </w:p>
        </w:tc>
        <w:tc>
          <w:tcPr>
            <w:tcW w:w="8271" w:type="dxa"/>
            <w:gridSpan w:val="2"/>
            <w:vAlign w:val="center"/>
          </w:tcPr>
          <w:p>
            <w:pPr>
              <w:pStyle w:val="14"/>
              <w:spacing w:before="120" w:after="120" w:line="480" w:lineRule="auto"/>
              <w:jc w:val="center"/>
              <w:rPr>
                <w:rFonts w:hAnsi="宋体"/>
                <w:b/>
                <w:sz w:val="18"/>
                <w:szCs w:val="18"/>
                <w:highlight w:val="none"/>
              </w:rPr>
            </w:pPr>
            <w:r>
              <w:rPr>
                <w:rFonts w:hAnsi="宋体"/>
                <w:b/>
                <w:sz w:val="18"/>
                <w:szCs w:val="18"/>
                <w:highlight w:val="none"/>
              </w:rPr>
              <w:t>评分内容</w:t>
            </w:r>
          </w:p>
        </w:tc>
        <w:tc>
          <w:tcPr>
            <w:tcW w:w="665" w:type="dxa"/>
            <w:vAlign w:val="center"/>
          </w:tcPr>
          <w:p>
            <w:pPr>
              <w:pStyle w:val="14"/>
              <w:spacing w:before="120" w:after="120"/>
              <w:jc w:val="center"/>
              <w:rPr>
                <w:rFonts w:hAnsi="宋体"/>
                <w:b/>
                <w:sz w:val="18"/>
                <w:szCs w:val="18"/>
                <w:highlight w:val="none"/>
              </w:rPr>
            </w:pPr>
            <w:r>
              <w:rPr>
                <w:rFonts w:hAnsi="宋体"/>
                <w:b/>
                <w:sz w:val="18"/>
                <w:szCs w:val="18"/>
                <w:highlight w:val="none"/>
              </w:rPr>
              <w:t>自评分值</w:t>
            </w:r>
          </w:p>
        </w:tc>
        <w:tc>
          <w:tcPr>
            <w:tcW w:w="994" w:type="dxa"/>
            <w:vAlign w:val="center"/>
          </w:tcPr>
          <w:p>
            <w:pPr>
              <w:pStyle w:val="14"/>
              <w:spacing w:before="120" w:after="120"/>
              <w:jc w:val="center"/>
              <w:rPr>
                <w:rFonts w:hAnsi="宋体"/>
                <w:b/>
                <w:sz w:val="18"/>
                <w:szCs w:val="18"/>
                <w:highlight w:val="none"/>
              </w:rPr>
            </w:pPr>
            <w:r>
              <w:rPr>
                <w:rFonts w:hAnsi="宋体"/>
                <w:b/>
                <w:sz w:val="18"/>
                <w:szCs w:val="18"/>
                <w:highlight w:val="none"/>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608" w:type="dxa"/>
            <w:vAlign w:val="center"/>
          </w:tcPr>
          <w:p>
            <w:pPr>
              <w:jc w:val="center"/>
              <w:rPr>
                <w:rFonts w:hint="eastAsia" w:ascii="宋体" w:hAnsi="宋体" w:eastAsia="宋体" w:cs="宋体"/>
                <w:b/>
                <w:kern w:val="2"/>
                <w:sz w:val="18"/>
                <w:szCs w:val="18"/>
                <w:highlight w:val="none"/>
                <w:lang w:val="en-US" w:eastAsia="zh-CN" w:bidi="ar-SA"/>
              </w:rPr>
            </w:pPr>
            <w:r>
              <w:rPr>
                <w:rFonts w:hint="eastAsia" w:ascii="宋体" w:hAnsi="宋体" w:cs="宋体"/>
                <w:sz w:val="22"/>
                <w:szCs w:val="20"/>
                <w:highlight w:val="none"/>
                <w:lang w:val="en-US" w:eastAsia="zh-CN"/>
              </w:rPr>
              <w:t>1.1</w:t>
            </w:r>
          </w:p>
        </w:tc>
        <w:tc>
          <w:tcPr>
            <w:tcW w:w="723" w:type="dxa"/>
            <w:vMerge w:val="restart"/>
            <w:vAlign w:val="center"/>
          </w:tcPr>
          <w:p>
            <w:pPr>
              <w:jc w:val="center"/>
              <w:rPr>
                <w:rFonts w:ascii="宋体" w:hAnsi="宋体" w:cs="宋体"/>
                <w:sz w:val="22"/>
                <w:szCs w:val="20"/>
                <w:highlight w:val="none"/>
              </w:rPr>
            </w:pPr>
            <w:r>
              <w:rPr>
                <w:rFonts w:hint="eastAsia" w:ascii="宋体" w:hAnsi="宋体" w:cs="宋体"/>
                <w:sz w:val="22"/>
                <w:szCs w:val="20"/>
                <w:highlight w:val="none"/>
              </w:rPr>
              <w:t>投标供应商综合实力</w:t>
            </w:r>
          </w:p>
        </w:tc>
        <w:tc>
          <w:tcPr>
            <w:tcW w:w="7548" w:type="dxa"/>
            <w:vAlign w:val="center"/>
          </w:tcPr>
          <w:p>
            <w:pPr>
              <w:spacing w:line="300" w:lineRule="exact"/>
              <w:rPr>
                <w:rFonts w:ascii="宋体" w:hAnsi="宋体" w:cs="宋体"/>
                <w:sz w:val="22"/>
                <w:highlight w:val="none"/>
              </w:rPr>
            </w:pPr>
            <w:r>
              <w:rPr>
                <w:rFonts w:hint="eastAsia" w:ascii="宋体" w:hAnsi="宋体" w:cs="宋体"/>
                <w:sz w:val="22"/>
                <w:highlight w:val="none"/>
              </w:rPr>
              <w:t>投标人自</w:t>
            </w:r>
            <w:r>
              <w:rPr>
                <w:rFonts w:hint="eastAsia" w:ascii="宋体" w:hAnsi="宋体" w:cs="宋体"/>
                <w:sz w:val="22"/>
                <w:highlight w:val="none"/>
                <w:lang w:eastAsia="zh-CN"/>
              </w:rPr>
              <w:t>2021年1月1日</w:t>
            </w:r>
            <w:r>
              <w:rPr>
                <w:rFonts w:hint="eastAsia" w:ascii="宋体" w:hAnsi="宋体" w:cs="宋体"/>
                <w:sz w:val="22"/>
                <w:highlight w:val="none"/>
              </w:rPr>
              <w:t>以来得过承担过农业水价综合改革技术服务工作的，每提供一个得</w:t>
            </w:r>
            <w:r>
              <w:rPr>
                <w:rFonts w:hint="eastAsia" w:ascii="宋体" w:hAnsi="宋体" w:cs="宋体"/>
                <w:sz w:val="22"/>
                <w:highlight w:val="none"/>
                <w:lang w:val="en-US" w:eastAsia="zh-CN"/>
              </w:rPr>
              <w:t>0.5</w:t>
            </w:r>
            <w:r>
              <w:rPr>
                <w:rFonts w:hint="eastAsia" w:ascii="宋体" w:hAnsi="宋体" w:cs="宋体"/>
                <w:sz w:val="22"/>
                <w:highlight w:val="none"/>
              </w:rPr>
              <w:t>分</w:t>
            </w:r>
            <w:r>
              <w:rPr>
                <w:rFonts w:hint="eastAsia" w:ascii="宋体" w:hAnsi="宋体" w:cs="宋体"/>
                <w:sz w:val="22"/>
                <w:highlight w:val="none"/>
                <w:lang w:eastAsia="zh-CN"/>
              </w:rPr>
              <w:t>，本项最高得</w:t>
            </w:r>
            <w:r>
              <w:rPr>
                <w:rFonts w:hint="eastAsia" w:ascii="宋体" w:hAnsi="宋体" w:cs="宋体"/>
                <w:sz w:val="22"/>
                <w:highlight w:val="none"/>
                <w:lang w:val="en-US" w:eastAsia="zh-CN"/>
              </w:rPr>
              <w:t>3分</w:t>
            </w:r>
            <w:r>
              <w:rPr>
                <w:rFonts w:hint="eastAsia" w:ascii="宋体" w:hAnsi="宋体" w:cs="宋体"/>
                <w:sz w:val="22"/>
                <w:highlight w:val="none"/>
              </w:rPr>
              <w:t>。</w:t>
            </w:r>
          </w:p>
          <w:p>
            <w:pPr>
              <w:spacing w:line="300" w:lineRule="exact"/>
              <w:rPr>
                <w:rFonts w:ascii="宋体" w:hAnsi="宋体" w:eastAsia="宋体" w:cs="宋体"/>
                <w:kern w:val="2"/>
                <w:sz w:val="22"/>
                <w:szCs w:val="21"/>
                <w:highlight w:val="none"/>
                <w:lang w:val="en-US" w:eastAsia="zh-CN" w:bidi="ar-SA"/>
              </w:rPr>
            </w:pPr>
            <w:r>
              <w:rPr>
                <w:rFonts w:hint="eastAsia" w:ascii="宋体" w:hAnsi="宋体" w:cs="宋体"/>
                <w:b/>
                <w:bCs/>
                <w:sz w:val="22"/>
                <w:highlight w:val="none"/>
              </w:rPr>
              <w:t>（商务技术文件中提供项目合同复印件加盖投标供应商公章，不提供的不得分</w:t>
            </w:r>
            <w:r>
              <w:rPr>
                <w:rFonts w:hint="eastAsia" w:ascii="宋体" w:hAnsi="宋体" w:cs="宋体"/>
                <w:b/>
                <w:bCs/>
                <w:sz w:val="22"/>
                <w:highlight w:val="none"/>
                <w:lang w:eastAsia="zh-CN"/>
              </w:rPr>
              <w:t>。</w:t>
            </w:r>
            <w:r>
              <w:rPr>
                <w:rFonts w:hint="eastAsia" w:ascii="宋体" w:hAnsi="宋体" w:cs="宋体"/>
                <w:b/>
                <w:bCs/>
                <w:sz w:val="22"/>
                <w:highlight w:val="none"/>
              </w:rPr>
              <w:t>）</w:t>
            </w:r>
          </w:p>
        </w:tc>
        <w:tc>
          <w:tcPr>
            <w:tcW w:w="665" w:type="dxa"/>
            <w:vAlign w:val="center"/>
          </w:tcPr>
          <w:p>
            <w:pPr>
              <w:pStyle w:val="14"/>
              <w:spacing w:before="120" w:after="120"/>
              <w:jc w:val="center"/>
              <w:rPr>
                <w:rFonts w:hAnsi="宋体"/>
                <w:b/>
                <w:sz w:val="18"/>
                <w:szCs w:val="18"/>
                <w:highlight w:val="none"/>
              </w:rPr>
            </w:pPr>
          </w:p>
        </w:tc>
        <w:tc>
          <w:tcPr>
            <w:tcW w:w="994" w:type="dxa"/>
            <w:vAlign w:val="center"/>
          </w:tcPr>
          <w:p>
            <w:pPr>
              <w:pStyle w:val="14"/>
              <w:spacing w:before="120" w:after="120"/>
              <w:jc w:val="center"/>
              <w:rPr>
                <w:rFonts w:hAnsi="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08" w:type="dxa"/>
            <w:vAlign w:val="center"/>
          </w:tcPr>
          <w:p>
            <w:pPr>
              <w:jc w:val="center"/>
              <w:rPr>
                <w:rFonts w:hint="eastAsia" w:hAnsi="宋体"/>
                <w:b/>
                <w:sz w:val="18"/>
                <w:szCs w:val="18"/>
                <w:highlight w:val="none"/>
              </w:rPr>
            </w:pPr>
            <w:r>
              <w:rPr>
                <w:rFonts w:hint="eastAsia" w:ascii="宋体" w:hAnsi="宋体" w:cs="宋体"/>
                <w:sz w:val="22"/>
                <w:szCs w:val="20"/>
                <w:highlight w:val="none"/>
                <w:lang w:val="en-US" w:eastAsia="zh-CN"/>
              </w:rPr>
              <w:t>1.2</w:t>
            </w:r>
          </w:p>
        </w:tc>
        <w:tc>
          <w:tcPr>
            <w:tcW w:w="723" w:type="dxa"/>
            <w:vMerge w:val="continue"/>
            <w:vAlign w:val="center"/>
          </w:tcPr>
          <w:p>
            <w:pPr>
              <w:jc w:val="center"/>
              <w:rPr>
                <w:rFonts w:ascii="宋体" w:hAnsi="宋体" w:cs="宋体"/>
                <w:sz w:val="24"/>
                <w:szCs w:val="22"/>
                <w:highlight w:val="none"/>
              </w:rPr>
            </w:pPr>
          </w:p>
        </w:tc>
        <w:tc>
          <w:tcPr>
            <w:tcW w:w="7548" w:type="dxa"/>
            <w:vAlign w:val="center"/>
          </w:tcPr>
          <w:p>
            <w:pPr>
              <w:spacing w:line="300" w:lineRule="exact"/>
              <w:rPr>
                <w:rFonts w:hint="eastAsia" w:ascii="宋体" w:hAnsi="宋体" w:cs="宋体"/>
                <w:sz w:val="22"/>
                <w:highlight w:val="none"/>
                <w:lang w:eastAsia="zh-CN"/>
              </w:rPr>
            </w:pPr>
            <w:r>
              <w:rPr>
                <w:rFonts w:hint="eastAsia" w:ascii="宋体" w:hAnsi="宋体" w:cs="宋体"/>
                <w:sz w:val="22"/>
                <w:highlight w:val="none"/>
                <w:lang w:eastAsia="zh-CN"/>
              </w:rPr>
              <w:t>投标人自</w:t>
            </w:r>
            <w:r>
              <w:rPr>
                <w:rFonts w:hint="eastAsia" w:ascii="宋体" w:hAnsi="宋体" w:cs="宋体"/>
                <w:sz w:val="22"/>
                <w:highlight w:val="none"/>
                <w:lang w:val="en-US" w:eastAsia="zh-CN"/>
              </w:rPr>
              <w:t>2021年1月1日以来</w:t>
            </w:r>
            <w:r>
              <w:rPr>
                <w:rFonts w:hint="eastAsia" w:ascii="宋体" w:hAnsi="宋体" w:cs="宋体"/>
                <w:sz w:val="22"/>
                <w:highlight w:val="none"/>
              </w:rPr>
              <w:t>所承担年度的农业水价改革工作甲方获得上级行政主管部门表彰优秀、先进或示范的，</w:t>
            </w:r>
            <w:r>
              <w:rPr>
                <w:rFonts w:hint="eastAsia" w:ascii="宋体" w:hAnsi="宋体" w:cs="宋体"/>
                <w:sz w:val="22"/>
                <w:highlight w:val="none"/>
                <w:lang w:eastAsia="zh-CN"/>
              </w:rPr>
              <w:t>地</w:t>
            </w:r>
            <w:r>
              <w:rPr>
                <w:rFonts w:hint="eastAsia" w:ascii="宋体" w:hAnsi="宋体" w:cs="宋体"/>
                <w:sz w:val="22"/>
                <w:highlight w:val="none"/>
              </w:rPr>
              <w:t>市级每项优秀、先进或示范得0.5分，省级每项优秀、先进或示范得1分</w:t>
            </w:r>
            <w:r>
              <w:rPr>
                <w:rFonts w:hint="eastAsia" w:ascii="宋体" w:hAnsi="宋体" w:cs="宋体"/>
                <w:sz w:val="22"/>
                <w:highlight w:val="none"/>
                <w:lang w:eastAsia="zh-CN"/>
              </w:rPr>
              <w:t>。</w:t>
            </w:r>
          </w:p>
          <w:p>
            <w:pPr>
              <w:spacing w:line="300" w:lineRule="exact"/>
              <w:rPr>
                <w:rFonts w:ascii="宋体" w:hAnsi="宋体" w:eastAsia="宋体" w:cs="宋体"/>
                <w:kern w:val="2"/>
                <w:sz w:val="22"/>
                <w:szCs w:val="21"/>
                <w:highlight w:val="none"/>
                <w:lang w:val="en-US" w:eastAsia="zh-CN" w:bidi="ar-SA"/>
              </w:rPr>
            </w:pPr>
            <w:r>
              <w:rPr>
                <w:rFonts w:hint="eastAsia" w:ascii="宋体" w:hAnsi="宋体" w:eastAsia="宋体" w:cs="宋体"/>
                <w:b/>
                <w:bCs/>
                <w:sz w:val="22"/>
                <w:highlight w:val="none"/>
              </w:rPr>
              <w:t>（商务技术文件中须同时</w:t>
            </w:r>
            <w:r>
              <w:rPr>
                <w:rFonts w:hint="eastAsia" w:ascii="宋体" w:hAnsi="宋体" w:eastAsia="宋体" w:cs="宋体"/>
                <w:b/>
                <w:bCs/>
                <w:sz w:val="22"/>
                <w:highlight w:val="none"/>
                <w:lang w:eastAsia="zh-CN"/>
              </w:rPr>
              <w:t>提供</w:t>
            </w:r>
            <w:r>
              <w:rPr>
                <w:rFonts w:hint="eastAsia" w:ascii="宋体" w:hAnsi="宋体" w:eastAsia="宋体" w:cs="宋体"/>
                <w:b/>
                <w:bCs/>
                <w:sz w:val="22"/>
                <w:highlight w:val="none"/>
              </w:rPr>
              <w:t>相关表彰证明材料</w:t>
            </w:r>
            <w:r>
              <w:rPr>
                <w:rFonts w:hint="eastAsia" w:ascii="宋体" w:hAnsi="宋体" w:eastAsia="宋体" w:cs="宋体"/>
                <w:b/>
                <w:bCs/>
                <w:sz w:val="22"/>
                <w:highlight w:val="none"/>
                <w:lang w:eastAsia="zh-CN"/>
              </w:rPr>
              <w:t>（</w:t>
            </w:r>
            <w:r>
              <w:rPr>
                <w:rFonts w:hint="eastAsia" w:ascii="宋体" w:hAnsi="宋体" w:eastAsia="宋体" w:cs="宋体"/>
                <w:b/>
                <w:bCs/>
                <w:sz w:val="22"/>
                <w:highlight w:val="none"/>
              </w:rPr>
              <w:t>须体现</w:t>
            </w:r>
            <w:r>
              <w:rPr>
                <w:rFonts w:hint="eastAsia" w:ascii="宋体" w:hAnsi="宋体" w:eastAsia="宋体" w:cs="宋体"/>
                <w:b/>
                <w:bCs/>
                <w:sz w:val="22"/>
                <w:highlight w:val="none"/>
                <w:lang w:eastAsia="zh-CN"/>
              </w:rPr>
              <w:t>项目甲方</w:t>
            </w:r>
            <w:r>
              <w:rPr>
                <w:rFonts w:hint="eastAsia" w:ascii="宋体" w:hAnsi="宋体" w:eastAsia="宋体" w:cs="宋体"/>
                <w:b/>
                <w:bCs/>
                <w:sz w:val="22"/>
                <w:highlight w:val="none"/>
              </w:rPr>
              <w:t>名称</w:t>
            </w:r>
            <w:r>
              <w:rPr>
                <w:rFonts w:hint="eastAsia" w:ascii="宋体" w:hAnsi="宋体" w:eastAsia="宋体" w:cs="宋体"/>
                <w:b/>
                <w:bCs/>
                <w:sz w:val="22"/>
                <w:highlight w:val="none"/>
                <w:lang w:eastAsia="zh-CN"/>
              </w:rPr>
              <w:t>）及项目合同复印件并加盖投标供应商公章</w:t>
            </w:r>
            <w:r>
              <w:rPr>
                <w:rFonts w:hint="eastAsia" w:ascii="宋体" w:hAnsi="宋体" w:eastAsia="宋体" w:cs="宋体"/>
                <w:b/>
                <w:bCs/>
                <w:sz w:val="22"/>
                <w:highlight w:val="none"/>
              </w:rPr>
              <w:t>，否则不得分。）</w:t>
            </w:r>
          </w:p>
        </w:tc>
        <w:tc>
          <w:tcPr>
            <w:tcW w:w="665" w:type="dxa"/>
          </w:tcPr>
          <w:p>
            <w:pPr>
              <w:pStyle w:val="14"/>
              <w:spacing w:before="120" w:after="120" w:line="480" w:lineRule="auto"/>
              <w:jc w:val="center"/>
              <w:rPr>
                <w:rFonts w:hAnsi="宋体"/>
                <w:b/>
                <w:sz w:val="18"/>
                <w:szCs w:val="18"/>
                <w:highlight w:val="none"/>
              </w:rPr>
            </w:pPr>
          </w:p>
        </w:tc>
        <w:tc>
          <w:tcPr>
            <w:tcW w:w="994" w:type="dxa"/>
          </w:tcPr>
          <w:p>
            <w:pPr>
              <w:pStyle w:val="14"/>
              <w:spacing w:before="120" w:after="120" w:line="480" w:lineRule="auto"/>
              <w:jc w:val="center"/>
              <w:rPr>
                <w:rFonts w:hAnsi="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8" w:type="dxa"/>
            <w:vAlign w:val="center"/>
          </w:tcPr>
          <w:p>
            <w:pPr>
              <w:jc w:val="center"/>
              <w:rPr>
                <w:rFonts w:hint="eastAsia" w:hAnsi="宋体"/>
                <w:b/>
                <w:sz w:val="18"/>
                <w:szCs w:val="18"/>
                <w:highlight w:val="none"/>
              </w:rPr>
            </w:pPr>
            <w:r>
              <w:rPr>
                <w:rFonts w:hint="eastAsia" w:ascii="宋体" w:hAnsi="宋体" w:cs="宋体"/>
                <w:sz w:val="22"/>
                <w:szCs w:val="20"/>
                <w:highlight w:val="none"/>
                <w:lang w:val="en-US" w:eastAsia="zh-CN"/>
              </w:rPr>
              <w:t>1.3</w:t>
            </w:r>
          </w:p>
        </w:tc>
        <w:tc>
          <w:tcPr>
            <w:tcW w:w="723" w:type="dxa"/>
            <w:vMerge w:val="continue"/>
            <w:vAlign w:val="center"/>
          </w:tcPr>
          <w:p>
            <w:pPr>
              <w:jc w:val="center"/>
              <w:rPr>
                <w:rFonts w:ascii="宋体" w:hAnsi="宋体" w:cs="宋体"/>
                <w:sz w:val="24"/>
                <w:highlight w:val="none"/>
                <w:lang w:val="zh-CN"/>
              </w:rPr>
            </w:pPr>
          </w:p>
        </w:tc>
        <w:tc>
          <w:tcPr>
            <w:tcW w:w="7548" w:type="dxa"/>
            <w:vAlign w:val="center"/>
          </w:tcPr>
          <w:p>
            <w:pPr>
              <w:spacing w:line="300" w:lineRule="exact"/>
              <w:rPr>
                <w:rFonts w:hint="eastAsia" w:ascii="宋体" w:hAnsi="宋体" w:cs="宋体"/>
                <w:sz w:val="22"/>
                <w:highlight w:val="none"/>
                <w:lang w:eastAsia="zh-CN"/>
              </w:rPr>
            </w:pPr>
            <w:r>
              <w:rPr>
                <w:rFonts w:hint="eastAsia" w:ascii="宋体" w:hAnsi="宋体" w:cs="宋体"/>
                <w:sz w:val="22"/>
                <w:highlight w:val="none"/>
                <w:lang w:eastAsia="zh-CN"/>
              </w:rPr>
              <w:t>投标人具有ISO9001质量管理体系认证、ISO14001环境管理体系认证、OHSAS18001职业健康安全管理体系认证证书，每项证书得1分；最高得3分。</w:t>
            </w:r>
          </w:p>
          <w:p>
            <w:pPr>
              <w:spacing w:line="300" w:lineRule="exact"/>
              <w:rPr>
                <w:rFonts w:ascii="宋体" w:hAnsi="宋体" w:eastAsia="宋体" w:cs="宋体"/>
                <w:kern w:val="2"/>
                <w:sz w:val="22"/>
                <w:szCs w:val="21"/>
                <w:highlight w:val="none"/>
                <w:lang w:val="zh-CN" w:eastAsia="zh-CN" w:bidi="ar-SA"/>
              </w:rPr>
            </w:pPr>
            <w:r>
              <w:rPr>
                <w:rFonts w:hint="eastAsia" w:ascii="宋体" w:hAnsi="宋体" w:cs="宋体"/>
                <w:b/>
                <w:bCs/>
                <w:sz w:val="22"/>
                <w:highlight w:val="none"/>
                <w:lang w:eastAsia="zh-CN"/>
              </w:rPr>
              <w:t>（以上证书均能在全国认证认可信息公共服务平台（http://cx.cnca.cn/CertECloud/index/index/page）上查询到，提供以上网站截图及相应证书扫描件加盖投标供应商公章，否则不得分。）</w:t>
            </w:r>
          </w:p>
        </w:tc>
        <w:tc>
          <w:tcPr>
            <w:tcW w:w="665" w:type="dxa"/>
          </w:tcPr>
          <w:p>
            <w:pPr>
              <w:pStyle w:val="14"/>
              <w:spacing w:before="120" w:after="120" w:line="480" w:lineRule="auto"/>
              <w:jc w:val="center"/>
              <w:rPr>
                <w:rFonts w:hAnsi="宋体"/>
                <w:b/>
                <w:sz w:val="18"/>
                <w:szCs w:val="18"/>
                <w:highlight w:val="none"/>
              </w:rPr>
            </w:pPr>
          </w:p>
        </w:tc>
        <w:tc>
          <w:tcPr>
            <w:tcW w:w="994" w:type="dxa"/>
          </w:tcPr>
          <w:p>
            <w:pPr>
              <w:pStyle w:val="14"/>
              <w:spacing w:before="120" w:after="120" w:line="480" w:lineRule="auto"/>
              <w:jc w:val="center"/>
              <w:rPr>
                <w:rFonts w:hAnsi="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08" w:type="dxa"/>
            <w:vAlign w:val="center"/>
          </w:tcPr>
          <w:p>
            <w:pPr>
              <w:jc w:val="center"/>
              <w:rPr>
                <w:rFonts w:hAnsi="宋体"/>
                <w:b/>
                <w:sz w:val="18"/>
                <w:szCs w:val="18"/>
                <w:highlight w:val="none"/>
              </w:rPr>
            </w:pPr>
            <w:r>
              <w:rPr>
                <w:rFonts w:hint="eastAsia" w:ascii="宋体" w:hAnsi="宋体" w:cs="宋体"/>
                <w:sz w:val="22"/>
                <w:szCs w:val="20"/>
                <w:highlight w:val="none"/>
                <w:lang w:val="en-US" w:eastAsia="zh-CN"/>
              </w:rPr>
              <w:t>2.1</w:t>
            </w:r>
          </w:p>
        </w:tc>
        <w:tc>
          <w:tcPr>
            <w:tcW w:w="723" w:type="dxa"/>
            <w:vMerge w:val="restart"/>
            <w:vAlign w:val="center"/>
          </w:tcPr>
          <w:p>
            <w:pPr>
              <w:jc w:val="center"/>
              <w:rPr>
                <w:rFonts w:ascii="宋体" w:hAnsi="宋体" w:cs="宋体"/>
                <w:sz w:val="24"/>
                <w:highlight w:val="none"/>
              </w:rPr>
            </w:pPr>
            <w:r>
              <w:rPr>
                <w:rFonts w:hint="eastAsia" w:ascii="宋体" w:hAnsi="宋体" w:cs="宋体"/>
                <w:sz w:val="22"/>
                <w:szCs w:val="20"/>
                <w:highlight w:val="none"/>
              </w:rPr>
              <w:t>拟投入</w:t>
            </w:r>
            <w:r>
              <w:rPr>
                <w:rFonts w:hint="eastAsia" w:ascii="宋体" w:hAnsi="宋体" w:cs="宋体"/>
                <w:sz w:val="22"/>
                <w:szCs w:val="20"/>
                <w:highlight w:val="none"/>
                <w:lang w:eastAsia="zh-CN"/>
              </w:rPr>
              <w:t>项目组成员</w:t>
            </w:r>
          </w:p>
        </w:tc>
        <w:tc>
          <w:tcPr>
            <w:tcW w:w="7548" w:type="dxa"/>
            <w:vAlign w:val="center"/>
          </w:tcPr>
          <w:p>
            <w:pPr>
              <w:numPr>
                <w:ilvl w:val="0"/>
                <w:numId w:val="0"/>
              </w:numPr>
              <w:spacing w:line="300" w:lineRule="exact"/>
              <w:rPr>
                <w:rFonts w:hint="eastAsia" w:ascii="宋体" w:hAnsi="宋体" w:cs="宋体"/>
                <w:sz w:val="22"/>
                <w:highlight w:val="none"/>
              </w:rPr>
            </w:pPr>
            <w:r>
              <w:rPr>
                <w:rFonts w:hint="eastAsia" w:ascii="宋体" w:hAnsi="宋体" w:cs="宋体"/>
                <w:sz w:val="22"/>
                <w:highlight w:val="none"/>
                <w:lang w:val="en-US" w:eastAsia="zh-CN"/>
              </w:rPr>
              <w:t>1.</w:t>
            </w:r>
            <w:r>
              <w:rPr>
                <w:rFonts w:hint="eastAsia" w:ascii="宋体" w:hAnsi="宋体" w:cs="宋体"/>
                <w:sz w:val="22"/>
                <w:highlight w:val="none"/>
              </w:rPr>
              <w:t>拟派项目负责人具有水利</w:t>
            </w:r>
            <w:r>
              <w:rPr>
                <w:rFonts w:hint="eastAsia" w:ascii="宋体" w:hAnsi="宋体" w:cs="宋体"/>
                <w:sz w:val="22"/>
                <w:highlight w:val="none"/>
                <w:lang w:eastAsia="zh-CN"/>
              </w:rPr>
              <w:t>工程相关</w:t>
            </w:r>
            <w:r>
              <w:rPr>
                <w:rFonts w:hint="eastAsia" w:ascii="宋体" w:hAnsi="宋体" w:cs="宋体"/>
                <w:sz w:val="22"/>
                <w:highlight w:val="none"/>
              </w:rPr>
              <w:t>高级工程师及以上职称得2分，中级工程职称得1分，其他不得分，</w:t>
            </w:r>
            <w:r>
              <w:rPr>
                <w:rFonts w:hint="eastAsia" w:ascii="宋体" w:hAnsi="宋体" w:cs="宋体"/>
                <w:sz w:val="22"/>
                <w:highlight w:val="none"/>
                <w:lang w:eastAsia="zh-CN"/>
              </w:rPr>
              <w:t>同时具有中华人民共和国咨询工程师(投资)登记证书的得</w:t>
            </w:r>
            <w:r>
              <w:rPr>
                <w:rFonts w:hint="eastAsia" w:ascii="宋体" w:hAnsi="宋体" w:cs="宋体"/>
                <w:sz w:val="22"/>
                <w:highlight w:val="none"/>
                <w:lang w:val="en-US" w:eastAsia="zh-CN"/>
              </w:rPr>
              <w:t>1分</w:t>
            </w:r>
            <w:r>
              <w:rPr>
                <w:rFonts w:hint="eastAsia" w:ascii="宋体" w:hAnsi="宋体" w:cs="宋体"/>
                <w:sz w:val="22"/>
                <w:highlight w:val="none"/>
                <w:lang w:eastAsia="zh-CN"/>
              </w:rPr>
              <w:t>，</w:t>
            </w:r>
            <w:r>
              <w:rPr>
                <w:rFonts w:hint="eastAsia" w:ascii="宋体" w:hAnsi="宋体" w:cs="宋体"/>
                <w:sz w:val="22"/>
                <w:highlight w:val="none"/>
              </w:rPr>
              <w:t>本项最高得</w:t>
            </w:r>
            <w:r>
              <w:rPr>
                <w:rFonts w:hint="eastAsia" w:ascii="宋体" w:hAnsi="宋体" w:cs="宋体"/>
                <w:sz w:val="22"/>
                <w:highlight w:val="none"/>
                <w:lang w:val="en-US" w:eastAsia="zh-CN"/>
              </w:rPr>
              <w:t>3</w:t>
            </w:r>
            <w:r>
              <w:rPr>
                <w:rFonts w:hint="eastAsia" w:ascii="宋体" w:hAnsi="宋体" w:cs="宋体"/>
                <w:sz w:val="22"/>
                <w:highlight w:val="none"/>
              </w:rPr>
              <w:t>分；</w:t>
            </w:r>
          </w:p>
          <w:p>
            <w:pPr>
              <w:numPr>
                <w:ilvl w:val="0"/>
                <w:numId w:val="0"/>
              </w:num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2.拟派项目负责人获得优秀咨询成果奖或水利类科技创新奖，地市级每项0.5分，省级每项1分，</w:t>
            </w:r>
            <w:r>
              <w:rPr>
                <w:rFonts w:hint="eastAsia" w:ascii="宋体" w:hAnsi="宋体" w:cs="宋体"/>
                <w:sz w:val="22"/>
                <w:highlight w:val="none"/>
              </w:rPr>
              <w:t>本项</w:t>
            </w:r>
            <w:r>
              <w:rPr>
                <w:rFonts w:hint="eastAsia" w:ascii="宋体" w:hAnsi="宋体" w:cs="宋体"/>
                <w:sz w:val="22"/>
                <w:highlight w:val="none"/>
                <w:lang w:val="en-US" w:eastAsia="zh-CN"/>
              </w:rPr>
              <w:t>最高得2分。</w:t>
            </w:r>
          </w:p>
          <w:p>
            <w:pPr>
              <w:spacing w:line="300" w:lineRule="exact"/>
              <w:rPr>
                <w:rFonts w:ascii="宋体" w:hAnsi="宋体" w:eastAsia="宋体" w:cs="宋体"/>
                <w:kern w:val="2"/>
                <w:sz w:val="22"/>
                <w:szCs w:val="20"/>
                <w:highlight w:val="none"/>
                <w:lang w:val="en-US" w:eastAsia="zh-CN" w:bidi="ar-SA"/>
              </w:rPr>
            </w:pPr>
            <w:r>
              <w:rPr>
                <w:rFonts w:hint="eastAsia" w:ascii="宋体" w:hAnsi="宋体" w:cs="宋体"/>
                <w:sz w:val="22"/>
                <w:highlight w:val="none"/>
              </w:rPr>
              <w:t>（</w:t>
            </w:r>
            <w:r>
              <w:rPr>
                <w:rFonts w:hint="eastAsia" w:ascii="宋体" w:hAnsi="宋体" w:cs="宋体"/>
                <w:b/>
                <w:bCs/>
                <w:sz w:val="22"/>
                <w:highlight w:val="none"/>
              </w:rPr>
              <w:t>本项评分须同时提供相关证书复印件</w:t>
            </w:r>
            <w:r>
              <w:rPr>
                <w:rFonts w:hint="eastAsia" w:ascii="宋体" w:hAnsi="宋体" w:cs="宋体"/>
                <w:b/>
                <w:bCs/>
                <w:sz w:val="22"/>
                <w:highlight w:val="none"/>
                <w:lang w:eastAsia="zh-CN"/>
              </w:rPr>
              <w:t>（或获奖或表彰证明材料）</w:t>
            </w:r>
            <w:r>
              <w:rPr>
                <w:rFonts w:hint="eastAsia" w:ascii="宋体" w:hAnsi="宋体" w:cs="宋体"/>
                <w:b/>
                <w:bCs/>
                <w:sz w:val="22"/>
                <w:highlight w:val="none"/>
              </w:rPr>
              <w:t>和投标截止时间前</w:t>
            </w:r>
            <w:r>
              <w:rPr>
                <w:rFonts w:hint="eastAsia" w:ascii="宋体" w:hAnsi="宋体" w:cs="宋体"/>
                <w:b/>
                <w:bCs/>
                <w:sz w:val="22"/>
                <w:highlight w:val="none"/>
                <w:lang w:val="en-US" w:eastAsia="zh-CN"/>
              </w:rPr>
              <w:t>3</w:t>
            </w:r>
            <w:r>
              <w:rPr>
                <w:rFonts w:hint="eastAsia" w:ascii="宋体" w:hAnsi="宋体" w:cs="宋体"/>
                <w:b/>
                <w:bCs/>
                <w:sz w:val="22"/>
                <w:highlight w:val="none"/>
              </w:rPr>
              <w:t>个月内的代缴个税税单或参加社会保险的《投保单》或《社会保险参保人员证明》等证明，投标文件中需提供相关清晰可辨复印件，否则不得分。</w:t>
            </w:r>
            <w:r>
              <w:rPr>
                <w:rFonts w:hint="eastAsia" w:ascii="宋体" w:hAnsi="宋体" w:cs="宋体"/>
                <w:b/>
                <w:bCs/>
                <w:sz w:val="22"/>
                <w:highlight w:val="none"/>
                <w:lang w:eastAsia="zh-CN"/>
              </w:rPr>
              <w:t>证书材料须体现相关人员名称，如无法体现，须提供能体现相关人员名称并加盖成果资料业主方公章的证明材料。</w:t>
            </w:r>
            <w:r>
              <w:rPr>
                <w:rFonts w:hint="eastAsia" w:ascii="宋体" w:hAnsi="宋体" w:cs="宋体"/>
                <w:sz w:val="22"/>
                <w:highlight w:val="none"/>
              </w:rPr>
              <w:t>）</w:t>
            </w:r>
          </w:p>
        </w:tc>
        <w:tc>
          <w:tcPr>
            <w:tcW w:w="665" w:type="dxa"/>
          </w:tcPr>
          <w:p>
            <w:pPr>
              <w:pStyle w:val="14"/>
              <w:spacing w:before="120" w:after="120" w:line="480" w:lineRule="auto"/>
              <w:jc w:val="center"/>
              <w:rPr>
                <w:rFonts w:hAnsi="宋体"/>
                <w:b/>
                <w:sz w:val="18"/>
                <w:szCs w:val="18"/>
                <w:highlight w:val="none"/>
              </w:rPr>
            </w:pPr>
          </w:p>
        </w:tc>
        <w:tc>
          <w:tcPr>
            <w:tcW w:w="994" w:type="dxa"/>
          </w:tcPr>
          <w:p>
            <w:pPr>
              <w:pStyle w:val="14"/>
              <w:spacing w:before="120" w:after="120" w:line="480" w:lineRule="auto"/>
              <w:jc w:val="center"/>
              <w:rPr>
                <w:rFonts w:hAnsi="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08" w:type="dxa"/>
            <w:vAlign w:val="center"/>
          </w:tcPr>
          <w:p>
            <w:pPr>
              <w:jc w:val="center"/>
              <w:rPr>
                <w:rFonts w:hint="eastAsia" w:hAnsi="宋体"/>
                <w:b/>
                <w:sz w:val="18"/>
                <w:szCs w:val="18"/>
                <w:highlight w:val="none"/>
              </w:rPr>
            </w:pPr>
            <w:r>
              <w:rPr>
                <w:rFonts w:hint="eastAsia" w:ascii="宋体" w:hAnsi="宋体" w:cs="宋体"/>
                <w:sz w:val="22"/>
                <w:szCs w:val="20"/>
                <w:highlight w:val="none"/>
                <w:lang w:val="en-US" w:eastAsia="zh-CN"/>
              </w:rPr>
              <w:t>2.2</w:t>
            </w:r>
          </w:p>
        </w:tc>
        <w:tc>
          <w:tcPr>
            <w:tcW w:w="723" w:type="dxa"/>
            <w:vMerge w:val="continue"/>
            <w:vAlign w:val="center"/>
          </w:tcPr>
          <w:p>
            <w:pPr>
              <w:jc w:val="center"/>
              <w:rPr>
                <w:rFonts w:ascii="宋体" w:hAnsi="宋体" w:cs="宋体"/>
                <w:sz w:val="24"/>
                <w:highlight w:val="none"/>
              </w:rPr>
            </w:pPr>
          </w:p>
        </w:tc>
        <w:tc>
          <w:tcPr>
            <w:tcW w:w="7548" w:type="dxa"/>
            <w:vAlign w:val="center"/>
          </w:tcPr>
          <w:p>
            <w:p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1.</w:t>
            </w:r>
            <w:r>
              <w:rPr>
                <w:rFonts w:hint="default" w:ascii="宋体" w:hAnsi="宋体" w:eastAsia="宋体" w:cs="宋体"/>
                <w:sz w:val="22"/>
                <w:highlight w:val="none"/>
                <w:lang w:val="en-US" w:eastAsia="zh-CN"/>
              </w:rPr>
              <w:t>项目组成员（</w:t>
            </w:r>
            <w:r>
              <w:rPr>
                <w:rFonts w:hint="eastAsia" w:ascii="宋体" w:hAnsi="宋体" w:cs="宋体"/>
                <w:sz w:val="22"/>
                <w:highlight w:val="none"/>
                <w:lang w:val="en-US" w:eastAsia="zh-CN"/>
              </w:rPr>
              <w:t>除</w:t>
            </w:r>
            <w:r>
              <w:rPr>
                <w:rFonts w:hint="default" w:ascii="宋体" w:hAnsi="宋体" w:eastAsia="宋体" w:cs="宋体"/>
                <w:sz w:val="22"/>
                <w:highlight w:val="none"/>
                <w:lang w:val="en-US" w:eastAsia="zh-CN"/>
              </w:rPr>
              <w:t>项目负责人</w:t>
            </w:r>
            <w:r>
              <w:rPr>
                <w:rFonts w:hint="eastAsia" w:ascii="宋体" w:hAnsi="宋体" w:cs="宋体"/>
                <w:sz w:val="22"/>
                <w:highlight w:val="none"/>
                <w:lang w:val="en-US" w:eastAsia="zh-CN"/>
              </w:rPr>
              <w:t>外</w:t>
            </w:r>
            <w:r>
              <w:rPr>
                <w:rFonts w:hint="default" w:ascii="宋体" w:hAnsi="宋体" w:eastAsia="宋体" w:cs="宋体"/>
                <w:sz w:val="22"/>
                <w:highlight w:val="none"/>
                <w:lang w:val="en-US" w:eastAsia="zh-CN"/>
              </w:rPr>
              <w:t>）具有水利工程</w:t>
            </w:r>
            <w:r>
              <w:rPr>
                <w:rFonts w:hint="eastAsia" w:ascii="宋体" w:hAnsi="宋体" w:cs="宋体"/>
                <w:sz w:val="22"/>
                <w:highlight w:val="none"/>
                <w:lang w:val="en-US" w:eastAsia="zh-CN"/>
              </w:rPr>
              <w:t>相关</w:t>
            </w:r>
            <w:r>
              <w:rPr>
                <w:rFonts w:hint="default" w:ascii="宋体" w:hAnsi="宋体" w:eastAsia="宋体" w:cs="宋体"/>
                <w:sz w:val="22"/>
                <w:highlight w:val="none"/>
                <w:lang w:val="en-US" w:eastAsia="zh-CN"/>
              </w:rPr>
              <w:t>工程师及以上技术职称，得</w:t>
            </w:r>
            <w:r>
              <w:rPr>
                <w:rFonts w:hint="eastAsia" w:ascii="宋体" w:hAnsi="宋体" w:cs="宋体"/>
                <w:sz w:val="22"/>
                <w:highlight w:val="none"/>
                <w:lang w:val="en-US" w:eastAsia="zh-CN"/>
              </w:rPr>
              <w:t>1</w:t>
            </w:r>
            <w:r>
              <w:rPr>
                <w:rFonts w:hint="default" w:ascii="宋体" w:hAnsi="宋体" w:eastAsia="宋体" w:cs="宋体"/>
                <w:sz w:val="22"/>
                <w:highlight w:val="none"/>
                <w:lang w:val="en-US" w:eastAsia="zh-CN"/>
              </w:rPr>
              <w:t>分，</w:t>
            </w:r>
            <w:r>
              <w:rPr>
                <w:rFonts w:hint="eastAsia" w:ascii="宋体" w:hAnsi="宋体" w:cs="宋体"/>
                <w:sz w:val="22"/>
                <w:highlight w:val="none"/>
                <w:lang w:val="en-US" w:eastAsia="zh-CN"/>
              </w:rPr>
              <w:t>本项</w:t>
            </w:r>
            <w:r>
              <w:rPr>
                <w:rFonts w:hint="default" w:ascii="宋体" w:hAnsi="宋体" w:eastAsia="宋体" w:cs="宋体"/>
                <w:sz w:val="22"/>
                <w:highlight w:val="none"/>
                <w:lang w:val="en-US" w:eastAsia="zh-CN"/>
              </w:rPr>
              <w:t>最高得4分。</w:t>
            </w:r>
          </w:p>
          <w:p>
            <w:pPr>
              <w:spacing w:line="300" w:lineRule="exact"/>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2.</w:t>
            </w:r>
            <w:r>
              <w:rPr>
                <w:rFonts w:hint="default" w:ascii="宋体" w:hAnsi="宋体" w:eastAsia="宋体" w:cs="宋体"/>
                <w:sz w:val="22"/>
                <w:highlight w:val="none"/>
                <w:lang w:val="en-US" w:eastAsia="zh-CN"/>
              </w:rPr>
              <w:t>项目组成员（</w:t>
            </w:r>
            <w:r>
              <w:rPr>
                <w:rFonts w:hint="eastAsia" w:ascii="宋体" w:hAnsi="宋体" w:cs="宋体"/>
                <w:sz w:val="22"/>
                <w:highlight w:val="none"/>
                <w:lang w:val="en-US" w:eastAsia="zh-CN"/>
              </w:rPr>
              <w:t>除</w:t>
            </w:r>
            <w:r>
              <w:rPr>
                <w:rFonts w:hint="default" w:ascii="宋体" w:hAnsi="宋体" w:eastAsia="宋体" w:cs="宋体"/>
                <w:sz w:val="22"/>
                <w:highlight w:val="none"/>
                <w:lang w:val="en-US" w:eastAsia="zh-CN"/>
              </w:rPr>
              <w:t>项目负责人</w:t>
            </w:r>
            <w:r>
              <w:rPr>
                <w:rFonts w:hint="eastAsia" w:ascii="宋体" w:hAnsi="宋体" w:cs="宋体"/>
                <w:sz w:val="22"/>
                <w:highlight w:val="none"/>
                <w:lang w:val="en-US" w:eastAsia="zh-CN"/>
              </w:rPr>
              <w:t>外</w:t>
            </w:r>
            <w:r>
              <w:rPr>
                <w:rFonts w:hint="default" w:ascii="宋体" w:hAnsi="宋体" w:eastAsia="宋体" w:cs="宋体"/>
                <w:sz w:val="22"/>
                <w:highlight w:val="none"/>
                <w:lang w:val="en-US" w:eastAsia="zh-CN"/>
              </w:rPr>
              <w:t>）获得优秀咨询成果奖或水利类科技创新奖，县级每项0.5分，</w:t>
            </w:r>
            <w:r>
              <w:rPr>
                <w:rFonts w:hint="eastAsia" w:ascii="宋体" w:hAnsi="宋体" w:cs="宋体"/>
                <w:sz w:val="22"/>
                <w:highlight w:val="none"/>
                <w:lang w:val="en-US" w:eastAsia="zh-CN"/>
              </w:rPr>
              <w:t>地</w:t>
            </w:r>
            <w:r>
              <w:rPr>
                <w:rFonts w:hint="default" w:ascii="宋体" w:hAnsi="宋体" w:eastAsia="宋体" w:cs="宋体"/>
                <w:sz w:val="22"/>
                <w:highlight w:val="none"/>
                <w:lang w:val="en-US" w:eastAsia="zh-CN"/>
              </w:rPr>
              <w:t>市（局）级每项1分，省（厅）级每项2分，</w:t>
            </w:r>
            <w:r>
              <w:rPr>
                <w:rFonts w:hint="eastAsia" w:ascii="宋体" w:hAnsi="宋体" w:cs="宋体"/>
                <w:sz w:val="22"/>
                <w:highlight w:val="none"/>
                <w:lang w:val="en-US" w:eastAsia="zh-CN"/>
              </w:rPr>
              <w:t>本项</w:t>
            </w:r>
            <w:r>
              <w:rPr>
                <w:rFonts w:hint="default" w:ascii="宋体" w:hAnsi="宋体" w:eastAsia="宋体" w:cs="宋体"/>
                <w:sz w:val="22"/>
                <w:highlight w:val="none"/>
                <w:lang w:val="en-US" w:eastAsia="zh-CN"/>
              </w:rPr>
              <w:t>最高得6分。</w:t>
            </w:r>
          </w:p>
          <w:p>
            <w:pPr>
              <w:spacing w:line="300" w:lineRule="exact"/>
              <w:rPr>
                <w:rFonts w:ascii="宋体" w:hAnsi="宋体" w:cs="宋体"/>
                <w:b/>
                <w:bCs/>
                <w:sz w:val="22"/>
                <w:highlight w:val="none"/>
              </w:rPr>
            </w:pPr>
            <w:r>
              <w:rPr>
                <w:rFonts w:hint="eastAsia" w:ascii="宋体" w:hAnsi="宋体" w:cs="宋体"/>
                <w:b/>
                <w:bCs/>
                <w:sz w:val="22"/>
                <w:highlight w:val="none"/>
              </w:rPr>
              <w:t>注</w:t>
            </w:r>
            <w:r>
              <w:rPr>
                <w:rFonts w:hint="eastAsia" w:ascii="宋体" w:hAnsi="宋体" w:cs="宋体"/>
                <w:b/>
                <w:bCs/>
                <w:sz w:val="22"/>
                <w:highlight w:val="none"/>
                <w:lang w:eastAsia="zh-CN"/>
              </w:rPr>
              <w:t>：</w:t>
            </w:r>
            <w:r>
              <w:rPr>
                <w:rFonts w:hint="eastAsia" w:ascii="宋体" w:hAnsi="宋体" w:cs="宋体"/>
                <w:b/>
                <w:bCs/>
                <w:color w:val="FF0000"/>
                <w:sz w:val="22"/>
                <w:szCs w:val="20"/>
                <w:highlight w:val="none"/>
              </w:rPr>
              <w:t>上述人员不可重复。</w:t>
            </w:r>
          </w:p>
          <w:p>
            <w:pPr>
              <w:spacing w:line="300" w:lineRule="exact"/>
              <w:rPr>
                <w:rFonts w:ascii="宋体" w:hAnsi="宋体" w:eastAsia="宋体" w:cs="宋体"/>
                <w:kern w:val="2"/>
                <w:sz w:val="22"/>
                <w:szCs w:val="20"/>
                <w:highlight w:val="none"/>
                <w:lang w:val="en-US" w:eastAsia="zh-CN" w:bidi="ar-SA"/>
              </w:rPr>
            </w:pPr>
            <w:r>
              <w:rPr>
                <w:rFonts w:hint="eastAsia" w:ascii="宋体" w:hAnsi="宋体" w:cs="宋体"/>
                <w:sz w:val="22"/>
                <w:highlight w:val="none"/>
              </w:rPr>
              <w:t>（</w:t>
            </w:r>
            <w:r>
              <w:rPr>
                <w:rFonts w:hint="eastAsia" w:ascii="宋体" w:hAnsi="宋体" w:cs="宋体"/>
                <w:b/>
                <w:bCs/>
                <w:sz w:val="22"/>
                <w:highlight w:val="none"/>
              </w:rPr>
              <w:t>本项评分须同时提供相关证书复印件</w:t>
            </w:r>
            <w:r>
              <w:rPr>
                <w:rFonts w:hint="eastAsia" w:ascii="宋体" w:hAnsi="宋体" w:cs="宋体"/>
                <w:b/>
                <w:bCs/>
                <w:sz w:val="22"/>
                <w:highlight w:val="none"/>
                <w:lang w:eastAsia="zh-CN"/>
              </w:rPr>
              <w:t>（或获奖或表彰证明材料）</w:t>
            </w:r>
            <w:r>
              <w:rPr>
                <w:rFonts w:hint="eastAsia" w:ascii="宋体" w:hAnsi="宋体" w:cs="宋体"/>
                <w:b/>
                <w:bCs/>
                <w:sz w:val="22"/>
                <w:highlight w:val="none"/>
              </w:rPr>
              <w:t>和投标截止时间前</w:t>
            </w:r>
            <w:r>
              <w:rPr>
                <w:rFonts w:hint="eastAsia" w:ascii="宋体" w:hAnsi="宋体" w:cs="宋体"/>
                <w:b/>
                <w:bCs/>
                <w:sz w:val="22"/>
                <w:highlight w:val="none"/>
                <w:lang w:val="en-US" w:eastAsia="zh-CN"/>
              </w:rPr>
              <w:t>3</w:t>
            </w:r>
            <w:r>
              <w:rPr>
                <w:rFonts w:hint="eastAsia" w:ascii="宋体" w:hAnsi="宋体" w:cs="宋体"/>
                <w:b/>
                <w:bCs/>
                <w:sz w:val="22"/>
                <w:highlight w:val="none"/>
              </w:rPr>
              <w:t>个月内的代缴个税税单或参加社会保险的《投保单》或《社会保险参保人员证明》等证明，投标文件中需提供相关清晰可辨复印件，否则不得分。</w:t>
            </w:r>
            <w:r>
              <w:rPr>
                <w:rFonts w:hint="eastAsia" w:ascii="宋体" w:hAnsi="宋体" w:cs="宋体"/>
                <w:b/>
                <w:bCs/>
                <w:sz w:val="22"/>
                <w:highlight w:val="none"/>
                <w:lang w:eastAsia="zh-CN"/>
              </w:rPr>
              <w:t>证书材料须体现相关人员名称，如无法体现，须提供能体现相关人员名称并加盖成果资料业主方公章的证明材料。</w:t>
            </w:r>
            <w:r>
              <w:rPr>
                <w:rFonts w:hint="eastAsia" w:ascii="宋体" w:hAnsi="宋体" w:cs="宋体"/>
                <w:sz w:val="22"/>
                <w:highlight w:val="none"/>
              </w:rPr>
              <w:t>）</w:t>
            </w:r>
          </w:p>
        </w:tc>
        <w:tc>
          <w:tcPr>
            <w:tcW w:w="665" w:type="dxa"/>
          </w:tcPr>
          <w:p>
            <w:pPr>
              <w:pStyle w:val="14"/>
              <w:spacing w:before="120" w:after="120" w:line="480" w:lineRule="auto"/>
              <w:jc w:val="center"/>
              <w:rPr>
                <w:rFonts w:hAnsi="宋体"/>
                <w:b/>
                <w:sz w:val="18"/>
                <w:szCs w:val="18"/>
                <w:highlight w:val="none"/>
              </w:rPr>
            </w:pPr>
            <w:bookmarkStart w:id="21" w:name="_GoBack"/>
            <w:bookmarkEnd w:id="21"/>
          </w:p>
        </w:tc>
        <w:tc>
          <w:tcPr>
            <w:tcW w:w="994" w:type="dxa"/>
          </w:tcPr>
          <w:p>
            <w:pPr>
              <w:pStyle w:val="14"/>
              <w:spacing w:before="120" w:after="120" w:line="480" w:lineRule="auto"/>
              <w:jc w:val="center"/>
              <w:rPr>
                <w:rFonts w:hAnsi="宋体"/>
                <w:b/>
                <w:sz w:val="18"/>
                <w:szCs w:val="18"/>
                <w:highlight w:val="none"/>
              </w:rPr>
            </w:pPr>
          </w:p>
        </w:tc>
      </w:tr>
    </w:tbl>
    <w:p>
      <w:pPr>
        <w:spacing w:line="500" w:lineRule="exact"/>
        <w:jc w:val="left"/>
        <w:textAlignment w:val="baseline"/>
        <w:rPr>
          <w:rFonts w:hAnsi="宋体"/>
          <w:sz w:val="24"/>
          <w:highlight w:val="none"/>
        </w:rPr>
      </w:pPr>
      <w:r>
        <w:rPr>
          <w:rFonts w:hint="eastAsia" w:hAnsi="宋体"/>
          <w:sz w:val="24"/>
          <w:highlight w:val="none"/>
        </w:rPr>
        <w:t>投标人全称（盖章）：</w:t>
      </w:r>
    </w:p>
    <w:p>
      <w:pPr>
        <w:spacing w:line="500" w:lineRule="exact"/>
        <w:textAlignment w:val="baseline"/>
        <w:rPr>
          <w:rFonts w:hAnsi="宋体"/>
          <w:sz w:val="24"/>
          <w:highlight w:val="none"/>
        </w:rPr>
      </w:pPr>
      <w:r>
        <w:rPr>
          <w:rFonts w:hint="eastAsia" w:hAnsi="宋体" w:cs="仿宋_GB2312"/>
          <w:sz w:val="24"/>
          <w:highlight w:val="none"/>
        </w:rPr>
        <w:t>法定代表人或</w:t>
      </w:r>
      <w:r>
        <w:rPr>
          <w:rFonts w:hint="eastAsia" w:hAnsi="宋体"/>
          <w:sz w:val="24"/>
          <w:highlight w:val="none"/>
        </w:rPr>
        <w:t>委托代理人（盖章或签字）：</w:t>
      </w:r>
      <w:r>
        <w:rPr>
          <w:rFonts w:hAnsi="宋体"/>
          <w:sz w:val="24"/>
          <w:highlight w:val="none"/>
        </w:rPr>
        <w:t xml:space="preserve">                 </w:t>
      </w:r>
    </w:p>
    <w:p>
      <w:pPr>
        <w:spacing w:line="500" w:lineRule="exact"/>
        <w:textAlignment w:val="baseline"/>
        <w:rPr>
          <w:rFonts w:hAnsi="宋体"/>
          <w:sz w:val="24"/>
          <w:highlight w:val="none"/>
        </w:rPr>
      </w:pPr>
      <w:r>
        <w:rPr>
          <w:rFonts w:hint="eastAsia" w:hAnsi="宋体"/>
          <w:sz w:val="24"/>
          <w:highlight w:val="none"/>
        </w:rPr>
        <w:t>日</w:t>
      </w:r>
      <w:r>
        <w:rPr>
          <w:rFonts w:hAnsi="宋体"/>
          <w:sz w:val="24"/>
          <w:highlight w:val="none"/>
        </w:rPr>
        <w:t xml:space="preserve">    </w:t>
      </w:r>
      <w:r>
        <w:rPr>
          <w:rFonts w:hint="eastAsia" w:hAnsi="宋体"/>
          <w:sz w:val="24"/>
          <w:highlight w:val="none"/>
        </w:rPr>
        <w:t>期：</w:t>
      </w:r>
      <w:r>
        <w:rPr>
          <w:rFonts w:hAnsi="宋体"/>
          <w:sz w:val="24"/>
          <w:highlight w:val="none"/>
        </w:rPr>
        <w:t xml:space="preserve">  </w:t>
      </w:r>
    </w:p>
    <w:p>
      <w:pPr>
        <w:rPr>
          <w:rFonts w:ascii="宋体" w:cs="宋体"/>
          <w:b/>
          <w:bCs/>
          <w:sz w:val="24"/>
          <w:highlight w:val="none"/>
        </w:rPr>
      </w:pPr>
      <w:r>
        <w:rPr>
          <w:rFonts w:ascii="宋体" w:cs="宋体"/>
          <w:b/>
          <w:bCs/>
          <w:sz w:val="24"/>
          <w:highlight w:val="none"/>
        </w:rPr>
        <w:br w:type="page"/>
      </w:r>
    </w:p>
    <w:p>
      <w:pPr>
        <w:spacing w:line="500" w:lineRule="exact"/>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2</w:t>
      </w:r>
      <w:r>
        <w:rPr>
          <w:rFonts w:hint="eastAsia" w:ascii="宋体" w:hAnsi="宋体" w:cs="宋体"/>
          <w:b/>
          <w:bCs/>
          <w:sz w:val="24"/>
          <w:highlight w:val="none"/>
        </w:rPr>
        <w:t>：</w:t>
      </w:r>
    </w:p>
    <w:p>
      <w:pPr>
        <w:pStyle w:val="64"/>
        <w:spacing w:line="360" w:lineRule="auto"/>
        <w:jc w:val="center"/>
        <w:rPr>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r>
        <w:rPr>
          <w:rFonts w:hint="eastAsia" w:ascii="宋体" w:hAnsi="宋体" w:cs="宋体"/>
          <w:b/>
          <w:bCs/>
          <w:spacing w:val="21"/>
          <w:kern w:val="0"/>
          <w:sz w:val="32"/>
          <w:szCs w:val="32"/>
          <w:highlight w:val="none"/>
        </w:rPr>
        <w:t>证书一览表</w:t>
      </w:r>
    </w:p>
    <w:tbl>
      <w:tblPr>
        <w:tblStyle w:val="25"/>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17"/>
        <w:gridCol w:w="941"/>
        <w:gridCol w:w="1158"/>
        <w:gridCol w:w="1469"/>
        <w:gridCol w:w="364"/>
        <w:gridCol w:w="1258"/>
        <w:gridCol w:w="576"/>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617" w:type="dxa"/>
            <w:tcBorders>
              <w:top w:val="single" w:color="000000" w:sz="12" w:space="0"/>
            </w:tcBorders>
            <w:vAlign w:val="center"/>
          </w:tcPr>
          <w:p>
            <w:pPr>
              <w:pStyle w:val="76"/>
              <w:ind w:firstLine="315"/>
              <w:rPr>
                <w:color w:val="auto"/>
                <w:sz w:val="21"/>
                <w:highlight w:val="none"/>
              </w:rPr>
            </w:pPr>
            <w:r>
              <w:rPr>
                <w:rFonts w:hint="eastAsia"/>
                <w:color w:val="auto"/>
                <w:sz w:val="21"/>
                <w:highlight w:val="none"/>
              </w:rPr>
              <w:t>投标人名称</w:t>
            </w:r>
          </w:p>
        </w:tc>
        <w:tc>
          <w:tcPr>
            <w:tcW w:w="7928" w:type="dxa"/>
            <w:gridSpan w:val="8"/>
            <w:tcBorders>
              <w:top w:val="single" w:color="000000" w:sz="12" w:space="0"/>
            </w:tcBorders>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617" w:type="dxa"/>
            <w:vAlign w:val="center"/>
          </w:tcPr>
          <w:p>
            <w:pPr>
              <w:pStyle w:val="76"/>
              <w:ind w:firstLine="315"/>
              <w:rPr>
                <w:color w:val="auto"/>
                <w:sz w:val="21"/>
                <w:highlight w:val="none"/>
              </w:rPr>
            </w:pPr>
            <w:r>
              <w:rPr>
                <w:rFonts w:hint="eastAsia"/>
                <w:color w:val="auto"/>
                <w:sz w:val="21"/>
                <w:highlight w:val="none"/>
              </w:rPr>
              <w:t>注册地址</w:t>
            </w:r>
          </w:p>
        </w:tc>
        <w:tc>
          <w:tcPr>
            <w:tcW w:w="3932" w:type="dxa"/>
            <w:gridSpan w:val="4"/>
            <w:vAlign w:val="center"/>
          </w:tcPr>
          <w:p>
            <w:pPr>
              <w:pStyle w:val="76"/>
              <w:ind w:firstLine="315"/>
              <w:rPr>
                <w:color w:val="auto"/>
                <w:sz w:val="21"/>
                <w:highlight w:val="none"/>
              </w:rPr>
            </w:pPr>
          </w:p>
        </w:tc>
        <w:tc>
          <w:tcPr>
            <w:tcW w:w="1258" w:type="dxa"/>
            <w:vAlign w:val="center"/>
          </w:tcPr>
          <w:p>
            <w:pPr>
              <w:pStyle w:val="76"/>
              <w:ind w:firstLineChars="0"/>
              <w:jc w:val="center"/>
              <w:rPr>
                <w:color w:val="auto"/>
                <w:sz w:val="21"/>
                <w:highlight w:val="none"/>
              </w:rPr>
            </w:pPr>
            <w:r>
              <w:rPr>
                <w:rFonts w:hint="eastAsia"/>
                <w:color w:val="auto"/>
                <w:sz w:val="21"/>
                <w:highlight w:val="none"/>
              </w:rPr>
              <w:t>邮政编码</w:t>
            </w:r>
          </w:p>
        </w:tc>
        <w:tc>
          <w:tcPr>
            <w:tcW w:w="2738" w:type="dxa"/>
            <w:gridSpan w:val="3"/>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617" w:type="dxa"/>
            <w:vMerge w:val="restart"/>
            <w:vAlign w:val="center"/>
          </w:tcPr>
          <w:p>
            <w:pPr>
              <w:pStyle w:val="76"/>
              <w:ind w:firstLine="315"/>
              <w:rPr>
                <w:color w:val="auto"/>
                <w:sz w:val="21"/>
                <w:highlight w:val="none"/>
              </w:rPr>
            </w:pPr>
            <w:r>
              <w:rPr>
                <w:rFonts w:hint="eastAsia"/>
                <w:color w:val="auto"/>
                <w:sz w:val="21"/>
                <w:highlight w:val="none"/>
              </w:rPr>
              <w:t>联系方式</w:t>
            </w:r>
          </w:p>
        </w:tc>
        <w:tc>
          <w:tcPr>
            <w:tcW w:w="941" w:type="dxa"/>
            <w:vAlign w:val="center"/>
          </w:tcPr>
          <w:p>
            <w:pPr>
              <w:pStyle w:val="76"/>
              <w:ind w:firstLine="0" w:firstLineChars="0"/>
              <w:jc w:val="center"/>
              <w:rPr>
                <w:color w:val="auto"/>
                <w:sz w:val="21"/>
                <w:highlight w:val="none"/>
              </w:rPr>
            </w:pPr>
            <w:r>
              <w:rPr>
                <w:rFonts w:hint="eastAsia"/>
                <w:color w:val="auto"/>
                <w:sz w:val="21"/>
                <w:highlight w:val="none"/>
              </w:rPr>
              <w:t>联系人</w:t>
            </w:r>
          </w:p>
        </w:tc>
        <w:tc>
          <w:tcPr>
            <w:tcW w:w="2991" w:type="dxa"/>
            <w:gridSpan w:val="3"/>
            <w:vAlign w:val="center"/>
          </w:tcPr>
          <w:p>
            <w:pPr>
              <w:pStyle w:val="76"/>
              <w:ind w:firstLine="315"/>
              <w:rPr>
                <w:color w:val="auto"/>
                <w:sz w:val="21"/>
                <w:highlight w:val="none"/>
              </w:rPr>
            </w:pPr>
          </w:p>
        </w:tc>
        <w:tc>
          <w:tcPr>
            <w:tcW w:w="1258" w:type="dxa"/>
            <w:vAlign w:val="center"/>
          </w:tcPr>
          <w:p>
            <w:pPr>
              <w:pStyle w:val="76"/>
              <w:ind w:firstLineChars="0"/>
              <w:jc w:val="center"/>
              <w:rPr>
                <w:color w:val="auto"/>
                <w:sz w:val="21"/>
                <w:highlight w:val="none"/>
              </w:rPr>
            </w:pPr>
            <w:r>
              <w:rPr>
                <w:rFonts w:hint="eastAsia"/>
                <w:color w:val="auto"/>
                <w:sz w:val="21"/>
                <w:highlight w:val="none"/>
              </w:rPr>
              <w:t>电</w:t>
            </w:r>
            <w:r>
              <w:rPr>
                <w:color w:val="auto"/>
                <w:sz w:val="21"/>
                <w:highlight w:val="none"/>
              </w:rPr>
              <w:t xml:space="preserve"> </w:t>
            </w:r>
            <w:r>
              <w:rPr>
                <w:rFonts w:hint="eastAsia"/>
                <w:color w:val="auto"/>
                <w:sz w:val="21"/>
                <w:highlight w:val="none"/>
              </w:rPr>
              <w:t>话</w:t>
            </w:r>
          </w:p>
        </w:tc>
        <w:tc>
          <w:tcPr>
            <w:tcW w:w="2738" w:type="dxa"/>
            <w:gridSpan w:val="3"/>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617" w:type="dxa"/>
            <w:vMerge w:val="continue"/>
            <w:vAlign w:val="center"/>
          </w:tcPr>
          <w:p>
            <w:pPr>
              <w:pStyle w:val="76"/>
              <w:ind w:firstLine="315"/>
              <w:jc w:val="center"/>
              <w:rPr>
                <w:color w:val="auto"/>
                <w:sz w:val="21"/>
                <w:highlight w:val="none"/>
              </w:rPr>
            </w:pPr>
          </w:p>
        </w:tc>
        <w:tc>
          <w:tcPr>
            <w:tcW w:w="941" w:type="dxa"/>
            <w:vAlign w:val="center"/>
          </w:tcPr>
          <w:p>
            <w:pPr>
              <w:pStyle w:val="76"/>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2991" w:type="dxa"/>
            <w:gridSpan w:val="3"/>
            <w:vAlign w:val="center"/>
          </w:tcPr>
          <w:p>
            <w:pPr>
              <w:pStyle w:val="76"/>
              <w:ind w:firstLine="315"/>
              <w:rPr>
                <w:color w:val="auto"/>
                <w:sz w:val="21"/>
                <w:highlight w:val="none"/>
              </w:rPr>
            </w:pPr>
          </w:p>
        </w:tc>
        <w:tc>
          <w:tcPr>
            <w:tcW w:w="1258" w:type="dxa"/>
            <w:vAlign w:val="center"/>
          </w:tcPr>
          <w:p>
            <w:pPr>
              <w:pStyle w:val="76"/>
              <w:ind w:firstLineChars="0"/>
              <w:jc w:val="center"/>
              <w:rPr>
                <w:color w:val="auto"/>
                <w:sz w:val="21"/>
                <w:highlight w:val="none"/>
              </w:rPr>
            </w:pPr>
            <w:r>
              <w:rPr>
                <w:rFonts w:hint="eastAsia"/>
                <w:color w:val="auto"/>
                <w:sz w:val="21"/>
                <w:highlight w:val="none"/>
              </w:rPr>
              <w:t>电子邮件</w:t>
            </w:r>
          </w:p>
        </w:tc>
        <w:tc>
          <w:tcPr>
            <w:tcW w:w="2738" w:type="dxa"/>
            <w:gridSpan w:val="3"/>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617" w:type="dxa"/>
            <w:vAlign w:val="center"/>
          </w:tcPr>
          <w:p>
            <w:pPr>
              <w:pStyle w:val="76"/>
              <w:ind w:firstLine="315"/>
              <w:rPr>
                <w:color w:val="auto"/>
                <w:sz w:val="21"/>
                <w:highlight w:val="none"/>
              </w:rPr>
            </w:pPr>
            <w:r>
              <w:rPr>
                <w:rFonts w:hint="eastAsia"/>
                <w:color w:val="auto"/>
                <w:sz w:val="21"/>
                <w:highlight w:val="none"/>
              </w:rPr>
              <w:t>法定代表人</w:t>
            </w:r>
          </w:p>
        </w:tc>
        <w:tc>
          <w:tcPr>
            <w:tcW w:w="941" w:type="dxa"/>
            <w:vAlign w:val="center"/>
          </w:tcPr>
          <w:p>
            <w:pPr>
              <w:pStyle w:val="76"/>
              <w:ind w:firstLine="315"/>
              <w:rPr>
                <w:color w:val="auto"/>
                <w:sz w:val="21"/>
                <w:highlight w:val="none"/>
              </w:rPr>
            </w:pPr>
            <w:r>
              <w:rPr>
                <w:rFonts w:hint="eastAsia"/>
                <w:color w:val="auto"/>
                <w:sz w:val="21"/>
                <w:highlight w:val="none"/>
              </w:rPr>
              <w:t>姓名</w:t>
            </w:r>
          </w:p>
        </w:tc>
        <w:tc>
          <w:tcPr>
            <w:tcW w:w="1158" w:type="dxa"/>
            <w:vAlign w:val="center"/>
          </w:tcPr>
          <w:p>
            <w:pPr>
              <w:pStyle w:val="76"/>
              <w:ind w:firstLine="315"/>
              <w:rPr>
                <w:color w:val="auto"/>
                <w:sz w:val="21"/>
                <w:highlight w:val="none"/>
              </w:rPr>
            </w:pPr>
          </w:p>
        </w:tc>
        <w:tc>
          <w:tcPr>
            <w:tcW w:w="1469" w:type="dxa"/>
            <w:vAlign w:val="center"/>
          </w:tcPr>
          <w:p>
            <w:pPr>
              <w:pStyle w:val="76"/>
              <w:ind w:firstLine="315"/>
              <w:rPr>
                <w:color w:val="auto"/>
                <w:sz w:val="21"/>
                <w:highlight w:val="none"/>
              </w:rPr>
            </w:pPr>
            <w:r>
              <w:rPr>
                <w:rFonts w:hint="eastAsia"/>
                <w:color w:val="auto"/>
                <w:sz w:val="21"/>
                <w:highlight w:val="none"/>
              </w:rPr>
              <w:t>技术职称</w:t>
            </w:r>
          </w:p>
        </w:tc>
        <w:tc>
          <w:tcPr>
            <w:tcW w:w="2198" w:type="dxa"/>
            <w:gridSpan w:val="3"/>
            <w:vAlign w:val="center"/>
          </w:tcPr>
          <w:p>
            <w:pPr>
              <w:pStyle w:val="76"/>
              <w:ind w:firstLine="315"/>
              <w:rPr>
                <w:color w:val="auto"/>
                <w:sz w:val="21"/>
                <w:highlight w:val="none"/>
              </w:rPr>
            </w:pPr>
          </w:p>
        </w:tc>
        <w:tc>
          <w:tcPr>
            <w:tcW w:w="1003" w:type="dxa"/>
            <w:vAlign w:val="center"/>
          </w:tcPr>
          <w:p>
            <w:pPr>
              <w:pStyle w:val="76"/>
              <w:ind w:firstLine="315"/>
              <w:rPr>
                <w:color w:val="auto"/>
                <w:sz w:val="21"/>
                <w:highlight w:val="none"/>
              </w:rPr>
            </w:pPr>
            <w:r>
              <w:rPr>
                <w:rFonts w:hint="eastAsia"/>
                <w:color w:val="auto"/>
                <w:sz w:val="21"/>
                <w:highlight w:val="none"/>
              </w:rPr>
              <w:t>电话</w:t>
            </w:r>
          </w:p>
        </w:tc>
        <w:tc>
          <w:tcPr>
            <w:tcW w:w="1159" w:type="dxa"/>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617" w:type="dxa"/>
            <w:vAlign w:val="center"/>
          </w:tcPr>
          <w:p>
            <w:pPr>
              <w:pStyle w:val="76"/>
              <w:ind w:firstLine="315"/>
              <w:rPr>
                <w:color w:val="auto"/>
                <w:sz w:val="21"/>
                <w:highlight w:val="none"/>
              </w:rPr>
            </w:pPr>
            <w:r>
              <w:rPr>
                <w:rFonts w:hint="eastAsia"/>
                <w:color w:val="auto"/>
                <w:sz w:val="21"/>
                <w:highlight w:val="none"/>
              </w:rPr>
              <w:t>技术负责人</w:t>
            </w:r>
          </w:p>
        </w:tc>
        <w:tc>
          <w:tcPr>
            <w:tcW w:w="941" w:type="dxa"/>
            <w:vAlign w:val="center"/>
          </w:tcPr>
          <w:p>
            <w:pPr>
              <w:pStyle w:val="76"/>
              <w:ind w:firstLine="315"/>
              <w:rPr>
                <w:color w:val="auto"/>
                <w:sz w:val="21"/>
                <w:highlight w:val="none"/>
              </w:rPr>
            </w:pPr>
            <w:r>
              <w:rPr>
                <w:rFonts w:hint="eastAsia"/>
                <w:color w:val="auto"/>
                <w:sz w:val="21"/>
                <w:highlight w:val="none"/>
              </w:rPr>
              <w:t>姓名</w:t>
            </w:r>
          </w:p>
        </w:tc>
        <w:tc>
          <w:tcPr>
            <w:tcW w:w="1158" w:type="dxa"/>
            <w:vAlign w:val="center"/>
          </w:tcPr>
          <w:p>
            <w:pPr>
              <w:pStyle w:val="76"/>
              <w:ind w:firstLine="315"/>
              <w:rPr>
                <w:color w:val="auto"/>
                <w:sz w:val="21"/>
                <w:highlight w:val="none"/>
              </w:rPr>
            </w:pPr>
          </w:p>
        </w:tc>
        <w:tc>
          <w:tcPr>
            <w:tcW w:w="1469" w:type="dxa"/>
            <w:vAlign w:val="center"/>
          </w:tcPr>
          <w:p>
            <w:pPr>
              <w:pStyle w:val="76"/>
              <w:ind w:firstLine="315"/>
              <w:rPr>
                <w:color w:val="auto"/>
                <w:sz w:val="21"/>
                <w:highlight w:val="none"/>
              </w:rPr>
            </w:pPr>
            <w:r>
              <w:rPr>
                <w:rFonts w:hint="eastAsia"/>
                <w:color w:val="auto"/>
                <w:sz w:val="21"/>
                <w:highlight w:val="none"/>
              </w:rPr>
              <w:t>技术职称</w:t>
            </w:r>
          </w:p>
        </w:tc>
        <w:tc>
          <w:tcPr>
            <w:tcW w:w="2198" w:type="dxa"/>
            <w:gridSpan w:val="3"/>
            <w:vAlign w:val="center"/>
          </w:tcPr>
          <w:p>
            <w:pPr>
              <w:pStyle w:val="76"/>
              <w:ind w:firstLine="315"/>
              <w:rPr>
                <w:color w:val="auto"/>
                <w:sz w:val="21"/>
                <w:highlight w:val="none"/>
              </w:rPr>
            </w:pPr>
          </w:p>
        </w:tc>
        <w:tc>
          <w:tcPr>
            <w:tcW w:w="1003" w:type="dxa"/>
            <w:vAlign w:val="center"/>
          </w:tcPr>
          <w:p>
            <w:pPr>
              <w:pStyle w:val="76"/>
              <w:ind w:firstLine="315"/>
              <w:rPr>
                <w:color w:val="auto"/>
                <w:sz w:val="21"/>
                <w:highlight w:val="none"/>
              </w:rPr>
            </w:pPr>
            <w:r>
              <w:rPr>
                <w:rFonts w:hint="eastAsia"/>
                <w:color w:val="auto"/>
                <w:sz w:val="21"/>
                <w:highlight w:val="none"/>
              </w:rPr>
              <w:t>电话</w:t>
            </w:r>
          </w:p>
        </w:tc>
        <w:tc>
          <w:tcPr>
            <w:tcW w:w="1159" w:type="dxa"/>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617" w:type="dxa"/>
            <w:vAlign w:val="center"/>
          </w:tcPr>
          <w:p>
            <w:pPr>
              <w:pStyle w:val="76"/>
              <w:ind w:firstLine="315"/>
              <w:rPr>
                <w:color w:val="auto"/>
                <w:sz w:val="21"/>
                <w:highlight w:val="none"/>
              </w:rPr>
            </w:pPr>
            <w:r>
              <w:rPr>
                <w:rFonts w:hint="eastAsia"/>
                <w:color w:val="auto"/>
                <w:sz w:val="21"/>
                <w:highlight w:val="none"/>
              </w:rPr>
              <w:t>成立时间</w:t>
            </w:r>
          </w:p>
        </w:tc>
        <w:tc>
          <w:tcPr>
            <w:tcW w:w="2099" w:type="dxa"/>
            <w:gridSpan w:val="2"/>
            <w:vAlign w:val="center"/>
          </w:tcPr>
          <w:p>
            <w:pPr>
              <w:pStyle w:val="76"/>
              <w:ind w:firstLine="315"/>
              <w:rPr>
                <w:color w:val="auto"/>
                <w:sz w:val="21"/>
                <w:highlight w:val="none"/>
              </w:rPr>
            </w:pPr>
          </w:p>
        </w:tc>
        <w:tc>
          <w:tcPr>
            <w:tcW w:w="5829" w:type="dxa"/>
            <w:gridSpan w:val="6"/>
            <w:vAlign w:val="center"/>
          </w:tcPr>
          <w:p>
            <w:pPr>
              <w:pStyle w:val="76"/>
              <w:ind w:firstLine="315"/>
              <w:rPr>
                <w:color w:val="auto"/>
                <w:sz w:val="21"/>
                <w:highlight w:val="none"/>
              </w:rPr>
            </w:pPr>
            <w:r>
              <w:rPr>
                <w:rFonts w:hint="eastAsia"/>
                <w:color w:val="auto"/>
                <w:sz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617" w:type="dxa"/>
            <w:vAlign w:val="center"/>
          </w:tcPr>
          <w:p>
            <w:pPr>
              <w:pStyle w:val="76"/>
              <w:ind w:firstLine="315"/>
              <w:rPr>
                <w:color w:val="auto"/>
                <w:sz w:val="21"/>
                <w:highlight w:val="none"/>
              </w:rPr>
            </w:pPr>
            <w:r>
              <w:rPr>
                <w:rFonts w:hint="eastAsia"/>
                <w:color w:val="auto"/>
                <w:sz w:val="21"/>
                <w:highlight w:val="none"/>
              </w:rPr>
              <w:t>企业资质</w:t>
            </w:r>
          </w:p>
        </w:tc>
        <w:tc>
          <w:tcPr>
            <w:tcW w:w="2099" w:type="dxa"/>
            <w:gridSpan w:val="2"/>
            <w:vAlign w:val="center"/>
          </w:tcPr>
          <w:p>
            <w:pPr>
              <w:pStyle w:val="76"/>
              <w:ind w:firstLine="315"/>
              <w:rPr>
                <w:color w:val="auto"/>
                <w:sz w:val="21"/>
                <w:highlight w:val="none"/>
              </w:rPr>
            </w:pPr>
          </w:p>
        </w:tc>
        <w:tc>
          <w:tcPr>
            <w:tcW w:w="1469" w:type="dxa"/>
            <w:vMerge w:val="restart"/>
            <w:vAlign w:val="center"/>
          </w:tcPr>
          <w:p>
            <w:pPr>
              <w:pStyle w:val="76"/>
              <w:ind w:firstLine="315"/>
              <w:rPr>
                <w:color w:val="auto"/>
                <w:sz w:val="21"/>
                <w:highlight w:val="none"/>
              </w:rPr>
            </w:pPr>
            <w:r>
              <w:rPr>
                <w:rFonts w:hint="eastAsia"/>
                <w:color w:val="auto"/>
                <w:sz w:val="21"/>
                <w:highlight w:val="none"/>
              </w:rPr>
              <w:t>其中</w:t>
            </w:r>
          </w:p>
        </w:tc>
        <w:tc>
          <w:tcPr>
            <w:tcW w:w="2198" w:type="dxa"/>
            <w:gridSpan w:val="3"/>
            <w:vAlign w:val="center"/>
          </w:tcPr>
          <w:p>
            <w:pPr>
              <w:pStyle w:val="76"/>
              <w:ind w:firstLine="315"/>
              <w:rPr>
                <w:color w:val="auto"/>
                <w:sz w:val="21"/>
                <w:highlight w:val="none"/>
              </w:rPr>
            </w:pPr>
            <w:r>
              <w:rPr>
                <w:rFonts w:hint="eastAsia"/>
                <w:color w:val="auto"/>
                <w:sz w:val="21"/>
                <w:highlight w:val="none"/>
              </w:rPr>
              <w:t>项目负责人</w:t>
            </w:r>
          </w:p>
        </w:tc>
        <w:tc>
          <w:tcPr>
            <w:tcW w:w="2162" w:type="dxa"/>
            <w:gridSpan w:val="2"/>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617" w:type="dxa"/>
            <w:vAlign w:val="center"/>
          </w:tcPr>
          <w:p>
            <w:pPr>
              <w:pStyle w:val="76"/>
              <w:ind w:firstLine="315"/>
              <w:rPr>
                <w:color w:val="auto"/>
                <w:sz w:val="21"/>
                <w:highlight w:val="none"/>
              </w:rPr>
            </w:pPr>
            <w:r>
              <w:rPr>
                <w:rFonts w:hint="eastAsia"/>
                <w:color w:val="auto"/>
                <w:sz w:val="21"/>
                <w:highlight w:val="none"/>
              </w:rPr>
              <w:t>营业执照号</w:t>
            </w:r>
          </w:p>
        </w:tc>
        <w:tc>
          <w:tcPr>
            <w:tcW w:w="2099" w:type="dxa"/>
            <w:gridSpan w:val="2"/>
            <w:vAlign w:val="center"/>
          </w:tcPr>
          <w:p>
            <w:pPr>
              <w:pStyle w:val="76"/>
              <w:ind w:firstLine="315"/>
              <w:rPr>
                <w:color w:val="auto"/>
                <w:sz w:val="21"/>
                <w:highlight w:val="none"/>
              </w:rPr>
            </w:pPr>
          </w:p>
        </w:tc>
        <w:tc>
          <w:tcPr>
            <w:tcW w:w="1469" w:type="dxa"/>
            <w:vMerge w:val="continue"/>
            <w:vAlign w:val="center"/>
          </w:tcPr>
          <w:p>
            <w:pPr>
              <w:pStyle w:val="76"/>
              <w:ind w:firstLine="315"/>
              <w:rPr>
                <w:color w:val="auto"/>
                <w:sz w:val="21"/>
                <w:highlight w:val="none"/>
              </w:rPr>
            </w:pPr>
          </w:p>
        </w:tc>
        <w:tc>
          <w:tcPr>
            <w:tcW w:w="2198" w:type="dxa"/>
            <w:gridSpan w:val="3"/>
            <w:vAlign w:val="center"/>
          </w:tcPr>
          <w:p>
            <w:pPr>
              <w:pStyle w:val="76"/>
              <w:ind w:firstLine="315"/>
              <w:rPr>
                <w:color w:val="auto"/>
                <w:sz w:val="21"/>
                <w:highlight w:val="none"/>
              </w:rPr>
            </w:pPr>
            <w:r>
              <w:rPr>
                <w:rFonts w:hint="eastAsia"/>
                <w:color w:val="auto"/>
                <w:sz w:val="21"/>
                <w:highlight w:val="none"/>
              </w:rPr>
              <w:t>高级职称人员</w:t>
            </w:r>
          </w:p>
        </w:tc>
        <w:tc>
          <w:tcPr>
            <w:tcW w:w="2162" w:type="dxa"/>
            <w:gridSpan w:val="2"/>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617" w:type="dxa"/>
            <w:vAlign w:val="center"/>
          </w:tcPr>
          <w:p>
            <w:pPr>
              <w:pStyle w:val="76"/>
              <w:ind w:firstLine="315"/>
              <w:rPr>
                <w:color w:val="auto"/>
                <w:sz w:val="21"/>
                <w:highlight w:val="none"/>
              </w:rPr>
            </w:pPr>
            <w:r>
              <w:rPr>
                <w:rFonts w:hint="eastAsia"/>
                <w:color w:val="auto"/>
                <w:sz w:val="21"/>
                <w:highlight w:val="none"/>
              </w:rPr>
              <w:t>注册资金</w:t>
            </w:r>
          </w:p>
        </w:tc>
        <w:tc>
          <w:tcPr>
            <w:tcW w:w="2099" w:type="dxa"/>
            <w:gridSpan w:val="2"/>
            <w:vAlign w:val="center"/>
          </w:tcPr>
          <w:p>
            <w:pPr>
              <w:pStyle w:val="76"/>
              <w:ind w:firstLine="315"/>
              <w:rPr>
                <w:color w:val="auto"/>
                <w:sz w:val="21"/>
                <w:highlight w:val="none"/>
              </w:rPr>
            </w:pPr>
          </w:p>
        </w:tc>
        <w:tc>
          <w:tcPr>
            <w:tcW w:w="1469" w:type="dxa"/>
            <w:vMerge w:val="continue"/>
            <w:vAlign w:val="center"/>
          </w:tcPr>
          <w:p>
            <w:pPr>
              <w:pStyle w:val="76"/>
              <w:ind w:firstLine="315"/>
              <w:rPr>
                <w:color w:val="auto"/>
                <w:sz w:val="21"/>
                <w:highlight w:val="none"/>
              </w:rPr>
            </w:pPr>
          </w:p>
        </w:tc>
        <w:tc>
          <w:tcPr>
            <w:tcW w:w="2198" w:type="dxa"/>
            <w:gridSpan w:val="3"/>
            <w:vAlign w:val="center"/>
          </w:tcPr>
          <w:p>
            <w:pPr>
              <w:pStyle w:val="76"/>
              <w:ind w:firstLine="315"/>
              <w:rPr>
                <w:color w:val="auto"/>
                <w:sz w:val="21"/>
                <w:highlight w:val="none"/>
              </w:rPr>
            </w:pPr>
            <w:r>
              <w:rPr>
                <w:rFonts w:hint="eastAsia"/>
                <w:color w:val="auto"/>
                <w:sz w:val="21"/>
                <w:highlight w:val="none"/>
              </w:rPr>
              <w:t>中级职称人员</w:t>
            </w:r>
          </w:p>
        </w:tc>
        <w:tc>
          <w:tcPr>
            <w:tcW w:w="2162" w:type="dxa"/>
            <w:gridSpan w:val="2"/>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617" w:type="dxa"/>
            <w:vAlign w:val="center"/>
          </w:tcPr>
          <w:p>
            <w:pPr>
              <w:pStyle w:val="76"/>
              <w:ind w:firstLineChars="0"/>
              <w:jc w:val="center"/>
              <w:rPr>
                <w:color w:val="auto"/>
                <w:sz w:val="21"/>
                <w:highlight w:val="none"/>
              </w:rPr>
            </w:pPr>
            <w:r>
              <w:rPr>
                <w:rFonts w:hint="eastAsia"/>
                <w:color w:val="auto"/>
                <w:sz w:val="21"/>
                <w:highlight w:val="none"/>
              </w:rPr>
              <w:t>基本账户开户</w:t>
            </w:r>
          </w:p>
          <w:p>
            <w:pPr>
              <w:pStyle w:val="76"/>
              <w:ind w:firstLineChars="0"/>
              <w:jc w:val="center"/>
              <w:rPr>
                <w:color w:val="auto"/>
                <w:sz w:val="21"/>
                <w:highlight w:val="none"/>
              </w:rPr>
            </w:pPr>
            <w:r>
              <w:rPr>
                <w:rFonts w:hint="eastAsia"/>
                <w:color w:val="auto"/>
                <w:sz w:val="21"/>
                <w:highlight w:val="none"/>
              </w:rPr>
              <w:t>银行</w:t>
            </w:r>
          </w:p>
        </w:tc>
        <w:tc>
          <w:tcPr>
            <w:tcW w:w="2099" w:type="dxa"/>
            <w:gridSpan w:val="2"/>
            <w:vAlign w:val="center"/>
          </w:tcPr>
          <w:p>
            <w:pPr>
              <w:pStyle w:val="76"/>
              <w:ind w:firstLine="315"/>
              <w:rPr>
                <w:color w:val="auto"/>
                <w:sz w:val="21"/>
                <w:highlight w:val="none"/>
              </w:rPr>
            </w:pPr>
          </w:p>
        </w:tc>
        <w:tc>
          <w:tcPr>
            <w:tcW w:w="1469" w:type="dxa"/>
            <w:vMerge w:val="continue"/>
            <w:vAlign w:val="center"/>
          </w:tcPr>
          <w:p>
            <w:pPr>
              <w:pStyle w:val="76"/>
              <w:ind w:firstLine="315"/>
              <w:rPr>
                <w:color w:val="auto"/>
                <w:sz w:val="21"/>
                <w:highlight w:val="none"/>
              </w:rPr>
            </w:pPr>
          </w:p>
        </w:tc>
        <w:tc>
          <w:tcPr>
            <w:tcW w:w="2198" w:type="dxa"/>
            <w:gridSpan w:val="3"/>
            <w:vAlign w:val="center"/>
          </w:tcPr>
          <w:p>
            <w:pPr>
              <w:pStyle w:val="76"/>
              <w:ind w:firstLine="315"/>
              <w:rPr>
                <w:color w:val="auto"/>
                <w:sz w:val="21"/>
                <w:highlight w:val="none"/>
              </w:rPr>
            </w:pPr>
            <w:r>
              <w:rPr>
                <w:rFonts w:hint="eastAsia"/>
                <w:color w:val="auto"/>
                <w:sz w:val="21"/>
                <w:highlight w:val="none"/>
              </w:rPr>
              <w:t>初级职称人员</w:t>
            </w:r>
          </w:p>
        </w:tc>
        <w:tc>
          <w:tcPr>
            <w:tcW w:w="2162" w:type="dxa"/>
            <w:gridSpan w:val="2"/>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617" w:type="dxa"/>
            <w:vAlign w:val="center"/>
          </w:tcPr>
          <w:p>
            <w:pPr>
              <w:pStyle w:val="76"/>
              <w:ind w:firstLine="210" w:firstLineChars="100"/>
              <w:rPr>
                <w:color w:val="auto"/>
                <w:sz w:val="21"/>
                <w:highlight w:val="none"/>
              </w:rPr>
            </w:pPr>
            <w:r>
              <w:rPr>
                <w:rFonts w:hint="eastAsia"/>
                <w:color w:val="auto"/>
                <w:sz w:val="21"/>
                <w:highlight w:val="none"/>
              </w:rPr>
              <w:t>基本账户账号</w:t>
            </w:r>
          </w:p>
        </w:tc>
        <w:tc>
          <w:tcPr>
            <w:tcW w:w="2099" w:type="dxa"/>
            <w:gridSpan w:val="2"/>
            <w:vAlign w:val="center"/>
          </w:tcPr>
          <w:p>
            <w:pPr>
              <w:pStyle w:val="76"/>
              <w:ind w:firstLine="315"/>
              <w:rPr>
                <w:color w:val="auto"/>
                <w:sz w:val="21"/>
                <w:highlight w:val="none"/>
              </w:rPr>
            </w:pPr>
          </w:p>
        </w:tc>
        <w:tc>
          <w:tcPr>
            <w:tcW w:w="1469" w:type="dxa"/>
            <w:vMerge w:val="continue"/>
            <w:vAlign w:val="center"/>
          </w:tcPr>
          <w:p>
            <w:pPr>
              <w:pStyle w:val="76"/>
              <w:ind w:firstLine="315"/>
              <w:rPr>
                <w:color w:val="auto"/>
                <w:sz w:val="21"/>
                <w:highlight w:val="none"/>
              </w:rPr>
            </w:pPr>
          </w:p>
        </w:tc>
        <w:tc>
          <w:tcPr>
            <w:tcW w:w="2198" w:type="dxa"/>
            <w:gridSpan w:val="3"/>
            <w:vAlign w:val="center"/>
          </w:tcPr>
          <w:p>
            <w:pPr>
              <w:pStyle w:val="76"/>
              <w:ind w:firstLine="315"/>
              <w:rPr>
                <w:color w:val="auto"/>
                <w:sz w:val="21"/>
                <w:highlight w:val="none"/>
              </w:rPr>
            </w:pPr>
            <w:r>
              <w:rPr>
                <w:rFonts w:hint="eastAsia"/>
                <w:color w:val="auto"/>
                <w:sz w:val="21"/>
                <w:highlight w:val="none"/>
              </w:rPr>
              <w:t>其他</w:t>
            </w:r>
          </w:p>
        </w:tc>
        <w:tc>
          <w:tcPr>
            <w:tcW w:w="2162" w:type="dxa"/>
            <w:gridSpan w:val="2"/>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617" w:type="dxa"/>
            <w:vAlign w:val="center"/>
          </w:tcPr>
          <w:p>
            <w:pPr>
              <w:pStyle w:val="76"/>
              <w:ind w:firstLine="315"/>
              <w:rPr>
                <w:color w:val="auto"/>
                <w:sz w:val="21"/>
                <w:highlight w:val="none"/>
              </w:rPr>
            </w:pPr>
            <w:r>
              <w:rPr>
                <w:rFonts w:hint="eastAsia"/>
                <w:color w:val="auto"/>
                <w:sz w:val="21"/>
                <w:highlight w:val="none"/>
              </w:rPr>
              <w:t>经营范围</w:t>
            </w:r>
          </w:p>
        </w:tc>
        <w:tc>
          <w:tcPr>
            <w:tcW w:w="7928" w:type="dxa"/>
            <w:gridSpan w:val="8"/>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617" w:type="dxa"/>
            <w:vAlign w:val="center"/>
          </w:tcPr>
          <w:p>
            <w:pPr>
              <w:pStyle w:val="76"/>
              <w:ind w:firstLineChars="0"/>
              <w:jc w:val="center"/>
              <w:rPr>
                <w:color w:val="auto"/>
                <w:sz w:val="21"/>
                <w:highlight w:val="none"/>
              </w:rPr>
            </w:pPr>
            <w:r>
              <w:rPr>
                <w:rFonts w:hint="eastAsia"/>
                <w:color w:val="auto"/>
                <w:sz w:val="21"/>
                <w:highlight w:val="none"/>
              </w:rPr>
              <w:t>资产构成情况及投标人投资参股的关联企业情况</w:t>
            </w:r>
          </w:p>
        </w:tc>
        <w:tc>
          <w:tcPr>
            <w:tcW w:w="7928" w:type="dxa"/>
            <w:gridSpan w:val="8"/>
            <w:vAlign w:val="center"/>
          </w:tcPr>
          <w:p>
            <w:pPr>
              <w:pStyle w:val="76"/>
              <w:ind w:firstLine="315"/>
              <w:rPr>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617" w:type="dxa"/>
            <w:tcBorders>
              <w:bottom w:val="single" w:color="000000" w:sz="12" w:space="0"/>
            </w:tcBorders>
            <w:vAlign w:val="center"/>
          </w:tcPr>
          <w:p>
            <w:pPr>
              <w:pStyle w:val="76"/>
              <w:ind w:firstLine="315"/>
              <w:jc w:val="center"/>
              <w:rPr>
                <w:color w:val="auto"/>
                <w:sz w:val="21"/>
                <w:highlight w:val="none"/>
              </w:rPr>
            </w:pPr>
            <w:r>
              <w:rPr>
                <w:rFonts w:hint="eastAsia"/>
                <w:color w:val="auto"/>
                <w:sz w:val="21"/>
                <w:highlight w:val="none"/>
              </w:rPr>
              <w:t>备</w:t>
            </w:r>
            <w:r>
              <w:rPr>
                <w:color w:val="auto"/>
                <w:sz w:val="21"/>
                <w:highlight w:val="none"/>
              </w:rPr>
              <w:t xml:space="preserve">    </w:t>
            </w:r>
            <w:r>
              <w:rPr>
                <w:rFonts w:hint="eastAsia"/>
                <w:color w:val="auto"/>
                <w:sz w:val="21"/>
                <w:highlight w:val="none"/>
              </w:rPr>
              <w:t>注</w:t>
            </w:r>
          </w:p>
        </w:tc>
        <w:tc>
          <w:tcPr>
            <w:tcW w:w="7928" w:type="dxa"/>
            <w:gridSpan w:val="8"/>
            <w:tcBorders>
              <w:bottom w:val="single" w:color="000000" w:sz="12" w:space="0"/>
            </w:tcBorders>
            <w:vAlign w:val="center"/>
          </w:tcPr>
          <w:p>
            <w:pPr>
              <w:pStyle w:val="76"/>
              <w:ind w:firstLine="315"/>
              <w:rPr>
                <w:color w:val="auto"/>
                <w:sz w:val="21"/>
                <w:highlight w:val="none"/>
              </w:rPr>
            </w:pPr>
          </w:p>
        </w:tc>
      </w:tr>
    </w:tbl>
    <w:p>
      <w:pPr>
        <w:rPr>
          <w:rFonts w:hint="eastAsia" w:ascii="宋体" w:hAnsi="宋体" w:cs="宋体"/>
          <w:b/>
          <w:bCs/>
          <w:sz w:val="24"/>
          <w:szCs w:val="24"/>
          <w:highlight w:val="none"/>
        </w:rPr>
      </w:pPr>
      <w:r>
        <w:rPr>
          <w:rFonts w:hint="eastAsia" w:ascii="宋体" w:hAnsi="宋体" w:cs="宋体"/>
          <w:b/>
          <w:bCs/>
          <w:sz w:val="24"/>
          <w:szCs w:val="24"/>
          <w:highlight w:val="none"/>
        </w:rPr>
        <w:br w:type="page"/>
      </w:r>
    </w:p>
    <w:p>
      <w:pPr>
        <w:widowControl/>
        <w:jc w:val="left"/>
        <w:rPr>
          <w:rFonts w:ascii="宋体"/>
          <w:b/>
          <w:bCs/>
          <w:sz w:val="28"/>
          <w:szCs w:val="28"/>
          <w:highlight w:val="none"/>
        </w:rPr>
      </w:pPr>
      <w:r>
        <w:rPr>
          <w:rFonts w:hint="eastAsia" w:ascii="宋体" w:hAnsi="宋体" w:cs="宋体"/>
          <w:b/>
          <w:bCs/>
          <w:sz w:val="24"/>
          <w:szCs w:val="24"/>
          <w:highlight w:val="none"/>
        </w:rPr>
        <w:t>附件</w:t>
      </w:r>
      <w:r>
        <w:rPr>
          <w:rFonts w:ascii="宋体" w:hAnsi="宋体" w:cs="宋体"/>
          <w:b/>
          <w:bCs/>
          <w:sz w:val="24"/>
          <w:szCs w:val="24"/>
          <w:highlight w:val="none"/>
        </w:rPr>
        <w:t>3</w:t>
      </w:r>
      <w:r>
        <w:rPr>
          <w:rFonts w:hint="eastAsia" w:ascii="宋体" w:hAnsi="宋体" w:cs="宋体"/>
          <w:b/>
          <w:bCs/>
          <w:sz w:val="24"/>
          <w:szCs w:val="24"/>
          <w:highlight w:val="none"/>
        </w:rPr>
        <w:t>：</w:t>
      </w:r>
    </w:p>
    <w:p>
      <w:pPr>
        <w:pStyle w:val="64"/>
        <w:spacing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证书一览表</w:t>
      </w:r>
    </w:p>
    <w:tbl>
      <w:tblPr>
        <w:tblStyle w:val="25"/>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tcBorders>
          </w:tcPr>
          <w:p>
            <w:pPr>
              <w:pStyle w:val="64"/>
              <w:spacing w:line="360" w:lineRule="auto"/>
              <w:jc w:val="center"/>
              <w:rPr>
                <w:rFonts w:ascii="宋体"/>
                <w:b/>
                <w:bCs/>
                <w:sz w:val="24"/>
                <w:szCs w:val="24"/>
                <w:highlight w:val="none"/>
              </w:rPr>
            </w:pPr>
            <w:r>
              <w:rPr>
                <w:rFonts w:hint="eastAsia" w:ascii="宋体" w:hAnsi="宋体" w:cs="宋体"/>
                <w:b/>
                <w:bCs/>
                <w:sz w:val="24"/>
                <w:szCs w:val="24"/>
                <w:highlight w:val="none"/>
              </w:rPr>
              <w:t>证书名称</w:t>
            </w:r>
          </w:p>
        </w:tc>
        <w:tc>
          <w:tcPr>
            <w:tcW w:w="2388" w:type="dxa"/>
            <w:tcBorders>
              <w:top w:val="double" w:color="auto" w:sz="4" w:space="0"/>
            </w:tcBorders>
          </w:tcPr>
          <w:p>
            <w:pPr>
              <w:pStyle w:val="64"/>
              <w:spacing w:line="360" w:lineRule="auto"/>
              <w:jc w:val="center"/>
              <w:rPr>
                <w:rFonts w:ascii="宋体"/>
                <w:b/>
                <w:bCs/>
                <w:sz w:val="24"/>
                <w:szCs w:val="24"/>
                <w:highlight w:val="none"/>
              </w:rPr>
            </w:pPr>
            <w:r>
              <w:rPr>
                <w:rFonts w:hint="eastAsia" w:ascii="宋体" w:hAnsi="宋体" w:cs="宋体"/>
                <w:b/>
                <w:bCs/>
                <w:sz w:val="24"/>
                <w:szCs w:val="24"/>
                <w:highlight w:val="none"/>
              </w:rPr>
              <w:t>发证单位</w:t>
            </w:r>
          </w:p>
        </w:tc>
        <w:tc>
          <w:tcPr>
            <w:tcW w:w="2390" w:type="dxa"/>
            <w:tcBorders>
              <w:top w:val="double" w:color="auto" w:sz="4" w:space="0"/>
            </w:tcBorders>
          </w:tcPr>
          <w:p>
            <w:pPr>
              <w:pStyle w:val="64"/>
              <w:spacing w:line="360" w:lineRule="auto"/>
              <w:jc w:val="center"/>
              <w:rPr>
                <w:rFonts w:ascii="宋体"/>
                <w:b/>
                <w:bCs/>
                <w:sz w:val="24"/>
                <w:szCs w:val="24"/>
                <w:highlight w:val="none"/>
              </w:rPr>
            </w:pPr>
            <w:r>
              <w:rPr>
                <w:rFonts w:hint="eastAsia" w:ascii="宋体" w:hAnsi="宋体" w:cs="宋体"/>
                <w:b/>
                <w:bCs/>
                <w:sz w:val="24"/>
                <w:szCs w:val="24"/>
                <w:highlight w:val="none"/>
              </w:rPr>
              <w:t>证书等级</w:t>
            </w:r>
          </w:p>
        </w:tc>
        <w:tc>
          <w:tcPr>
            <w:tcW w:w="2165" w:type="dxa"/>
            <w:tcBorders>
              <w:top w:val="double" w:color="auto" w:sz="4" w:space="0"/>
            </w:tcBorders>
          </w:tcPr>
          <w:p>
            <w:pPr>
              <w:pStyle w:val="64"/>
              <w:spacing w:line="360" w:lineRule="auto"/>
              <w:jc w:val="center"/>
              <w:rPr>
                <w:rFonts w:ascii="宋体"/>
                <w:b/>
                <w:bCs/>
                <w:sz w:val="24"/>
                <w:szCs w:val="24"/>
                <w:highlight w:val="none"/>
              </w:rPr>
            </w:pPr>
            <w:r>
              <w:rPr>
                <w:rFonts w:hint="eastAsia" w:ascii="宋体" w:hAnsi="宋体" w:cs="宋体"/>
                <w:b/>
                <w:bCs/>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Pr>
          <w:p>
            <w:pPr>
              <w:pStyle w:val="64"/>
              <w:spacing w:line="360" w:lineRule="auto"/>
              <w:jc w:val="center"/>
              <w:rPr>
                <w:rFonts w:ascii="宋体"/>
                <w:highlight w:val="none"/>
              </w:rPr>
            </w:pPr>
          </w:p>
        </w:tc>
        <w:tc>
          <w:tcPr>
            <w:tcW w:w="2388" w:type="dxa"/>
          </w:tcPr>
          <w:p>
            <w:pPr>
              <w:pStyle w:val="64"/>
              <w:spacing w:line="360" w:lineRule="auto"/>
              <w:jc w:val="center"/>
              <w:rPr>
                <w:rFonts w:ascii="宋体"/>
                <w:highlight w:val="none"/>
              </w:rPr>
            </w:pPr>
          </w:p>
        </w:tc>
        <w:tc>
          <w:tcPr>
            <w:tcW w:w="2390" w:type="dxa"/>
          </w:tcPr>
          <w:p>
            <w:pPr>
              <w:pStyle w:val="64"/>
              <w:spacing w:line="360" w:lineRule="auto"/>
              <w:jc w:val="center"/>
              <w:rPr>
                <w:rFonts w:ascii="宋体"/>
                <w:highlight w:val="none"/>
              </w:rPr>
            </w:pPr>
          </w:p>
        </w:tc>
        <w:tc>
          <w:tcPr>
            <w:tcW w:w="2165" w:type="dxa"/>
          </w:tcPr>
          <w:p>
            <w:pPr>
              <w:pStyle w:val="64"/>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Pr>
          <w:p>
            <w:pPr>
              <w:pStyle w:val="64"/>
              <w:spacing w:line="360" w:lineRule="auto"/>
              <w:jc w:val="center"/>
              <w:rPr>
                <w:rFonts w:ascii="宋体"/>
                <w:highlight w:val="none"/>
              </w:rPr>
            </w:pPr>
          </w:p>
        </w:tc>
        <w:tc>
          <w:tcPr>
            <w:tcW w:w="2388" w:type="dxa"/>
          </w:tcPr>
          <w:p>
            <w:pPr>
              <w:pStyle w:val="64"/>
              <w:spacing w:line="360" w:lineRule="auto"/>
              <w:jc w:val="center"/>
              <w:rPr>
                <w:rFonts w:ascii="宋体"/>
                <w:highlight w:val="none"/>
              </w:rPr>
            </w:pPr>
          </w:p>
        </w:tc>
        <w:tc>
          <w:tcPr>
            <w:tcW w:w="2390" w:type="dxa"/>
          </w:tcPr>
          <w:p>
            <w:pPr>
              <w:pStyle w:val="64"/>
              <w:spacing w:line="360" w:lineRule="auto"/>
              <w:jc w:val="center"/>
              <w:rPr>
                <w:rFonts w:ascii="宋体"/>
                <w:highlight w:val="none"/>
              </w:rPr>
            </w:pPr>
          </w:p>
        </w:tc>
        <w:tc>
          <w:tcPr>
            <w:tcW w:w="2165" w:type="dxa"/>
          </w:tcPr>
          <w:p>
            <w:pPr>
              <w:pStyle w:val="64"/>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Pr>
          <w:p>
            <w:pPr>
              <w:pStyle w:val="64"/>
              <w:spacing w:line="360" w:lineRule="auto"/>
              <w:jc w:val="center"/>
              <w:rPr>
                <w:rFonts w:ascii="宋体"/>
                <w:highlight w:val="none"/>
              </w:rPr>
            </w:pPr>
          </w:p>
        </w:tc>
        <w:tc>
          <w:tcPr>
            <w:tcW w:w="2388" w:type="dxa"/>
          </w:tcPr>
          <w:p>
            <w:pPr>
              <w:pStyle w:val="64"/>
              <w:spacing w:line="360" w:lineRule="auto"/>
              <w:jc w:val="center"/>
              <w:rPr>
                <w:rFonts w:ascii="宋体"/>
                <w:highlight w:val="none"/>
              </w:rPr>
            </w:pPr>
          </w:p>
        </w:tc>
        <w:tc>
          <w:tcPr>
            <w:tcW w:w="2390" w:type="dxa"/>
          </w:tcPr>
          <w:p>
            <w:pPr>
              <w:pStyle w:val="64"/>
              <w:spacing w:line="360" w:lineRule="auto"/>
              <w:jc w:val="center"/>
              <w:rPr>
                <w:rFonts w:ascii="宋体"/>
                <w:highlight w:val="none"/>
              </w:rPr>
            </w:pPr>
          </w:p>
        </w:tc>
        <w:tc>
          <w:tcPr>
            <w:tcW w:w="2165" w:type="dxa"/>
          </w:tcPr>
          <w:p>
            <w:pPr>
              <w:pStyle w:val="64"/>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Pr>
          <w:p>
            <w:pPr>
              <w:pStyle w:val="64"/>
              <w:spacing w:line="360" w:lineRule="auto"/>
              <w:jc w:val="center"/>
              <w:rPr>
                <w:rFonts w:ascii="宋体"/>
                <w:highlight w:val="none"/>
              </w:rPr>
            </w:pPr>
          </w:p>
        </w:tc>
        <w:tc>
          <w:tcPr>
            <w:tcW w:w="2388" w:type="dxa"/>
          </w:tcPr>
          <w:p>
            <w:pPr>
              <w:pStyle w:val="64"/>
              <w:spacing w:line="360" w:lineRule="auto"/>
              <w:jc w:val="center"/>
              <w:rPr>
                <w:rFonts w:ascii="宋体"/>
                <w:highlight w:val="none"/>
              </w:rPr>
            </w:pPr>
          </w:p>
        </w:tc>
        <w:tc>
          <w:tcPr>
            <w:tcW w:w="2390" w:type="dxa"/>
          </w:tcPr>
          <w:p>
            <w:pPr>
              <w:pStyle w:val="64"/>
              <w:spacing w:line="360" w:lineRule="auto"/>
              <w:jc w:val="center"/>
              <w:rPr>
                <w:rFonts w:ascii="宋体"/>
                <w:highlight w:val="none"/>
              </w:rPr>
            </w:pPr>
          </w:p>
        </w:tc>
        <w:tc>
          <w:tcPr>
            <w:tcW w:w="2165" w:type="dxa"/>
          </w:tcPr>
          <w:p>
            <w:pPr>
              <w:pStyle w:val="64"/>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Pr>
          <w:p>
            <w:pPr>
              <w:pStyle w:val="64"/>
              <w:spacing w:line="360" w:lineRule="auto"/>
              <w:jc w:val="center"/>
              <w:rPr>
                <w:rFonts w:ascii="宋体"/>
                <w:highlight w:val="none"/>
              </w:rPr>
            </w:pPr>
          </w:p>
        </w:tc>
        <w:tc>
          <w:tcPr>
            <w:tcW w:w="2388" w:type="dxa"/>
          </w:tcPr>
          <w:p>
            <w:pPr>
              <w:pStyle w:val="64"/>
              <w:spacing w:line="360" w:lineRule="auto"/>
              <w:jc w:val="center"/>
              <w:rPr>
                <w:rFonts w:ascii="宋体"/>
                <w:highlight w:val="none"/>
              </w:rPr>
            </w:pPr>
          </w:p>
        </w:tc>
        <w:tc>
          <w:tcPr>
            <w:tcW w:w="2390" w:type="dxa"/>
          </w:tcPr>
          <w:p>
            <w:pPr>
              <w:pStyle w:val="64"/>
              <w:spacing w:line="360" w:lineRule="auto"/>
              <w:jc w:val="center"/>
              <w:rPr>
                <w:rFonts w:ascii="宋体"/>
                <w:highlight w:val="none"/>
              </w:rPr>
            </w:pPr>
          </w:p>
        </w:tc>
        <w:tc>
          <w:tcPr>
            <w:tcW w:w="2165" w:type="dxa"/>
          </w:tcPr>
          <w:p>
            <w:pPr>
              <w:pStyle w:val="64"/>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Pr>
          <w:p>
            <w:pPr>
              <w:pStyle w:val="64"/>
              <w:spacing w:line="360" w:lineRule="auto"/>
              <w:jc w:val="center"/>
              <w:rPr>
                <w:rFonts w:ascii="宋体"/>
                <w:highlight w:val="none"/>
              </w:rPr>
            </w:pPr>
          </w:p>
        </w:tc>
        <w:tc>
          <w:tcPr>
            <w:tcW w:w="2388" w:type="dxa"/>
          </w:tcPr>
          <w:p>
            <w:pPr>
              <w:pStyle w:val="64"/>
              <w:spacing w:line="360" w:lineRule="auto"/>
              <w:jc w:val="center"/>
              <w:rPr>
                <w:rFonts w:ascii="宋体"/>
                <w:highlight w:val="none"/>
              </w:rPr>
            </w:pPr>
          </w:p>
        </w:tc>
        <w:tc>
          <w:tcPr>
            <w:tcW w:w="2390" w:type="dxa"/>
          </w:tcPr>
          <w:p>
            <w:pPr>
              <w:pStyle w:val="64"/>
              <w:spacing w:line="360" w:lineRule="auto"/>
              <w:jc w:val="center"/>
              <w:rPr>
                <w:rFonts w:ascii="宋体"/>
                <w:highlight w:val="none"/>
              </w:rPr>
            </w:pPr>
          </w:p>
        </w:tc>
        <w:tc>
          <w:tcPr>
            <w:tcW w:w="2165" w:type="dxa"/>
          </w:tcPr>
          <w:p>
            <w:pPr>
              <w:pStyle w:val="64"/>
              <w:spacing w:line="360" w:lineRule="auto"/>
              <w:jc w:val="center"/>
              <w:rPr>
                <w:rFonts w:asci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bottom w:val="double" w:color="auto" w:sz="4" w:space="0"/>
            </w:tcBorders>
          </w:tcPr>
          <w:p>
            <w:pPr>
              <w:pStyle w:val="64"/>
              <w:spacing w:line="360" w:lineRule="auto"/>
              <w:jc w:val="center"/>
              <w:rPr>
                <w:rFonts w:ascii="宋体"/>
                <w:highlight w:val="none"/>
              </w:rPr>
            </w:pPr>
          </w:p>
        </w:tc>
        <w:tc>
          <w:tcPr>
            <w:tcW w:w="2388" w:type="dxa"/>
            <w:tcBorders>
              <w:bottom w:val="double" w:color="auto" w:sz="4" w:space="0"/>
            </w:tcBorders>
          </w:tcPr>
          <w:p>
            <w:pPr>
              <w:pStyle w:val="64"/>
              <w:spacing w:line="360" w:lineRule="auto"/>
              <w:jc w:val="center"/>
              <w:rPr>
                <w:rFonts w:ascii="宋体"/>
                <w:highlight w:val="none"/>
              </w:rPr>
            </w:pPr>
          </w:p>
        </w:tc>
        <w:tc>
          <w:tcPr>
            <w:tcW w:w="2390" w:type="dxa"/>
            <w:tcBorders>
              <w:bottom w:val="double" w:color="auto" w:sz="4" w:space="0"/>
            </w:tcBorders>
          </w:tcPr>
          <w:p>
            <w:pPr>
              <w:pStyle w:val="64"/>
              <w:spacing w:line="360" w:lineRule="auto"/>
              <w:jc w:val="center"/>
              <w:rPr>
                <w:rFonts w:ascii="宋体"/>
                <w:highlight w:val="none"/>
              </w:rPr>
            </w:pPr>
          </w:p>
        </w:tc>
        <w:tc>
          <w:tcPr>
            <w:tcW w:w="2165" w:type="dxa"/>
            <w:tcBorders>
              <w:bottom w:val="double" w:color="auto" w:sz="4" w:space="0"/>
            </w:tcBorders>
          </w:tcPr>
          <w:p>
            <w:pPr>
              <w:pStyle w:val="64"/>
              <w:spacing w:line="360" w:lineRule="auto"/>
              <w:jc w:val="center"/>
              <w:rPr>
                <w:rFonts w:ascii="宋体"/>
                <w:highlight w:val="none"/>
              </w:rPr>
            </w:pPr>
          </w:p>
        </w:tc>
      </w:tr>
    </w:tbl>
    <w:p>
      <w:pPr>
        <w:pStyle w:val="64"/>
        <w:tabs>
          <w:tab w:val="left" w:pos="1050"/>
        </w:tabs>
        <w:spacing w:line="360" w:lineRule="auto"/>
        <w:rPr>
          <w:rFonts w:ascii="宋体"/>
          <w:highlight w:val="none"/>
        </w:rPr>
      </w:pPr>
      <w:r>
        <w:rPr>
          <w:rFonts w:hint="eastAsia" w:ascii="宋体" w:hAnsi="宋体" w:cs="宋体"/>
          <w:b/>
          <w:bCs/>
          <w:highlight w:val="none"/>
        </w:rPr>
        <w:t>要求：</w:t>
      </w:r>
    </w:p>
    <w:p>
      <w:pPr>
        <w:pStyle w:val="64"/>
        <w:tabs>
          <w:tab w:val="left" w:pos="1050"/>
        </w:tabs>
        <w:spacing w:line="360" w:lineRule="auto"/>
        <w:ind w:firstLine="424" w:firstLineChars="202"/>
        <w:rPr>
          <w:rFonts w:ascii="宋体"/>
          <w:highlight w:val="none"/>
        </w:rPr>
      </w:pPr>
      <w:r>
        <w:rPr>
          <w:rFonts w:ascii="宋体" w:hAnsi="宋体" w:cs="宋体"/>
          <w:highlight w:val="none"/>
        </w:rPr>
        <w:t>1.</w:t>
      </w:r>
      <w:r>
        <w:rPr>
          <w:rFonts w:hint="eastAsia" w:ascii="宋体" w:hAnsi="宋体" w:cs="宋体"/>
          <w:highlight w:val="none"/>
        </w:rPr>
        <w:t>填写投标人获得资质、认证或企业信誉证书；</w:t>
      </w:r>
    </w:p>
    <w:p>
      <w:pPr>
        <w:pStyle w:val="64"/>
        <w:tabs>
          <w:tab w:val="left" w:pos="1050"/>
        </w:tabs>
        <w:spacing w:line="360" w:lineRule="auto"/>
        <w:ind w:firstLine="424" w:firstLineChars="202"/>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pPr>
        <w:pStyle w:val="64"/>
        <w:tabs>
          <w:tab w:val="left" w:pos="1050"/>
        </w:tabs>
        <w:spacing w:line="360" w:lineRule="auto"/>
        <w:ind w:firstLine="720" w:firstLineChars="300"/>
        <w:rPr>
          <w:rFonts w:ascii="仿宋_GB2312" w:hAnsi="宋体" w:eastAsia="仿宋_GB2312"/>
          <w:sz w:val="24"/>
          <w:szCs w:val="24"/>
          <w:highlight w:val="none"/>
        </w:rPr>
      </w:pPr>
    </w:p>
    <w:p>
      <w:pPr>
        <w:pStyle w:val="64"/>
        <w:tabs>
          <w:tab w:val="left" w:pos="1050"/>
        </w:tabs>
        <w:spacing w:line="360" w:lineRule="auto"/>
        <w:ind w:firstLine="720" w:firstLineChars="300"/>
        <w:rPr>
          <w:rFonts w:ascii="仿宋_GB2312" w:hAnsi="宋体" w:eastAsia="仿宋_GB2312"/>
          <w:sz w:val="24"/>
          <w:szCs w:val="24"/>
          <w:highlight w:val="none"/>
        </w:rPr>
      </w:pPr>
    </w:p>
    <w:p>
      <w:pPr>
        <w:pStyle w:val="64"/>
        <w:tabs>
          <w:tab w:val="left" w:pos="1050"/>
        </w:tabs>
        <w:spacing w:line="360" w:lineRule="auto"/>
        <w:ind w:firstLine="720" w:firstLineChars="300"/>
        <w:rPr>
          <w:rFonts w:ascii="仿宋_GB2312" w:hAnsi="宋体" w:eastAsia="仿宋_GB2312"/>
          <w:sz w:val="24"/>
          <w:szCs w:val="24"/>
          <w:highlight w:val="none"/>
        </w:rPr>
      </w:pPr>
    </w:p>
    <w:p>
      <w:pPr>
        <w:spacing w:line="360" w:lineRule="auto"/>
        <w:ind w:firstLine="424" w:firstLineChars="177"/>
        <w:rPr>
          <w:rFonts w:ascii="宋体"/>
          <w:sz w:val="24"/>
          <w:szCs w:val="24"/>
          <w:highlight w:val="none"/>
          <w:u w:val="single"/>
        </w:rPr>
      </w:pPr>
      <w:r>
        <w:rPr>
          <w:rFonts w:hint="eastAsia" w:ascii="宋体" w:hAnsi="宋体" w:cs="宋体"/>
          <w:sz w:val="24"/>
          <w:szCs w:val="24"/>
          <w:highlight w:val="none"/>
        </w:rPr>
        <w:t>投标人名称（盖章）：</w:t>
      </w:r>
    </w:p>
    <w:p>
      <w:pPr>
        <w:spacing w:line="360" w:lineRule="auto"/>
        <w:ind w:left="420"/>
        <w:rPr>
          <w:rFonts w:ascii="宋体"/>
          <w:sz w:val="24"/>
          <w:szCs w:val="24"/>
          <w:highlight w:val="none"/>
        </w:rPr>
      </w:pPr>
    </w:p>
    <w:p>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pPr>
        <w:spacing w:line="360" w:lineRule="auto"/>
        <w:rPr>
          <w:rFonts w:ascii="宋体"/>
          <w:sz w:val="24"/>
          <w:szCs w:val="24"/>
          <w:highlight w:val="none"/>
        </w:rPr>
      </w:pPr>
    </w:p>
    <w:p>
      <w:pPr>
        <w:pStyle w:val="60"/>
        <w:shd w:val="clear" w:color="auto" w:fill="FFFFFF"/>
        <w:spacing w:before="0" w:beforeAutospacing="0" w:after="0" w:afterAutospacing="0" w:line="360" w:lineRule="auto"/>
        <w:ind w:firstLine="424" w:firstLineChars="177"/>
        <w:rPr>
          <w:rFonts w:cs="Times New Roman"/>
          <w:b/>
          <w:bCs/>
          <w:spacing w:val="11"/>
          <w:highlight w:val="none"/>
        </w:rPr>
      </w:pPr>
      <w:r>
        <w:rPr>
          <w:rFonts w:hint="eastAsia"/>
          <w:highlight w:val="none"/>
        </w:rPr>
        <w:t>日</w:t>
      </w:r>
      <w:r>
        <w:rPr>
          <w:highlight w:val="none"/>
        </w:rPr>
        <w:t xml:space="preserve">        </w:t>
      </w:r>
      <w:r>
        <w:rPr>
          <w:rFonts w:hint="eastAsia"/>
          <w:highlight w:val="none"/>
        </w:rPr>
        <w:t>期</w:t>
      </w:r>
      <w:r>
        <w:rPr>
          <w:rFonts w:hint="eastAsia"/>
          <w:highlight w:val="none"/>
          <w:lang w:eastAsia="zh-CN"/>
        </w:rPr>
        <w:t>：</w:t>
      </w:r>
    </w:p>
    <w:p>
      <w:pPr>
        <w:spacing w:line="360" w:lineRule="auto"/>
        <w:rPr>
          <w:rFonts w:ascii="宋体"/>
          <w:b/>
          <w:bCs/>
          <w:sz w:val="28"/>
          <w:szCs w:val="28"/>
          <w:highlight w:val="none"/>
        </w:rPr>
      </w:pPr>
    </w:p>
    <w:p>
      <w:pPr>
        <w:pStyle w:val="52"/>
        <w:rPr>
          <w:highlight w:val="none"/>
        </w:rPr>
        <w:sectPr>
          <w:headerReference r:id="rId10" w:type="default"/>
          <w:footerReference r:id="rId11" w:type="default"/>
          <w:pgSz w:w="11906" w:h="16838"/>
          <w:pgMar w:top="1361" w:right="1644" w:bottom="1361" w:left="1644" w:header="851" w:footer="992" w:gutter="0"/>
          <w:pgNumType w:fmt="decimal"/>
          <w:cols w:space="425" w:num="1"/>
          <w:docGrid w:type="lines" w:linePitch="312" w:charSpace="0"/>
        </w:sectPr>
      </w:pPr>
    </w:p>
    <w:p>
      <w:pPr>
        <w:autoSpaceDE w:val="0"/>
        <w:autoSpaceDN w:val="0"/>
        <w:snapToGrid w:val="0"/>
        <w:spacing w:line="300" w:lineRule="auto"/>
        <w:ind w:right="-119" w:rightChars="-57"/>
        <w:rPr>
          <w:rFonts w:ascii="宋体" w:cs="宋体"/>
          <w:b/>
          <w:color w:val="000000"/>
          <w:kern w:val="0"/>
          <w:sz w:val="24"/>
          <w:highlight w:val="none"/>
        </w:rPr>
      </w:pPr>
      <w:r>
        <w:rPr>
          <w:rFonts w:hint="eastAsia" w:ascii="宋体" w:hAnsi="宋体" w:cs="宋体"/>
          <w:b/>
          <w:color w:val="000000"/>
          <w:kern w:val="0"/>
          <w:sz w:val="24"/>
          <w:highlight w:val="none"/>
        </w:rPr>
        <w:t>附件4：</w:t>
      </w:r>
    </w:p>
    <w:p>
      <w:pPr>
        <w:spacing w:line="400" w:lineRule="atLeast"/>
        <w:jc w:val="center"/>
        <w:rPr>
          <w:rFonts w:hint="eastAsia" w:hAnsi="宋体" w:eastAsia="宋体"/>
          <w:b/>
          <w:sz w:val="32"/>
          <w:szCs w:val="32"/>
          <w:highlight w:val="none"/>
          <w:lang w:eastAsia="zh-CN"/>
        </w:rPr>
      </w:pPr>
      <w:r>
        <w:rPr>
          <w:rFonts w:hint="eastAsia" w:hAnsi="宋体"/>
          <w:b/>
          <w:sz w:val="32"/>
          <w:szCs w:val="32"/>
          <w:highlight w:val="none"/>
          <w:lang w:eastAsia="zh-CN"/>
        </w:rPr>
        <w:t>温岭市2024年度农业水价综合改革技术支撑</w:t>
      </w:r>
    </w:p>
    <w:p>
      <w:pPr>
        <w:spacing w:line="400" w:lineRule="atLeast"/>
        <w:jc w:val="center"/>
        <w:rPr>
          <w:rFonts w:ascii="新宋体" w:hAnsi="新宋体" w:eastAsia="新宋体" w:cs="新宋体"/>
          <w:b/>
          <w:bCs/>
          <w:kern w:val="0"/>
          <w:sz w:val="28"/>
          <w:szCs w:val="28"/>
          <w:highlight w:val="none"/>
        </w:rPr>
      </w:pPr>
      <w:r>
        <w:rPr>
          <w:rFonts w:hint="eastAsia" w:ascii="新宋体" w:hAnsi="新宋体" w:eastAsia="新宋体" w:cs="新宋体"/>
          <w:b/>
          <w:bCs/>
          <w:kern w:val="0"/>
          <w:sz w:val="28"/>
          <w:szCs w:val="28"/>
          <w:highlight w:val="none"/>
        </w:rPr>
        <w:t>拟投入人员配备表</w:t>
      </w:r>
    </w:p>
    <w:p>
      <w:pPr>
        <w:spacing w:line="360" w:lineRule="auto"/>
        <w:rPr>
          <w:rFonts w:ascii="宋体"/>
          <w:sz w:val="32"/>
          <w:szCs w:val="32"/>
          <w:highlight w:val="none"/>
        </w:rPr>
      </w:pPr>
      <w:r>
        <w:rPr>
          <w:rFonts w:hAnsi="宋体"/>
          <w:color w:val="000000"/>
          <w:sz w:val="24"/>
          <w:highlight w:val="none"/>
        </w:rPr>
        <w:t xml:space="preserve">                             </w:t>
      </w:r>
      <w:r>
        <w:rPr>
          <w:rFonts w:hint="eastAsia" w:hAnsi="宋体"/>
          <w:color w:val="000000"/>
          <w:sz w:val="24"/>
          <w:highlight w:val="none"/>
          <w:lang w:val="en-US" w:eastAsia="zh-CN"/>
        </w:rPr>
        <w:t xml:space="preserve">                      </w:t>
      </w:r>
      <w:r>
        <w:rPr>
          <w:rFonts w:hAnsi="宋体"/>
          <w:color w:val="000000"/>
          <w:sz w:val="24"/>
          <w:highlight w:val="none"/>
        </w:rPr>
        <w:t xml:space="preserve">   </w:t>
      </w:r>
      <w:r>
        <w:rPr>
          <w:rFonts w:hint="eastAsia" w:hAnsi="宋体"/>
          <w:color w:val="000000"/>
          <w:sz w:val="24"/>
          <w:highlight w:val="none"/>
        </w:rPr>
        <w:t>项目编号：</w:t>
      </w:r>
      <w:r>
        <w:rPr>
          <w:rFonts w:hAnsi="宋体"/>
          <w:sz w:val="24"/>
          <w:highlight w:val="none"/>
        </w:rPr>
        <w:t xml:space="preserve"> </w:t>
      </w:r>
    </w:p>
    <w:tbl>
      <w:tblPr>
        <w:tblStyle w:val="25"/>
        <w:tblpPr w:leftFromText="180" w:rightFromText="180" w:vertAnchor="text" w:horzAnchor="page" w:tblpX="1179" w:tblpY="178"/>
        <w:tblOverlap w:val="never"/>
        <w:tblW w:w="574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492"/>
        <w:gridCol w:w="954"/>
        <w:gridCol w:w="1233"/>
        <w:gridCol w:w="1351"/>
        <w:gridCol w:w="2317"/>
        <w:gridCol w:w="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pct"/>
            <w:tcBorders>
              <w:top w:val="single" w:color="auto" w:sz="12" w:space="0"/>
            </w:tcBorders>
            <w:vAlign w:val="center"/>
          </w:tcPr>
          <w:p>
            <w:pPr>
              <w:pStyle w:val="74"/>
              <w:rPr>
                <w:rFonts w:hAnsi="宋体"/>
                <w:sz w:val="24"/>
                <w:szCs w:val="16"/>
                <w:highlight w:val="none"/>
              </w:rPr>
            </w:pPr>
            <w:r>
              <w:rPr>
                <w:rFonts w:hint="eastAsia" w:hAnsi="宋体"/>
                <w:sz w:val="24"/>
                <w:szCs w:val="16"/>
                <w:highlight w:val="none"/>
              </w:rPr>
              <w:t>岗位名称</w:t>
            </w:r>
          </w:p>
        </w:tc>
        <w:tc>
          <w:tcPr>
            <w:tcW w:w="749" w:type="pct"/>
            <w:tcBorders>
              <w:top w:val="single" w:color="auto" w:sz="12" w:space="0"/>
            </w:tcBorders>
            <w:vAlign w:val="center"/>
          </w:tcPr>
          <w:p>
            <w:pPr>
              <w:pStyle w:val="74"/>
              <w:rPr>
                <w:rFonts w:hAnsi="宋体"/>
                <w:sz w:val="24"/>
                <w:szCs w:val="16"/>
                <w:highlight w:val="none"/>
              </w:rPr>
            </w:pPr>
            <w:r>
              <w:rPr>
                <w:rFonts w:hint="eastAsia" w:hAnsi="宋体"/>
                <w:sz w:val="24"/>
                <w:szCs w:val="16"/>
                <w:highlight w:val="none"/>
              </w:rPr>
              <w:t>姓名</w:t>
            </w:r>
          </w:p>
        </w:tc>
        <w:tc>
          <w:tcPr>
            <w:tcW w:w="479" w:type="pct"/>
            <w:tcBorders>
              <w:top w:val="single" w:color="auto" w:sz="12" w:space="0"/>
            </w:tcBorders>
            <w:vAlign w:val="center"/>
          </w:tcPr>
          <w:p>
            <w:pPr>
              <w:pStyle w:val="74"/>
              <w:rPr>
                <w:rFonts w:hAnsi="宋体"/>
                <w:sz w:val="24"/>
                <w:szCs w:val="16"/>
                <w:highlight w:val="none"/>
              </w:rPr>
            </w:pPr>
            <w:r>
              <w:rPr>
                <w:rFonts w:hint="eastAsia" w:hAnsi="宋体"/>
                <w:sz w:val="24"/>
                <w:szCs w:val="16"/>
                <w:highlight w:val="none"/>
              </w:rPr>
              <w:t>职位</w:t>
            </w:r>
          </w:p>
        </w:tc>
        <w:tc>
          <w:tcPr>
            <w:tcW w:w="619" w:type="pct"/>
            <w:tcBorders>
              <w:top w:val="single" w:color="auto" w:sz="12" w:space="0"/>
            </w:tcBorders>
            <w:vAlign w:val="center"/>
          </w:tcPr>
          <w:p>
            <w:pPr>
              <w:pStyle w:val="74"/>
              <w:rPr>
                <w:rFonts w:hAnsi="宋体"/>
                <w:sz w:val="24"/>
                <w:szCs w:val="16"/>
                <w:highlight w:val="none"/>
              </w:rPr>
            </w:pPr>
            <w:r>
              <w:rPr>
                <w:rFonts w:hint="eastAsia" w:hAnsi="宋体"/>
                <w:sz w:val="24"/>
                <w:szCs w:val="16"/>
                <w:highlight w:val="none"/>
              </w:rPr>
              <w:t>学历</w:t>
            </w:r>
          </w:p>
        </w:tc>
        <w:tc>
          <w:tcPr>
            <w:tcW w:w="678" w:type="pct"/>
            <w:tcBorders>
              <w:top w:val="single" w:color="auto" w:sz="12" w:space="0"/>
            </w:tcBorders>
            <w:vAlign w:val="center"/>
          </w:tcPr>
          <w:p>
            <w:pPr>
              <w:pStyle w:val="74"/>
              <w:rPr>
                <w:rFonts w:hAnsi="宋体"/>
                <w:sz w:val="24"/>
                <w:szCs w:val="16"/>
                <w:highlight w:val="none"/>
              </w:rPr>
            </w:pPr>
            <w:r>
              <w:rPr>
                <w:rFonts w:hint="eastAsia" w:hAnsi="宋体"/>
                <w:sz w:val="24"/>
                <w:szCs w:val="16"/>
                <w:highlight w:val="none"/>
              </w:rPr>
              <w:t>执业资格/职称</w:t>
            </w:r>
          </w:p>
        </w:tc>
        <w:tc>
          <w:tcPr>
            <w:tcW w:w="1163" w:type="pct"/>
            <w:tcBorders>
              <w:top w:val="single" w:color="auto" w:sz="12" w:space="0"/>
            </w:tcBorders>
            <w:vAlign w:val="center"/>
          </w:tcPr>
          <w:p>
            <w:pPr>
              <w:pStyle w:val="74"/>
              <w:rPr>
                <w:rFonts w:hAnsi="宋体"/>
                <w:sz w:val="24"/>
                <w:szCs w:val="16"/>
                <w:highlight w:val="none"/>
              </w:rPr>
            </w:pPr>
            <w:r>
              <w:rPr>
                <w:rFonts w:hint="eastAsia" w:hAnsi="宋体"/>
                <w:sz w:val="24"/>
                <w:szCs w:val="16"/>
                <w:highlight w:val="none"/>
              </w:rPr>
              <w:t>从事工作年限、经验和在该项目中担任的职务</w:t>
            </w:r>
          </w:p>
        </w:tc>
        <w:tc>
          <w:tcPr>
            <w:tcW w:w="433" w:type="pct"/>
            <w:tcBorders>
              <w:top w:val="single" w:color="auto" w:sz="12" w:space="0"/>
            </w:tcBorders>
            <w:vAlign w:val="center"/>
          </w:tcPr>
          <w:p>
            <w:pPr>
              <w:pStyle w:val="74"/>
              <w:rPr>
                <w:rFonts w:hAnsi="宋体"/>
                <w:sz w:val="24"/>
                <w:szCs w:val="16"/>
                <w:highlight w:val="none"/>
              </w:rPr>
            </w:pPr>
            <w:r>
              <w:rPr>
                <w:rFonts w:hint="eastAsia" w:hAnsi="宋体"/>
                <w:sz w:val="24"/>
                <w:szCs w:val="16"/>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76" w:type="pct"/>
            <w:vAlign w:val="center"/>
          </w:tcPr>
          <w:p>
            <w:pPr>
              <w:pStyle w:val="74"/>
              <w:rPr>
                <w:rFonts w:hAnsi="宋体"/>
                <w:b w:val="0"/>
                <w:bCs/>
                <w:color w:val="000000"/>
                <w:sz w:val="24"/>
                <w:szCs w:val="16"/>
                <w:highlight w:val="none"/>
              </w:rPr>
            </w:pPr>
            <w:r>
              <w:rPr>
                <w:rFonts w:hint="eastAsia" w:hAnsi="宋体"/>
                <w:b w:val="0"/>
                <w:bCs/>
                <w:color w:val="000000"/>
                <w:sz w:val="24"/>
                <w:szCs w:val="16"/>
                <w:highlight w:val="none"/>
              </w:rPr>
              <w:t>项目负责人</w:t>
            </w:r>
          </w:p>
        </w:tc>
        <w:tc>
          <w:tcPr>
            <w:tcW w:w="749" w:type="pct"/>
            <w:vAlign w:val="center"/>
          </w:tcPr>
          <w:p>
            <w:pPr>
              <w:spacing w:line="600" w:lineRule="exact"/>
              <w:jc w:val="center"/>
              <w:rPr>
                <w:rFonts w:ascii="仿宋_GB2312" w:eastAsia="仿宋_GB2312"/>
                <w:sz w:val="20"/>
                <w:szCs w:val="15"/>
                <w:highlight w:val="none"/>
              </w:rPr>
            </w:pPr>
          </w:p>
        </w:tc>
        <w:tc>
          <w:tcPr>
            <w:tcW w:w="479" w:type="pct"/>
            <w:vAlign w:val="center"/>
          </w:tcPr>
          <w:p>
            <w:pPr>
              <w:spacing w:line="600" w:lineRule="exact"/>
              <w:jc w:val="center"/>
              <w:rPr>
                <w:rFonts w:ascii="仿宋_GB2312" w:eastAsia="仿宋_GB2312"/>
                <w:sz w:val="20"/>
                <w:szCs w:val="15"/>
                <w:highlight w:val="none"/>
              </w:rPr>
            </w:pPr>
          </w:p>
        </w:tc>
        <w:tc>
          <w:tcPr>
            <w:tcW w:w="619" w:type="pct"/>
            <w:vAlign w:val="center"/>
          </w:tcPr>
          <w:p>
            <w:pPr>
              <w:spacing w:line="600" w:lineRule="exact"/>
              <w:jc w:val="center"/>
              <w:rPr>
                <w:rFonts w:ascii="仿宋_GB2312" w:eastAsia="仿宋_GB2312"/>
                <w:sz w:val="20"/>
                <w:szCs w:val="15"/>
                <w:highlight w:val="none"/>
              </w:rPr>
            </w:pPr>
          </w:p>
        </w:tc>
        <w:tc>
          <w:tcPr>
            <w:tcW w:w="678" w:type="pct"/>
            <w:vAlign w:val="center"/>
          </w:tcPr>
          <w:p>
            <w:pPr>
              <w:spacing w:line="600" w:lineRule="exact"/>
              <w:jc w:val="center"/>
              <w:rPr>
                <w:rFonts w:ascii="仿宋_GB2312" w:eastAsia="仿宋_GB2312"/>
                <w:sz w:val="20"/>
                <w:szCs w:val="15"/>
                <w:highlight w:val="none"/>
              </w:rPr>
            </w:pPr>
          </w:p>
        </w:tc>
        <w:tc>
          <w:tcPr>
            <w:tcW w:w="1163" w:type="pct"/>
            <w:vAlign w:val="center"/>
          </w:tcPr>
          <w:p>
            <w:pPr>
              <w:spacing w:line="600" w:lineRule="exact"/>
              <w:jc w:val="center"/>
              <w:rPr>
                <w:rFonts w:ascii="仿宋_GB2312" w:eastAsia="仿宋_GB2312"/>
                <w:sz w:val="20"/>
                <w:szCs w:val="15"/>
                <w:highlight w:val="none"/>
              </w:rPr>
            </w:pPr>
          </w:p>
        </w:tc>
        <w:tc>
          <w:tcPr>
            <w:tcW w:w="433" w:type="pct"/>
            <w:vAlign w:val="center"/>
          </w:tcPr>
          <w:p>
            <w:pPr>
              <w:spacing w:line="600" w:lineRule="exact"/>
              <w:jc w:val="center"/>
              <w:rPr>
                <w:rFonts w:ascii="仿宋_GB2312" w:eastAsia="仿宋_GB2312"/>
                <w:sz w:val="20"/>
                <w:szCs w:val="15"/>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6" w:type="pct"/>
            <w:vAlign w:val="center"/>
          </w:tcPr>
          <w:p>
            <w:pPr>
              <w:spacing w:line="600" w:lineRule="exact"/>
              <w:jc w:val="center"/>
              <w:rPr>
                <w:rFonts w:hAnsi="宋体"/>
                <w:bCs/>
                <w:color w:val="000000"/>
                <w:sz w:val="24"/>
                <w:szCs w:val="16"/>
                <w:highlight w:val="none"/>
              </w:rPr>
            </w:pPr>
          </w:p>
        </w:tc>
        <w:tc>
          <w:tcPr>
            <w:tcW w:w="749" w:type="pct"/>
            <w:vAlign w:val="center"/>
          </w:tcPr>
          <w:p>
            <w:pPr>
              <w:spacing w:line="600" w:lineRule="exact"/>
              <w:jc w:val="center"/>
              <w:rPr>
                <w:rFonts w:ascii="仿宋_GB2312" w:eastAsia="仿宋_GB2312"/>
                <w:sz w:val="20"/>
                <w:szCs w:val="15"/>
                <w:highlight w:val="none"/>
              </w:rPr>
            </w:pPr>
          </w:p>
        </w:tc>
        <w:tc>
          <w:tcPr>
            <w:tcW w:w="479" w:type="pct"/>
            <w:vAlign w:val="center"/>
          </w:tcPr>
          <w:p>
            <w:pPr>
              <w:spacing w:line="600" w:lineRule="exact"/>
              <w:jc w:val="center"/>
              <w:rPr>
                <w:rFonts w:ascii="仿宋_GB2312" w:eastAsia="仿宋_GB2312"/>
                <w:sz w:val="20"/>
                <w:szCs w:val="15"/>
                <w:highlight w:val="none"/>
              </w:rPr>
            </w:pPr>
          </w:p>
        </w:tc>
        <w:tc>
          <w:tcPr>
            <w:tcW w:w="619" w:type="pct"/>
            <w:vAlign w:val="center"/>
          </w:tcPr>
          <w:p>
            <w:pPr>
              <w:spacing w:line="600" w:lineRule="exact"/>
              <w:jc w:val="center"/>
              <w:rPr>
                <w:rFonts w:ascii="仿宋_GB2312" w:eastAsia="仿宋_GB2312"/>
                <w:sz w:val="20"/>
                <w:szCs w:val="15"/>
                <w:highlight w:val="none"/>
              </w:rPr>
            </w:pPr>
          </w:p>
        </w:tc>
        <w:tc>
          <w:tcPr>
            <w:tcW w:w="678" w:type="pct"/>
            <w:vAlign w:val="center"/>
          </w:tcPr>
          <w:p>
            <w:pPr>
              <w:spacing w:line="600" w:lineRule="exact"/>
              <w:jc w:val="center"/>
              <w:rPr>
                <w:rFonts w:ascii="仿宋_GB2312" w:eastAsia="仿宋_GB2312"/>
                <w:sz w:val="20"/>
                <w:szCs w:val="15"/>
                <w:highlight w:val="none"/>
              </w:rPr>
            </w:pPr>
          </w:p>
        </w:tc>
        <w:tc>
          <w:tcPr>
            <w:tcW w:w="1163" w:type="pct"/>
            <w:vAlign w:val="center"/>
          </w:tcPr>
          <w:p>
            <w:pPr>
              <w:spacing w:line="600" w:lineRule="exact"/>
              <w:jc w:val="center"/>
              <w:rPr>
                <w:rFonts w:ascii="仿宋_GB2312" w:eastAsia="仿宋_GB2312"/>
                <w:sz w:val="20"/>
                <w:szCs w:val="15"/>
                <w:highlight w:val="none"/>
              </w:rPr>
            </w:pPr>
          </w:p>
        </w:tc>
        <w:tc>
          <w:tcPr>
            <w:tcW w:w="433" w:type="pct"/>
            <w:vAlign w:val="center"/>
          </w:tcPr>
          <w:p>
            <w:pPr>
              <w:spacing w:line="600" w:lineRule="exact"/>
              <w:jc w:val="center"/>
              <w:rPr>
                <w:rFonts w:ascii="仿宋_GB2312" w:eastAsia="仿宋_GB2312"/>
                <w:sz w:val="20"/>
                <w:szCs w:val="15"/>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6" w:type="pct"/>
            <w:vAlign w:val="center"/>
          </w:tcPr>
          <w:p>
            <w:pPr>
              <w:spacing w:line="600" w:lineRule="exact"/>
              <w:jc w:val="center"/>
              <w:rPr>
                <w:rFonts w:hAnsi="宋体"/>
                <w:bCs/>
                <w:color w:val="000000"/>
                <w:sz w:val="24"/>
                <w:szCs w:val="16"/>
                <w:highlight w:val="none"/>
              </w:rPr>
            </w:pPr>
          </w:p>
        </w:tc>
        <w:tc>
          <w:tcPr>
            <w:tcW w:w="749" w:type="pct"/>
            <w:vAlign w:val="center"/>
          </w:tcPr>
          <w:p>
            <w:pPr>
              <w:spacing w:line="600" w:lineRule="exact"/>
              <w:jc w:val="center"/>
              <w:rPr>
                <w:rFonts w:ascii="仿宋_GB2312" w:eastAsia="仿宋_GB2312"/>
                <w:sz w:val="20"/>
                <w:szCs w:val="15"/>
                <w:highlight w:val="none"/>
              </w:rPr>
            </w:pPr>
          </w:p>
        </w:tc>
        <w:tc>
          <w:tcPr>
            <w:tcW w:w="479" w:type="pct"/>
            <w:vAlign w:val="center"/>
          </w:tcPr>
          <w:p>
            <w:pPr>
              <w:spacing w:line="600" w:lineRule="exact"/>
              <w:jc w:val="center"/>
              <w:rPr>
                <w:rFonts w:ascii="仿宋_GB2312" w:eastAsia="仿宋_GB2312"/>
                <w:sz w:val="20"/>
                <w:szCs w:val="15"/>
                <w:highlight w:val="none"/>
              </w:rPr>
            </w:pPr>
          </w:p>
        </w:tc>
        <w:tc>
          <w:tcPr>
            <w:tcW w:w="619" w:type="pct"/>
            <w:vAlign w:val="center"/>
          </w:tcPr>
          <w:p>
            <w:pPr>
              <w:spacing w:line="600" w:lineRule="exact"/>
              <w:jc w:val="center"/>
              <w:rPr>
                <w:rFonts w:ascii="仿宋_GB2312" w:eastAsia="仿宋_GB2312"/>
                <w:sz w:val="20"/>
                <w:szCs w:val="15"/>
                <w:highlight w:val="none"/>
              </w:rPr>
            </w:pPr>
          </w:p>
        </w:tc>
        <w:tc>
          <w:tcPr>
            <w:tcW w:w="678" w:type="pct"/>
            <w:vAlign w:val="center"/>
          </w:tcPr>
          <w:p>
            <w:pPr>
              <w:spacing w:line="600" w:lineRule="exact"/>
              <w:jc w:val="center"/>
              <w:rPr>
                <w:rFonts w:ascii="仿宋_GB2312" w:eastAsia="仿宋_GB2312"/>
                <w:sz w:val="20"/>
                <w:szCs w:val="15"/>
                <w:highlight w:val="none"/>
              </w:rPr>
            </w:pPr>
          </w:p>
        </w:tc>
        <w:tc>
          <w:tcPr>
            <w:tcW w:w="1163" w:type="pct"/>
            <w:vAlign w:val="center"/>
          </w:tcPr>
          <w:p>
            <w:pPr>
              <w:spacing w:line="600" w:lineRule="exact"/>
              <w:jc w:val="center"/>
              <w:rPr>
                <w:rFonts w:ascii="仿宋_GB2312" w:eastAsia="仿宋_GB2312"/>
                <w:sz w:val="20"/>
                <w:szCs w:val="15"/>
                <w:highlight w:val="none"/>
              </w:rPr>
            </w:pPr>
          </w:p>
        </w:tc>
        <w:tc>
          <w:tcPr>
            <w:tcW w:w="433" w:type="pct"/>
            <w:vAlign w:val="center"/>
          </w:tcPr>
          <w:p>
            <w:pPr>
              <w:spacing w:line="600" w:lineRule="exact"/>
              <w:jc w:val="center"/>
              <w:rPr>
                <w:rFonts w:ascii="仿宋_GB2312" w:eastAsia="仿宋_GB2312"/>
                <w:sz w:val="20"/>
                <w:szCs w:val="15"/>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6" w:type="pct"/>
            <w:vAlign w:val="center"/>
          </w:tcPr>
          <w:p>
            <w:pPr>
              <w:spacing w:line="600" w:lineRule="exact"/>
              <w:jc w:val="center"/>
              <w:rPr>
                <w:rFonts w:ascii="仿宋_GB2312" w:eastAsia="仿宋_GB2312"/>
                <w:bCs/>
                <w:color w:val="000000"/>
                <w:sz w:val="20"/>
                <w:szCs w:val="15"/>
                <w:highlight w:val="none"/>
              </w:rPr>
            </w:pPr>
            <w:r>
              <w:rPr>
                <w:rFonts w:hint="eastAsia" w:ascii="仿宋_GB2312" w:eastAsia="仿宋_GB2312"/>
                <w:bCs/>
                <w:color w:val="000000"/>
                <w:sz w:val="20"/>
                <w:szCs w:val="15"/>
                <w:highlight w:val="none"/>
              </w:rPr>
              <w:t>……</w:t>
            </w:r>
          </w:p>
        </w:tc>
        <w:tc>
          <w:tcPr>
            <w:tcW w:w="749" w:type="pct"/>
            <w:vAlign w:val="center"/>
          </w:tcPr>
          <w:p>
            <w:pPr>
              <w:spacing w:line="600" w:lineRule="exact"/>
              <w:jc w:val="center"/>
              <w:rPr>
                <w:rFonts w:ascii="仿宋_GB2312" w:eastAsia="仿宋_GB2312"/>
                <w:sz w:val="20"/>
                <w:szCs w:val="15"/>
                <w:highlight w:val="none"/>
              </w:rPr>
            </w:pPr>
          </w:p>
        </w:tc>
        <w:tc>
          <w:tcPr>
            <w:tcW w:w="479" w:type="pct"/>
            <w:vAlign w:val="center"/>
          </w:tcPr>
          <w:p>
            <w:pPr>
              <w:spacing w:line="600" w:lineRule="exact"/>
              <w:jc w:val="center"/>
              <w:rPr>
                <w:rFonts w:ascii="仿宋_GB2312" w:eastAsia="仿宋_GB2312"/>
                <w:sz w:val="20"/>
                <w:szCs w:val="15"/>
                <w:highlight w:val="none"/>
              </w:rPr>
            </w:pPr>
          </w:p>
        </w:tc>
        <w:tc>
          <w:tcPr>
            <w:tcW w:w="619" w:type="pct"/>
            <w:vAlign w:val="center"/>
          </w:tcPr>
          <w:p>
            <w:pPr>
              <w:spacing w:line="600" w:lineRule="exact"/>
              <w:jc w:val="center"/>
              <w:rPr>
                <w:rFonts w:ascii="仿宋_GB2312" w:eastAsia="仿宋_GB2312"/>
                <w:sz w:val="20"/>
                <w:szCs w:val="15"/>
                <w:highlight w:val="none"/>
              </w:rPr>
            </w:pPr>
          </w:p>
        </w:tc>
        <w:tc>
          <w:tcPr>
            <w:tcW w:w="678" w:type="pct"/>
            <w:vAlign w:val="center"/>
          </w:tcPr>
          <w:p>
            <w:pPr>
              <w:spacing w:line="600" w:lineRule="exact"/>
              <w:jc w:val="center"/>
              <w:rPr>
                <w:rFonts w:ascii="仿宋_GB2312" w:eastAsia="仿宋_GB2312"/>
                <w:sz w:val="20"/>
                <w:szCs w:val="15"/>
                <w:highlight w:val="none"/>
              </w:rPr>
            </w:pPr>
          </w:p>
        </w:tc>
        <w:tc>
          <w:tcPr>
            <w:tcW w:w="1163" w:type="pct"/>
            <w:vAlign w:val="center"/>
          </w:tcPr>
          <w:p>
            <w:pPr>
              <w:spacing w:line="600" w:lineRule="exact"/>
              <w:jc w:val="center"/>
              <w:rPr>
                <w:rFonts w:ascii="仿宋_GB2312" w:eastAsia="仿宋_GB2312"/>
                <w:sz w:val="20"/>
                <w:szCs w:val="15"/>
                <w:highlight w:val="none"/>
              </w:rPr>
            </w:pPr>
          </w:p>
        </w:tc>
        <w:tc>
          <w:tcPr>
            <w:tcW w:w="433" w:type="pct"/>
            <w:vAlign w:val="center"/>
          </w:tcPr>
          <w:p>
            <w:pPr>
              <w:spacing w:line="600" w:lineRule="exact"/>
              <w:jc w:val="center"/>
              <w:rPr>
                <w:rFonts w:ascii="仿宋_GB2312" w:eastAsia="仿宋_GB2312"/>
                <w:sz w:val="20"/>
                <w:szCs w:val="15"/>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6" w:type="pct"/>
            <w:vAlign w:val="center"/>
          </w:tcPr>
          <w:p>
            <w:pPr>
              <w:spacing w:line="600" w:lineRule="exact"/>
              <w:jc w:val="center"/>
              <w:rPr>
                <w:rFonts w:ascii="仿宋_GB2312" w:eastAsia="仿宋_GB2312"/>
                <w:sz w:val="20"/>
                <w:szCs w:val="15"/>
                <w:highlight w:val="none"/>
              </w:rPr>
            </w:pPr>
          </w:p>
        </w:tc>
        <w:tc>
          <w:tcPr>
            <w:tcW w:w="749" w:type="pct"/>
            <w:vAlign w:val="center"/>
          </w:tcPr>
          <w:p>
            <w:pPr>
              <w:spacing w:line="600" w:lineRule="exact"/>
              <w:jc w:val="center"/>
              <w:rPr>
                <w:rFonts w:ascii="仿宋_GB2312" w:eastAsia="仿宋_GB2312"/>
                <w:sz w:val="20"/>
                <w:szCs w:val="15"/>
                <w:highlight w:val="none"/>
              </w:rPr>
            </w:pPr>
          </w:p>
        </w:tc>
        <w:tc>
          <w:tcPr>
            <w:tcW w:w="479" w:type="pct"/>
            <w:vAlign w:val="center"/>
          </w:tcPr>
          <w:p>
            <w:pPr>
              <w:spacing w:line="600" w:lineRule="exact"/>
              <w:jc w:val="center"/>
              <w:rPr>
                <w:rFonts w:ascii="仿宋_GB2312" w:eastAsia="仿宋_GB2312"/>
                <w:sz w:val="20"/>
                <w:szCs w:val="15"/>
                <w:highlight w:val="none"/>
              </w:rPr>
            </w:pPr>
          </w:p>
        </w:tc>
        <w:tc>
          <w:tcPr>
            <w:tcW w:w="619" w:type="pct"/>
            <w:vAlign w:val="center"/>
          </w:tcPr>
          <w:p>
            <w:pPr>
              <w:spacing w:line="600" w:lineRule="exact"/>
              <w:jc w:val="center"/>
              <w:rPr>
                <w:rFonts w:ascii="仿宋_GB2312" w:eastAsia="仿宋_GB2312"/>
                <w:sz w:val="20"/>
                <w:szCs w:val="15"/>
                <w:highlight w:val="none"/>
              </w:rPr>
            </w:pPr>
          </w:p>
        </w:tc>
        <w:tc>
          <w:tcPr>
            <w:tcW w:w="678" w:type="pct"/>
            <w:vAlign w:val="center"/>
          </w:tcPr>
          <w:p>
            <w:pPr>
              <w:spacing w:line="600" w:lineRule="exact"/>
              <w:jc w:val="center"/>
              <w:rPr>
                <w:rFonts w:ascii="仿宋_GB2312" w:eastAsia="仿宋_GB2312"/>
                <w:sz w:val="20"/>
                <w:szCs w:val="15"/>
                <w:highlight w:val="none"/>
              </w:rPr>
            </w:pPr>
          </w:p>
        </w:tc>
        <w:tc>
          <w:tcPr>
            <w:tcW w:w="1163" w:type="pct"/>
            <w:vAlign w:val="center"/>
          </w:tcPr>
          <w:p>
            <w:pPr>
              <w:spacing w:line="600" w:lineRule="exact"/>
              <w:jc w:val="center"/>
              <w:rPr>
                <w:rFonts w:ascii="仿宋_GB2312" w:eastAsia="仿宋_GB2312"/>
                <w:sz w:val="20"/>
                <w:szCs w:val="15"/>
                <w:highlight w:val="none"/>
              </w:rPr>
            </w:pPr>
          </w:p>
        </w:tc>
        <w:tc>
          <w:tcPr>
            <w:tcW w:w="433" w:type="pct"/>
            <w:vAlign w:val="center"/>
          </w:tcPr>
          <w:p>
            <w:pPr>
              <w:spacing w:line="600" w:lineRule="exact"/>
              <w:jc w:val="center"/>
              <w:rPr>
                <w:rFonts w:ascii="仿宋_GB2312" w:eastAsia="仿宋_GB2312"/>
                <w:sz w:val="20"/>
                <w:szCs w:val="15"/>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6" w:type="pct"/>
            <w:vAlign w:val="center"/>
          </w:tcPr>
          <w:p>
            <w:pPr>
              <w:spacing w:line="600" w:lineRule="exact"/>
              <w:jc w:val="center"/>
              <w:rPr>
                <w:rFonts w:ascii="仿宋_GB2312" w:eastAsia="仿宋_GB2312"/>
                <w:sz w:val="20"/>
                <w:szCs w:val="15"/>
                <w:highlight w:val="none"/>
              </w:rPr>
            </w:pPr>
          </w:p>
        </w:tc>
        <w:tc>
          <w:tcPr>
            <w:tcW w:w="749" w:type="pct"/>
            <w:vAlign w:val="center"/>
          </w:tcPr>
          <w:p>
            <w:pPr>
              <w:spacing w:line="600" w:lineRule="exact"/>
              <w:jc w:val="center"/>
              <w:rPr>
                <w:rFonts w:ascii="仿宋_GB2312" w:eastAsia="仿宋_GB2312"/>
                <w:sz w:val="20"/>
                <w:szCs w:val="15"/>
                <w:highlight w:val="none"/>
              </w:rPr>
            </w:pPr>
          </w:p>
        </w:tc>
        <w:tc>
          <w:tcPr>
            <w:tcW w:w="479" w:type="pct"/>
            <w:vAlign w:val="center"/>
          </w:tcPr>
          <w:p>
            <w:pPr>
              <w:spacing w:line="600" w:lineRule="exact"/>
              <w:jc w:val="center"/>
              <w:rPr>
                <w:rFonts w:ascii="仿宋_GB2312" w:eastAsia="仿宋_GB2312"/>
                <w:sz w:val="20"/>
                <w:szCs w:val="15"/>
                <w:highlight w:val="none"/>
              </w:rPr>
            </w:pPr>
          </w:p>
        </w:tc>
        <w:tc>
          <w:tcPr>
            <w:tcW w:w="619" w:type="pct"/>
            <w:vAlign w:val="center"/>
          </w:tcPr>
          <w:p>
            <w:pPr>
              <w:spacing w:line="600" w:lineRule="exact"/>
              <w:jc w:val="center"/>
              <w:rPr>
                <w:rFonts w:ascii="仿宋_GB2312" w:eastAsia="仿宋_GB2312"/>
                <w:sz w:val="20"/>
                <w:szCs w:val="15"/>
                <w:highlight w:val="none"/>
              </w:rPr>
            </w:pPr>
          </w:p>
        </w:tc>
        <w:tc>
          <w:tcPr>
            <w:tcW w:w="678" w:type="pct"/>
            <w:vAlign w:val="center"/>
          </w:tcPr>
          <w:p>
            <w:pPr>
              <w:spacing w:line="600" w:lineRule="exact"/>
              <w:jc w:val="center"/>
              <w:rPr>
                <w:rFonts w:ascii="仿宋_GB2312" w:eastAsia="仿宋_GB2312"/>
                <w:sz w:val="20"/>
                <w:szCs w:val="15"/>
                <w:highlight w:val="none"/>
              </w:rPr>
            </w:pPr>
          </w:p>
        </w:tc>
        <w:tc>
          <w:tcPr>
            <w:tcW w:w="1163" w:type="pct"/>
            <w:vAlign w:val="center"/>
          </w:tcPr>
          <w:p>
            <w:pPr>
              <w:spacing w:line="600" w:lineRule="exact"/>
              <w:jc w:val="center"/>
              <w:rPr>
                <w:rFonts w:ascii="仿宋_GB2312" w:eastAsia="仿宋_GB2312"/>
                <w:sz w:val="20"/>
                <w:szCs w:val="15"/>
                <w:highlight w:val="none"/>
              </w:rPr>
            </w:pPr>
          </w:p>
        </w:tc>
        <w:tc>
          <w:tcPr>
            <w:tcW w:w="433" w:type="pct"/>
            <w:vAlign w:val="center"/>
          </w:tcPr>
          <w:p>
            <w:pPr>
              <w:spacing w:line="600" w:lineRule="exact"/>
              <w:jc w:val="center"/>
              <w:rPr>
                <w:rFonts w:ascii="仿宋_GB2312" w:eastAsia="仿宋_GB2312"/>
                <w:sz w:val="20"/>
                <w:szCs w:val="15"/>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6" w:type="pct"/>
            <w:tcBorders>
              <w:bottom w:val="single" w:color="auto" w:sz="12" w:space="0"/>
            </w:tcBorders>
            <w:vAlign w:val="center"/>
          </w:tcPr>
          <w:p>
            <w:pPr>
              <w:spacing w:line="600" w:lineRule="exact"/>
              <w:jc w:val="center"/>
              <w:rPr>
                <w:rFonts w:ascii="仿宋_GB2312" w:eastAsia="仿宋_GB2312"/>
                <w:sz w:val="20"/>
                <w:szCs w:val="15"/>
                <w:highlight w:val="none"/>
              </w:rPr>
            </w:pPr>
          </w:p>
        </w:tc>
        <w:tc>
          <w:tcPr>
            <w:tcW w:w="749" w:type="pct"/>
            <w:tcBorders>
              <w:bottom w:val="single" w:color="auto" w:sz="12" w:space="0"/>
            </w:tcBorders>
            <w:vAlign w:val="center"/>
          </w:tcPr>
          <w:p>
            <w:pPr>
              <w:spacing w:line="600" w:lineRule="exact"/>
              <w:jc w:val="center"/>
              <w:rPr>
                <w:rFonts w:ascii="仿宋_GB2312" w:eastAsia="仿宋_GB2312"/>
                <w:sz w:val="20"/>
                <w:szCs w:val="15"/>
                <w:highlight w:val="none"/>
              </w:rPr>
            </w:pPr>
          </w:p>
        </w:tc>
        <w:tc>
          <w:tcPr>
            <w:tcW w:w="479" w:type="pct"/>
            <w:tcBorders>
              <w:bottom w:val="single" w:color="auto" w:sz="12" w:space="0"/>
            </w:tcBorders>
            <w:vAlign w:val="center"/>
          </w:tcPr>
          <w:p>
            <w:pPr>
              <w:spacing w:line="600" w:lineRule="exact"/>
              <w:jc w:val="center"/>
              <w:rPr>
                <w:rFonts w:ascii="仿宋_GB2312" w:eastAsia="仿宋_GB2312"/>
                <w:sz w:val="20"/>
                <w:szCs w:val="15"/>
                <w:highlight w:val="none"/>
              </w:rPr>
            </w:pPr>
          </w:p>
        </w:tc>
        <w:tc>
          <w:tcPr>
            <w:tcW w:w="619" w:type="pct"/>
            <w:tcBorders>
              <w:bottom w:val="single" w:color="auto" w:sz="12" w:space="0"/>
            </w:tcBorders>
            <w:vAlign w:val="center"/>
          </w:tcPr>
          <w:p>
            <w:pPr>
              <w:spacing w:line="600" w:lineRule="exact"/>
              <w:jc w:val="center"/>
              <w:rPr>
                <w:rFonts w:ascii="仿宋_GB2312" w:eastAsia="仿宋_GB2312"/>
                <w:sz w:val="20"/>
                <w:szCs w:val="15"/>
                <w:highlight w:val="none"/>
              </w:rPr>
            </w:pPr>
          </w:p>
        </w:tc>
        <w:tc>
          <w:tcPr>
            <w:tcW w:w="678" w:type="pct"/>
            <w:tcBorders>
              <w:bottom w:val="single" w:color="auto" w:sz="12" w:space="0"/>
            </w:tcBorders>
            <w:vAlign w:val="center"/>
          </w:tcPr>
          <w:p>
            <w:pPr>
              <w:spacing w:line="600" w:lineRule="exact"/>
              <w:jc w:val="center"/>
              <w:rPr>
                <w:rFonts w:ascii="仿宋_GB2312" w:eastAsia="仿宋_GB2312"/>
                <w:sz w:val="20"/>
                <w:szCs w:val="15"/>
                <w:highlight w:val="none"/>
              </w:rPr>
            </w:pPr>
          </w:p>
        </w:tc>
        <w:tc>
          <w:tcPr>
            <w:tcW w:w="1163" w:type="pct"/>
            <w:tcBorders>
              <w:bottom w:val="single" w:color="auto" w:sz="12" w:space="0"/>
            </w:tcBorders>
            <w:vAlign w:val="center"/>
          </w:tcPr>
          <w:p>
            <w:pPr>
              <w:spacing w:line="600" w:lineRule="exact"/>
              <w:jc w:val="center"/>
              <w:rPr>
                <w:rFonts w:ascii="仿宋_GB2312" w:eastAsia="仿宋_GB2312"/>
                <w:sz w:val="20"/>
                <w:szCs w:val="15"/>
                <w:highlight w:val="none"/>
              </w:rPr>
            </w:pPr>
          </w:p>
        </w:tc>
        <w:tc>
          <w:tcPr>
            <w:tcW w:w="433" w:type="pct"/>
            <w:tcBorders>
              <w:bottom w:val="single" w:color="auto" w:sz="12" w:space="0"/>
            </w:tcBorders>
            <w:vAlign w:val="center"/>
          </w:tcPr>
          <w:p>
            <w:pPr>
              <w:spacing w:line="600" w:lineRule="exact"/>
              <w:jc w:val="center"/>
              <w:rPr>
                <w:rFonts w:ascii="仿宋_GB2312" w:eastAsia="仿宋_GB2312"/>
                <w:sz w:val="20"/>
                <w:szCs w:val="15"/>
                <w:highlight w:val="none"/>
              </w:rPr>
            </w:pPr>
          </w:p>
        </w:tc>
      </w:tr>
    </w:tbl>
    <w:p>
      <w:pPr>
        <w:autoSpaceDE w:val="0"/>
        <w:autoSpaceDN w:val="0"/>
        <w:snapToGrid w:val="0"/>
        <w:spacing w:line="300" w:lineRule="auto"/>
        <w:ind w:left="-840" w:leftChars="-400" w:right="-917" w:rightChars="-437"/>
        <w:rPr>
          <w:b/>
          <w:sz w:val="24"/>
          <w:highlight w:val="none"/>
          <w:u w:val="single"/>
        </w:rPr>
      </w:pPr>
      <w:r>
        <w:rPr>
          <w:rFonts w:hint="eastAsia"/>
          <w:b/>
          <w:sz w:val="24"/>
          <w:highlight w:val="none"/>
        </w:rPr>
        <w:t>注：按评分办法</w:t>
      </w:r>
      <w:r>
        <w:rPr>
          <w:rFonts w:hint="eastAsia"/>
          <w:b/>
          <w:sz w:val="24"/>
          <w:highlight w:val="none"/>
          <w:u w:val="none"/>
        </w:rPr>
        <w:t>要求提供。</w:t>
      </w:r>
    </w:p>
    <w:p>
      <w:pPr>
        <w:autoSpaceDE w:val="0"/>
        <w:autoSpaceDN w:val="0"/>
        <w:adjustRightInd w:val="0"/>
        <w:spacing w:line="440" w:lineRule="atLeast"/>
        <w:jc w:val="left"/>
        <w:rPr>
          <w:rFonts w:ascii="宋体" w:cs="仿宋_GB2312"/>
          <w:sz w:val="22"/>
          <w:szCs w:val="22"/>
          <w:highlight w:val="none"/>
          <w:lang w:val="zh-CN"/>
        </w:rPr>
      </w:pPr>
    </w:p>
    <w:p>
      <w:pPr>
        <w:autoSpaceDE w:val="0"/>
        <w:autoSpaceDN w:val="0"/>
        <w:adjustRightInd w:val="0"/>
        <w:spacing w:line="440" w:lineRule="atLeast"/>
        <w:jc w:val="left"/>
        <w:rPr>
          <w:rFonts w:ascii="宋体" w:cs="仿宋_GB2312"/>
          <w:sz w:val="22"/>
          <w:szCs w:val="22"/>
          <w:highlight w:val="none"/>
          <w:lang w:val="zh-CN"/>
        </w:rPr>
      </w:pPr>
      <w:r>
        <w:rPr>
          <w:rFonts w:hint="eastAsia" w:ascii="宋体" w:cs="仿宋_GB2312"/>
          <w:sz w:val="22"/>
          <w:szCs w:val="22"/>
          <w:highlight w:val="none"/>
          <w:lang w:val="zh-CN"/>
        </w:rPr>
        <w:t>供应商全称（盖章）：</w:t>
      </w:r>
    </w:p>
    <w:p>
      <w:pPr>
        <w:autoSpaceDE w:val="0"/>
        <w:autoSpaceDN w:val="0"/>
        <w:adjustRightInd w:val="0"/>
        <w:spacing w:line="440" w:lineRule="atLeast"/>
        <w:jc w:val="left"/>
        <w:rPr>
          <w:rFonts w:ascii="宋体" w:cs="仿宋_GB2312"/>
          <w:sz w:val="22"/>
          <w:szCs w:val="22"/>
          <w:highlight w:val="none"/>
          <w:lang w:val="zh-CN"/>
        </w:rPr>
      </w:pPr>
      <w:r>
        <w:rPr>
          <w:rFonts w:hint="eastAsia" w:ascii="宋体" w:cs="仿宋_GB2312"/>
          <w:sz w:val="22"/>
          <w:szCs w:val="22"/>
          <w:highlight w:val="none"/>
          <w:lang w:val="zh-CN"/>
        </w:rPr>
        <w:t>法定代表人或授权代表（签名或盖章）：</w:t>
      </w:r>
    </w:p>
    <w:p>
      <w:pPr>
        <w:autoSpaceDE w:val="0"/>
        <w:autoSpaceDN w:val="0"/>
        <w:adjustRightInd w:val="0"/>
        <w:spacing w:line="440" w:lineRule="atLeast"/>
        <w:ind w:right="880"/>
        <w:jc w:val="left"/>
        <w:rPr>
          <w:rFonts w:ascii="宋体" w:cs="仿宋_GB2312"/>
          <w:sz w:val="22"/>
          <w:szCs w:val="22"/>
          <w:highlight w:val="none"/>
          <w:lang w:val="zh-CN"/>
        </w:rPr>
      </w:pPr>
      <w:r>
        <w:rPr>
          <w:rFonts w:hint="eastAsia" w:ascii="宋体" w:cs="仿宋_GB2312"/>
          <w:sz w:val="22"/>
          <w:szCs w:val="22"/>
          <w:highlight w:val="none"/>
          <w:lang w:val="zh-CN"/>
        </w:rPr>
        <w:t>日期：</w:t>
      </w:r>
    </w:p>
    <w:p>
      <w:pPr>
        <w:jc w:val="left"/>
        <w:rPr>
          <w:highlight w:val="none"/>
        </w:rPr>
        <w:sectPr>
          <w:pgSz w:w="11907" w:h="16840"/>
          <w:pgMar w:top="1440" w:right="1531" w:bottom="1440" w:left="1928" w:header="851" w:footer="1304" w:gutter="0"/>
          <w:pgNumType w:fmt="decimal"/>
          <w:cols w:space="720" w:num="1"/>
          <w:docGrid w:type="linesAndChars" w:linePitch="312" w:charSpace="0"/>
        </w:sectPr>
      </w:pPr>
    </w:p>
    <w:p>
      <w:pPr>
        <w:spacing w:line="360" w:lineRule="auto"/>
        <w:rPr>
          <w:rFonts w:ascii="宋体" w:cs="宋体"/>
          <w:b/>
          <w:bCs/>
          <w:color w:val="000000"/>
          <w:sz w:val="24"/>
          <w:highlight w:val="none"/>
        </w:rPr>
      </w:pPr>
      <w:r>
        <w:rPr>
          <w:rFonts w:hint="eastAsia" w:ascii="宋体" w:hAnsi="宋体" w:cs="宋体"/>
          <w:b/>
          <w:bCs/>
          <w:color w:val="000000"/>
          <w:sz w:val="24"/>
          <w:highlight w:val="none"/>
        </w:rPr>
        <w:t>附件</w:t>
      </w:r>
      <w:r>
        <w:rPr>
          <w:rFonts w:hint="eastAsia" w:hAnsi="宋体" w:cs="宋体"/>
          <w:b/>
          <w:bCs/>
          <w:color w:val="000000"/>
          <w:sz w:val="24"/>
          <w:highlight w:val="none"/>
        </w:rPr>
        <w:t>5</w:t>
      </w:r>
      <w:r>
        <w:rPr>
          <w:rFonts w:hint="eastAsia" w:ascii="宋体" w:hAnsi="宋体" w:cs="宋体"/>
          <w:b/>
          <w:bCs/>
          <w:color w:val="000000"/>
          <w:sz w:val="24"/>
          <w:highlight w:val="none"/>
        </w:rPr>
        <w:t>：</w:t>
      </w:r>
    </w:p>
    <w:p>
      <w:pPr>
        <w:pStyle w:val="14"/>
        <w:spacing w:before="120" w:after="120" w:line="480" w:lineRule="auto"/>
        <w:jc w:val="center"/>
        <w:rPr>
          <w:rFonts w:hint="eastAsia" w:hAnsi="宋体" w:eastAsia="宋体"/>
          <w:b/>
          <w:sz w:val="32"/>
          <w:szCs w:val="32"/>
          <w:highlight w:val="none"/>
          <w:lang w:eastAsia="zh-CN"/>
        </w:rPr>
      </w:pPr>
      <w:r>
        <w:rPr>
          <w:rFonts w:hint="eastAsia" w:hAnsi="宋体"/>
          <w:b/>
          <w:sz w:val="32"/>
          <w:szCs w:val="32"/>
          <w:highlight w:val="none"/>
          <w:lang w:eastAsia="zh-CN"/>
        </w:rPr>
        <w:t>温岭市2024年度农业水价综合改革技术支撑</w:t>
      </w:r>
    </w:p>
    <w:p>
      <w:pPr>
        <w:pStyle w:val="14"/>
        <w:spacing w:before="120" w:after="120" w:line="480" w:lineRule="auto"/>
        <w:jc w:val="center"/>
        <w:rPr>
          <w:rFonts w:hAnsi="宋体"/>
          <w:b/>
          <w:sz w:val="32"/>
          <w:szCs w:val="32"/>
          <w:highlight w:val="none"/>
        </w:rPr>
      </w:pPr>
      <w:r>
        <w:rPr>
          <w:rFonts w:hint="eastAsia" w:hAnsi="宋体"/>
          <w:b/>
          <w:sz w:val="32"/>
          <w:szCs w:val="32"/>
          <w:highlight w:val="none"/>
        </w:rPr>
        <w:t>类似业绩一览表</w:t>
      </w:r>
    </w:p>
    <w:p>
      <w:pPr>
        <w:pStyle w:val="14"/>
        <w:spacing w:before="120" w:after="120" w:line="480" w:lineRule="auto"/>
        <w:rPr>
          <w:rFonts w:hAnsi="宋体"/>
          <w:b/>
          <w:sz w:val="32"/>
          <w:szCs w:val="32"/>
          <w:highlight w:val="none"/>
        </w:rPr>
      </w:pPr>
      <w:r>
        <w:rPr>
          <w:rFonts w:hint="eastAsia" w:hAnsi="宋体"/>
          <w:color w:val="000000"/>
          <w:sz w:val="24"/>
          <w:highlight w:val="none"/>
        </w:rPr>
        <w:t>项目编号：</w:t>
      </w:r>
      <w:r>
        <w:rPr>
          <w:rFonts w:hAnsi="宋体"/>
          <w:sz w:val="24"/>
          <w:highlight w:val="none"/>
        </w:rPr>
        <w:t xml:space="preserve">                                             </w:t>
      </w:r>
    </w:p>
    <w:tbl>
      <w:tblPr>
        <w:tblStyle w:val="25"/>
        <w:tblW w:w="9660"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009"/>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tcBorders>
              <w:top w:val="double" w:color="000000" w:sz="6" w:space="0"/>
            </w:tcBorders>
            <w:vAlign w:val="center"/>
          </w:tcPr>
          <w:p>
            <w:pPr>
              <w:spacing w:line="360" w:lineRule="auto"/>
              <w:jc w:val="center"/>
              <w:rPr>
                <w:rFonts w:ascii="宋体"/>
                <w:caps/>
                <w:spacing w:val="20"/>
                <w:highlight w:val="none"/>
              </w:rPr>
            </w:pPr>
            <w:r>
              <w:rPr>
                <w:rFonts w:hint="eastAsia" w:ascii="宋体" w:hAnsi="宋体"/>
                <w:caps/>
                <w:spacing w:val="20"/>
                <w:highlight w:val="none"/>
              </w:rPr>
              <w:t>序号</w:t>
            </w:r>
          </w:p>
        </w:tc>
        <w:tc>
          <w:tcPr>
            <w:tcW w:w="1983" w:type="dxa"/>
            <w:tcBorders>
              <w:top w:val="double" w:color="000000" w:sz="6" w:space="0"/>
            </w:tcBorders>
            <w:vAlign w:val="center"/>
          </w:tcPr>
          <w:p>
            <w:pPr>
              <w:spacing w:line="360" w:lineRule="auto"/>
              <w:jc w:val="center"/>
              <w:rPr>
                <w:rFonts w:ascii="宋体"/>
                <w:caps/>
                <w:spacing w:val="20"/>
                <w:highlight w:val="none"/>
              </w:rPr>
            </w:pPr>
            <w:r>
              <w:rPr>
                <w:rFonts w:hint="eastAsia" w:ascii="宋体" w:hAnsi="宋体"/>
                <w:caps/>
                <w:spacing w:val="20"/>
                <w:highlight w:val="none"/>
              </w:rPr>
              <w:t>项目名称</w:t>
            </w:r>
          </w:p>
        </w:tc>
        <w:tc>
          <w:tcPr>
            <w:tcW w:w="1626" w:type="dxa"/>
            <w:tcBorders>
              <w:top w:val="double" w:color="000000" w:sz="6" w:space="0"/>
            </w:tcBorders>
            <w:vAlign w:val="center"/>
          </w:tcPr>
          <w:p>
            <w:pPr>
              <w:spacing w:line="360" w:lineRule="auto"/>
              <w:jc w:val="center"/>
              <w:rPr>
                <w:rFonts w:ascii="宋体"/>
                <w:caps/>
                <w:spacing w:val="20"/>
                <w:highlight w:val="none"/>
              </w:rPr>
            </w:pPr>
            <w:r>
              <w:rPr>
                <w:rFonts w:hint="eastAsia" w:ascii="宋体" w:hAnsi="宋体"/>
                <w:caps/>
                <w:spacing w:val="20"/>
                <w:highlight w:val="none"/>
              </w:rPr>
              <w:t>业主名称</w:t>
            </w:r>
          </w:p>
        </w:tc>
        <w:tc>
          <w:tcPr>
            <w:tcW w:w="1468" w:type="dxa"/>
            <w:tcBorders>
              <w:top w:val="double" w:color="000000" w:sz="6" w:space="0"/>
            </w:tcBorders>
            <w:vAlign w:val="center"/>
          </w:tcPr>
          <w:p>
            <w:pPr>
              <w:spacing w:line="360" w:lineRule="auto"/>
              <w:jc w:val="center"/>
              <w:rPr>
                <w:rFonts w:ascii="宋体"/>
                <w:caps/>
                <w:spacing w:val="20"/>
                <w:highlight w:val="none"/>
              </w:rPr>
            </w:pPr>
            <w:r>
              <w:rPr>
                <w:rFonts w:hint="eastAsia" w:ascii="宋体" w:hAnsi="宋体"/>
                <w:caps/>
                <w:spacing w:val="20"/>
                <w:highlight w:val="none"/>
              </w:rPr>
              <w:t>合同金额</w:t>
            </w:r>
          </w:p>
        </w:tc>
        <w:tc>
          <w:tcPr>
            <w:tcW w:w="1239" w:type="dxa"/>
            <w:tcBorders>
              <w:top w:val="double" w:color="000000" w:sz="6" w:space="0"/>
            </w:tcBorders>
            <w:vAlign w:val="center"/>
          </w:tcPr>
          <w:p>
            <w:pPr>
              <w:spacing w:line="360" w:lineRule="auto"/>
              <w:jc w:val="center"/>
              <w:rPr>
                <w:rFonts w:ascii="宋体"/>
                <w:caps/>
                <w:spacing w:val="20"/>
                <w:highlight w:val="none"/>
              </w:rPr>
            </w:pPr>
            <w:r>
              <w:rPr>
                <w:rFonts w:hint="eastAsia" w:ascii="宋体" w:hAnsi="宋体"/>
                <w:caps/>
                <w:spacing w:val="20"/>
                <w:highlight w:val="none"/>
              </w:rPr>
              <w:t>签约日期</w:t>
            </w:r>
          </w:p>
        </w:tc>
        <w:tc>
          <w:tcPr>
            <w:tcW w:w="1645" w:type="dxa"/>
            <w:tcBorders>
              <w:top w:val="double" w:color="000000" w:sz="6" w:space="0"/>
            </w:tcBorders>
            <w:vAlign w:val="center"/>
          </w:tcPr>
          <w:p>
            <w:pPr>
              <w:jc w:val="center"/>
              <w:rPr>
                <w:rFonts w:ascii="宋体"/>
                <w:caps/>
                <w:spacing w:val="20"/>
                <w:highlight w:val="none"/>
              </w:rPr>
            </w:pPr>
            <w:r>
              <w:rPr>
                <w:rFonts w:hint="eastAsia" w:ascii="宋体" w:hAnsi="宋体"/>
                <w:caps/>
                <w:spacing w:val="20"/>
                <w:highlight w:val="none"/>
              </w:rPr>
              <w:t>业主单位联系人及电话</w:t>
            </w:r>
          </w:p>
        </w:tc>
        <w:tc>
          <w:tcPr>
            <w:tcW w:w="1009" w:type="dxa"/>
            <w:tcBorders>
              <w:top w:val="double" w:color="000000" w:sz="6" w:space="0"/>
            </w:tcBorders>
            <w:vAlign w:val="center"/>
          </w:tcPr>
          <w:p>
            <w:pPr>
              <w:jc w:val="center"/>
              <w:rPr>
                <w:rFonts w:hint="eastAsia" w:ascii="宋体" w:eastAsia="宋体"/>
                <w:caps/>
                <w:spacing w:val="20"/>
                <w:highlight w:val="none"/>
                <w:lang w:eastAsia="zh-CN"/>
              </w:rPr>
            </w:pPr>
            <w:r>
              <w:rPr>
                <w:rFonts w:hint="eastAsia" w:ascii="宋体" w:hAnsi="宋体"/>
                <w:caps/>
                <w:spacing w:val="20"/>
                <w:highlight w:val="none"/>
                <w:lang w:eastAsia="zh-CN"/>
              </w:rPr>
              <w:t>备注</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pacing w:line="360" w:lineRule="auto"/>
              <w:jc w:val="center"/>
              <w:rPr>
                <w:rFonts w:ascii="宋体"/>
                <w:caps/>
                <w:spacing w:val="20"/>
                <w:highlight w:val="none"/>
              </w:rPr>
            </w:pPr>
            <w:r>
              <w:rPr>
                <w:rFonts w:ascii="宋体" w:hAnsi="宋体"/>
                <w:caps/>
                <w:spacing w:val="20"/>
                <w:highlight w:val="none"/>
              </w:rPr>
              <w:t>1</w:t>
            </w:r>
          </w:p>
        </w:tc>
        <w:tc>
          <w:tcPr>
            <w:tcW w:w="1983" w:type="dxa"/>
            <w:vAlign w:val="center"/>
          </w:tcPr>
          <w:p>
            <w:pPr>
              <w:spacing w:line="360" w:lineRule="auto"/>
              <w:rPr>
                <w:rFonts w:ascii="宋体"/>
                <w:spacing w:val="20"/>
                <w:sz w:val="24"/>
                <w:highlight w:val="none"/>
              </w:rPr>
            </w:pPr>
            <w:r>
              <w:rPr>
                <w:rFonts w:ascii="宋体"/>
                <w:highlight w:val="none"/>
              </w:rPr>
              <w:t> </w:t>
            </w:r>
          </w:p>
        </w:tc>
        <w:tc>
          <w:tcPr>
            <w:tcW w:w="1626" w:type="dxa"/>
            <w:vAlign w:val="center"/>
          </w:tcPr>
          <w:p>
            <w:pPr>
              <w:spacing w:line="360" w:lineRule="auto"/>
              <w:rPr>
                <w:rFonts w:ascii="宋体"/>
                <w:spacing w:val="20"/>
                <w:sz w:val="24"/>
                <w:highlight w:val="none"/>
              </w:rPr>
            </w:pPr>
            <w:r>
              <w:rPr>
                <w:rFonts w:ascii="宋体"/>
                <w:highlight w:val="none"/>
              </w:rPr>
              <w:t> </w:t>
            </w:r>
          </w:p>
        </w:tc>
        <w:tc>
          <w:tcPr>
            <w:tcW w:w="1468" w:type="dxa"/>
            <w:vAlign w:val="center"/>
          </w:tcPr>
          <w:p>
            <w:pPr>
              <w:spacing w:line="360" w:lineRule="auto"/>
              <w:rPr>
                <w:rFonts w:ascii="宋体"/>
                <w:spacing w:val="20"/>
                <w:sz w:val="24"/>
                <w:highlight w:val="none"/>
              </w:rPr>
            </w:pPr>
            <w:r>
              <w:rPr>
                <w:rFonts w:ascii="宋体"/>
                <w:highlight w:val="none"/>
              </w:rPr>
              <w:t> </w:t>
            </w:r>
          </w:p>
        </w:tc>
        <w:tc>
          <w:tcPr>
            <w:tcW w:w="1239" w:type="dxa"/>
            <w:vAlign w:val="center"/>
          </w:tcPr>
          <w:p>
            <w:pPr>
              <w:spacing w:line="360" w:lineRule="auto"/>
              <w:rPr>
                <w:rFonts w:ascii="宋体"/>
                <w:spacing w:val="20"/>
                <w:sz w:val="24"/>
                <w:highlight w:val="none"/>
              </w:rPr>
            </w:pPr>
            <w:r>
              <w:rPr>
                <w:rFonts w:ascii="宋体"/>
                <w:highlight w:val="none"/>
              </w:rPr>
              <w:t> </w:t>
            </w:r>
          </w:p>
        </w:tc>
        <w:tc>
          <w:tcPr>
            <w:tcW w:w="1645" w:type="dxa"/>
            <w:vAlign w:val="center"/>
          </w:tcPr>
          <w:p>
            <w:pPr>
              <w:spacing w:line="360" w:lineRule="auto"/>
              <w:rPr>
                <w:rFonts w:ascii="宋体"/>
                <w:spacing w:val="20"/>
                <w:sz w:val="24"/>
                <w:highlight w:val="none"/>
              </w:rPr>
            </w:pPr>
            <w:r>
              <w:rPr>
                <w:rFonts w:ascii="宋体"/>
                <w:highlight w:val="none"/>
              </w:rPr>
              <w:t> </w:t>
            </w:r>
          </w:p>
        </w:tc>
        <w:tc>
          <w:tcPr>
            <w:tcW w:w="1009" w:type="dxa"/>
            <w:vAlign w:val="center"/>
          </w:tcPr>
          <w:p>
            <w:pPr>
              <w:spacing w:line="360" w:lineRule="auto"/>
              <w:rPr>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pacing w:line="360" w:lineRule="auto"/>
              <w:jc w:val="center"/>
              <w:rPr>
                <w:rFonts w:ascii="宋体"/>
                <w:caps/>
                <w:spacing w:val="20"/>
                <w:highlight w:val="none"/>
              </w:rPr>
            </w:pPr>
            <w:r>
              <w:rPr>
                <w:rFonts w:ascii="宋体" w:hAnsi="宋体"/>
                <w:caps/>
                <w:spacing w:val="20"/>
                <w:highlight w:val="none"/>
              </w:rPr>
              <w:t>2</w:t>
            </w:r>
          </w:p>
        </w:tc>
        <w:tc>
          <w:tcPr>
            <w:tcW w:w="1983" w:type="dxa"/>
            <w:vAlign w:val="center"/>
          </w:tcPr>
          <w:p>
            <w:pPr>
              <w:spacing w:line="360" w:lineRule="auto"/>
              <w:rPr>
                <w:rFonts w:ascii="宋体"/>
                <w:spacing w:val="20"/>
                <w:sz w:val="24"/>
                <w:highlight w:val="none"/>
              </w:rPr>
            </w:pPr>
          </w:p>
        </w:tc>
        <w:tc>
          <w:tcPr>
            <w:tcW w:w="1626" w:type="dxa"/>
            <w:vAlign w:val="center"/>
          </w:tcPr>
          <w:p>
            <w:pPr>
              <w:spacing w:line="360" w:lineRule="auto"/>
              <w:rPr>
                <w:rFonts w:ascii="宋体"/>
                <w:spacing w:val="20"/>
                <w:sz w:val="24"/>
                <w:highlight w:val="none"/>
              </w:rPr>
            </w:pPr>
            <w:r>
              <w:rPr>
                <w:rFonts w:ascii="宋体"/>
                <w:highlight w:val="none"/>
              </w:rPr>
              <w:t> </w:t>
            </w:r>
          </w:p>
        </w:tc>
        <w:tc>
          <w:tcPr>
            <w:tcW w:w="1468" w:type="dxa"/>
            <w:vAlign w:val="center"/>
          </w:tcPr>
          <w:p>
            <w:pPr>
              <w:spacing w:line="360" w:lineRule="auto"/>
              <w:rPr>
                <w:rFonts w:ascii="宋体"/>
                <w:spacing w:val="20"/>
                <w:sz w:val="24"/>
                <w:highlight w:val="none"/>
              </w:rPr>
            </w:pPr>
            <w:r>
              <w:rPr>
                <w:rFonts w:ascii="宋体"/>
                <w:highlight w:val="none"/>
              </w:rPr>
              <w:t> </w:t>
            </w:r>
          </w:p>
        </w:tc>
        <w:tc>
          <w:tcPr>
            <w:tcW w:w="1239" w:type="dxa"/>
            <w:vAlign w:val="center"/>
          </w:tcPr>
          <w:p>
            <w:pPr>
              <w:spacing w:line="360" w:lineRule="auto"/>
              <w:rPr>
                <w:rFonts w:ascii="宋体"/>
                <w:spacing w:val="20"/>
                <w:sz w:val="24"/>
                <w:highlight w:val="none"/>
              </w:rPr>
            </w:pPr>
            <w:r>
              <w:rPr>
                <w:rFonts w:ascii="宋体"/>
                <w:highlight w:val="none"/>
              </w:rPr>
              <w:t> </w:t>
            </w:r>
          </w:p>
        </w:tc>
        <w:tc>
          <w:tcPr>
            <w:tcW w:w="1645" w:type="dxa"/>
            <w:vAlign w:val="center"/>
          </w:tcPr>
          <w:p>
            <w:pPr>
              <w:spacing w:line="360" w:lineRule="auto"/>
              <w:rPr>
                <w:rFonts w:ascii="宋体"/>
                <w:spacing w:val="20"/>
                <w:sz w:val="24"/>
                <w:highlight w:val="none"/>
              </w:rPr>
            </w:pPr>
            <w:r>
              <w:rPr>
                <w:rFonts w:ascii="宋体"/>
                <w:highlight w:val="none"/>
              </w:rPr>
              <w:t> </w:t>
            </w:r>
          </w:p>
        </w:tc>
        <w:tc>
          <w:tcPr>
            <w:tcW w:w="1009" w:type="dxa"/>
            <w:vAlign w:val="center"/>
          </w:tcPr>
          <w:p>
            <w:pPr>
              <w:spacing w:line="360" w:lineRule="auto"/>
              <w:rPr>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pacing w:line="360" w:lineRule="auto"/>
              <w:jc w:val="center"/>
              <w:rPr>
                <w:rFonts w:ascii="宋体"/>
                <w:caps/>
                <w:spacing w:val="20"/>
                <w:highlight w:val="none"/>
              </w:rPr>
            </w:pPr>
            <w:r>
              <w:rPr>
                <w:rFonts w:ascii="宋体" w:hAnsi="宋体"/>
                <w:caps/>
                <w:spacing w:val="20"/>
                <w:highlight w:val="none"/>
              </w:rPr>
              <w:t>3</w:t>
            </w:r>
          </w:p>
        </w:tc>
        <w:tc>
          <w:tcPr>
            <w:tcW w:w="1983" w:type="dxa"/>
            <w:vAlign w:val="center"/>
          </w:tcPr>
          <w:p>
            <w:pPr>
              <w:spacing w:line="360" w:lineRule="auto"/>
              <w:rPr>
                <w:rFonts w:ascii="宋体"/>
                <w:spacing w:val="20"/>
                <w:sz w:val="24"/>
                <w:highlight w:val="none"/>
              </w:rPr>
            </w:pPr>
            <w:r>
              <w:rPr>
                <w:rFonts w:ascii="宋体"/>
                <w:highlight w:val="none"/>
              </w:rPr>
              <w:t> </w:t>
            </w:r>
            <w:r>
              <w:rPr>
                <w:rFonts w:hint="eastAsia" w:ascii="宋体" w:hAnsi="宋体"/>
                <w:highlight w:val="none"/>
              </w:rPr>
              <w:t>……</w:t>
            </w:r>
          </w:p>
        </w:tc>
        <w:tc>
          <w:tcPr>
            <w:tcW w:w="1626" w:type="dxa"/>
            <w:vAlign w:val="center"/>
          </w:tcPr>
          <w:p>
            <w:pPr>
              <w:spacing w:line="360" w:lineRule="auto"/>
              <w:rPr>
                <w:rFonts w:ascii="宋体"/>
                <w:spacing w:val="20"/>
                <w:sz w:val="24"/>
                <w:highlight w:val="none"/>
              </w:rPr>
            </w:pPr>
            <w:r>
              <w:rPr>
                <w:rFonts w:ascii="宋体"/>
                <w:highlight w:val="none"/>
              </w:rPr>
              <w:t> </w:t>
            </w:r>
          </w:p>
        </w:tc>
        <w:tc>
          <w:tcPr>
            <w:tcW w:w="1468" w:type="dxa"/>
            <w:vAlign w:val="center"/>
          </w:tcPr>
          <w:p>
            <w:pPr>
              <w:spacing w:line="360" w:lineRule="auto"/>
              <w:rPr>
                <w:rFonts w:ascii="宋体"/>
                <w:spacing w:val="20"/>
                <w:sz w:val="24"/>
                <w:highlight w:val="none"/>
              </w:rPr>
            </w:pPr>
            <w:r>
              <w:rPr>
                <w:rFonts w:ascii="宋体"/>
                <w:highlight w:val="none"/>
              </w:rPr>
              <w:t> </w:t>
            </w:r>
          </w:p>
        </w:tc>
        <w:tc>
          <w:tcPr>
            <w:tcW w:w="1239" w:type="dxa"/>
            <w:vAlign w:val="center"/>
          </w:tcPr>
          <w:p>
            <w:pPr>
              <w:spacing w:line="360" w:lineRule="auto"/>
              <w:rPr>
                <w:rFonts w:ascii="宋体"/>
                <w:spacing w:val="20"/>
                <w:sz w:val="24"/>
                <w:highlight w:val="none"/>
              </w:rPr>
            </w:pPr>
            <w:r>
              <w:rPr>
                <w:rFonts w:ascii="宋体"/>
                <w:highlight w:val="none"/>
              </w:rPr>
              <w:t> </w:t>
            </w:r>
          </w:p>
        </w:tc>
        <w:tc>
          <w:tcPr>
            <w:tcW w:w="1645" w:type="dxa"/>
            <w:vAlign w:val="center"/>
          </w:tcPr>
          <w:p>
            <w:pPr>
              <w:spacing w:line="360" w:lineRule="auto"/>
              <w:rPr>
                <w:rFonts w:ascii="宋体"/>
                <w:spacing w:val="20"/>
                <w:sz w:val="24"/>
                <w:highlight w:val="none"/>
              </w:rPr>
            </w:pPr>
            <w:r>
              <w:rPr>
                <w:rFonts w:ascii="宋体"/>
                <w:highlight w:val="none"/>
              </w:rPr>
              <w:t> </w:t>
            </w:r>
          </w:p>
        </w:tc>
        <w:tc>
          <w:tcPr>
            <w:tcW w:w="1009" w:type="dxa"/>
            <w:vAlign w:val="center"/>
          </w:tcPr>
          <w:p>
            <w:pPr>
              <w:spacing w:line="360" w:lineRule="auto"/>
              <w:rPr>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pacing w:line="360" w:lineRule="auto"/>
              <w:jc w:val="center"/>
              <w:rPr>
                <w:rFonts w:ascii="宋体"/>
                <w:caps/>
                <w:spacing w:val="20"/>
                <w:highlight w:val="none"/>
              </w:rPr>
            </w:pPr>
            <w:r>
              <w:rPr>
                <w:rFonts w:ascii="宋体" w:hAnsi="宋体"/>
                <w:caps/>
                <w:spacing w:val="20"/>
                <w:highlight w:val="none"/>
              </w:rPr>
              <w:t>4</w:t>
            </w:r>
          </w:p>
        </w:tc>
        <w:tc>
          <w:tcPr>
            <w:tcW w:w="1983" w:type="dxa"/>
            <w:vAlign w:val="center"/>
          </w:tcPr>
          <w:p>
            <w:pPr>
              <w:spacing w:line="360" w:lineRule="auto"/>
              <w:rPr>
                <w:rFonts w:ascii="宋体"/>
                <w:spacing w:val="20"/>
                <w:sz w:val="24"/>
                <w:highlight w:val="none"/>
              </w:rPr>
            </w:pPr>
            <w:r>
              <w:rPr>
                <w:rFonts w:ascii="宋体"/>
                <w:highlight w:val="none"/>
              </w:rPr>
              <w:t> </w:t>
            </w:r>
          </w:p>
        </w:tc>
        <w:tc>
          <w:tcPr>
            <w:tcW w:w="1626" w:type="dxa"/>
            <w:vAlign w:val="center"/>
          </w:tcPr>
          <w:p>
            <w:pPr>
              <w:spacing w:line="360" w:lineRule="auto"/>
              <w:rPr>
                <w:rFonts w:ascii="宋体"/>
                <w:spacing w:val="20"/>
                <w:sz w:val="24"/>
                <w:highlight w:val="none"/>
              </w:rPr>
            </w:pPr>
            <w:r>
              <w:rPr>
                <w:rFonts w:ascii="宋体"/>
                <w:highlight w:val="none"/>
              </w:rPr>
              <w:t> </w:t>
            </w:r>
          </w:p>
        </w:tc>
        <w:tc>
          <w:tcPr>
            <w:tcW w:w="1468" w:type="dxa"/>
            <w:vAlign w:val="center"/>
          </w:tcPr>
          <w:p>
            <w:pPr>
              <w:spacing w:line="360" w:lineRule="auto"/>
              <w:rPr>
                <w:rFonts w:ascii="宋体"/>
                <w:spacing w:val="20"/>
                <w:sz w:val="24"/>
                <w:highlight w:val="none"/>
              </w:rPr>
            </w:pPr>
            <w:r>
              <w:rPr>
                <w:rFonts w:ascii="宋体"/>
                <w:highlight w:val="none"/>
              </w:rPr>
              <w:t> </w:t>
            </w:r>
          </w:p>
        </w:tc>
        <w:tc>
          <w:tcPr>
            <w:tcW w:w="1239" w:type="dxa"/>
            <w:vAlign w:val="center"/>
          </w:tcPr>
          <w:p>
            <w:pPr>
              <w:spacing w:line="360" w:lineRule="auto"/>
              <w:rPr>
                <w:rFonts w:ascii="宋体"/>
                <w:spacing w:val="20"/>
                <w:sz w:val="24"/>
                <w:highlight w:val="none"/>
              </w:rPr>
            </w:pPr>
            <w:r>
              <w:rPr>
                <w:rFonts w:ascii="宋体"/>
                <w:highlight w:val="none"/>
              </w:rPr>
              <w:t> </w:t>
            </w:r>
          </w:p>
        </w:tc>
        <w:tc>
          <w:tcPr>
            <w:tcW w:w="1645" w:type="dxa"/>
            <w:vAlign w:val="center"/>
          </w:tcPr>
          <w:p>
            <w:pPr>
              <w:spacing w:line="360" w:lineRule="auto"/>
              <w:rPr>
                <w:rFonts w:ascii="宋体"/>
                <w:spacing w:val="20"/>
                <w:sz w:val="24"/>
                <w:highlight w:val="none"/>
              </w:rPr>
            </w:pPr>
            <w:r>
              <w:rPr>
                <w:rFonts w:ascii="宋体"/>
                <w:highlight w:val="none"/>
              </w:rPr>
              <w:t> </w:t>
            </w:r>
          </w:p>
        </w:tc>
        <w:tc>
          <w:tcPr>
            <w:tcW w:w="1009" w:type="dxa"/>
            <w:vAlign w:val="center"/>
          </w:tcPr>
          <w:p>
            <w:pPr>
              <w:spacing w:line="360" w:lineRule="auto"/>
              <w:rPr>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pacing w:line="360" w:lineRule="auto"/>
              <w:jc w:val="center"/>
              <w:rPr>
                <w:rFonts w:ascii="宋体"/>
                <w:caps/>
                <w:spacing w:val="20"/>
                <w:highlight w:val="none"/>
              </w:rPr>
            </w:pPr>
            <w:r>
              <w:rPr>
                <w:rFonts w:ascii="宋体" w:hAnsi="宋体"/>
                <w:caps/>
                <w:spacing w:val="20"/>
                <w:highlight w:val="none"/>
              </w:rPr>
              <w:t>5</w:t>
            </w:r>
          </w:p>
        </w:tc>
        <w:tc>
          <w:tcPr>
            <w:tcW w:w="1983" w:type="dxa"/>
            <w:vAlign w:val="center"/>
          </w:tcPr>
          <w:p>
            <w:pPr>
              <w:spacing w:line="360" w:lineRule="auto"/>
              <w:rPr>
                <w:rFonts w:ascii="宋体"/>
                <w:highlight w:val="none"/>
              </w:rPr>
            </w:pPr>
          </w:p>
        </w:tc>
        <w:tc>
          <w:tcPr>
            <w:tcW w:w="1626" w:type="dxa"/>
            <w:vAlign w:val="center"/>
          </w:tcPr>
          <w:p>
            <w:pPr>
              <w:spacing w:line="360" w:lineRule="auto"/>
              <w:rPr>
                <w:rFonts w:ascii="宋体"/>
                <w:highlight w:val="none"/>
              </w:rPr>
            </w:pPr>
          </w:p>
        </w:tc>
        <w:tc>
          <w:tcPr>
            <w:tcW w:w="1468" w:type="dxa"/>
            <w:vAlign w:val="center"/>
          </w:tcPr>
          <w:p>
            <w:pPr>
              <w:spacing w:line="360" w:lineRule="auto"/>
              <w:rPr>
                <w:rFonts w:ascii="宋体"/>
                <w:highlight w:val="none"/>
              </w:rPr>
            </w:pPr>
          </w:p>
        </w:tc>
        <w:tc>
          <w:tcPr>
            <w:tcW w:w="1239" w:type="dxa"/>
            <w:vAlign w:val="center"/>
          </w:tcPr>
          <w:p>
            <w:pPr>
              <w:spacing w:line="360" w:lineRule="auto"/>
              <w:rPr>
                <w:rFonts w:ascii="宋体"/>
                <w:highlight w:val="none"/>
              </w:rPr>
            </w:pPr>
          </w:p>
        </w:tc>
        <w:tc>
          <w:tcPr>
            <w:tcW w:w="1645" w:type="dxa"/>
            <w:vAlign w:val="center"/>
          </w:tcPr>
          <w:p>
            <w:pPr>
              <w:spacing w:line="360" w:lineRule="auto"/>
              <w:rPr>
                <w:rFonts w:ascii="宋体"/>
                <w:highlight w:val="none"/>
              </w:rPr>
            </w:pPr>
          </w:p>
        </w:tc>
        <w:tc>
          <w:tcPr>
            <w:tcW w:w="1009" w:type="dxa"/>
            <w:vAlign w:val="center"/>
          </w:tcPr>
          <w:p>
            <w:pPr>
              <w:spacing w:line="360" w:lineRule="auto"/>
              <w:rPr>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pacing w:line="360" w:lineRule="auto"/>
              <w:jc w:val="center"/>
              <w:rPr>
                <w:rFonts w:ascii="宋体"/>
                <w:caps/>
                <w:spacing w:val="20"/>
                <w:highlight w:val="none"/>
              </w:rPr>
            </w:pPr>
            <w:r>
              <w:rPr>
                <w:rFonts w:ascii="宋体" w:hAnsi="宋体"/>
                <w:caps/>
                <w:spacing w:val="20"/>
                <w:highlight w:val="none"/>
              </w:rPr>
              <w:t>6</w:t>
            </w:r>
          </w:p>
        </w:tc>
        <w:tc>
          <w:tcPr>
            <w:tcW w:w="1983" w:type="dxa"/>
            <w:vAlign w:val="center"/>
          </w:tcPr>
          <w:p>
            <w:pPr>
              <w:spacing w:line="360" w:lineRule="auto"/>
              <w:rPr>
                <w:rFonts w:ascii="宋体"/>
                <w:highlight w:val="none"/>
              </w:rPr>
            </w:pPr>
          </w:p>
        </w:tc>
        <w:tc>
          <w:tcPr>
            <w:tcW w:w="1626" w:type="dxa"/>
            <w:vAlign w:val="center"/>
          </w:tcPr>
          <w:p>
            <w:pPr>
              <w:spacing w:line="360" w:lineRule="auto"/>
              <w:rPr>
                <w:rFonts w:ascii="宋体"/>
                <w:highlight w:val="none"/>
              </w:rPr>
            </w:pPr>
          </w:p>
        </w:tc>
        <w:tc>
          <w:tcPr>
            <w:tcW w:w="1468" w:type="dxa"/>
            <w:vAlign w:val="center"/>
          </w:tcPr>
          <w:p>
            <w:pPr>
              <w:spacing w:line="360" w:lineRule="auto"/>
              <w:rPr>
                <w:rFonts w:ascii="宋体"/>
                <w:highlight w:val="none"/>
              </w:rPr>
            </w:pPr>
          </w:p>
        </w:tc>
        <w:tc>
          <w:tcPr>
            <w:tcW w:w="1239" w:type="dxa"/>
            <w:vAlign w:val="center"/>
          </w:tcPr>
          <w:p>
            <w:pPr>
              <w:spacing w:line="360" w:lineRule="auto"/>
              <w:rPr>
                <w:rFonts w:ascii="宋体"/>
                <w:highlight w:val="none"/>
              </w:rPr>
            </w:pPr>
          </w:p>
        </w:tc>
        <w:tc>
          <w:tcPr>
            <w:tcW w:w="1645" w:type="dxa"/>
            <w:vAlign w:val="center"/>
          </w:tcPr>
          <w:p>
            <w:pPr>
              <w:spacing w:line="360" w:lineRule="auto"/>
              <w:rPr>
                <w:rFonts w:ascii="宋体"/>
                <w:highlight w:val="none"/>
              </w:rPr>
            </w:pPr>
          </w:p>
        </w:tc>
        <w:tc>
          <w:tcPr>
            <w:tcW w:w="1009" w:type="dxa"/>
            <w:vAlign w:val="center"/>
          </w:tcPr>
          <w:p>
            <w:pPr>
              <w:spacing w:line="360" w:lineRule="auto"/>
              <w:rPr>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vAlign w:val="center"/>
          </w:tcPr>
          <w:p>
            <w:pPr>
              <w:spacing w:line="360" w:lineRule="auto"/>
              <w:jc w:val="center"/>
              <w:rPr>
                <w:rFonts w:ascii="宋体"/>
                <w:caps/>
                <w:spacing w:val="20"/>
                <w:highlight w:val="none"/>
              </w:rPr>
            </w:pPr>
            <w:r>
              <w:rPr>
                <w:rFonts w:ascii="宋体" w:hAnsi="宋体"/>
                <w:caps/>
                <w:spacing w:val="20"/>
                <w:highlight w:val="none"/>
              </w:rPr>
              <w:t>7</w:t>
            </w:r>
          </w:p>
        </w:tc>
        <w:tc>
          <w:tcPr>
            <w:tcW w:w="1983" w:type="dxa"/>
            <w:vAlign w:val="center"/>
          </w:tcPr>
          <w:p>
            <w:pPr>
              <w:spacing w:line="360" w:lineRule="auto"/>
              <w:rPr>
                <w:rFonts w:ascii="宋体"/>
                <w:highlight w:val="none"/>
              </w:rPr>
            </w:pPr>
          </w:p>
        </w:tc>
        <w:tc>
          <w:tcPr>
            <w:tcW w:w="1626" w:type="dxa"/>
            <w:vAlign w:val="center"/>
          </w:tcPr>
          <w:p>
            <w:pPr>
              <w:spacing w:line="360" w:lineRule="auto"/>
              <w:rPr>
                <w:rFonts w:ascii="宋体"/>
                <w:highlight w:val="none"/>
              </w:rPr>
            </w:pPr>
          </w:p>
        </w:tc>
        <w:tc>
          <w:tcPr>
            <w:tcW w:w="1468" w:type="dxa"/>
            <w:vAlign w:val="center"/>
          </w:tcPr>
          <w:p>
            <w:pPr>
              <w:spacing w:line="360" w:lineRule="auto"/>
              <w:rPr>
                <w:rFonts w:ascii="宋体"/>
                <w:highlight w:val="none"/>
              </w:rPr>
            </w:pPr>
          </w:p>
        </w:tc>
        <w:tc>
          <w:tcPr>
            <w:tcW w:w="1239" w:type="dxa"/>
            <w:vAlign w:val="center"/>
          </w:tcPr>
          <w:p>
            <w:pPr>
              <w:spacing w:line="360" w:lineRule="auto"/>
              <w:rPr>
                <w:rFonts w:ascii="宋体"/>
                <w:highlight w:val="none"/>
              </w:rPr>
            </w:pPr>
          </w:p>
        </w:tc>
        <w:tc>
          <w:tcPr>
            <w:tcW w:w="1645" w:type="dxa"/>
            <w:vAlign w:val="center"/>
          </w:tcPr>
          <w:p>
            <w:pPr>
              <w:spacing w:line="360" w:lineRule="auto"/>
              <w:rPr>
                <w:rFonts w:ascii="宋体"/>
                <w:highlight w:val="none"/>
              </w:rPr>
            </w:pPr>
          </w:p>
        </w:tc>
        <w:tc>
          <w:tcPr>
            <w:tcW w:w="1009" w:type="dxa"/>
            <w:vAlign w:val="center"/>
          </w:tcPr>
          <w:p>
            <w:pPr>
              <w:spacing w:line="360" w:lineRule="auto"/>
              <w:rPr>
                <w:rFonts w:asci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tcBorders>
              <w:bottom w:val="double" w:color="000000" w:sz="6" w:space="0"/>
            </w:tcBorders>
            <w:vAlign w:val="center"/>
          </w:tcPr>
          <w:p>
            <w:pPr>
              <w:spacing w:line="360" w:lineRule="auto"/>
              <w:jc w:val="center"/>
              <w:rPr>
                <w:rFonts w:ascii="宋体"/>
                <w:caps/>
                <w:spacing w:val="20"/>
                <w:highlight w:val="none"/>
              </w:rPr>
            </w:pPr>
            <w:r>
              <w:rPr>
                <w:rFonts w:ascii="宋体" w:hAnsi="宋体"/>
                <w:caps/>
                <w:spacing w:val="20"/>
                <w:highlight w:val="none"/>
              </w:rPr>
              <w:t>8</w:t>
            </w:r>
          </w:p>
        </w:tc>
        <w:tc>
          <w:tcPr>
            <w:tcW w:w="1983" w:type="dxa"/>
            <w:tcBorders>
              <w:bottom w:val="double" w:color="000000" w:sz="6" w:space="0"/>
            </w:tcBorders>
            <w:vAlign w:val="center"/>
          </w:tcPr>
          <w:p>
            <w:pPr>
              <w:spacing w:line="360" w:lineRule="auto"/>
              <w:rPr>
                <w:rFonts w:ascii="宋体"/>
                <w:spacing w:val="20"/>
                <w:sz w:val="24"/>
                <w:highlight w:val="none"/>
              </w:rPr>
            </w:pPr>
            <w:r>
              <w:rPr>
                <w:rFonts w:ascii="宋体"/>
                <w:highlight w:val="none"/>
              </w:rPr>
              <w:t> </w:t>
            </w:r>
          </w:p>
        </w:tc>
        <w:tc>
          <w:tcPr>
            <w:tcW w:w="1626" w:type="dxa"/>
            <w:tcBorders>
              <w:bottom w:val="double" w:color="000000" w:sz="6" w:space="0"/>
            </w:tcBorders>
            <w:vAlign w:val="center"/>
          </w:tcPr>
          <w:p>
            <w:pPr>
              <w:spacing w:line="360" w:lineRule="auto"/>
              <w:rPr>
                <w:rFonts w:ascii="宋体"/>
                <w:spacing w:val="20"/>
                <w:sz w:val="24"/>
                <w:highlight w:val="none"/>
              </w:rPr>
            </w:pPr>
            <w:r>
              <w:rPr>
                <w:rFonts w:ascii="宋体"/>
                <w:highlight w:val="none"/>
              </w:rPr>
              <w:t> </w:t>
            </w:r>
          </w:p>
        </w:tc>
        <w:tc>
          <w:tcPr>
            <w:tcW w:w="1468" w:type="dxa"/>
            <w:tcBorders>
              <w:bottom w:val="double" w:color="000000" w:sz="6" w:space="0"/>
            </w:tcBorders>
            <w:vAlign w:val="center"/>
          </w:tcPr>
          <w:p>
            <w:pPr>
              <w:spacing w:line="360" w:lineRule="auto"/>
              <w:rPr>
                <w:rFonts w:ascii="宋体"/>
                <w:spacing w:val="20"/>
                <w:sz w:val="24"/>
                <w:highlight w:val="none"/>
              </w:rPr>
            </w:pPr>
            <w:r>
              <w:rPr>
                <w:rFonts w:ascii="宋体"/>
                <w:highlight w:val="none"/>
              </w:rPr>
              <w:t> </w:t>
            </w:r>
          </w:p>
        </w:tc>
        <w:tc>
          <w:tcPr>
            <w:tcW w:w="1239" w:type="dxa"/>
            <w:tcBorders>
              <w:bottom w:val="double" w:color="000000" w:sz="6" w:space="0"/>
            </w:tcBorders>
            <w:vAlign w:val="center"/>
          </w:tcPr>
          <w:p>
            <w:pPr>
              <w:spacing w:line="360" w:lineRule="auto"/>
              <w:rPr>
                <w:rFonts w:ascii="宋体"/>
                <w:spacing w:val="20"/>
                <w:sz w:val="24"/>
                <w:highlight w:val="none"/>
              </w:rPr>
            </w:pPr>
            <w:r>
              <w:rPr>
                <w:rFonts w:ascii="宋体"/>
                <w:highlight w:val="none"/>
              </w:rPr>
              <w:t> </w:t>
            </w:r>
          </w:p>
        </w:tc>
        <w:tc>
          <w:tcPr>
            <w:tcW w:w="1645" w:type="dxa"/>
            <w:tcBorders>
              <w:bottom w:val="double" w:color="000000" w:sz="6" w:space="0"/>
            </w:tcBorders>
            <w:vAlign w:val="center"/>
          </w:tcPr>
          <w:p>
            <w:pPr>
              <w:spacing w:line="360" w:lineRule="auto"/>
              <w:rPr>
                <w:rFonts w:ascii="宋体"/>
                <w:spacing w:val="20"/>
                <w:sz w:val="24"/>
                <w:highlight w:val="none"/>
              </w:rPr>
            </w:pPr>
            <w:r>
              <w:rPr>
                <w:rFonts w:ascii="宋体"/>
                <w:highlight w:val="none"/>
              </w:rPr>
              <w:t> </w:t>
            </w:r>
          </w:p>
        </w:tc>
        <w:tc>
          <w:tcPr>
            <w:tcW w:w="1009" w:type="dxa"/>
            <w:tcBorders>
              <w:bottom w:val="double" w:color="000000" w:sz="6" w:space="0"/>
            </w:tcBorders>
            <w:vAlign w:val="center"/>
          </w:tcPr>
          <w:p>
            <w:pPr>
              <w:spacing w:line="360" w:lineRule="auto"/>
              <w:rPr>
                <w:rFonts w:ascii="宋体"/>
                <w:highlight w:val="none"/>
              </w:rPr>
            </w:pPr>
          </w:p>
        </w:tc>
      </w:tr>
    </w:tbl>
    <w:p>
      <w:pPr>
        <w:tabs>
          <w:tab w:val="left" w:pos="4525"/>
        </w:tabs>
        <w:spacing w:line="460" w:lineRule="exact"/>
        <w:jc w:val="left"/>
        <w:rPr>
          <w:rFonts w:hAnsi="宋体"/>
          <w:sz w:val="24"/>
          <w:highlight w:val="none"/>
        </w:rPr>
      </w:pPr>
      <w:r>
        <w:rPr>
          <w:rFonts w:hint="eastAsia" w:hAnsi="宋体"/>
          <w:sz w:val="24"/>
          <w:highlight w:val="none"/>
        </w:rPr>
        <w:t>注：以上内容填写必须完整、真实，需提供相关业绩合同的复印件资料及投标人认为需要提供的证明材料。</w:t>
      </w:r>
    </w:p>
    <w:p>
      <w:pPr>
        <w:tabs>
          <w:tab w:val="left" w:pos="4525"/>
        </w:tabs>
        <w:spacing w:line="460" w:lineRule="exact"/>
        <w:jc w:val="left"/>
        <w:rPr>
          <w:rFonts w:hAnsi="宋体"/>
          <w:sz w:val="24"/>
          <w:highlight w:val="none"/>
        </w:rPr>
      </w:pPr>
    </w:p>
    <w:p>
      <w:pPr>
        <w:tabs>
          <w:tab w:val="left" w:pos="4525"/>
        </w:tabs>
        <w:spacing w:line="460" w:lineRule="exact"/>
        <w:jc w:val="left"/>
        <w:rPr>
          <w:rFonts w:hAnsi="宋体"/>
          <w:sz w:val="24"/>
          <w:highlight w:val="none"/>
        </w:rPr>
      </w:pPr>
      <w:r>
        <w:rPr>
          <w:rFonts w:hint="eastAsia" w:hAnsi="宋体"/>
          <w:sz w:val="24"/>
          <w:highlight w:val="none"/>
        </w:rPr>
        <w:t>投标人全称</w:t>
      </w:r>
      <w:r>
        <w:rPr>
          <w:rFonts w:hint="eastAsia" w:hAnsi="宋体"/>
          <w:sz w:val="24"/>
          <w:highlight w:val="none"/>
          <w:lang w:eastAsia="zh-CN"/>
        </w:rPr>
        <w:t>（</w:t>
      </w:r>
      <w:r>
        <w:rPr>
          <w:rFonts w:hint="eastAsia" w:hAnsi="宋体"/>
          <w:sz w:val="24"/>
          <w:highlight w:val="none"/>
        </w:rPr>
        <w:t>单位公章</w:t>
      </w:r>
      <w:r>
        <w:rPr>
          <w:rFonts w:hint="eastAsia" w:hAnsi="宋体"/>
          <w:sz w:val="24"/>
          <w:highlight w:val="none"/>
          <w:lang w:eastAsia="zh-CN"/>
        </w:rPr>
        <w:t>）</w:t>
      </w:r>
      <w:r>
        <w:rPr>
          <w:rFonts w:hint="eastAsia" w:hAnsi="宋体"/>
          <w:sz w:val="24"/>
          <w:highlight w:val="none"/>
        </w:rPr>
        <w:t>：</w:t>
      </w:r>
    </w:p>
    <w:p>
      <w:pP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pPr>
        <w:tabs>
          <w:tab w:val="left" w:pos="4525"/>
        </w:tabs>
        <w:spacing w:line="460" w:lineRule="exact"/>
        <w:jc w:val="left"/>
        <w:rPr>
          <w:rFonts w:hAnsi="宋体"/>
          <w:sz w:val="24"/>
          <w:highlight w:val="none"/>
        </w:rPr>
      </w:pPr>
      <w:r>
        <w:rPr>
          <w:rFonts w:hint="eastAsia" w:hAnsi="宋体"/>
          <w:sz w:val="24"/>
          <w:highlight w:val="none"/>
        </w:rPr>
        <w:t>日</w:t>
      </w:r>
      <w:r>
        <w:rPr>
          <w:rFonts w:hAnsi="宋体"/>
          <w:sz w:val="24"/>
          <w:highlight w:val="none"/>
        </w:rPr>
        <w:t xml:space="preserve">    </w:t>
      </w:r>
      <w:r>
        <w:rPr>
          <w:rFonts w:hint="eastAsia" w:hAnsi="宋体"/>
          <w:sz w:val="24"/>
          <w:highlight w:val="none"/>
        </w:rPr>
        <w:t>期：</w:t>
      </w:r>
    </w:p>
    <w:p>
      <w:pPr>
        <w:widowControl/>
        <w:snapToGrid w:val="0"/>
        <w:spacing w:line="560" w:lineRule="exact"/>
        <w:rPr>
          <w:rFonts w:ascii="宋体" w:cs="宋体"/>
          <w:b/>
          <w:kern w:val="0"/>
          <w:sz w:val="24"/>
          <w:highlight w:val="none"/>
        </w:rPr>
      </w:pPr>
    </w:p>
    <w:p>
      <w:pPr>
        <w:pStyle w:val="14"/>
        <w:spacing w:before="120" w:after="120" w:line="480" w:lineRule="auto"/>
        <w:rPr>
          <w:rFonts w:hAnsi="宋体"/>
          <w:b/>
          <w:bCs/>
          <w:spacing w:val="21"/>
          <w:kern w:val="0"/>
          <w:sz w:val="32"/>
          <w:szCs w:val="32"/>
          <w:highlight w:val="none"/>
        </w:rPr>
        <w:sectPr>
          <w:pgSz w:w="11906" w:h="16838"/>
          <w:pgMar w:top="1361" w:right="1644" w:bottom="1361" w:left="1644" w:header="851" w:footer="992" w:gutter="0"/>
          <w:pgNumType w:fmt="decimal"/>
          <w:cols w:space="425" w:num="1"/>
          <w:docGrid w:type="lines" w:linePitch="312" w:charSpace="0"/>
        </w:sectPr>
      </w:pPr>
    </w:p>
    <w:p>
      <w:pPr>
        <w:widowControl/>
        <w:jc w:val="left"/>
        <w:rPr>
          <w:rFonts w:ascii="宋体"/>
          <w:b/>
          <w:bCs/>
          <w:sz w:val="24"/>
          <w:szCs w:val="24"/>
          <w:highlight w:val="none"/>
        </w:rPr>
      </w:pPr>
      <w:r>
        <w:rPr>
          <w:rFonts w:hint="eastAsia" w:ascii="宋体" w:hAnsi="宋体" w:cs="宋体"/>
          <w:b/>
          <w:bCs/>
          <w:sz w:val="24"/>
          <w:szCs w:val="24"/>
          <w:highlight w:val="none"/>
        </w:rPr>
        <w:t>附件6</w:t>
      </w:r>
      <w:r>
        <w:rPr>
          <w:rFonts w:ascii="宋体" w:hAnsi="宋体" w:cs="宋体"/>
          <w:b/>
          <w:bCs/>
          <w:sz w:val="24"/>
          <w:szCs w:val="24"/>
          <w:highlight w:val="none"/>
        </w:rPr>
        <w:t>:</w:t>
      </w:r>
    </w:p>
    <w:p>
      <w:pPr>
        <w:pStyle w:val="14"/>
        <w:spacing w:before="120" w:after="120" w:line="480" w:lineRule="auto"/>
        <w:jc w:val="center"/>
        <w:rPr>
          <w:rFonts w:hAnsi="宋体"/>
          <w:b/>
          <w:bCs/>
          <w:spacing w:val="21"/>
          <w:kern w:val="0"/>
          <w:sz w:val="32"/>
          <w:szCs w:val="32"/>
          <w:highlight w:val="none"/>
        </w:rPr>
      </w:pPr>
      <w:r>
        <w:rPr>
          <w:rFonts w:hint="eastAsia" w:hAnsi="宋体"/>
          <w:b/>
          <w:bCs/>
          <w:spacing w:val="21"/>
          <w:kern w:val="0"/>
          <w:sz w:val="32"/>
          <w:szCs w:val="32"/>
          <w:highlight w:val="none"/>
        </w:rPr>
        <w:t>类似项目情况表</w:t>
      </w:r>
    </w:p>
    <w:p>
      <w:pPr>
        <w:spacing w:line="360" w:lineRule="auto"/>
        <w:rPr>
          <w:highlight w:val="none"/>
        </w:rPr>
      </w:pPr>
      <w:r>
        <w:rPr>
          <w:rFonts w:hint="eastAsia" w:hAnsi="宋体"/>
          <w:color w:val="000000"/>
          <w:sz w:val="24"/>
          <w:highlight w:val="none"/>
        </w:rPr>
        <w:t>项目编号：</w:t>
      </w:r>
      <w:r>
        <w:rPr>
          <w:rFonts w:hAnsi="宋体"/>
          <w:color w:val="000000"/>
          <w:sz w:val="24"/>
          <w:highlight w:val="none"/>
        </w:rPr>
        <w:t xml:space="preserve">          </w:t>
      </w:r>
      <w:r>
        <w:rPr>
          <w:rFonts w:ascii="宋体" w:hAnsi="宋体"/>
          <w:sz w:val="24"/>
          <w:highlight w:val="none"/>
        </w:rPr>
        <w:t xml:space="preserve">                       </w:t>
      </w:r>
    </w:p>
    <w:tbl>
      <w:tblPr>
        <w:tblStyle w:val="25"/>
        <w:tblW w:w="9419" w:type="dxa"/>
        <w:jc w:val="center"/>
        <w:tblLayout w:type="fixed"/>
        <w:tblCellMar>
          <w:top w:w="0" w:type="dxa"/>
          <w:left w:w="108" w:type="dxa"/>
          <w:bottom w:w="0" w:type="dxa"/>
          <w:right w:w="108" w:type="dxa"/>
        </w:tblCellMar>
      </w:tblPr>
      <w:tblGrid>
        <w:gridCol w:w="2631"/>
        <w:gridCol w:w="6788"/>
      </w:tblGrid>
      <w:tr>
        <w:tblPrEx>
          <w:tblCellMar>
            <w:top w:w="0" w:type="dxa"/>
            <w:left w:w="108" w:type="dxa"/>
            <w:bottom w:w="0" w:type="dxa"/>
            <w:right w:w="108" w:type="dxa"/>
          </w:tblCellMar>
        </w:tblPrEx>
        <w:trPr>
          <w:trHeight w:val="633" w:hRule="atLeast"/>
          <w:jc w:val="center"/>
        </w:trPr>
        <w:tc>
          <w:tcPr>
            <w:tcW w:w="2631" w:type="dxa"/>
            <w:tcBorders>
              <w:top w:val="single" w:color="auto" w:sz="12"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项目名称</w:t>
            </w:r>
          </w:p>
        </w:tc>
        <w:tc>
          <w:tcPr>
            <w:tcW w:w="6788" w:type="dxa"/>
            <w:tcBorders>
              <w:top w:val="single" w:color="auto" w:sz="12"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项目所在地</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发包人名称</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发包人地址</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发包人电话</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项目负责人</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合同价格</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61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合同签订时间</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1738" w:hRule="atLeast"/>
          <w:jc w:val="center"/>
        </w:trPr>
        <w:tc>
          <w:tcPr>
            <w:tcW w:w="2631"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color w:val="000000"/>
                <w:highlight w:val="none"/>
              </w:rPr>
            </w:pPr>
            <w:r>
              <w:rPr>
                <w:rFonts w:hint="eastAsia" w:ascii="宋体" w:hAnsi="宋体"/>
                <w:color w:val="000000"/>
                <w:highlight w:val="none"/>
              </w:rPr>
              <w:t>项目描述</w:t>
            </w:r>
          </w:p>
        </w:tc>
        <w:tc>
          <w:tcPr>
            <w:tcW w:w="6788"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color w:val="000000"/>
                <w:highlight w:val="none"/>
              </w:rPr>
            </w:pPr>
          </w:p>
        </w:tc>
      </w:tr>
      <w:tr>
        <w:tblPrEx>
          <w:tblCellMar>
            <w:top w:w="0" w:type="dxa"/>
            <w:left w:w="108" w:type="dxa"/>
            <w:bottom w:w="0" w:type="dxa"/>
            <w:right w:w="108" w:type="dxa"/>
          </w:tblCellMar>
        </w:tblPrEx>
        <w:trPr>
          <w:trHeight w:val="779" w:hRule="atLeast"/>
          <w:jc w:val="center"/>
        </w:trPr>
        <w:tc>
          <w:tcPr>
            <w:tcW w:w="2631" w:type="dxa"/>
            <w:tcBorders>
              <w:top w:val="single" w:color="auto" w:sz="6" w:space="0"/>
              <w:left w:val="single" w:color="auto" w:sz="12" w:space="0"/>
              <w:bottom w:val="single" w:color="auto" w:sz="12" w:space="0"/>
              <w:right w:val="single" w:color="auto" w:sz="6" w:space="0"/>
            </w:tcBorders>
            <w:vAlign w:val="center"/>
          </w:tcPr>
          <w:p>
            <w:pPr>
              <w:wordWrap w:val="0"/>
              <w:spacing w:line="400" w:lineRule="exact"/>
              <w:jc w:val="center"/>
              <w:rPr>
                <w:rFonts w:ascii="宋体" w:hAnsi="宋体"/>
                <w:color w:val="000000"/>
                <w:highlight w:val="none"/>
              </w:rPr>
            </w:pPr>
            <w:r>
              <w:rPr>
                <w:rFonts w:hint="eastAsia" w:ascii="宋体" w:hAnsi="宋体"/>
                <w:color w:val="000000"/>
                <w:highlight w:val="none"/>
              </w:rPr>
              <w:t>是否为</w:t>
            </w:r>
            <w:r>
              <w:rPr>
                <w:rFonts w:hint="eastAsia" w:ascii="宋体" w:hAnsi="宋体"/>
                <w:color w:val="000000"/>
                <w:highlight w:val="none"/>
                <w:lang w:eastAsia="zh-CN"/>
              </w:rPr>
              <w:t>获得过上级行政部门表彰的</w:t>
            </w:r>
            <w:r>
              <w:rPr>
                <w:rFonts w:hint="eastAsia" w:ascii="宋体" w:hAnsi="宋体"/>
                <w:color w:val="000000"/>
                <w:highlight w:val="none"/>
              </w:rPr>
              <w:t>业绩：</w:t>
            </w:r>
          </w:p>
        </w:tc>
        <w:tc>
          <w:tcPr>
            <w:tcW w:w="6788" w:type="dxa"/>
            <w:tcBorders>
              <w:top w:val="single" w:color="auto" w:sz="6" w:space="0"/>
              <w:left w:val="nil"/>
              <w:bottom w:val="single" w:color="auto" w:sz="12" w:space="0"/>
              <w:right w:val="single" w:color="auto" w:sz="12" w:space="0"/>
            </w:tcBorders>
            <w:vAlign w:val="center"/>
          </w:tcPr>
          <w:p>
            <w:pPr>
              <w:wordWrap w:val="0"/>
              <w:spacing w:line="400" w:lineRule="exact"/>
              <w:jc w:val="center"/>
              <w:rPr>
                <w:rFonts w:ascii="宋体" w:hAnsi="宋体"/>
                <w:color w:val="000000"/>
                <w:highlight w:val="none"/>
              </w:rPr>
            </w:pPr>
            <w:r>
              <w:rPr>
                <w:rFonts w:hint="eastAsia" w:ascii="宋体" w:hAnsi="宋体"/>
                <w:color w:val="000000"/>
                <w:highlight w:val="none"/>
              </w:rPr>
              <w:t>□省级</w:t>
            </w:r>
            <w:r>
              <w:rPr>
                <w:rFonts w:hint="eastAsia" w:ascii="宋体" w:hAnsi="宋体"/>
                <w:color w:val="000000"/>
                <w:highlight w:val="none"/>
                <w:lang w:eastAsia="zh-CN"/>
              </w:rPr>
              <w:t>及以上</w:t>
            </w:r>
            <w:r>
              <w:rPr>
                <w:rFonts w:hint="eastAsia" w:ascii="宋体" w:hAnsi="宋体"/>
                <w:color w:val="000000"/>
                <w:highlight w:val="none"/>
              </w:rPr>
              <w:t>、□地市级、□无</w:t>
            </w:r>
          </w:p>
        </w:tc>
      </w:tr>
    </w:tbl>
    <w:p>
      <w:pPr>
        <w:pStyle w:val="75"/>
        <w:ind w:right="205" w:rightChars="98"/>
        <w:rPr>
          <w:rFonts w:ascii="宋体" w:hAnsi="Courier New"/>
          <w:color w:val="000000"/>
          <w:kern w:val="0"/>
          <w:szCs w:val="21"/>
          <w:highlight w:val="none"/>
        </w:rPr>
      </w:pPr>
      <w:r>
        <w:rPr>
          <w:rFonts w:hint="eastAsia" w:ascii="宋体" w:hAnsi="Courier New"/>
          <w:color w:val="000000"/>
          <w:kern w:val="0"/>
          <w:szCs w:val="21"/>
          <w:highlight w:val="none"/>
        </w:rPr>
        <w:t>注：</w:t>
      </w:r>
      <w:r>
        <w:rPr>
          <w:rFonts w:ascii="宋体" w:hAnsi="Courier New"/>
          <w:color w:val="000000"/>
          <w:kern w:val="0"/>
          <w:szCs w:val="21"/>
          <w:highlight w:val="none"/>
        </w:rPr>
        <w:t>1.</w:t>
      </w:r>
      <w:r>
        <w:rPr>
          <w:rFonts w:hint="eastAsia" w:ascii="宋体" w:hAnsi="Courier New"/>
          <w:color w:val="000000"/>
          <w:kern w:val="0"/>
          <w:szCs w:val="21"/>
          <w:highlight w:val="none"/>
        </w:rPr>
        <w:t>每张表格只填写一个项目，并标明序号。</w:t>
      </w:r>
    </w:p>
    <w:p>
      <w:pPr>
        <w:ind w:right="205" w:rightChars="98" w:firstLine="420" w:firstLineChars="200"/>
        <w:rPr>
          <w:rFonts w:ascii="宋体" w:hAnsi="Courier New"/>
          <w:color w:val="000000"/>
          <w:kern w:val="0"/>
          <w:highlight w:val="none"/>
        </w:rPr>
      </w:pPr>
      <w:r>
        <w:rPr>
          <w:rFonts w:ascii="宋体" w:hAnsi="Courier New"/>
          <w:color w:val="000000"/>
          <w:kern w:val="0"/>
          <w:highlight w:val="none"/>
        </w:rPr>
        <w:t>2.</w:t>
      </w:r>
      <w:r>
        <w:rPr>
          <w:rFonts w:hint="eastAsia" w:ascii="宋体" w:hAnsi="Courier New"/>
          <w:color w:val="000000"/>
          <w:kern w:val="0"/>
          <w:highlight w:val="none"/>
        </w:rPr>
        <w:t>本表后须附相关业绩合同的复印件及投标人认为需要提供的证明材料。</w:t>
      </w:r>
    </w:p>
    <w:p>
      <w:pPr>
        <w:ind w:right="205" w:rightChars="98" w:firstLine="420" w:firstLineChars="200"/>
        <w:rPr>
          <w:rFonts w:ascii="宋体" w:hAnsi="Courier New"/>
          <w:color w:val="000000"/>
          <w:kern w:val="0"/>
          <w:highlight w:val="none"/>
        </w:rPr>
      </w:pPr>
      <w:r>
        <w:rPr>
          <w:rFonts w:ascii="宋体" w:hAnsi="Courier New"/>
          <w:color w:val="000000"/>
          <w:kern w:val="0"/>
          <w:highlight w:val="none"/>
        </w:rPr>
        <w:t>3.</w:t>
      </w:r>
      <w:r>
        <w:rPr>
          <w:rFonts w:hint="eastAsia" w:ascii="宋体" w:hAnsi="Courier New"/>
          <w:color w:val="000000"/>
          <w:kern w:val="0"/>
          <w:highlight w:val="none"/>
        </w:rPr>
        <w:t>如近年来，投标人法人机构发生合法变更或重组或法人名称变更时，应提供相关部门的合法批件或其他相关证明材料来证明其所附业绩的继承性。</w:t>
      </w:r>
    </w:p>
    <w:p>
      <w:pPr>
        <w:ind w:right="205" w:rightChars="98" w:firstLine="420" w:firstLineChars="200"/>
        <w:rPr>
          <w:rFonts w:ascii="宋体" w:hAnsi="Courier New"/>
          <w:color w:val="000000"/>
          <w:kern w:val="0"/>
          <w:highlight w:val="none"/>
        </w:rPr>
      </w:pPr>
      <w:r>
        <w:rPr>
          <w:rFonts w:hint="eastAsia" w:ascii="宋体" w:hAnsi="Courier New"/>
          <w:color w:val="000000"/>
          <w:kern w:val="0"/>
          <w:highlight w:val="none"/>
        </w:rPr>
        <w:t>4.若为</w:t>
      </w:r>
      <w:r>
        <w:rPr>
          <w:rFonts w:hint="eastAsia" w:ascii="宋体" w:hAnsi="Courier New"/>
          <w:color w:val="000000"/>
          <w:kern w:val="0"/>
          <w:highlight w:val="none"/>
          <w:lang w:eastAsia="zh-CN"/>
        </w:rPr>
        <w:t>表彰</w:t>
      </w:r>
      <w:r>
        <w:rPr>
          <w:rFonts w:hint="eastAsia" w:ascii="宋体" w:hAnsi="Courier New"/>
          <w:color w:val="000000"/>
          <w:kern w:val="0"/>
          <w:highlight w:val="none"/>
        </w:rPr>
        <w:t>业绩，请在相应□内打“√”</w:t>
      </w:r>
    </w:p>
    <w:p>
      <w:pPr>
        <w:tabs>
          <w:tab w:val="left" w:pos="4525"/>
        </w:tabs>
        <w:spacing w:line="460" w:lineRule="exact"/>
        <w:jc w:val="left"/>
        <w:rPr>
          <w:rFonts w:hAnsi="宋体"/>
          <w:sz w:val="24"/>
          <w:highlight w:val="none"/>
        </w:rPr>
      </w:pPr>
    </w:p>
    <w:p>
      <w:pPr>
        <w:tabs>
          <w:tab w:val="left" w:pos="4525"/>
        </w:tabs>
        <w:spacing w:line="460" w:lineRule="exact"/>
        <w:jc w:val="left"/>
        <w:rPr>
          <w:rFonts w:hAnsi="宋体"/>
          <w:sz w:val="24"/>
          <w:highlight w:val="none"/>
        </w:rPr>
      </w:pPr>
      <w:r>
        <w:rPr>
          <w:rFonts w:hint="eastAsia" w:hAnsi="宋体"/>
          <w:sz w:val="24"/>
          <w:highlight w:val="none"/>
        </w:rPr>
        <w:t>投标人全称（单位公章）：</w:t>
      </w:r>
    </w:p>
    <w:p>
      <w:pP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pPr>
        <w:tabs>
          <w:tab w:val="left" w:pos="4525"/>
        </w:tabs>
        <w:spacing w:line="460" w:lineRule="exact"/>
        <w:jc w:val="left"/>
        <w:rPr>
          <w:rFonts w:hAnsi="宋体"/>
          <w:sz w:val="24"/>
          <w:highlight w:val="none"/>
        </w:rPr>
        <w:sectPr>
          <w:pgSz w:w="11907" w:h="16840"/>
          <w:pgMar w:top="1440" w:right="1531" w:bottom="1440" w:left="1928" w:header="851" w:footer="1304" w:gutter="0"/>
          <w:pgNumType w:fmt="decimal"/>
          <w:cols w:space="720" w:num="1"/>
          <w:docGrid w:type="linesAndChars" w:linePitch="312" w:charSpace="0"/>
        </w:sectPr>
      </w:pPr>
      <w:r>
        <w:rPr>
          <w:rFonts w:hint="eastAsia" w:hAnsi="宋体"/>
          <w:sz w:val="24"/>
          <w:highlight w:val="none"/>
        </w:rPr>
        <w:t>日</w:t>
      </w:r>
      <w:r>
        <w:rPr>
          <w:rFonts w:hAnsi="宋体"/>
          <w:sz w:val="24"/>
          <w:highlight w:val="none"/>
        </w:rPr>
        <w:t xml:space="preserve">  </w:t>
      </w:r>
      <w:r>
        <w:rPr>
          <w:rFonts w:hint="eastAsia" w:hAnsi="宋体"/>
          <w:sz w:val="24"/>
          <w:highlight w:val="none"/>
        </w:rPr>
        <w:t>期：</w:t>
      </w:r>
    </w:p>
    <w:p>
      <w:pPr>
        <w:pStyle w:val="14"/>
        <w:spacing w:before="120" w:after="120" w:line="480" w:lineRule="auto"/>
        <w:rPr>
          <w:rFonts w:hAnsi="宋体"/>
          <w:b/>
          <w:bCs/>
          <w:color w:val="000000"/>
          <w:sz w:val="24"/>
          <w:highlight w:val="none"/>
        </w:rPr>
      </w:pPr>
      <w:r>
        <w:rPr>
          <w:rFonts w:hint="eastAsia" w:hAnsi="宋体"/>
          <w:b/>
          <w:bCs/>
          <w:color w:val="000000"/>
          <w:sz w:val="24"/>
          <w:highlight w:val="none"/>
        </w:rPr>
        <w:t>附件7：</w:t>
      </w:r>
    </w:p>
    <w:p>
      <w:pPr>
        <w:pStyle w:val="2"/>
        <w:spacing w:line="400" w:lineRule="exact"/>
        <w:jc w:val="center"/>
        <w:rPr>
          <w:rFonts w:ascii="仿宋_GB2312" w:hAnsi="Calibri" w:eastAsia="仿宋_GB2312"/>
          <w:color w:val="auto"/>
          <w:kern w:val="2"/>
          <w:sz w:val="32"/>
          <w:szCs w:val="24"/>
          <w:highlight w:val="none"/>
        </w:rPr>
      </w:pPr>
      <w:r>
        <w:rPr>
          <w:rFonts w:hint="eastAsia" w:ascii="仿宋_GB2312" w:hAnsi="Calibri" w:eastAsia="仿宋_GB2312"/>
          <w:color w:val="auto"/>
          <w:kern w:val="2"/>
          <w:sz w:val="32"/>
          <w:szCs w:val="24"/>
          <w:highlight w:val="none"/>
        </w:rPr>
        <w:t>技术、商务响应表</w:t>
      </w:r>
    </w:p>
    <w:p>
      <w:pPr>
        <w:autoSpaceDE w:val="0"/>
        <w:autoSpaceDN w:val="0"/>
        <w:adjustRightInd w:val="0"/>
        <w:spacing w:line="450" w:lineRule="exact"/>
        <w:ind w:firstLine="120" w:firstLineChars="50"/>
        <w:rPr>
          <w:rFonts w:hAnsi="宋体"/>
          <w:sz w:val="24"/>
          <w:highlight w:val="none"/>
        </w:rPr>
      </w:pPr>
      <w:r>
        <w:rPr>
          <w:rFonts w:hint="eastAsia" w:hAnsi="宋体"/>
          <w:sz w:val="24"/>
          <w:highlight w:val="none"/>
        </w:rPr>
        <w:t>项目编号：</w:t>
      </w:r>
      <w:r>
        <w:rPr>
          <w:rFonts w:hAnsi="宋体"/>
          <w:sz w:val="24"/>
          <w:highlight w:val="non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tcBorders>
              <w:top w:val="single" w:color="auto" w:sz="12" w:space="0"/>
            </w:tcBorders>
            <w:vAlign w:val="center"/>
          </w:tcPr>
          <w:p>
            <w:pPr>
              <w:autoSpaceDE w:val="0"/>
              <w:autoSpaceDN w:val="0"/>
              <w:adjustRightInd w:val="0"/>
              <w:jc w:val="center"/>
              <w:rPr>
                <w:rFonts w:hAnsi="宋体"/>
                <w:sz w:val="24"/>
                <w:highlight w:val="none"/>
              </w:rPr>
            </w:pPr>
            <w:r>
              <w:rPr>
                <w:rFonts w:hint="eastAsia" w:hAnsi="宋体"/>
                <w:sz w:val="24"/>
                <w:highlight w:val="none"/>
              </w:rPr>
              <w:t>序号</w:t>
            </w:r>
          </w:p>
        </w:tc>
        <w:tc>
          <w:tcPr>
            <w:tcW w:w="1189" w:type="dxa"/>
            <w:tcBorders>
              <w:top w:val="single" w:color="auto" w:sz="12" w:space="0"/>
            </w:tcBorders>
            <w:vAlign w:val="center"/>
          </w:tcPr>
          <w:p>
            <w:pPr>
              <w:autoSpaceDE w:val="0"/>
              <w:autoSpaceDN w:val="0"/>
              <w:adjustRightInd w:val="0"/>
              <w:jc w:val="center"/>
              <w:rPr>
                <w:rFonts w:hAnsi="宋体"/>
                <w:sz w:val="24"/>
                <w:highlight w:val="none"/>
              </w:rPr>
            </w:pPr>
            <w:r>
              <w:rPr>
                <w:rFonts w:hint="eastAsia" w:hAnsi="宋体"/>
                <w:sz w:val="24"/>
                <w:highlight w:val="none"/>
              </w:rPr>
              <w:t>名称</w:t>
            </w:r>
          </w:p>
        </w:tc>
        <w:tc>
          <w:tcPr>
            <w:tcW w:w="1978" w:type="dxa"/>
            <w:tcBorders>
              <w:top w:val="single" w:color="auto" w:sz="12" w:space="0"/>
            </w:tcBorders>
            <w:vAlign w:val="center"/>
          </w:tcPr>
          <w:p>
            <w:pPr>
              <w:autoSpaceDE w:val="0"/>
              <w:autoSpaceDN w:val="0"/>
              <w:adjustRightInd w:val="0"/>
              <w:ind w:left="-105" w:leftChars="-50" w:right="-100"/>
              <w:jc w:val="center"/>
              <w:rPr>
                <w:rFonts w:hAnsi="宋体"/>
                <w:spacing w:val="-12"/>
                <w:sz w:val="24"/>
                <w:highlight w:val="none"/>
              </w:rPr>
            </w:pPr>
            <w:r>
              <w:rPr>
                <w:rFonts w:hint="eastAsia" w:hAnsi="宋体"/>
                <w:sz w:val="24"/>
                <w:highlight w:val="none"/>
              </w:rPr>
              <w:t>采购文件要求</w:t>
            </w:r>
          </w:p>
        </w:tc>
        <w:tc>
          <w:tcPr>
            <w:tcW w:w="2130" w:type="dxa"/>
            <w:tcBorders>
              <w:top w:val="single" w:color="auto" w:sz="12" w:space="0"/>
            </w:tcBorders>
            <w:vAlign w:val="center"/>
          </w:tcPr>
          <w:p>
            <w:pPr>
              <w:autoSpaceDE w:val="0"/>
              <w:autoSpaceDN w:val="0"/>
              <w:adjustRightInd w:val="0"/>
              <w:jc w:val="center"/>
              <w:rPr>
                <w:rFonts w:hAnsi="宋体"/>
                <w:sz w:val="24"/>
                <w:highlight w:val="none"/>
              </w:rPr>
            </w:pPr>
            <w:r>
              <w:rPr>
                <w:rFonts w:hint="eastAsia" w:hAnsi="宋体"/>
                <w:sz w:val="24"/>
                <w:highlight w:val="none"/>
              </w:rPr>
              <w:t>投标文件响应</w:t>
            </w:r>
          </w:p>
        </w:tc>
        <w:tc>
          <w:tcPr>
            <w:tcW w:w="1468" w:type="dxa"/>
            <w:tcBorders>
              <w:top w:val="single" w:color="auto" w:sz="12" w:space="0"/>
            </w:tcBorders>
            <w:vAlign w:val="center"/>
          </w:tcPr>
          <w:p>
            <w:pPr>
              <w:autoSpaceDE w:val="0"/>
              <w:autoSpaceDN w:val="0"/>
              <w:adjustRightInd w:val="0"/>
              <w:jc w:val="center"/>
              <w:rPr>
                <w:rFonts w:hAnsi="宋体"/>
                <w:sz w:val="24"/>
                <w:highlight w:val="none"/>
              </w:rPr>
            </w:pPr>
            <w:r>
              <w:rPr>
                <w:rFonts w:hint="eastAsia" w:hAnsi="宋体"/>
                <w:sz w:val="24"/>
                <w:highlight w:val="none"/>
              </w:rPr>
              <w:t>偏离情况</w:t>
            </w:r>
          </w:p>
        </w:tc>
        <w:tc>
          <w:tcPr>
            <w:tcW w:w="986" w:type="dxa"/>
            <w:tcBorders>
              <w:top w:val="single" w:color="auto" w:sz="12" w:space="0"/>
            </w:tcBorders>
            <w:vAlign w:val="center"/>
          </w:tcPr>
          <w:p>
            <w:pPr>
              <w:autoSpaceDE w:val="0"/>
              <w:autoSpaceDN w:val="0"/>
              <w:adjustRightInd w:val="0"/>
              <w:jc w:val="center"/>
              <w:rPr>
                <w:rFonts w:hAnsi="宋体"/>
                <w:sz w:val="24"/>
                <w:highlight w:val="none"/>
              </w:rPr>
            </w:pPr>
            <w:r>
              <w:rPr>
                <w:rFonts w:hint="eastAsia" w:hAnsi="宋体"/>
                <w:sz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pPr>
              <w:autoSpaceDE w:val="0"/>
              <w:autoSpaceDN w:val="0"/>
              <w:adjustRightInd w:val="0"/>
              <w:jc w:val="center"/>
              <w:rPr>
                <w:rFonts w:hAnsi="宋体"/>
                <w:sz w:val="24"/>
                <w:highlight w:val="none"/>
              </w:rPr>
            </w:pPr>
            <w:r>
              <w:rPr>
                <w:rFonts w:hint="eastAsia" w:hAnsi="宋体"/>
                <w:sz w:val="24"/>
                <w:highlight w:val="none"/>
              </w:rPr>
              <w:t>技术响应情况</w:t>
            </w:r>
          </w:p>
        </w:tc>
        <w:tc>
          <w:tcPr>
            <w:tcW w:w="759" w:type="dxa"/>
            <w:vAlign w:val="center"/>
          </w:tcPr>
          <w:p>
            <w:pPr>
              <w:pStyle w:val="14"/>
              <w:spacing w:line="300" w:lineRule="exact"/>
              <w:jc w:val="center"/>
              <w:rPr>
                <w:rFonts w:hAnsi="宋体"/>
                <w:sz w:val="24"/>
                <w:highlight w:val="none"/>
              </w:rPr>
            </w:pPr>
            <w:r>
              <w:rPr>
                <w:rFonts w:hAnsi="宋体"/>
                <w:sz w:val="24"/>
                <w:highlight w:val="none"/>
              </w:rPr>
              <w:t>1</w:t>
            </w:r>
          </w:p>
        </w:tc>
        <w:tc>
          <w:tcPr>
            <w:tcW w:w="1189" w:type="dxa"/>
            <w:vAlign w:val="center"/>
          </w:tcPr>
          <w:p>
            <w:pPr>
              <w:autoSpaceDE w:val="0"/>
              <w:autoSpaceDN w:val="0"/>
              <w:adjustRightInd w:val="0"/>
              <w:jc w:val="center"/>
              <w:rPr>
                <w:rFonts w:hAnsi="宋体"/>
                <w:sz w:val="24"/>
                <w:highlight w:val="none"/>
              </w:rPr>
            </w:pPr>
          </w:p>
        </w:tc>
        <w:tc>
          <w:tcPr>
            <w:tcW w:w="1978" w:type="dxa"/>
            <w:vAlign w:val="center"/>
          </w:tcPr>
          <w:p>
            <w:pPr>
              <w:autoSpaceDE w:val="0"/>
              <w:autoSpaceDN w:val="0"/>
              <w:adjustRightInd w:val="0"/>
              <w:jc w:val="center"/>
              <w:rPr>
                <w:rFonts w:hAnsi="宋体"/>
                <w:sz w:val="24"/>
                <w:highlight w:val="none"/>
              </w:rPr>
            </w:pPr>
          </w:p>
        </w:tc>
        <w:tc>
          <w:tcPr>
            <w:tcW w:w="2130" w:type="dxa"/>
            <w:vAlign w:val="center"/>
          </w:tcPr>
          <w:p>
            <w:pPr>
              <w:autoSpaceDE w:val="0"/>
              <w:autoSpaceDN w:val="0"/>
              <w:adjustRightInd w:val="0"/>
              <w:jc w:val="center"/>
              <w:rPr>
                <w:rFonts w:hAnsi="宋体"/>
                <w:sz w:val="24"/>
                <w:highlight w:val="none"/>
              </w:rPr>
            </w:pPr>
          </w:p>
        </w:tc>
        <w:tc>
          <w:tcPr>
            <w:tcW w:w="1468" w:type="dxa"/>
            <w:vAlign w:val="center"/>
          </w:tcPr>
          <w:p>
            <w:pPr>
              <w:autoSpaceDE w:val="0"/>
              <w:autoSpaceDN w:val="0"/>
              <w:adjustRightInd w:val="0"/>
              <w:jc w:val="center"/>
              <w:rPr>
                <w:rFonts w:hAnsi="宋体"/>
                <w:sz w:val="24"/>
                <w:highlight w:val="none"/>
              </w:rPr>
            </w:pPr>
          </w:p>
        </w:tc>
        <w:tc>
          <w:tcPr>
            <w:tcW w:w="986" w:type="dxa"/>
            <w:vAlign w:val="center"/>
          </w:tcPr>
          <w:p>
            <w:pPr>
              <w:autoSpaceDE w:val="0"/>
              <w:autoSpaceDN w:val="0"/>
              <w:adjustRightInd w:val="0"/>
              <w:jc w:val="center"/>
              <w:rPr>
                <w:rFonts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pPr>
              <w:autoSpaceDE w:val="0"/>
              <w:autoSpaceDN w:val="0"/>
              <w:adjustRightInd w:val="0"/>
              <w:jc w:val="center"/>
              <w:rPr>
                <w:rFonts w:hAnsi="宋体"/>
                <w:sz w:val="24"/>
                <w:highlight w:val="none"/>
              </w:rPr>
            </w:pPr>
          </w:p>
        </w:tc>
        <w:tc>
          <w:tcPr>
            <w:tcW w:w="759" w:type="dxa"/>
            <w:vAlign w:val="center"/>
          </w:tcPr>
          <w:p>
            <w:pPr>
              <w:pStyle w:val="14"/>
              <w:spacing w:line="300" w:lineRule="exact"/>
              <w:jc w:val="center"/>
              <w:rPr>
                <w:rFonts w:hAnsi="宋体"/>
                <w:sz w:val="24"/>
                <w:highlight w:val="none"/>
              </w:rPr>
            </w:pPr>
            <w:r>
              <w:rPr>
                <w:rFonts w:hAnsi="宋体"/>
                <w:sz w:val="24"/>
                <w:highlight w:val="none"/>
              </w:rPr>
              <w:t>2</w:t>
            </w:r>
          </w:p>
        </w:tc>
        <w:tc>
          <w:tcPr>
            <w:tcW w:w="1189" w:type="dxa"/>
            <w:vAlign w:val="center"/>
          </w:tcPr>
          <w:p>
            <w:pPr>
              <w:autoSpaceDE w:val="0"/>
              <w:autoSpaceDN w:val="0"/>
              <w:adjustRightInd w:val="0"/>
              <w:jc w:val="center"/>
              <w:rPr>
                <w:rFonts w:hAnsi="宋体"/>
                <w:sz w:val="24"/>
                <w:highlight w:val="none"/>
              </w:rPr>
            </w:pPr>
          </w:p>
        </w:tc>
        <w:tc>
          <w:tcPr>
            <w:tcW w:w="1978" w:type="dxa"/>
            <w:vAlign w:val="center"/>
          </w:tcPr>
          <w:p>
            <w:pPr>
              <w:autoSpaceDE w:val="0"/>
              <w:autoSpaceDN w:val="0"/>
              <w:adjustRightInd w:val="0"/>
              <w:jc w:val="center"/>
              <w:rPr>
                <w:rFonts w:hAnsi="宋体"/>
                <w:sz w:val="24"/>
                <w:highlight w:val="none"/>
              </w:rPr>
            </w:pPr>
          </w:p>
        </w:tc>
        <w:tc>
          <w:tcPr>
            <w:tcW w:w="2130" w:type="dxa"/>
            <w:vAlign w:val="center"/>
          </w:tcPr>
          <w:p>
            <w:pPr>
              <w:autoSpaceDE w:val="0"/>
              <w:autoSpaceDN w:val="0"/>
              <w:adjustRightInd w:val="0"/>
              <w:jc w:val="center"/>
              <w:rPr>
                <w:rFonts w:hAnsi="宋体"/>
                <w:sz w:val="24"/>
                <w:highlight w:val="none"/>
              </w:rPr>
            </w:pPr>
          </w:p>
        </w:tc>
        <w:tc>
          <w:tcPr>
            <w:tcW w:w="1468" w:type="dxa"/>
            <w:vAlign w:val="center"/>
          </w:tcPr>
          <w:p>
            <w:pPr>
              <w:autoSpaceDE w:val="0"/>
              <w:autoSpaceDN w:val="0"/>
              <w:adjustRightInd w:val="0"/>
              <w:jc w:val="center"/>
              <w:rPr>
                <w:rFonts w:hAnsi="宋体"/>
                <w:sz w:val="24"/>
                <w:highlight w:val="none"/>
              </w:rPr>
            </w:pPr>
          </w:p>
        </w:tc>
        <w:tc>
          <w:tcPr>
            <w:tcW w:w="986" w:type="dxa"/>
            <w:vAlign w:val="center"/>
          </w:tcPr>
          <w:p>
            <w:pPr>
              <w:autoSpaceDE w:val="0"/>
              <w:autoSpaceDN w:val="0"/>
              <w:adjustRightInd w:val="0"/>
              <w:jc w:val="center"/>
              <w:rPr>
                <w:rFonts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autoSpaceDE w:val="0"/>
              <w:autoSpaceDN w:val="0"/>
              <w:adjustRightInd w:val="0"/>
              <w:jc w:val="center"/>
              <w:rPr>
                <w:rFonts w:hAnsi="宋体"/>
                <w:sz w:val="24"/>
                <w:highlight w:val="none"/>
              </w:rPr>
            </w:pPr>
          </w:p>
        </w:tc>
        <w:tc>
          <w:tcPr>
            <w:tcW w:w="759" w:type="dxa"/>
            <w:vAlign w:val="center"/>
          </w:tcPr>
          <w:p>
            <w:pPr>
              <w:pStyle w:val="14"/>
              <w:spacing w:line="300" w:lineRule="exact"/>
              <w:jc w:val="center"/>
              <w:rPr>
                <w:rFonts w:hAnsi="宋体"/>
                <w:sz w:val="24"/>
                <w:highlight w:val="none"/>
              </w:rPr>
            </w:pPr>
            <w:r>
              <w:rPr>
                <w:rFonts w:hint="eastAsia" w:hAnsi="宋体"/>
                <w:sz w:val="24"/>
                <w:highlight w:val="none"/>
              </w:rPr>
              <w:t>…</w:t>
            </w:r>
          </w:p>
        </w:tc>
        <w:tc>
          <w:tcPr>
            <w:tcW w:w="1189" w:type="dxa"/>
            <w:vAlign w:val="center"/>
          </w:tcPr>
          <w:p>
            <w:pPr>
              <w:autoSpaceDE w:val="0"/>
              <w:autoSpaceDN w:val="0"/>
              <w:adjustRightInd w:val="0"/>
              <w:jc w:val="center"/>
              <w:rPr>
                <w:rFonts w:hAnsi="宋体"/>
                <w:sz w:val="24"/>
                <w:highlight w:val="none"/>
              </w:rPr>
            </w:pPr>
          </w:p>
        </w:tc>
        <w:tc>
          <w:tcPr>
            <w:tcW w:w="1978" w:type="dxa"/>
            <w:vAlign w:val="center"/>
          </w:tcPr>
          <w:p>
            <w:pPr>
              <w:autoSpaceDE w:val="0"/>
              <w:autoSpaceDN w:val="0"/>
              <w:adjustRightInd w:val="0"/>
              <w:jc w:val="center"/>
              <w:rPr>
                <w:rFonts w:hAnsi="宋体"/>
                <w:sz w:val="24"/>
                <w:highlight w:val="none"/>
              </w:rPr>
            </w:pPr>
          </w:p>
        </w:tc>
        <w:tc>
          <w:tcPr>
            <w:tcW w:w="2130" w:type="dxa"/>
            <w:vAlign w:val="center"/>
          </w:tcPr>
          <w:p>
            <w:pPr>
              <w:autoSpaceDE w:val="0"/>
              <w:autoSpaceDN w:val="0"/>
              <w:adjustRightInd w:val="0"/>
              <w:jc w:val="center"/>
              <w:rPr>
                <w:rFonts w:hAnsi="宋体"/>
                <w:sz w:val="24"/>
                <w:highlight w:val="none"/>
              </w:rPr>
            </w:pPr>
          </w:p>
        </w:tc>
        <w:tc>
          <w:tcPr>
            <w:tcW w:w="1468" w:type="dxa"/>
            <w:vAlign w:val="center"/>
          </w:tcPr>
          <w:p>
            <w:pPr>
              <w:autoSpaceDE w:val="0"/>
              <w:autoSpaceDN w:val="0"/>
              <w:adjustRightInd w:val="0"/>
              <w:jc w:val="center"/>
              <w:rPr>
                <w:rFonts w:hAnsi="宋体"/>
                <w:sz w:val="24"/>
                <w:highlight w:val="none"/>
              </w:rPr>
            </w:pPr>
          </w:p>
        </w:tc>
        <w:tc>
          <w:tcPr>
            <w:tcW w:w="986" w:type="dxa"/>
            <w:vAlign w:val="center"/>
          </w:tcPr>
          <w:p>
            <w:pPr>
              <w:autoSpaceDE w:val="0"/>
              <w:autoSpaceDN w:val="0"/>
              <w:adjustRightInd w:val="0"/>
              <w:jc w:val="center"/>
              <w:rPr>
                <w:rFonts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autoSpaceDE w:val="0"/>
              <w:autoSpaceDN w:val="0"/>
              <w:adjustRightInd w:val="0"/>
              <w:jc w:val="center"/>
              <w:rPr>
                <w:rFonts w:hAnsi="宋体"/>
                <w:sz w:val="24"/>
                <w:highlight w:val="none"/>
              </w:rPr>
            </w:pPr>
          </w:p>
        </w:tc>
        <w:tc>
          <w:tcPr>
            <w:tcW w:w="759" w:type="dxa"/>
            <w:vAlign w:val="center"/>
          </w:tcPr>
          <w:p>
            <w:pPr>
              <w:autoSpaceDE w:val="0"/>
              <w:autoSpaceDN w:val="0"/>
              <w:adjustRightInd w:val="0"/>
              <w:jc w:val="center"/>
              <w:rPr>
                <w:rFonts w:hAnsi="宋体"/>
                <w:sz w:val="24"/>
                <w:highlight w:val="none"/>
              </w:rPr>
            </w:pPr>
          </w:p>
        </w:tc>
        <w:tc>
          <w:tcPr>
            <w:tcW w:w="1189" w:type="dxa"/>
            <w:vAlign w:val="center"/>
          </w:tcPr>
          <w:p>
            <w:pPr>
              <w:autoSpaceDE w:val="0"/>
              <w:autoSpaceDN w:val="0"/>
              <w:adjustRightInd w:val="0"/>
              <w:jc w:val="center"/>
              <w:rPr>
                <w:rFonts w:hAnsi="宋体"/>
                <w:sz w:val="24"/>
                <w:highlight w:val="none"/>
              </w:rPr>
            </w:pPr>
          </w:p>
        </w:tc>
        <w:tc>
          <w:tcPr>
            <w:tcW w:w="1978" w:type="dxa"/>
            <w:vAlign w:val="center"/>
          </w:tcPr>
          <w:p>
            <w:pPr>
              <w:autoSpaceDE w:val="0"/>
              <w:autoSpaceDN w:val="0"/>
              <w:adjustRightInd w:val="0"/>
              <w:jc w:val="center"/>
              <w:rPr>
                <w:rFonts w:hAnsi="宋体"/>
                <w:sz w:val="24"/>
                <w:highlight w:val="none"/>
              </w:rPr>
            </w:pPr>
          </w:p>
        </w:tc>
        <w:tc>
          <w:tcPr>
            <w:tcW w:w="2130" w:type="dxa"/>
            <w:vAlign w:val="center"/>
          </w:tcPr>
          <w:p>
            <w:pPr>
              <w:autoSpaceDE w:val="0"/>
              <w:autoSpaceDN w:val="0"/>
              <w:adjustRightInd w:val="0"/>
              <w:jc w:val="center"/>
              <w:rPr>
                <w:rFonts w:hAnsi="宋体"/>
                <w:sz w:val="24"/>
                <w:highlight w:val="none"/>
              </w:rPr>
            </w:pPr>
          </w:p>
        </w:tc>
        <w:tc>
          <w:tcPr>
            <w:tcW w:w="1468" w:type="dxa"/>
            <w:vAlign w:val="center"/>
          </w:tcPr>
          <w:p>
            <w:pPr>
              <w:autoSpaceDE w:val="0"/>
              <w:autoSpaceDN w:val="0"/>
              <w:adjustRightInd w:val="0"/>
              <w:jc w:val="center"/>
              <w:rPr>
                <w:rFonts w:hAnsi="宋体"/>
                <w:sz w:val="24"/>
                <w:highlight w:val="none"/>
              </w:rPr>
            </w:pPr>
          </w:p>
        </w:tc>
        <w:tc>
          <w:tcPr>
            <w:tcW w:w="986" w:type="dxa"/>
            <w:vAlign w:val="center"/>
          </w:tcPr>
          <w:p>
            <w:pPr>
              <w:autoSpaceDE w:val="0"/>
              <w:autoSpaceDN w:val="0"/>
              <w:adjustRightInd w:val="0"/>
              <w:jc w:val="center"/>
              <w:rPr>
                <w:rFonts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pPr>
              <w:autoSpaceDE w:val="0"/>
              <w:autoSpaceDN w:val="0"/>
              <w:adjustRightInd w:val="0"/>
              <w:jc w:val="center"/>
              <w:rPr>
                <w:rFonts w:hAnsi="宋体"/>
                <w:sz w:val="24"/>
                <w:highlight w:val="none"/>
              </w:rPr>
            </w:pPr>
            <w:r>
              <w:rPr>
                <w:rFonts w:hint="eastAsia" w:hAnsi="宋体"/>
                <w:sz w:val="24"/>
                <w:highlight w:val="none"/>
              </w:rPr>
              <w:t>商务响应情况</w:t>
            </w:r>
          </w:p>
        </w:tc>
        <w:tc>
          <w:tcPr>
            <w:tcW w:w="759" w:type="dxa"/>
            <w:vAlign w:val="center"/>
          </w:tcPr>
          <w:p>
            <w:pPr>
              <w:pStyle w:val="14"/>
              <w:spacing w:line="300" w:lineRule="exact"/>
              <w:jc w:val="center"/>
              <w:rPr>
                <w:rFonts w:hAnsi="宋体"/>
                <w:sz w:val="24"/>
                <w:highlight w:val="none"/>
              </w:rPr>
            </w:pPr>
            <w:r>
              <w:rPr>
                <w:rFonts w:hAnsi="宋体"/>
                <w:sz w:val="24"/>
                <w:highlight w:val="none"/>
              </w:rPr>
              <w:t>1</w:t>
            </w:r>
          </w:p>
        </w:tc>
        <w:tc>
          <w:tcPr>
            <w:tcW w:w="1189" w:type="dxa"/>
            <w:vAlign w:val="center"/>
          </w:tcPr>
          <w:p>
            <w:pPr>
              <w:autoSpaceDE w:val="0"/>
              <w:autoSpaceDN w:val="0"/>
              <w:adjustRightInd w:val="0"/>
              <w:jc w:val="center"/>
              <w:rPr>
                <w:rFonts w:hAnsi="宋体"/>
                <w:sz w:val="24"/>
                <w:highlight w:val="none"/>
              </w:rPr>
            </w:pPr>
          </w:p>
        </w:tc>
        <w:tc>
          <w:tcPr>
            <w:tcW w:w="1978" w:type="dxa"/>
            <w:vAlign w:val="center"/>
          </w:tcPr>
          <w:p>
            <w:pPr>
              <w:autoSpaceDE w:val="0"/>
              <w:autoSpaceDN w:val="0"/>
              <w:adjustRightInd w:val="0"/>
              <w:jc w:val="center"/>
              <w:rPr>
                <w:rFonts w:hAnsi="宋体"/>
                <w:sz w:val="24"/>
                <w:highlight w:val="none"/>
              </w:rPr>
            </w:pPr>
          </w:p>
        </w:tc>
        <w:tc>
          <w:tcPr>
            <w:tcW w:w="2130" w:type="dxa"/>
            <w:vAlign w:val="center"/>
          </w:tcPr>
          <w:p>
            <w:pPr>
              <w:autoSpaceDE w:val="0"/>
              <w:autoSpaceDN w:val="0"/>
              <w:adjustRightInd w:val="0"/>
              <w:jc w:val="center"/>
              <w:rPr>
                <w:rFonts w:hAnsi="宋体"/>
                <w:sz w:val="24"/>
                <w:highlight w:val="none"/>
              </w:rPr>
            </w:pPr>
          </w:p>
        </w:tc>
        <w:tc>
          <w:tcPr>
            <w:tcW w:w="1468" w:type="dxa"/>
            <w:vAlign w:val="center"/>
          </w:tcPr>
          <w:p>
            <w:pPr>
              <w:autoSpaceDE w:val="0"/>
              <w:autoSpaceDN w:val="0"/>
              <w:adjustRightInd w:val="0"/>
              <w:jc w:val="center"/>
              <w:rPr>
                <w:rFonts w:hAnsi="宋体"/>
                <w:sz w:val="24"/>
                <w:highlight w:val="none"/>
              </w:rPr>
            </w:pPr>
          </w:p>
        </w:tc>
        <w:tc>
          <w:tcPr>
            <w:tcW w:w="986" w:type="dxa"/>
            <w:vAlign w:val="center"/>
          </w:tcPr>
          <w:p>
            <w:pPr>
              <w:autoSpaceDE w:val="0"/>
              <w:autoSpaceDN w:val="0"/>
              <w:adjustRightInd w:val="0"/>
              <w:jc w:val="center"/>
              <w:rPr>
                <w:rFonts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pPr>
              <w:autoSpaceDE w:val="0"/>
              <w:autoSpaceDN w:val="0"/>
              <w:adjustRightInd w:val="0"/>
              <w:jc w:val="center"/>
              <w:rPr>
                <w:rFonts w:hAnsi="宋体"/>
                <w:sz w:val="24"/>
                <w:highlight w:val="none"/>
              </w:rPr>
            </w:pPr>
          </w:p>
        </w:tc>
        <w:tc>
          <w:tcPr>
            <w:tcW w:w="759" w:type="dxa"/>
            <w:vAlign w:val="center"/>
          </w:tcPr>
          <w:p>
            <w:pPr>
              <w:pStyle w:val="14"/>
              <w:spacing w:line="300" w:lineRule="exact"/>
              <w:jc w:val="center"/>
              <w:rPr>
                <w:rFonts w:hAnsi="宋体"/>
                <w:sz w:val="24"/>
                <w:highlight w:val="none"/>
              </w:rPr>
            </w:pPr>
            <w:r>
              <w:rPr>
                <w:rFonts w:hAnsi="宋体"/>
                <w:sz w:val="24"/>
                <w:highlight w:val="none"/>
              </w:rPr>
              <w:t>2</w:t>
            </w:r>
          </w:p>
        </w:tc>
        <w:tc>
          <w:tcPr>
            <w:tcW w:w="1189" w:type="dxa"/>
            <w:vAlign w:val="center"/>
          </w:tcPr>
          <w:p>
            <w:pPr>
              <w:autoSpaceDE w:val="0"/>
              <w:autoSpaceDN w:val="0"/>
              <w:adjustRightInd w:val="0"/>
              <w:jc w:val="center"/>
              <w:rPr>
                <w:rFonts w:hAnsi="宋体"/>
                <w:sz w:val="24"/>
                <w:highlight w:val="none"/>
              </w:rPr>
            </w:pPr>
          </w:p>
        </w:tc>
        <w:tc>
          <w:tcPr>
            <w:tcW w:w="1978" w:type="dxa"/>
            <w:vAlign w:val="center"/>
          </w:tcPr>
          <w:p>
            <w:pPr>
              <w:autoSpaceDE w:val="0"/>
              <w:autoSpaceDN w:val="0"/>
              <w:adjustRightInd w:val="0"/>
              <w:jc w:val="center"/>
              <w:rPr>
                <w:rFonts w:hAnsi="宋体"/>
                <w:sz w:val="24"/>
                <w:highlight w:val="none"/>
              </w:rPr>
            </w:pPr>
          </w:p>
        </w:tc>
        <w:tc>
          <w:tcPr>
            <w:tcW w:w="2130" w:type="dxa"/>
            <w:vAlign w:val="center"/>
          </w:tcPr>
          <w:p>
            <w:pPr>
              <w:autoSpaceDE w:val="0"/>
              <w:autoSpaceDN w:val="0"/>
              <w:adjustRightInd w:val="0"/>
              <w:jc w:val="center"/>
              <w:rPr>
                <w:rFonts w:hAnsi="宋体"/>
                <w:sz w:val="24"/>
                <w:highlight w:val="none"/>
              </w:rPr>
            </w:pPr>
          </w:p>
        </w:tc>
        <w:tc>
          <w:tcPr>
            <w:tcW w:w="1468" w:type="dxa"/>
            <w:vAlign w:val="center"/>
          </w:tcPr>
          <w:p>
            <w:pPr>
              <w:autoSpaceDE w:val="0"/>
              <w:autoSpaceDN w:val="0"/>
              <w:adjustRightInd w:val="0"/>
              <w:jc w:val="center"/>
              <w:rPr>
                <w:rFonts w:hAnsi="宋体"/>
                <w:sz w:val="24"/>
                <w:highlight w:val="none"/>
              </w:rPr>
            </w:pPr>
          </w:p>
        </w:tc>
        <w:tc>
          <w:tcPr>
            <w:tcW w:w="986" w:type="dxa"/>
            <w:vAlign w:val="center"/>
          </w:tcPr>
          <w:p>
            <w:pPr>
              <w:autoSpaceDE w:val="0"/>
              <w:autoSpaceDN w:val="0"/>
              <w:adjustRightInd w:val="0"/>
              <w:jc w:val="center"/>
              <w:rPr>
                <w:rFonts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pPr>
              <w:autoSpaceDE w:val="0"/>
              <w:autoSpaceDN w:val="0"/>
              <w:adjustRightInd w:val="0"/>
              <w:jc w:val="center"/>
              <w:rPr>
                <w:rFonts w:hAnsi="宋体"/>
                <w:sz w:val="24"/>
                <w:highlight w:val="none"/>
              </w:rPr>
            </w:pPr>
          </w:p>
        </w:tc>
        <w:tc>
          <w:tcPr>
            <w:tcW w:w="759" w:type="dxa"/>
            <w:vAlign w:val="center"/>
          </w:tcPr>
          <w:p>
            <w:pPr>
              <w:pStyle w:val="14"/>
              <w:spacing w:line="300" w:lineRule="exact"/>
              <w:jc w:val="center"/>
              <w:rPr>
                <w:rFonts w:hAnsi="宋体"/>
                <w:sz w:val="24"/>
                <w:highlight w:val="none"/>
              </w:rPr>
            </w:pPr>
            <w:r>
              <w:rPr>
                <w:rFonts w:hAnsi="宋体"/>
                <w:sz w:val="24"/>
                <w:highlight w:val="none"/>
              </w:rPr>
              <w:t>3</w:t>
            </w:r>
          </w:p>
        </w:tc>
        <w:tc>
          <w:tcPr>
            <w:tcW w:w="1189" w:type="dxa"/>
            <w:vAlign w:val="center"/>
          </w:tcPr>
          <w:p>
            <w:pPr>
              <w:autoSpaceDE w:val="0"/>
              <w:autoSpaceDN w:val="0"/>
              <w:adjustRightInd w:val="0"/>
              <w:jc w:val="center"/>
              <w:rPr>
                <w:rFonts w:hAnsi="宋体"/>
                <w:sz w:val="24"/>
                <w:highlight w:val="none"/>
              </w:rPr>
            </w:pPr>
          </w:p>
        </w:tc>
        <w:tc>
          <w:tcPr>
            <w:tcW w:w="1978" w:type="dxa"/>
            <w:vAlign w:val="center"/>
          </w:tcPr>
          <w:p>
            <w:pPr>
              <w:autoSpaceDE w:val="0"/>
              <w:autoSpaceDN w:val="0"/>
              <w:adjustRightInd w:val="0"/>
              <w:jc w:val="center"/>
              <w:rPr>
                <w:rFonts w:hAnsi="宋体"/>
                <w:sz w:val="24"/>
                <w:highlight w:val="none"/>
              </w:rPr>
            </w:pPr>
          </w:p>
        </w:tc>
        <w:tc>
          <w:tcPr>
            <w:tcW w:w="2130" w:type="dxa"/>
            <w:vAlign w:val="center"/>
          </w:tcPr>
          <w:p>
            <w:pPr>
              <w:autoSpaceDE w:val="0"/>
              <w:autoSpaceDN w:val="0"/>
              <w:adjustRightInd w:val="0"/>
              <w:jc w:val="center"/>
              <w:rPr>
                <w:rFonts w:hAnsi="宋体"/>
                <w:sz w:val="24"/>
                <w:highlight w:val="none"/>
              </w:rPr>
            </w:pPr>
          </w:p>
        </w:tc>
        <w:tc>
          <w:tcPr>
            <w:tcW w:w="1468" w:type="dxa"/>
            <w:vAlign w:val="center"/>
          </w:tcPr>
          <w:p>
            <w:pPr>
              <w:autoSpaceDE w:val="0"/>
              <w:autoSpaceDN w:val="0"/>
              <w:adjustRightInd w:val="0"/>
              <w:jc w:val="center"/>
              <w:rPr>
                <w:rFonts w:hAnsi="宋体"/>
                <w:sz w:val="24"/>
                <w:highlight w:val="none"/>
              </w:rPr>
            </w:pPr>
          </w:p>
        </w:tc>
        <w:tc>
          <w:tcPr>
            <w:tcW w:w="986" w:type="dxa"/>
            <w:vAlign w:val="center"/>
          </w:tcPr>
          <w:p>
            <w:pPr>
              <w:autoSpaceDE w:val="0"/>
              <w:autoSpaceDN w:val="0"/>
              <w:adjustRightInd w:val="0"/>
              <w:jc w:val="center"/>
              <w:rPr>
                <w:rFonts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tcBorders>
              <w:bottom w:val="single" w:color="auto" w:sz="12" w:space="0"/>
            </w:tcBorders>
            <w:vAlign w:val="center"/>
          </w:tcPr>
          <w:p>
            <w:pPr>
              <w:autoSpaceDE w:val="0"/>
              <w:autoSpaceDN w:val="0"/>
              <w:adjustRightInd w:val="0"/>
              <w:jc w:val="center"/>
              <w:rPr>
                <w:rFonts w:hAnsi="宋体"/>
                <w:sz w:val="24"/>
                <w:highlight w:val="none"/>
              </w:rPr>
            </w:pPr>
          </w:p>
        </w:tc>
        <w:tc>
          <w:tcPr>
            <w:tcW w:w="759" w:type="dxa"/>
            <w:tcBorders>
              <w:bottom w:val="single" w:color="auto" w:sz="12" w:space="0"/>
            </w:tcBorders>
            <w:vAlign w:val="center"/>
          </w:tcPr>
          <w:p>
            <w:pPr>
              <w:autoSpaceDE w:val="0"/>
              <w:autoSpaceDN w:val="0"/>
              <w:adjustRightInd w:val="0"/>
              <w:jc w:val="center"/>
              <w:rPr>
                <w:rFonts w:hAnsi="宋体"/>
                <w:sz w:val="24"/>
                <w:highlight w:val="none"/>
              </w:rPr>
            </w:pPr>
            <w:r>
              <w:rPr>
                <w:rFonts w:hint="eastAsia" w:hAnsi="宋体"/>
                <w:sz w:val="24"/>
                <w:highlight w:val="none"/>
              </w:rPr>
              <w:t>…</w:t>
            </w:r>
          </w:p>
        </w:tc>
        <w:tc>
          <w:tcPr>
            <w:tcW w:w="1189" w:type="dxa"/>
            <w:tcBorders>
              <w:bottom w:val="single" w:color="auto" w:sz="12" w:space="0"/>
            </w:tcBorders>
            <w:vAlign w:val="center"/>
          </w:tcPr>
          <w:p>
            <w:pPr>
              <w:autoSpaceDE w:val="0"/>
              <w:autoSpaceDN w:val="0"/>
              <w:adjustRightInd w:val="0"/>
              <w:jc w:val="center"/>
              <w:rPr>
                <w:rFonts w:hAnsi="宋体"/>
                <w:sz w:val="24"/>
                <w:highlight w:val="none"/>
              </w:rPr>
            </w:pPr>
          </w:p>
        </w:tc>
        <w:tc>
          <w:tcPr>
            <w:tcW w:w="1978" w:type="dxa"/>
            <w:tcBorders>
              <w:bottom w:val="single" w:color="auto" w:sz="12" w:space="0"/>
            </w:tcBorders>
            <w:vAlign w:val="center"/>
          </w:tcPr>
          <w:p>
            <w:pPr>
              <w:autoSpaceDE w:val="0"/>
              <w:autoSpaceDN w:val="0"/>
              <w:adjustRightInd w:val="0"/>
              <w:jc w:val="center"/>
              <w:rPr>
                <w:rFonts w:hAnsi="宋体"/>
                <w:sz w:val="24"/>
                <w:highlight w:val="none"/>
              </w:rPr>
            </w:pPr>
          </w:p>
        </w:tc>
        <w:tc>
          <w:tcPr>
            <w:tcW w:w="2130" w:type="dxa"/>
            <w:tcBorders>
              <w:bottom w:val="single" w:color="auto" w:sz="12" w:space="0"/>
            </w:tcBorders>
            <w:vAlign w:val="center"/>
          </w:tcPr>
          <w:p>
            <w:pPr>
              <w:autoSpaceDE w:val="0"/>
              <w:autoSpaceDN w:val="0"/>
              <w:adjustRightInd w:val="0"/>
              <w:jc w:val="center"/>
              <w:rPr>
                <w:rFonts w:hAnsi="宋体"/>
                <w:sz w:val="24"/>
                <w:highlight w:val="none"/>
              </w:rPr>
            </w:pPr>
          </w:p>
        </w:tc>
        <w:tc>
          <w:tcPr>
            <w:tcW w:w="1468" w:type="dxa"/>
            <w:tcBorders>
              <w:bottom w:val="single" w:color="auto" w:sz="12" w:space="0"/>
            </w:tcBorders>
            <w:vAlign w:val="center"/>
          </w:tcPr>
          <w:p>
            <w:pPr>
              <w:autoSpaceDE w:val="0"/>
              <w:autoSpaceDN w:val="0"/>
              <w:adjustRightInd w:val="0"/>
              <w:jc w:val="center"/>
              <w:rPr>
                <w:rFonts w:hAnsi="宋体"/>
                <w:sz w:val="24"/>
                <w:highlight w:val="none"/>
              </w:rPr>
            </w:pPr>
          </w:p>
        </w:tc>
        <w:tc>
          <w:tcPr>
            <w:tcW w:w="986" w:type="dxa"/>
            <w:tcBorders>
              <w:bottom w:val="single" w:color="auto" w:sz="12" w:space="0"/>
            </w:tcBorders>
            <w:vAlign w:val="center"/>
          </w:tcPr>
          <w:p>
            <w:pPr>
              <w:autoSpaceDE w:val="0"/>
              <w:autoSpaceDN w:val="0"/>
              <w:adjustRightInd w:val="0"/>
              <w:jc w:val="center"/>
              <w:rPr>
                <w:rFonts w:hAnsi="宋体"/>
                <w:sz w:val="24"/>
                <w:highlight w:val="none"/>
              </w:rPr>
            </w:pPr>
          </w:p>
        </w:tc>
      </w:tr>
    </w:tbl>
    <w:p>
      <w:pPr>
        <w:pStyle w:val="62"/>
        <w:tabs>
          <w:tab w:val="left" w:pos="360"/>
        </w:tabs>
        <w:spacing w:line="360" w:lineRule="auto"/>
        <w:ind w:right="84" w:rightChars="40"/>
        <w:rPr>
          <w:rFonts w:ascii="宋体"/>
          <w:b/>
          <w:bCs/>
          <w:highlight w:val="none"/>
        </w:rPr>
      </w:pPr>
      <w:r>
        <w:rPr>
          <w:rFonts w:hint="eastAsia" w:ascii="宋体" w:cs="宋体"/>
          <w:b/>
          <w:bCs/>
          <w:highlight w:val="none"/>
        </w:rPr>
        <w:t>要求：</w:t>
      </w:r>
    </w:p>
    <w:p>
      <w:pPr>
        <w:pStyle w:val="62"/>
        <w:tabs>
          <w:tab w:val="left" w:pos="360"/>
        </w:tabs>
        <w:spacing w:line="360" w:lineRule="auto"/>
        <w:ind w:right="84" w:rightChars="40" w:firstLine="420" w:firstLineChars="200"/>
        <w:rPr>
          <w:rFonts w:ascii="宋体"/>
          <w:highlight w:val="none"/>
        </w:rPr>
      </w:pPr>
      <w:r>
        <w:rPr>
          <w:rFonts w:ascii="宋体" w:cs="宋体"/>
          <w:highlight w:val="none"/>
        </w:rPr>
        <w:t>1.</w:t>
      </w:r>
      <w:r>
        <w:rPr>
          <w:rFonts w:hint="eastAsia" w:ascii="宋体" w:cs="宋体"/>
          <w:highlight w:val="none"/>
        </w:rPr>
        <w:t>本表参照本招标文件要求填制，投标人应根据投标服务指标，对照招标文件要求在“偏离情况”栏注明“正偏离”、“负偏离”或“无偏离”。</w:t>
      </w:r>
    </w:p>
    <w:p>
      <w:pPr>
        <w:pStyle w:val="62"/>
        <w:spacing w:line="360" w:lineRule="auto"/>
        <w:ind w:right="84" w:rightChars="40" w:firstLine="420" w:firstLineChars="200"/>
        <w:rPr>
          <w:rFonts w:ascii="宋体" w:cs="宋体"/>
          <w:color w:val="000000"/>
          <w:highlight w:val="none"/>
        </w:rPr>
      </w:pPr>
      <w:r>
        <w:rPr>
          <w:rFonts w:ascii="宋体" w:cs="宋体"/>
          <w:color w:val="000000"/>
          <w:highlight w:val="none"/>
        </w:rPr>
        <w:t>2.</w:t>
      </w:r>
      <w:r>
        <w:rPr>
          <w:rFonts w:hint="eastAsia" w:ascii="宋体" w:cs="宋体"/>
          <w:color w:val="000000"/>
          <w:highlight w:val="none"/>
        </w:rPr>
        <w:t>本项目的付款方式不允许负偏离。</w:t>
      </w:r>
    </w:p>
    <w:p>
      <w:pPr>
        <w:pStyle w:val="62"/>
        <w:spacing w:line="360" w:lineRule="auto"/>
        <w:ind w:right="84" w:rightChars="40"/>
        <w:rPr>
          <w:rFonts w:ascii="宋体" w:cs="宋体"/>
          <w:color w:val="000000"/>
          <w:highlight w:val="none"/>
        </w:rPr>
      </w:pPr>
    </w:p>
    <w:p>
      <w:pP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pPr>
        <w:spacing w:line="360" w:lineRule="auto"/>
        <w:ind w:firstLine="435"/>
        <w:rPr>
          <w:rFonts w:ascii="宋体" w:cs="宋体"/>
          <w:sz w:val="24"/>
          <w:szCs w:val="24"/>
          <w:highlight w:val="none"/>
        </w:rPr>
        <w:sectPr>
          <w:footerReference r:id="rId12" w:type="default"/>
          <w:pgSz w:w="11906" w:h="16838"/>
          <w:pgMar w:top="1361" w:right="1644" w:bottom="1361" w:left="1644" w:header="851" w:footer="964" w:gutter="0"/>
          <w:pgNumType w:fmt="decimal"/>
          <w:cols w:space="425" w:num="1"/>
          <w:docGrid w:type="lines" w:linePitch="312" w:charSpace="0"/>
        </w:sect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pPr>
        <w:pStyle w:val="22"/>
        <w:rPr>
          <w:rFonts w:hint="eastAsia"/>
          <w:highlight w:val="none"/>
          <w:lang w:eastAsia="zh-CN"/>
        </w:rPr>
      </w:pPr>
      <w:r>
        <w:rPr>
          <w:rFonts w:hint="eastAsia" w:ascii="宋体" w:cs="宋体"/>
          <w:b/>
          <w:bCs/>
          <w:kern w:val="0"/>
          <w:sz w:val="44"/>
          <w:szCs w:val="44"/>
          <w:highlight w:val="none"/>
          <w:lang w:eastAsia="zh-CN"/>
        </w:rPr>
        <w:t>温岭市2024年度农业水价综合改革技术支撑</w:t>
      </w:r>
    </w:p>
    <w:p>
      <w:pPr>
        <w:spacing w:beforeLines="100" w:line="360" w:lineRule="auto"/>
        <w:ind w:right="-108"/>
        <w:jc w:val="center"/>
        <w:rPr>
          <w:rFonts w:hint="eastAsia" w:asci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JJWL240425122</w:t>
      </w:r>
    </w:p>
    <w:p>
      <w:pPr>
        <w:spacing w:after="100" w:afterAutospacing="1" w:line="360" w:lineRule="auto"/>
        <w:ind w:right="-108"/>
        <w:rPr>
          <w:rFonts w:ascii="宋体" w:cs="宋体"/>
          <w:b/>
          <w:bCs/>
          <w:spacing w:val="40"/>
          <w:sz w:val="84"/>
          <w:szCs w:val="84"/>
          <w:highlight w:val="none"/>
        </w:rPr>
      </w:pPr>
    </w:p>
    <w:p>
      <w:pPr>
        <w:pStyle w:val="22"/>
      </w:pPr>
    </w:p>
    <w:p>
      <w:pPr>
        <w:spacing w:after="100" w:afterAutospacing="1" w:line="360" w:lineRule="auto"/>
        <w:ind w:right="-108"/>
        <w:jc w:val="center"/>
        <w:outlineLvl w:val="0"/>
        <w:rPr>
          <w:rFonts w:ascii="宋体"/>
          <w:b/>
          <w:bCs/>
          <w:spacing w:val="40"/>
          <w:sz w:val="84"/>
          <w:szCs w:val="84"/>
          <w:highlight w:val="none"/>
        </w:rPr>
      </w:pPr>
      <w:bookmarkStart w:id="14" w:name="_Toc22900"/>
      <w:r>
        <w:rPr>
          <w:rFonts w:hint="eastAsia" w:ascii="宋体" w:hAnsi="宋体" w:cs="宋体"/>
          <w:b/>
          <w:bCs/>
          <w:spacing w:val="40"/>
          <w:sz w:val="84"/>
          <w:szCs w:val="84"/>
          <w:highlight w:val="none"/>
        </w:rPr>
        <w:t>报</w:t>
      </w:r>
      <w:bookmarkEnd w:id="14"/>
    </w:p>
    <w:p>
      <w:pPr>
        <w:spacing w:after="100" w:afterAutospacing="1" w:line="360" w:lineRule="auto"/>
        <w:ind w:right="-108"/>
        <w:jc w:val="center"/>
        <w:outlineLvl w:val="0"/>
        <w:rPr>
          <w:rFonts w:ascii="宋体"/>
          <w:b/>
          <w:bCs/>
          <w:spacing w:val="40"/>
          <w:sz w:val="84"/>
          <w:szCs w:val="84"/>
          <w:highlight w:val="none"/>
        </w:rPr>
      </w:pPr>
      <w:bookmarkStart w:id="15" w:name="_Toc7031"/>
      <w:r>
        <w:rPr>
          <w:rFonts w:hint="eastAsia" w:ascii="宋体" w:hAnsi="宋体" w:cs="宋体"/>
          <w:b/>
          <w:bCs/>
          <w:spacing w:val="40"/>
          <w:sz w:val="84"/>
          <w:szCs w:val="84"/>
          <w:highlight w:val="none"/>
        </w:rPr>
        <w:t>价</w:t>
      </w:r>
      <w:bookmarkEnd w:id="15"/>
    </w:p>
    <w:p>
      <w:pPr>
        <w:spacing w:after="100" w:afterAutospacing="1" w:line="360" w:lineRule="auto"/>
        <w:ind w:right="-108"/>
        <w:jc w:val="center"/>
        <w:outlineLvl w:val="0"/>
        <w:rPr>
          <w:rFonts w:ascii="宋体"/>
          <w:b/>
          <w:bCs/>
          <w:spacing w:val="40"/>
          <w:sz w:val="84"/>
          <w:szCs w:val="84"/>
          <w:highlight w:val="none"/>
        </w:rPr>
      </w:pPr>
      <w:bookmarkStart w:id="16" w:name="_Toc13429"/>
      <w:r>
        <w:rPr>
          <w:rFonts w:hint="eastAsia" w:ascii="宋体" w:hAnsi="宋体" w:cs="宋体"/>
          <w:b/>
          <w:bCs/>
          <w:spacing w:val="40"/>
          <w:sz w:val="84"/>
          <w:szCs w:val="84"/>
          <w:highlight w:val="none"/>
        </w:rPr>
        <w:t>文</w:t>
      </w:r>
      <w:bookmarkEnd w:id="16"/>
    </w:p>
    <w:p>
      <w:pPr>
        <w:spacing w:after="100" w:afterAutospacing="1" w:line="360" w:lineRule="auto"/>
        <w:ind w:right="-108"/>
        <w:jc w:val="center"/>
        <w:outlineLvl w:val="0"/>
        <w:rPr>
          <w:rFonts w:ascii="宋体"/>
          <w:sz w:val="36"/>
          <w:szCs w:val="36"/>
          <w:highlight w:val="none"/>
        </w:rPr>
      </w:pPr>
      <w:bookmarkStart w:id="17" w:name="_Toc31063"/>
      <w:r>
        <w:rPr>
          <w:rFonts w:hint="eastAsia" w:ascii="宋体" w:hAnsi="宋体" w:cs="宋体"/>
          <w:b/>
          <w:bCs/>
          <w:spacing w:val="40"/>
          <w:sz w:val="84"/>
          <w:szCs w:val="84"/>
          <w:highlight w:val="none"/>
        </w:rPr>
        <w:t>件</w:t>
      </w:r>
      <w:bookmarkEnd w:id="17"/>
    </w:p>
    <w:p>
      <w:pPr>
        <w:spacing w:line="360" w:lineRule="auto"/>
        <w:ind w:right="532"/>
        <w:jc w:val="center"/>
        <w:rPr>
          <w:rFonts w:ascii="宋体"/>
          <w:sz w:val="36"/>
          <w:szCs w:val="36"/>
          <w:highlight w:val="none"/>
        </w:rPr>
      </w:pPr>
    </w:p>
    <w:p>
      <w:pPr>
        <w:spacing w:line="360" w:lineRule="auto"/>
        <w:ind w:right="532" w:firstLine="720" w:firstLineChars="200"/>
        <w:outlineLvl w:val="0"/>
        <w:rPr>
          <w:rFonts w:ascii="宋体"/>
          <w:sz w:val="36"/>
          <w:szCs w:val="36"/>
          <w:highlight w:val="none"/>
        </w:rPr>
      </w:pPr>
      <w:bookmarkStart w:id="18" w:name="_Toc13389"/>
      <w:r>
        <w:rPr>
          <w:rFonts w:hint="eastAsia" w:ascii="宋体" w:hAnsi="宋体" w:cs="宋体"/>
          <w:sz w:val="36"/>
          <w:szCs w:val="36"/>
          <w:highlight w:val="none"/>
        </w:rPr>
        <w:t>供应商全称（公章）：</w:t>
      </w:r>
      <w:bookmarkEnd w:id="18"/>
    </w:p>
    <w:p>
      <w:pPr>
        <w:spacing w:line="360" w:lineRule="auto"/>
        <w:ind w:right="-108" w:firstLine="720" w:firstLineChars="200"/>
        <w:outlineLvl w:val="0"/>
        <w:rPr>
          <w:rFonts w:ascii="宋体"/>
          <w:sz w:val="36"/>
          <w:szCs w:val="36"/>
          <w:highlight w:val="none"/>
        </w:rPr>
      </w:pPr>
      <w:bookmarkStart w:id="19" w:name="_Toc31500"/>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19"/>
    </w:p>
    <w:p>
      <w:pPr>
        <w:spacing w:line="360" w:lineRule="auto"/>
        <w:ind w:right="-108" w:firstLine="720" w:firstLineChars="200"/>
        <w:outlineLvl w:val="0"/>
        <w:rPr>
          <w:rFonts w:ascii="宋体"/>
          <w:sz w:val="36"/>
          <w:szCs w:val="36"/>
          <w:highlight w:val="none"/>
        </w:rPr>
      </w:pPr>
      <w:bookmarkStart w:id="20" w:name="_Toc17050"/>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20"/>
    </w:p>
    <w:p>
      <w:pPr>
        <w:spacing w:line="360" w:lineRule="auto"/>
        <w:ind w:right="-108"/>
        <w:jc w:val="center"/>
        <w:rPr>
          <w:rFonts w:ascii="宋体"/>
          <w:b/>
          <w:bCs/>
          <w:sz w:val="32"/>
          <w:szCs w:val="32"/>
          <w:highlight w:val="none"/>
          <w:lang w:val="zh-CN"/>
        </w:rPr>
      </w:pPr>
      <w:r>
        <w:rPr>
          <w:rFonts w:ascii="宋体" w:cs="宋体"/>
          <w:b/>
          <w:bCs/>
          <w:sz w:val="32"/>
          <w:szCs w:val="32"/>
          <w:highlight w:val="none"/>
          <w:lang w:val="zh-CN"/>
        </w:rPr>
        <w:br w:type="page"/>
      </w:r>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rPr>
        <w:t>（供参考）</w:t>
      </w:r>
    </w:p>
    <w:p>
      <w:pPr>
        <w:spacing w:line="360" w:lineRule="auto"/>
        <w:ind w:right="-108"/>
        <w:jc w:val="center"/>
        <w:rPr>
          <w:rFonts w:ascii="仿宋_GB2312" w:hAnsi="宋体" w:eastAsia="仿宋_GB2312"/>
          <w:b/>
          <w:bCs/>
          <w:sz w:val="36"/>
          <w:szCs w:val="36"/>
          <w:highlight w:val="none"/>
        </w:rPr>
      </w:pPr>
    </w:p>
    <w:p>
      <w:pPr>
        <w:spacing w:line="360" w:lineRule="auto"/>
        <w:rPr>
          <w:rFonts w:ascii="宋体" w:cs="宋体"/>
          <w:sz w:val="28"/>
          <w:szCs w:val="28"/>
          <w:highlight w:val="none"/>
        </w:rPr>
      </w:pPr>
    </w:p>
    <w:p>
      <w:pPr>
        <w:numPr>
          <w:ilvl w:val="0"/>
          <w:numId w:val="8"/>
        </w:numPr>
        <w:snapToGrid w:val="0"/>
        <w:spacing w:line="360" w:lineRule="auto"/>
        <w:jc w:val="distribute"/>
        <w:rPr>
          <w:rFonts w:ascii="宋体" w:cs="宋体"/>
          <w:sz w:val="28"/>
          <w:szCs w:val="28"/>
          <w:highlight w:val="none"/>
        </w:rPr>
      </w:pPr>
      <w:r>
        <w:rPr>
          <w:rFonts w:hint="eastAsia" w:ascii="宋体" w:hAnsi="宋体" w:cs="宋体"/>
          <w:sz w:val="28"/>
          <w:szCs w:val="28"/>
          <w:highlight w:val="none"/>
        </w:rPr>
        <w:t>投标函…………………………………………………………页码；</w:t>
      </w:r>
    </w:p>
    <w:p>
      <w:pPr>
        <w:numPr>
          <w:ilvl w:val="0"/>
          <w:numId w:val="8"/>
        </w:numPr>
        <w:snapToGrid w:val="0"/>
        <w:spacing w:line="360" w:lineRule="auto"/>
        <w:jc w:val="distribute"/>
        <w:rPr>
          <w:rFonts w:ascii="宋体" w:cs="宋体"/>
          <w:sz w:val="28"/>
          <w:szCs w:val="28"/>
          <w:highlight w:val="none"/>
        </w:rPr>
      </w:pPr>
      <w:r>
        <w:rPr>
          <w:rFonts w:hint="eastAsia" w:ascii="宋体" w:hAnsi="宋体" w:cs="宋体"/>
          <w:sz w:val="28"/>
          <w:szCs w:val="28"/>
          <w:highlight w:val="none"/>
        </w:rPr>
        <w:t>开标一览表……………………………………………………页码；</w:t>
      </w:r>
    </w:p>
    <w:p>
      <w:pPr>
        <w:numPr>
          <w:ilvl w:val="0"/>
          <w:numId w:val="8"/>
        </w:numPr>
        <w:snapToGrid w:val="0"/>
        <w:spacing w:line="360" w:lineRule="auto"/>
        <w:jc w:val="distribute"/>
        <w:rPr>
          <w:rFonts w:ascii="宋体" w:cs="宋体"/>
          <w:sz w:val="28"/>
          <w:szCs w:val="28"/>
          <w:highlight w:val="none"/>
        </w:rPr>
      </w:pPr>
      <w:r>
        <w:rPr>
          <w:rFonts w:hint="eastAsia" w:ascii="宋体" w:hAnsi="宋体" w:cs="宋体"/>
          <w:sz w:val="28"/>
          <w:szCs w:val="28"/>
          <w:highlight w:val="none"/>
        </w:rPr>
        <w:t>投标报价明细表……………………………………………………页码；</w:t>
      </w:r>
    </w:p>
    <w:p>
      <w:pPr>
        <w:numPr>
          <w:ilvl w:val="0"/>
          <w:numId w:val="8"/>
        </w:numPr>
        <w:snapToGrid w:val="0"/>
        <w:spacing w:line="360" w:lineRule="auto"/>
        <w:jc w:val="distribute"/>
        <w:rPr>
          <w:rFonts w:ascii="宋体" w:cs="宋体"/>
          <w:sz w:val="28"/>
          <w:szCs w:val="28"/>
          <w:highlight w:val="none"/>
        </w:rPr>
      </w:pPr>
      <w:r>
        <w:rPr>
          <w:rFonts w:hint="eastAsia" w:ascii="宋体" w:hAnsi="宋体" w:cs="宋体"/>
          <w:sz w:val="28"/>
          <w:szCs w:val="28"/>
          <w:highlight w:val="none"/>
        </w:rPr>
        <w:t>针对报价投标人认为其他需要说明的………………………页码；</w:t>
      </w:r>
    </w:p>
    <w:p>
      <w:pPr>
        <w:rPr>
          <w:highlight w:val="none"/>
        </w:rPr>
      </w:pPr>
    </w:p>
    <w:p>
      <w:pPr>
        <w:pStyle w:val="15"/>
        <w:snapToGrid w:val="0"/>
        <w:spacing w:line="360" w:lineRule="auto"/>
        <w:ind w:left="0" w:leftChars="0"/>
        <w:rPr>
          <w:rFonts w:ascii="宋体" w:hAnsi="宋体" w:eastAsia="宋体" w:cs="Times New Roman"/>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ind w:left="480"/>
        <w:rPr>
          <w:rFonts w:ascii="宋体"/>
          <w:b/>
          <w:bCs/>
          <w:sz w:val="28"/>
          <w:szCs w:val="28"/>
          <w:highlight w:val="none"/>
        </w:rPr>
      </w:pPr>
    </w:p>
    <w:p>
      <w:pPr>
        <w:spacing w:line="360" w:lineRule="auto"/>
        <w:rPr>
          <w:rFonts w:ascii="宋体"/>
          <w:b/>
          <w:bCs/>
          <w:sz w:val="28"/>
          <w:szCs w:val="28"/>
          <w:highlight w:val="none"/>
        </w:rPr>
      </w:pPr>
      <w:r>
        <w:rPr>
          <w:rFonts w:ascii="宋体" w:cs="宋体"/>
          <w:b/>
          <w:bCs/>
          <w:sz w:val="28"/>
          <w:szCs w:val="28"/>
          <w:highlight w:val="none"/>
        </w:rPr>
        <w:br w:type="page"/>
      </w:r>
      <w:r>
        <w:rPr>
          <w:rFonts w:hint="eastAsia" w:ascii="宋体" w:hAnsi="宋体" w:cs="宋体"/>
          <w:b/>
          <w:bCs/>
          <w:sz w:val="24"/>
          <w:szCs w:val="24"/>
          <w:highlight w:val="none"/>
        </w:rPr>
        <w:t>附件</w:t>
      </w:r>
      <w:r>
        <w:rPr>
          <w:rFonts w:ascii="宋体" w:hAnsi="宋体" w:cs="宋体"/>
          <w:b/>
          <w:bCs/>
          <w:sz w:val="24"/>
          <w:szCs w:val="24"/>
          <w:highlight w:val="none"/>
        </w:rPr>
        <w:t>1:</w:t>
      </w:r>
    </w:p>
    <w:p>
      <w:pPr>
        <w:widowControl/>
        <w:snapToGrid w:val="0"/>
        <w:spacing w:line="560" w:lineRule="exact"/>
        <w:jc w:val="center"/>
        <w:rPr>
          <w:rFonts w:ascii="宋体" w:cs="宋体"/>
          <w:b/>
          <w:color w:val="000000"/>
          <w:sz w:val="44"/>
          <w:szCs w:val="44"/>
          <w:highlight w:val="none"/>
        </w:rPr>
      </w:pPr>
      <w:r>
        <w:rPr>
          <w:rFonts w:hint="eastAsia" w:ascii="宋体" w:hAnsi="宋体" w:cs="宋体"/>
          <w:b/>
          <w:color w:val="000000"/>
          <w:kern w:val="0"/>
          <w:sz w:val="44"/>
          <w:szCs w:val="44"/>
          <w:highlight w:val="none"/>
        </w:rPr>
        <w:t>投</w:t>
      </w:r>
      <w:r>
        <w:rPr>
          <w:rFonts w:ascii="宋体" w:hAnsi="宋体" w:cs="宋体"/>
          <w:b/>
          <w:color w:val="000000"/>
          <w:kern w:val="0"/>
          <w:sz w:val="44"/>
          <w:szCs w:val="44"/>
          <w:highlight w:val="none"/>
        </w:rPr>
        <w:t xml:space="preserve">   </w:t>
      </w:r>
      <w:r>
        <w:rPr>
          <w:rFonts w:hint="eastAsia" w:ascii="宋体" w:hAnsi="宋体" w:cs="宋体"/>
          <w:b/>
          <w:color w:val="000000"/>
          <w:kern w:val="0"/>
          <w:sz w:val="44"/>
          <w:szCs w:val="44"/>
          <w:highlight w:val="none"/>
        </w:rPr>
        <w:t>标</w:t>
      </w:r>
      <w:r>
        <w:rPr>
          <w:rFonts w:ascii="宋体" w:hAnsi="宋体" w:cs="宋体"/>
          <w:b/>
          <w:color w:val="000000"/>
          <w:kern w:val="0"/>
          <w:sz w:val="44"/>
          <w:szCs w:val="44"/>
          <w:highlight w:val="none"/>
        </w:rPr>
        <w:t xml:space="preserve">   </w:t>
      </w:r>
      <w:r>
        <w:rPr>
          <w:rFonts w:hint="eastAsia" w:ascii="宋体" w:hAnsi="宋体" w:cs="宋体"/>
          <w:b/>
          <w:color w:val="000000"/>
          <w:kern w:val="0"/>
          <w:sz w:val="44"/>
          <w:szCs w:val="44"/>
          <w:highlight w:val="none"/>
        </w:rPr>
        <w:t>函</w:t>
      </w:r>
    </w:p>
    <w:p>
      <w:pPr>
        <w:spacing w:line="440" w:lineRule="exact"/>
        <w:rPr>
          <w:rFonts w:ascii="宋体" w:cs="宋体"/>
          <w:color w:val="000000"/>
          <w:sz w:val="24"/>
          <w:highlight w:val="none"/>
        </w:rPr>
      </w:pPr>
    </w:p>
    <w:p>
      <w:pPr>
        <w:spacing w:line="440" w:lineRule="exact"/>
        <w:rPr>
          <w:rFonts w:ascii="宋体" w:cs="宋体"/>
          <w:color w:val="000000"/>
          <w:sz w:val="24"/>
          <w:highlight w:val="none"/>
        </w:rPr>
      </w:pPr>
      <w:r>
        <w:rPr>
          <w:rFonts w:hint="eastAsia" w:ascii="宋体" w:hAnsi="宋体" w:cs="宋体"/>
          <w:color w:val="000000"/>
          <w:kern w:val="0"/>
          <w:sz w:val="24"/>
          <w:highlight w:val="none"/>
        </w:rPr>
        <w:t>致：</w:t>
      </w:r>
      <w:r>
        <w:rPr>
          <w:rFonts w:hint="eastAsia" w:ascii="宋体" w:hAnsi="宋体" w:cs="宋体"/>
          <w:color w:val="000000"/>
          <w:kern w:val="0"/>
          <w:sz w:val="24"/>
          <w:highlight w:val="none"/>
          <w:u w:val="single"/>
          <w:lang w:eastAsia="zh-CN"/>
        </w:rPr>
        <w:t>温岭市农业农村和水利局</w:t>
      </w:r>
      <w:r>
        <w:rPr>
          <w:rFonts w:ascii="宋体" w:hAnsi="宋体" w:cs="宋体"/>
          <w:color w:val="000000"/>
          <w:kern w:val="0"/>
          <w:sz w:val="24"/>
          <w:highlight w:val="none"/>
        </w:rPr>
        <w:t xml:space="preserve">     </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（投标人名称）授权</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（全权代表姓名、职务）为全权代表，参加贵单位组织的</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（招标项目名称）（编号为</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）招标的有关活动，并进行投标。为此：</w:t>
      </w:r>
    </w:p>
    <w:p>
      <w:pPr>
        <w:spacing w:line="440" w:lineRule="exact"/>
        <w:ind w:firstLine="480" w:firstLineChars="200"/>
        <w:rPr>
          <w:rFonts w:ascii="宋体" w:cs="宋体"/>
          <w:color w:val="000000"/>
          <w:sz w:val="24"/>
          <w:highlight w:val="none"/>
        </w:rPr>
      </w:pPr>
      <w:r>
        <w:rPr>
          <w:rFonts w:ascii="宋体" w:hAnsi="宋体" w:cs="宋体"/>
          <w:color w:val="000000"/>
          <w:kern w:val="0"/>
          <w:sz w:val="24"/>
          <w:highlight w:val="none"/>
        </w:rPr>
        <w:t>l</w:t>
      </w:r>
      <w:r>
        <w:rPr>
          <w:rFonts w:hint="eastAsia" w:ascii="宋体" w:hAnsi="宋体" w:cs="宋体"/>
          <w:color w:val="000000"/>
          <w:kern w:val="0"/>
          <w:sz w:val="24"/>
          <w:highlight w:val="none"/>
        </w:rPr>
        <w:t>、提供投标人须知规定的全部投标文件。</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2</w:t>
      </w:r>
      <w:r>
        <w:rPr>
          <w:rFonts w:hint="eastAsia" w:ascii="宋体" w:hAnsi="宋体" w:cs="宋体"/>
          <w:color w:val="000000"/>
          <w:kern w:val="0"/>
          <w:sz w:val="24"/>
          <w:highlight w:val="none"/>
        </w:rPr>
        <w:t>、我方的投标报价详见《开标一览表》。</w:t>
      </w:r>
    </w:p>
    <w:p>
      <w:pPr>
        <w:spacing w:line="440" w:lineRule="exact"/>
        <w:ind w:firstLine="360" w:firstLineChars="150"/>
        <w:rPr>
          <w:rFonts w:ascii="宋体" w:cs="宋体"/>
          <w:color w:val="000000"/>
          <w:sz w:val="24"/>
          <w:highlight w:val="none"/>
        </w:rPr>
      </w:pPr>
      <w:r>
        <w:rPr>
          <w:rFonts w:ascii="宋体" w:hAnsi="宋体" w:cs="宋体"/>
          <w:color w:val="000000"/>
          <w:kern w:val="0"/>
          <w:sz w:val="24"/>
          <w:highlight w:val="none"/>
        </w:rPr>
        <w:t xml:space="preserve"> 3</w:t>
      </w:r>
      <w:r>
        <w:rPr>
          <w:rFonts w:hint="eastAsia" w:ascii="宋体" w:hAnsi="宋体" w:cs="宋体"/>
          <w:color w:val="000000"/>
          <w:kern w:val="0"/>
          <w:sz w:val="24"/>
          <w:highlight w:val="none"/>
        </w:rPr>
        <w:t>、我方已详细审查全部招标文件，完全同意招标文件中的各项要求，保证遵守招标文件中的有关规定和相关标准</w:t>
      </w:r>
      <w:r>
        <w:rPr>
          <w:rFonts w:hint="eastAsia" w:ascii="宋体" w:hAnsi="宋体" w:cs="宋体"/>
          <w:color w:val="000000"/>
          <w:kern w:val="0"/>
          <w:sz w:val="24"/>
          <w:szCs w:val="20"/>
          <w:highlight w:val="none"/>
        </w:rPr>
        <w:t>，对招标文件的合理性、合法性不再有异议。</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4</w:t>
      </w:r>
      <w:r>
        <w:rPr>
          <w:rFonts w:hint="eastAsia" w:ascii="宋体" w:hAnsi="宋体" w:cs="宋体"/>
          <w:color w:val="000000"/>
          <w:kern w:val="0"/>
          <w:sz w:val="24"/>
          <w:highlight w:val="none"/>
        </w:rPr>
        <w:t>、若中标，</w:t>
      </w:r>
      <w:r>
        <w:rPr>
          <w:rFonts w:hint="eastAsia" w:ascii="宋体" w:hAnsi="宋体" w:cs="宋体"/>
          <w:color w:val="000000"/>
          <w:kern w:val="0"/>
          <w:sz w:val="24"/>
          <w:szCs w:val="20"/>
          <w:highlight w:val="none"/>
        </w:rPr>
        <w:t>本投标文件至本项目合同履行完毕止均保持有效，</w:t>
      </w:r>
      <w:r>
        <w:rPr>
          <w:rFonts w:hint="eastAsia" w:ascii="宋体" w:hAnsi="宋体" w:cs="宋体"/>
          <w:color w:val="000000"/>
          <w:kern w:val="0"/>
          <w:sz w:val="24"/>
          <w:highlight w:val="none"/>
        </w:rPr>
        <w:t>我方将按招标文件规定履行合同责任和义务。</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5</w:t>
      </w:r>
      <w:r>
        <w:rPr>
          <w:rFonts w:hint="eastAsia" w:ascii="宋体" w:hAnsi="宋体" w:cs="宋体"/>
          <w:color w:val="000000"/>
          <w:kern w:val="0"/>
          <w:sz w:val="24"/>
          <w:highlight w:val="none"/>
        </w:rPr>
        <w:t>、投标文件自开标之日起有效期为</w:t>
      </w:r>
      <w:r>
        <w:rPr>
          <w:rFonts w:ascii="宋体" w:hAnsi="宋体" w:cs="宋体"/>
          <w:color w:val="000000"/>
          <w:kern w:val="0"/>
          <w:sz w:val="24"/>
          <w:highlight w:val="none"/>
        </w:rPr>
        <w:t>90</w:t>
      </w:r>
      <w:r>
        <w:rPr>
          <w:rFonts w:hint="eastAsia" w:ascii="宋体" w:hAnsi="宋体" w:cs="宋体"/>
          <w:color w:val="000000"/>
          <w:kern w:val="0"/>
          <w:sz w:val="24"/>
          <w:highlight w:val="none"/>
        </w:rPr>
        <w:t>天。</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6</w:t>
      </w:r>
      <w:r>
        <w:rPr>
          <w:rFonts w:hint="eastAsia" w:ascii="宋体" w:hAnsi="宋体" w:cs="宋体"/>
          <w:color w:val="000000"/>
          <w:kern w:val="0"/>
          <w:sz w:val="24"/>
          <w:highlight w:val="none"/>
        </w:rPr>
        <w:t>、我方同意提供按照贵方可能要求的与本项投标有关的一切数据或资料，并保证其真实性、合法性。</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7</w:t>
      </w:r>
      <w:r>
        <w:rPr>
          <w:rFonts w:hint="eastAsia" w:ascii="宋体" w:hAnsi="宋体" w:cs="宋体"/>
          <w:color w:val="000000"/>
          <w:kern w:val="0"/>
          <w:sz w:val="24"/>
          <w:highlight w:val="none"/>
        </w:rPr>
        <w:t>、我方与本次投标有关的一切正式来往通讯请寄：</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w:t>
      </w:r>
    </w:p>
    <w:p>
      <w:pPr>
        <w:spacing w:line="440" w:lineRule="exact"/>
        <w:rPr>
          <w:rFonts w:ascii="宋体" w:cs="宋体"/>
          <w:color w:val="000000"/>
          <w:sz w:val="24"/>
          <w:highlight w:val="none"/>
        </w:rPr>
      </w:pP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地址：</w:t>
      </w:r>
      <w:r>
        <w:rPr>
          <w:rFonts w:ascii="宋体" w:hAnsi="宋体" w:cs="宋体"/>
          <w:color w:val="000000"/>
          <w:kern w:val="0"/>
          <w:sz w:val="24"/>
          <w:highlight w:val="none"/>
          <w:u w:val="single"/>
        </w:rPr>
        <w:t xml:space="preserve">                       </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邮编：</w:t>
      </w:r>
      <w:r>
        <w:rPr>
          <w:rFonts w:ascii="宋体" w:hAnsi="宋体" w:cs="宋体"/>
          <w:color w:val="000000"/>
          <w:kern w:val="0"/>
          <w:sz w:val="24"/>
          <w:highlight w:val="none"/>
          <w:u w:val="single"/>
        </w:rPr>
        <w:t xml:space="preserve">                                                  </w:t>
      </w:r>
    </w:p>
    <w:p>
      <w:pPr>
        <w:spacing w:line="440" w:lineRule="exact"/>
        <w:rPr>
          <w:rFonts w:ascii="宋体" w:cs="宋体"/>
          <w:color w:val="000000"/>
          <w:sz w:val="24"/>
          <w:highlight w:val="none"/>
          <w:u w:val="single"/>
        </w:rPr>
      </w:pP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电话：</w:t>
      </w:r>
      <w:r>
        <w:rPr>
          <w:rFonts w:ascii="宋体" w:hAnsi="宋体" w:cs="宋体"/>
          <w:color w:val="000000"/>
          <w:kern w:val="0"/>
          <w:sz w:val="24"/>
          <w:highlight w:val="none"/>
          <w:u w:val="single"/>
        </w:rPr>
        <w:t xml:space="preserve">                       </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传真：</w:t>
      </w:r>
      <w:r>
        <w:rPr>
          <w:rFonts w:ascii="宋体" w:hAnsi="宋体" w:cs="宋体"/>
          <w:color w:val="000000"/>
          <w:kern w:val="0"/>
          <w:sz w:val="24"/>
          <w:highlight w:val="none"/>
          <w:u w:val="single"/>
        </w:rPr>
        <w:t xml:space="preserve">               </w:t>
      </w:r>
    </w:p>
    <w:p>
      <w:pPr>
        <w:spacing w:line="400" w:lineRule="exact"/>
        <w:rPr>
          <w:rFonts w:ascii="宋体" w:cs="宋体"/>
          <w:color w:val="000000"/>
          <w:sz w:val="24"/>
          <w:highlight w:val="none"/>
        </w:rPr>
      </w:pPr>
    </w:p>
    <w:p>
      <w:pPr>
        <w:spacing w:line="400" w:lineRule="exact"/>
        <w:ind w:firstLine="480" w:firstLineChars="200"/>
        <w:rPr>
          <w:rFonts w:ascii="宋体" w:cs="宋体"/>
          <w:color w:val="000000"/>
          <w:sz w:val="24"/>
          <w:highlight w:val="none"/>
        </w:rPr>
      </w:pPr>
      <w:r>
        <w:rPr>
          <w:rFonts w:hint="eastAsia" w:ascii="宋体" w:hAnsi="宋体" w:cs="宋体"/>
          <w:color w:val="000000"/>
          <w:kern w:val="0"/>
          <w:sz w:val="24"/>
          <w:highlight w:val="none"/>
        </w:rPr>
        <w:t>投标人名称：</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（公章）</w:t>
      </w:r>
    </w:p>
    <w:p>
      <w:pPr>
        <w:spacing w:line="400" w:lineRule="exact"/>
        <w:ind w:firstLine="480" w:firstLineChars="200"/>
        <w:rPr>
          <w:rFonts w:ascii="宋体" w:cs="宋体"/>
          <w:color w:val="000000"/>
          <w:sz w:val="24"/>
          <w:highlight w:val="none"/>
        </w:rPr>
      </w:pPr>
      <w:r>
        <w:rPr>
          <w:rFonts w:hint="eastAsia" w:ascii="宋体" w:hAnsi="宋体" w:cs="宋体"/>
          <w:color w:val="000000"/>
          <w:kern w:val="0"/>
          <w:sz w:val="24"/>
          <w:highlight w:val="none"/>
        </w:rPr>
        <w:t>法定代表人或委托代理人</w:t>
      </w:r>
      <w:r>
        <w:rPr>
          <w:rFonts w:hint="eastAsia" w:ascii="宋体" w:hAnsi="宋体" w:cs="宋体"/>
          <w:color w:val="000000"/>
          <w:kern w:val="0"/>
          <w:sz w:val="24"/>
          <w:szCs w:val="20"/>
          <w:highlight w:val="none"/>
        </w:rPr>
        <w:t>（盖章或签名）</w:t>
      </w:r>
      <w:r>
        <w:rPr>
          <w:rFonts w:hint="eastAsia" w:ascii="宋体" w:hAnsi="宋体" w:cs="宋体"/>
          <w:color w:val="000000"/>
          <w:kern w:val="0"/>
          <w:sz w:val="24"/>
          <w:highlight w:val="none"/>
        </w:rPr>
        <w:t>：</w:t>
      </w:r>
      <w:r>
        <w:rPr>
          <w:rFonts w:ascii="宋体" w:hAnsi="宋体" w:cs="宋体"/>
          <w:color w:val="000000"/>
          <w:kern w:val="0"/>
          <w:sz w:val="24"/>
          <w:highlight w:val="none"/>
          <w:u w:val="single"/>
        </w:rPr>
        <w:t xml:space="preserve">  </w:t>
      </w:r>
    </w:p>
    <w:p>
      <w:pPr>
        <w:spacing w:line="400" w:lineRule="exact"/>
        <w:rPr>
          <w:rFonts w:ascii="宋体" w:cs="宋体"/>
          <w:color w:val="000000"/>
          <w:sz w:val="24"/>
          <w:highlight w:val="none"/>
        </w:rPr>
      </w:pPr>
      <w:r>
        <w:rPr>
          <w:rFonts w:ascii="宋体" w:hAnsi="宋体" w:cs="宋体"/>
          <w:color w:val="000000"/>
          <w:kern w:val="0"/>
          <w:sz w:val="24"/>
          <w:highlight w:val="none"/>
        </w:rPr>
        <w:t xml:space="preserve">                                  </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年</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日</w:t>
      </w:r>
    </w:p>
    <w:p>
      <w:pPr>
        <w:spacing w:line="360" w:lineRule="auto"/>
        <w:ind w:left="-2" w:hanging="2"/>
        <w:rPr>
          <w:rFonts w:ascii="宋体" w:cs="宋体"/>
          <w:b/>
          <w:bCs/>
          <w:sz w:val="24"/>
          <w:szCs w:val="24"/>
          <w:highlight w:val="none"/>
        </w:rPr>
      </w:pPr>
      <w:r>
        <w:rPr>
          <w:rFonts w:ascii="宋体" w:cs="宋体"/>
          <w:b/>
          <w:color w:val="000000"/>
          <w:sz w:val="28"/>
          <w:szCs w:val="28"/>
          <w:highlight w:val="none"/>
        </w:rPr>
        <w:br w:type="page"/>
      </w:r>
      <w:r>
        <w:rPr>
          <w:rFonts w:hint="eastAsia" w:ascii="宋体" w:hAnsi="宋体" w:cs="宋体"/>
          <w:b/>
          <w:bCs/>
          <w:sz w:val="24"/>
          <w:szCs w:val="24"/>
          <w:highlight w:val="none"/>
        </w:rPr>
        <w:t>附件</w:t>
      </w:r>
      <w:r>
        <w:rPr>
          <w:rFonts w:ascii="宋体" w:hAnsi="宋体" w:cs="宋体"/>
          <w:b/>
          <w:bCs/>
          <w:sz w:val="24"/>
          <w:szCs w:val="24"/>
          <w:highlight w:val="none"/>
        </w:rPr>
        <w:t>2:</w:t>
      </w:r>
    </w:p>
    <w:p>
      <w:pPr>
        <w:spacing w:line="360" w:lineRule="auto"/>
        <w:ind w:left="-2" w:hanging="2"/>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开标一览表</w:t>
      </w:r>
      <w:r>
        <w:rPr>
          <w:rFonts w:ascii="宋体" w:hAnsi="宋体" w:cs="宋体"/>
          <w:b/>
          <w:bCs/>
          <w:spacing w:val="21"/>
          <w:kern w:val="0"/>
          <w:sz w:val="32"/>
          <w:szCs w:val="32"/>
          <w:highlight w:val="none"/>
        </w:rPr>
        <w:t xml:space="preserve"> </w:t>
      </w:r>
    </w:p>
    <w:p>
      <w:pPr>
        <w:pStyle w:val="14"/>
        <w:spacing w:line="320" w:lineRule="exact"/>
        <w:rPr>
          <w:sz w:val="24"/>
          <w:szCs w:val="24"/>
          <w:highlight w:val="none"/>
        </w:rPr>
      </w:pPr>
      <w:r>
        <w:rPr>
          <w:rFonts w:hint="eastAsia" w:hAnsi="宋体"/>
          <w:sz w:val="24"/>
          <w:szCs w:val="24"/>
          <w:highlight w:val="none"/>
        </w:rPr>
        <w:t>项目编号：</w:t>
      </w:r>
      <w:r>
        <w:rPr>
          <w:rFonts w:hint="eastAsia" w:hAnsi="宋体"/>
          <w:sz w:val="24"/>
          <w:szCs w:val="24"/>
          <w:highlight w:val="none"/>
          <w:lang w:eastAsia="zh-CN"/>
        </w:rPr>
        <w:t>JJWL240425122</w:t>
      </w:r>
      <w:r>
        <w:rPr>
          <w:rFonts w:hAnsi="宋体"/>
          <w:sz w:val="24"/>
          <w:szCs w:val="24"/>
          <w:highlight w:val="none"/>
        </w:rPr>
        <w:t xml:space="preserve">  </w:t>
      </w:r>
    </w:p>
    <w:tbl>
      <w:tblPr>
        <w:tblStyle w:val="25"/>
        <w:tblW w:w="10336" w:type="dxa"/>
        <w:tblInd w:w="-49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3592"/>
        <w:gridCol w:w="1534"/>
        <w:gridCol w:w="1352"/>
        <w:gridCol w:w="1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784" w:type="dxa"/>
            <w:vAlign w:val="center"/>
          </w:tcPr>
          <w:p>
            <w:pPr>
              <w:jc w:val="center"/>
              <w:rPr>
                <w:rFonts w:ascii="新宋体" w:hAnsi="新宋体" w:eastAsia="新宋体"/>
                <w:sz w:val="22"/>
                <w:szCs w:val="15"/>
                <w:highlight w:val="none"/>
              </w:rPr>
            </w:pPr>
            <w:r>
              <w:rPr>
                <w:rFonts w:hint="eastAsia" w:ascii="新宋体" w:hAnsi="新宋体" w:eastAsia="新宋体"/>
                <w:sz w:val="22"/>
                <w:szCs w:val="15"/>
                <w:highlight w:val="none"/>
              </w:rPr>
              <w:t>标项名称</w:t>
            </w:r>
          </w:p>
        </w:tc>
        <w:tc>
          <w:tcPr>
            <w:tcW w:w="3592" w:type="dxa"/>
            <w:vAlign w:val="center"/>
          </w:tcPr>
          <w:p>
            <w:pPr>
              <w:jc w:val="center"/>
              <w:rPr>
                <w:rFonts w:ascii="新宋体" w:hAnsi="新宋体" w:eastAsia="新宋体"/>
                <w:sz w:val="22"/>
                <w:szCs w:val="15"/>
                <w:highlight w:val="none"/>
              </w:rPr>
            </w:pPr>
            <w:r>
              <w:rPr>
                <w:rFonts w:hint="eastAsia" w:ascii="新宋体" w:hAnsi="新宋体" w:eastAsia="新宋体"/>
                <w:sz w:val="22"/>
                <w:szCs w:val="15"/>
                <w:highlight w:val="none"/>
                <w:lang w:eastAsia="zh-CN"/>
              </w:rPr>
              <w:t>投</w:t>
            </w:r>
            <w:r>
              <w:rPr>
                <w:rFonts w:hint="eastAsia" w:ascii="新宋体" w:hAnsi="新宋体" w:eastAsia="新宋体"/>
                <w:sz w:val="22"/>
                <w:szCs w:val="15"/>
                <w:highlight w:val="none"/>
                <w:lang w:val="en-US" w:eastAsia="zh-CN"/>
              </w:rPr>
              <w:t xml:space="preserve"> </w:t>
            </w:r>
            <w:r>
              <w:rPr>
                <w:rFonts w:hint="eastAsia" w:ascii="新宋体" w:hAnsi="新宋体" w:eastAsia="新宋体"/>
                <w:sz w:val="22"/>
                <w:szCs w:val="15"/>
                <w:highlight w:val="none"/>
                <w:lang w:eastAsia="zh-CN"/>
              </w:rPr>
              <w:t>标</w:t>
            </w:r>
            <w:r>
              <w:rPr>
                <w:rFonts w:hint="eastAsia" w:ascii="新宋体" w:hAnsi="新宋体" w:eastAsia="新宋体"/>
                <w:sz w:val="22"/>
                <w:szCs w:val="15"/>
                <w:highlight w:val="none"/>
                <w:lang w:val="en-US" w:eastAsia="zh-CN"/>
              </w:rPr>
              <w:t xml:space="preserve"> </w:t>
            </w:r>
            <w:r>
              <w:rPr>
                <w:rFonts w:hint="eastAsia" w:ascii="新宋体" w:hAnsi="新宋体" w:eastAsia="新宋体"/>
                <w:sz w:val="22"/>
                <w:szCs w:val="15"/>
                <w:highlight w:val="none"/>
              </w:rPr>
              <w:t>报</w:t>
            </w:r>
            <w:r>
              <w:rPr>
                <w:rFonts w:hint="eastAsia" w:ascii="新宋体" w:hAnsi="新宋体" w:eastAsia="新宋体"/>
                <w:sz w:val="22"/>
                <w:szCs w:val="15"/>
                <w:highlight w:val="none"/>
                <w:lang w:val="en-US" w:eastAsia="zh-CN"/>
              </w:rPr>
              <w:t xml:space="preserve"> </w:t>
            </w:r>
            <w:r>
              <w:rPr>
                <w:rFonts w:hint="eastAsia" w:ascii="新宋体" w:hAnsi="新宋体" w:eastAsia="新宋体"/>
                <w:sz w:val="22"/>
                <w:szCs w:val="15"/>
                <w:highlight w:val="none"/>
              </w:rPr>
              <w:t>价（元）</w:t>
            </w:r>
          </w:p>
        </w:tc>
        <w:tc>
          <w:tcPr>
            <w:tcW w:w="1534" w:type="dxa"/>
            <w:vAlign w:val="center"/>
          </w:tcPr>
          <w:p>
            <w:pPr>
              <w:jc w:val="center"/>
              <w:rPr>
                <w:rFonts w:ascii="新宋体" w:hAnsi="新宋体" w:eastAsia="新宋体"/>
                <w:sz w:val="22"/>
                <w:szCs w:val="15"/>
                <w:highlight w:val="none"/>
              </w:rPr>
            </w:pPr>
            <w:r>
              <w:rPr>
                <w:rFonts w:hint="eastAsia" w:ascii="新宋体" w:hAnsi="新宋体" w:eastAsia="新宋体"/>
                <w:sz w:val="22"/>
                <w:szCs w:val="15"/>
                <w:highlight w:val="none"/>
              </w:rPr>
              <w:t>服务期限</w:t>
            </w:r>
          </w:p>
        </w:tc>
        <w:tc>
          <w:tcPr>
            <w:tcW w:w="1352" w:type="dxa"/>
            <w:vAlign w:val="center"/>
          </w:tcPr>
          <w:p>
            <w:pPr>
              <w:jc w:val="center"/>
              <w:rPr>
                <w:rFonts w:ascii="新宋体" w:hAnsi="新宋体" w:eastAsia="新宋体"/>
                <w:sz w:val="22"/>
                <w:szCs w:val="15"/>
                <w:highlight w:val="none"/>
              </w:rPr>
            </w:pPr>
            <w:r>
              <w:rPr>
                <w:rFonts w:hint="eastAsia" w:ascii="新宋体" w:hAnsi="新宋体" w:eastAsia="新宋体"/>
                <w:sz w:val="22"/>
                <w:szCs w:val="15"/>
                <w:highlight w:val="none"/>
              </w:rPr>
              <w:t>项目负</w:t>
            </w:r>
          </w:p>
          <w:p>
            <w:pPr>
              <w:jc w:val="center"/>
              <w:rPr>
                <w:rFonts w:ascii="新宋体" w:hAnsi="新宋体" w:eastAsia="新宋体"/>
                <w:sz w:val="22"/>
                <w:szCs w:val="15"/>
                <w:highlight w:val="none"/>
              </w:rPr>
            </w:pPr>
            <w:r>
              <w:rPr>
                <w:rFonts w:hint="eastAsia" w:ascii="新宋体" w:hAnsi="新宋体" w:eastAsia="新宋体"/>
                <w:sz w:val="22"/>
                <w:szCs w:val="15"/>
                <w:highlight w:val="none"/>
              </w:rPr>
              <w:t>责人</w:t>
            </w:r>
          </w:p>
        </w:tc>
        <w:tc>
          <w:tcPr>
            <w:tcW w:w="1074" w:type="dxa"/>
            <w:vAlign w:val="center"/>
          </w:tcPr>
          <w:p>
            <w:pPr>
              <w:jc w:val="center"/>
              <w:rPr>
                <w:rFonts w:ascii="新宋体" w:hAnsi="新宋体" w:eastAsia="新宋体"/>
                <w:sz w:val="22"/>
                <w:szCs w:val="15"/>
                <w:highlight w:val="none"/>
              </w:rPr>
            </w:pPr>
            <w:r>
              <w:rPr>
                <w:rFonts w:hint="eastAsia" w:ascii="新宋体" w:hAnsi="新宋体" w:eastAsia="新宋体"/>
                <w:sz w:val="22"/>
                <w:szCs w:val="15"/>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784" w:type="dxa"/>
            <w:vAlign w:val="center"/>
          </w:tcPr>
          <w:p>
            <w:pPr>
              <w:jc w:val="center"/>
              <w:rPr>
                <w:rFonts w:hint="eastAsia" w:ascii="新宋体" w:hAnsi="新宋体" w:eastAsia="新宋体"/>
                <w:sz w:val="22"/>
                <w:szCs w:val="15"/>
                <w:highlight w:val="none"/>
                <w:u w:val="single"/>
                <w:lang w:eastAsia="zh-CN"/>
              </w:rPr>
            </w:pPr>
            <w:r>
              <w:rPr>
                <w:rFonts w:hint="eastAsia" w:ascii="新宋体" w:hAnsi="新宋体" w:eastAsia="新宋体"/>
                <w:sz w:val="22"/>
                <w:szCs w:val="15"/>
                <w:highlight w:val="none"/>
                <w:lang w:eastAsia="zh-CN"/>
              </w:rPr>
              <w:t>温岭市2024年度农业水价综合改革技术支撑</w:t>
            </w:r>
          </w:p>
        </w:tc>
        <w:tc>
          <w:tcPr>
            <w:tcW w:w="3592" w:type="dxa"/>
            <w:vAlign w:val="center"/>
          </w:tcPr>
          <w:p>
            <w:pPr>
              <w:rPr>
                <w:rFonts w:ascii="新宋体" w:hAnsi="新宋体" w:eastAsia="新宋体"/>
                <w:sz w:val="22"/>
                <w:szCs w:val="15"/>
                <w:highlight w:val="none"/>
                <w:u w:val="single"/>
              </w:rPr>
            </w:pPr>
            <w:r>
              <w:rPr>
                <w:rFonts w:hint="eastAsia" w:ascii="新宋体" w:hAnsi="新宋体" w:eastAsia="新宋体"/>
                <w:sz w:val="22"/>
                <w:szCs w:val="15"/>
                <w:highlight w:val="none"/>
              </w:rPr>
              <w:t>小写：</w:t>
            </w:r>
            <w:r>
              <w:rPr>
                <w:rFonts w:hint="eastAsia" w:ascii="新宋体" w:hAnsi="新宋体" w:eastAsia="新宋体"/>
                <w:sz w:val="22"/>
                <w:szCs w:val="15"/>
                <w:highlight w:val="none"/>
                <w:u w:val="single"/>
              </w:rPr>
              <w:t xml:space="preserve">             </w:t>
            </w:r>
          </w:p>
          <w:p>
            <w:pPr>
              <w:rPr>
                <w:rFonts w:ascii="新宋体" w:hAnsi="新宋体" w:eastAsia="新宋体"/>
                <w:sz w:val="22"/>
                <w:szCs w:val="15"/>
                <w:highlight w:val="none"/>
              </w:rPr>
            </w:pPr>
          </w:p>
          <w:p>
            <w:pPr>
              <w:rPr>
                <w:rFonts w:ascii="新宋体" w:hAnsi="新宋体" w:eastAsia="新宋体"/>
                <w:sz w:val="22"/>
                <w:szCs w:val="15"/>
                <w:highlight w:val="none"/>
              </w:rPr>
            </w:pPr>
            <w:r>
              <w:rPr>
                <w:rFonts w:hint="eastAsia" w:ascii="新宋体" w:hAnsi="新宋体" w:eastAsia="新宋体"/>
                <w:sz w:val="22"/>
                <w:szCs w:val="15"/>
                <w:highlight w:val="none"/>
              </w:rPr>
              <w:t>大写：</w:t>
            </w:r>
            <w:r>
              <w:rPr>
                <w:rFonts w:hint="eastAsia" w:ascii="新宋体" w:hAnsi="新宋体" w:eastAsia="新宋体"/>
                <w:sz w:val="22"/>
                <w:szCs w:val="15"/>
                <w:highlight w:val="none"/>
                <w:u w:val="single"/>
              </w:rPr>
              <w:t xml:space="preserve">                       </w:t>
            </w:r>
          </w:p>
        </w:tc>
        <w:tc>
          <w:tcPr>
            <w:tcW w:w="1534" w:type="dxa"/>
            <w:vAlign w:val="center"/>
          </w:tcPr>
          <w:p>
            <w:pPr>
              <w:jc w:val="center"/>
              <w:rPr>
                <w:rFonts w:ascii="新宋体" w:hAnsi="新宋体" w:eastAsia="新宋体"/>
                <w:sz w:val="22"/>
                <w:szCs w:val="15"/>
                <w:highlight w:val="none"/>
              </w:rPr>
            </w:pPr>
            <w:r>
              <w:rPr>
                <w:rFonts w:hint="eastAsia" w:ascii="新宋体" w:hAnsi="新宋体" w:eastAsia="新宋体"/>
                <w:sz w:val="22"/>
                <w:szCs w:val="15"/>
                <w:highlight w:val="none"/>
              </w:rPr>
              <w:t>合同签订之日起一年</w:t>
            </w:r>
          </w:p>
        </w:tc>
        <w:tc>
          <w:tcPr>
            <w:tcW w:w="1352" w:type="dxa"/>
            <w:vAlign w:val="center"/>
          </w:tcPr>
          <w:p>
            <w:pPr>
              <w:rPr>
                <w:rFonts w:ascii="新宋体" w:hAnsi="新宋体" w:eastAsia="新宋体"/>
                <w:sz w:val="22"/>
                <w:szCs w:val="15"/>
                <w:highlight w:val="none"/>
              </w:rPr>
            </w:pPr>
          </w:p>
        </w:tc>
        <w:tc>
          <w:tcPr>
            <w:tcW w:w="1074" w:type="dxa"/>
            <w:vAlign w:val="center"/>
          </w:tcPr>
          <w:p>
            <w:pPr>
              <w:rPr>
                <w:rFonts w:hint="eastAsia" w:ascii="新宋体" w:hAnsi="新宋体" w:eastAsia="新宋体"/>
                <w:sz w:val="22"/>
                <w:szCs w:val="15"/>
                <w:highlight w:val="none"/>
                <w:lang w:eastAsia="zh-CN"/>
              </w:rPr>
            </w:pPr>
          </w:p>
        </w:tc>
      </w:tr>
    </w:tbl>
    <w:p>
      <w:pPr>
        <w:spacing w:line="360" w:lineRule="auto"/>
        <w:rPr>
          <w:rFonts w:ascii="宋体"/>
          <w:sz w:val="24"/>
          <w:szCs w:val="24"/>
          <w:highlight w:val="none"/>
        </w:rPr>
      </w:pPr>
      <w:r>
        <w:rPr>
          <w:rFonts w:hint="eastAsia" w:ascii="宋体" w:hAnsi="宋体" w:cs="宋体"/>
          <w:b/>
          <w:bCs/>
          <w:highlight w:val="none"/>
        </w:rPr>
        <w:t>填报要求：</w:t>
      </w:r>
    </w:p>
    <w:p>
      <w:pPr>
        <w:spacing w:line="360" w:lineRule="auto"/>
        <w:rPr>
          <w:rFonts w:ascii="宋体" w:hAnsi="宋体" w:cs="宋体"/>
          <w:highlight w:val="none"/>
        </w:rPr>
      </w:pPr>
      <w:r>
        <w:rPr>
          <w:rFonts w:hint="eastAsia" w:ascii="宋体" w:hAnsi="宋体" w:cs="宋体"/>
          <w:highlight w:val="none"/>
        </w:rPr>
        <w:t>注：1.投标报价以人民币为结算货币，由投标人进行报价，采取总价（包括所有费用）合同承包，按总价投标和定标。除该价格已包括为提供服务所需的一切人员工资、奖金、各种加班费、夜餐费、高温补贴、各种社会保险、餐饮与交通、专用设备及工具、器械、服装、安全、管理费用、税费、利润、完成合同所需的一切本身和不可或缺的所有工作开支、政策性文件规定即合同包含的所有风险、责任等各项全部费用并承担一切风险责任。</w:t>
      </w:r>
    </w:p>
    <w:p>
      <w:pPr>
        <w:spacing w:line="360" w:lineRule="auto"/>
        <w:rPr>
          <w:rFonts w:ascii="宋体" w:cs="宋体"/>
          <w:kern w:val="0"/>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kern w:val="0"/>
          <w:highlight w:val="none"/>
        </w:rPr>
        <w:t>报价一经涂改，应在涂改处加盖单位公章，或者由法定代表人或授权代理人签名或盖章，否则其投标作无效标处理。</w:t>
      </w:r>
    </w:p>
    <w:p>
      <w:pPr>
        <w:spacing w:line="360" w:lineRule="auto"/>
        <w:rPr>
          <w:rFonts w:ascii="宋体"/>
          <w:sz w:val="24"/>
          <w:szCs w:val="24"/>
          <w:highlight w:val="none"/>
        </w:rPr>
      </w:pPr>
    </w:p>
    <w:p>
      <w:pPr>
        <w:pStyle w:val="24"/>
        <w:rPr>
          <w:highlight w:val="none"/>
        </w:rPr>
      </w:pPr>
    </w:p>
    <w:p>
      <w:pP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pPr>
        <w:spacing w:line="360" w:lineRule="auto"/>
        <w:ind w:left="420"/>
        <w:rPr>
          <w:rFonts w:ascii="宋体"/>
          <w:sz w:val="24"/>
          <w:szCs w:val="24"/>
          <w:highlight w:val="none"/>
        </w:rPr>
      </w:pPr>
    </w:p>
    <w:p>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法定代表人或代理人（签名或盖章）：</w:t>
      </w:r>
    </w:p>
    <w:p>
      <w:pPr>
        <w:spacing w:line="360" w:lineRule="auto"/>
        <w:rPr>
          <w:rFonts w:ascii="宋体"/>
          <w:sz w:val="24"/>
          <w:szCs w:val="24"/>
          <w:highlight w:val="none"/>
        </w:rPr>
      </w:pPr>
    </w:p>
    <w:p>
      <w:pP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pPr>
        <w:rPr>
          <w:rFonts w:ascii="宋体"/>
          <w:sz w:val="28"/>
          <w:szCs w:val="28"/>
          <w:highlight w:val="none"/>
        </w:rPr>
        <w:sectPr>
          <w:pgSz w:w="11915" w:h="16840"/>
          <w:pgMar w:top="1134" w:right="1418" w:bottom="1134" w:left="1418" w:header="851" w:footer="1304" w:gutter="0"/>
          <w:pgNumType w:fmt="decimal"/>
          <w:cols w:space="720" w:num="1"/>
          <w:docGrid w:type="linesAndChars" w:linePitch="312" w:charSpace="0"/>
        </w:sectPr>
      </w:pPr>
    </w:p>
    <w:p>
      <w:pPr>
        <w:spacing w:line="360" w:lineRule="auto"/>
        <w:ind w:left="-2" w:hanging="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附件2.1</w:t>
      </w:r>
    </w:p>
    <w:p>
      <w:pPr>
        <w:jc w:val="center"/>
        <w:rPr>
          <w:rFonts w:hint="eastAsia" w:hAnsi="宋体"/>
          <w:b/>
          <w:bCs/>
          <w:sz w:val="36"/>
          <w:highlight w:val="none"/>
          <w:lang w:eastAsia="zh-CN"/>
        </w:rPr>
      </w:pPr>
      <w:r>
        <w:rPr>
          <w:rFonts w:hint="eastAsia" w:hAnsi="宋体"/>
          <w:b/>
          <w:bCs/>
          <w:sz w:val="36"/>
          <w:highlight w:val="none"/>
          <w:lang w:eastAsia="zh-CN"/>
        </w:rPr>
        <w:t>温岭市2024年度农业水价综合改革技术支撑</w:t>
      </w:r>
    </w:p>
    <w:tbl>
      <w:tblPr>
        <w:tblStyle w:val="25"/>
        <w:tblpPr w:leftFromText="180" w:rightFromText="180" w:vertAnchor="page" w:horzAnchor="page" w:tblpX="1614" w:tblpY="3210"/>
        <w:tblW w:w="1473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083"/>
        <w:gridCol w:w="820"/>
        <w:gridCol w:w="4417"/>
        <w:gridCol w:w="1033"/>
        <w:gridCol w:w="941"/>
        <w:gridCol w:w="1716"/>
        <w:gridCol w:w="1417"/>
        <w:gridCol w:w="1633"/>
        <w:gridCol w:w="10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672" w:type="dxa"/>
            <w:vAlign w:val="center"/>
          </w:tcPr>
          <w:p>
            <w:pPr>
              <w:jc w:val="center"/>
              <w:rPr>
                <w:rFonts w:hAnsi="宋体"/>
                <w:b/>
                <w:bCs/>
                <w:sz w:val="22"/>
                <w:szCs w:val="13"/>
                <w:highlight w:val="none"/>
              </w:rPr>
            </w:pPr>
            <w:r>
              <w:rPr>
                <w:rFonts w:hint="eastAsia" w:hAnsi="宋体"/>
                <w:b/>
                <w:bCs/>
                <w:sz w:val="22"/>
                <w:szCs w:val="13"/>
                <w:highlight w:val="none"/>
              </w:rPr>
              <w:t>序号</w:t>
            </w:r>
          </w:p>
        </w:tc>
        <w:tc>
          <w:tcPr>
            <w:tcW w:w="6320" w:type="dxa"/>
            <w:gridSpan w:val="3"/>
            <w:vAlign w:val="center"/>
          </w:tcPr>
          <w:p>
            <w:pPr>
              <w:jc w:val="center"/>
              <w:rPr>
                <w:rFonts w:hAnsi="宋体"/>
                <w:b/>
                <w:bCs/>
                <w:sz w:val="22"/>
                <w:szCs w:val="13"/>
                <w:highlight w:val="none"/>
              </w:rPr>
            </w:pPr>
            <w:r>
              <w:rPr>
                <w:rFonts w:hint="eastAsia" w:hAnsi="宋体"/>
                <w:b/>
                <w:bCs/>
                <w:sz w:val="22"/>
                <w:szCs w:val="13"/>
                <w:highlight w:val="none"/>
              </w:rPr>
              <w:t>名称</w:t>
            </w:r>
          </w:p>
        </w:tc>
        <w:tc>
          <w:tcPr>
            <w:tcW w:w="1033" w:type="dxa"/>
            <w:vAlign w:val="center"/>
          </w:tcPr>
          <w:p>
            <w:pPr>
              <w:jc w:val="center"/>
              <w:rPr>
                <w:rFonts w:hAnsi="宋体"/>
                <w:b/>
                <w:bCs/>
                <w:sz w:val="22"/>
                <w:szCs w:val="13"/>
                <w:highlight w:val="none"/>
              </w:rPr>
            </w:pPr>
            <w:r>
              <w:rPr>
                <w:rFonts w:hint="eastAsia" w:hAnsi="宋体"/>
                <w:b/>
                <w:bCs/>
                <w:sz w:val="22"/>
                <w:szCs w:val="13"/>
                <w:highlight w:val="none"/>
              </w:rPr>
              <w:t>单位</w:t>
            </w:r>
          </w:p>
        </w:tc>
        <w:tc>
          <w:tcPr>
            <w:tcW w:w="941" w:type="dxa"/>
            <w:vAlign w:val="center"/>
          </w:tcPr>
          <w:p>
            <w:pPr>
              <w:jc w:val="center"/>
              <w:rPr>
                <w:rFonts w:hAnsi="宋体"/>
                <w:b/>
                <w:bCs/>
                <w:sz w:val="22"/>
                <w:szCs w:val="13"/>
                <w:highlight w:val="none"/>
              </w:rPr>
            </w:pPr>
            <w:r>
              <w:rPr>
                <w:rFonts w:hint="eastAsia" w:hAnsi="宋体"/>
                <w:b/>
                <w:bCs/>
                <w:sz w:val="22"/>
                <w:szCs w:val="13"/>
                <w:highlight w:val="none"/>
              </w:rPr>
              <w:t>数量</w:t>
            </w:r>
          </w:p>
        </w:tc>
        <w:tc>
          <w:tcPr>
            <w:tcW w:w="1716" w:type="dxa"/>
            <w:vAlign w:val="center"/>
          </w:tcPr>
          <w:p>
            <w:pPr>
              <w:jc w:val="center"/>
              <w:rPr>
                <w:rFonts w:hint="eastAsia" w:hAnsi="宋体"/>
                <w:b/>
                <w:bCs/>
                <w:sz w:val="22"/>
                <w:szCs w:val="13"/>
                <w:highlight w:val="none"/>
              </w:rPr>
            </w:pPr>
            <w:r>
              <w:rPr>
                <w:rFonts w:hint="eastAsia" w:hAnsi="宋体"/>
                <w:b/>
                <w:bCs/>
                <w:sz w:val="22"/>
                <w:szCs w:val="13"/>
                <w:highlight w:val="none"/>
                <w:lang w:eastAsia="zh-CN"/>
              </w:rPr>
              <w:t>▲上限</w:t>
            </w:r>
            <w:r>
              <w:rPr>
                <w:rFonts w:hint="eastAsia" w:hAnsi="宋体"/>
                <w:b/>
                <w:bCs/>
                <w:sz w:val="22"/>
                <w:szCs w:val="13"/>
                <w:highlight w:val="none"/>
              </w:rPr>
              <w:t>单价（元）</w:t>
            </w:r>
          </w:p>
        </w:tc>
        <w:tc>
          <w:tcPr>
            <w:tcW w:w="1417" w:type="dxa"/>
            <w:vAlign w:val="center"/>
          </w:tcPr>
          <w:p>
            <w:pPr>
              <w:jc w:val="center"/>
              <w:rPr>
                <w:rFonts w:hAnsi="宋体"/>
                <w:b/>
                <w:bCs/>
                <w:sz w:val="22"/>
                <w:szCs w:val="13"/>
                <w:highlight w:val="none"/>
              </w:rPr>
            </w:pPr>
            <w:r>
              <w:rPr>
                <w:rFonts w:hint="eastAsia" w:hAnsi="宋体"/>
                <w:b/>
                <w:bCs/>
                <w:sz w:val="22"/>
                <w:szCs w:val="13"/>
                <w:highlight w:val="none"/>
              </w:rPr>
              <w:t>单价（元）</w:t>
            </w:r>
          </w:p>
        </w:tc>
        <w:tc>
          <w:tcPr>
            <w:tcW w:w="1633" w:type="dxa"/>
            <w:vAlign w:val="center"/>
          </w:tcPr>
          <w:p>
            <w:pPr>
              <w:jc w:val="center"/>
              <w:rPr>
                <w:rFonts w:hAnsi="宋体"/>
                <w:b/>
                <w:bCs/>
                <w:sz w:val="22"/>
                <w:szCs w:val="13"/>
                <w:highlight w:val="none"/>
              </w:rPr>
            </w:pPr>
            <w:r>
              <w:rPr>
                <w:rFonts w:hint="eastAsia" w:hAnsi="宋体"/>
                <w:b/>
                <w:bCs/>
                <w:sz w:val="22"/>
                <w:szCs w:val="13"/>
                <w:highlight w:val="none"/>
              </w:rPr>
              <w:t>合计金额（元）</w:t>
            </w:r>
          </w:p>
        </w:tc>
        <w:tc>
          <w:tcPr>
            <w:tcW w:w="1003" w:type="dxa"/>
            <w:vAlign w:val="center"/>
          </w:tcPr>
          <w:p>
            <w:pPr>
              <w:jc w:val="center"/>
              <w:rPr>
                <w:rFonts w:hAnsi="宋体"/>
                <w:b/>
                <w:bCs/>
                <w:sz w:val="22"/>
                <w:szCs w:val="13"/>
                <w:highlight w:val="none"/>
              </w:rPr>
            </w:pPr>
            <w:r>
              <w:rPr>
                <w:rFonts w:hint="eastAsia" w:hAnsi="宋体"/>
                <w:b/>
                <w:bCs/>
                <w:sz w:val="22"/>
                <w:szCs w:val="13"/>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72" w:type="dxa"/>
            <w:vAlign w:val="center"/>
          </w:tcPr>
          <w:p>
            <w:pPr>
              <w:jc w:val="center"/>
              <w:rPr>
                <w:rFonts w:hAnsi="宋体"/>
                <w:sz w:val="22"/>
                <w:szCs w:val="13"/>
                <w:highlight w:val="none"/>
              </w:rPr>
            </w:pPr>
            <w:r>
              <w:rPr>
                <w:rFonts w:hint="eastAsia" w:hAnsi="宋体"/>
                <w:sz w:val="22"/>
                <w:szCs w:val="13"/>
                <w:highlight w:val="none"/>
              </w:rPr>
              <w:t>1</w:t>
            </w:r>
          </w:p>
        </w:tc>
        <w:tc>
          <w:tcPr>
            <w:tcW w:w="6320" w:type="dxa"/>
            <w:gridSpan w:val="3"/>
            <w:vAlign w:val="center"/>
          </w:tcPr>
          <w:p>
            <w:pPr>
              <w:keepNext w:val="0"/>
              <w:keepLines w:val="0"/>
              <w:widowControl/>
              <w:suppressLineNumbers w:val="0"/>
              <w:jc w:val="center"/>
              <w:textAlignment w:val="top"/>
              <w:rPr>
                <w:rFonts w:hAnsi="宋体"/>
                <w:sz w:val="22"/>
                <w:szCs w:val="13"/>
                <w:highlight w:val="none"/>
              </w:rPr>
            </w:pPr>
            <w:r>
              <w:rPr>
                <w:rFonts w:hint="eastAsia" w:hAnsi="宋体"/>
                <w:sz w:val="22"/>
                <w:szCs w:val="13"/>
                <w:highlight w:val="none"/>
              </w:rPr>
              <w:t>《温岭市2024年度农业用水指标分解报告》</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项</w:t>
            </w:r>
          </w:p>
        </w:tc>
        <w:tc>
          <w:tcPr>
            <w:tcW w:w="941"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val="en-US" w:eastAsia="zh-CN"/>
              </w:rPr>
              <w:t>1</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50000</w:t>
            </w:r>
          </w:p>
        </w:tc>
        <w:tc>
          <w:tcPr>
            <w:tcW w:w="1417" w:type="dxa"/>
            <w:vAlign w:val="center"/>
          </w:tcPr>
          <w:p>
            <w:pPr>
              <w:jc w:val="center"/>
              <w:rPr>
                <w:rFonts w:hAnsi="宋体"/>
                <w:sz w:val="22"/>
                <w:szCs w:val="13"/>
                <w:highlight w:val="none"/>
              </w:rPr>
            </w:pPr>
          </w:p>
        </w:tc>
        <w:tc>
          <w:tcPr>
            <w:tcW w:w="1633" w:type="dxa"/>
            <w:vAlign w:val="center"/>
          </w:tcPr>
          <w:p>
            <w:pPr>
              <w:jc w:val="center"/>
              <w:rPr>
                <w:rFonts w:hAnsi="宋体"/>
                <w:sz w:val="22"/>
                <w:szCs w:val="13"/>
                <w:highlight w:val="none"/>
              </w:rPr>
            </w:pPr>
          </w:p>
        </w:tc>
        <w:tc>
          <w:tcPr>
            <w:tcW w:w="1003" w:type="dxa"/>
            <w:vAlign w:val="center"/>
          </w:tcPr>
          <w:p>
            <w:pPr>
              <w:jc w:val="center"/>
              <w:rPr>
                <w:rFonts w:hAnsi="宋体"/>
                <w:sz w:val="22"/>
                <w:szCs w:val="13"/>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672" w:type="dxa"/>
            <w:vAlign w:val="center"/>
          </w:tcPr>
          <w:p>
            <w:pPr>
              <w:jc w:val="center"/>
              <w:rPr>
                <w:rFonts w:hAnsi="宋体"/>
                <w:sz w:val="22"/>
                <w:szCs w:val="13"/>
                <w:highlight w:val="none"/>
              </w:rPr>
            </w:pPr>
            <w:r>
              <w:rPr>
                <w:rFonts w:hint="eastAsia" w:hAnsi="宋体"/>
                <w:sz w:val="22"/>
                <w:szCs w:val="13"/>
                <w:highlight w:val="none"/>
              </w:rPr>
              <w:t>2</w:t>
            </w:r>
          </w:p>
        </w:tc>
        <w:tc>
          <w:tcPr>
            <w:tcW w:w="6320" w:type="dxa"/>
            <w:gridSpan w:val="3"/>
            <w:vAlign w:val="center"/>
          </w:tcPr>
          <w:p>
            <w:pPr>
              <w:keepNext w:val="0"/>
              <w:keepLines w:val="0"/>
              <w:widowControl/>
              <w:suppressLineNumbers w:val="0"/>
              <w:jc w:val="center"/>
              <w:textAlignment w:val="top"/>
              <w:rPr>
                <w:rFonts w:hAnsi="宋体"/>
                <w:sz w:val="22"/>
                <w:szCs w:val="13"/>
                <w:highlight w:val="none"/>
              </w:rPr>
            </w:pPr>
            <w:r>
              <w:rPr>
                <w:rFonts w:hint="eastAsia" w:hAnsi="宋体"/>
                <w:sz w:val="22"/>
                <w:szCs w:val="13"/>
                <w:highlight w:val="none"/>
              </w:rPr>
              <w:t>农田水利灌溉工程更新升级技术服务</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处</w:t>
            </w:r>
          </w:p>
        </w:tc>
        <w:tc>
          <w:tcPr>
            <w:tcW w:w="941"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31</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2000</w:t>
            </w:r>
          </w:p>
        </w:tc>
        <w:tc>
          <w:tcPr>
            <w:tcW w:w="1417" w:type="dxa"/>
            <w:vAlign w:val="center"/>
          </w:tcPr>
          <w:p>
            <w:pPr>
              <w:jc w:val="center"/>
              <w:rPr>
                <w:rFonts w:hAnsi="宋体"/>
                <w:sz w:val="22"/>
                <w:szCs w:val="13"/>
                <w:highlight w:val="none"/>
              </w:rPr>
            </w:pPr>
          </w:p>
        </w:tc>
        <w:tc>
          <w:tcPr>
            <w:tcW w:w="1633" w:type="dxa"/>
            <w:vAlign w:val="center"/>
          </w:tcPr>
          <w:p>
            <w:pPr>
              <w:jc w:val="center"/>
              <w:rPr>
                <w:rFonts w:hAnsi="宋体"/>
                <w:sz w:val="22"/>
                <w:szCs w:val="13"/>
                <w:highlight w:val="none"/>
              </w:rPr>
            </w:pPr>
          </w:p>
        </w:tc>
        <w:tc>
          <w:tcPr>
            <w:tcW w:w="1003" w:type="dxa"/>
            <w:vAlign w:val="center"/>
          </w:tcPr>
          <w:p>
            <w:pPr>
              <w:jc w:val="center"/>
              <w:rPr>
                <w:rFonts w:hAnsi="宋体"/>
                <w:sz w:val="22"/>
                <w:szCs w:val="13"/>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65" w:hRule="atLeast"/>
        </w:trPr>
        <w:tc>
          <w:tcPr>
            <w:tcW w:w="672" w:type="dxa"/>
            <w:vMerge w:val="restart"/>
            <w:vAlign w:val="center"/>
          </w:tcPr>
          <w:p>
            <w:pPr>
              <w:jc w:val="center"/>
              <w:rPr>
                <w:rFonts w:hAnsi="宋体"/>
                <w:sz w:val="22"/>
                <w:szCs w:val="13"/>
                <w:highlight w:val="none"/>
              </w:rPr>
            </w:pPr>
            <w:r>
              <w:rPr>
                <w:rFonts w:hint="eastAsia" w:hAnsi="宋体"/>
                <w:sz w:val="22"/>
                <w:szCs w:val="13"/>
                <w:highlight w:val="none"/>
              </w:rPr>
              <w:t>3</w:t>
            </w:r>
          </w:p>
        </w:tc>
        <w:tc>
          <w:tcPr>
            <w:tcW w:w="1903" w:type="dxa"/>
            <w:gridSpan w:val="2"/>
            <w:vMerge w:val="restart"/>
            <w:vAlign w:val="center"/>
          </w:tcPr>
          <w:p>
            <w:pPr>
              <w:keepNext w:val="0"/>
              <w:keepLines w:val="0"/>
              <w:widowControl/>
              <w:suppressLineNumbers w:val="0"/>
              <w:jc w:val="center"/>
              <w:textAlignment w:val="top"/>
              <w:rPr>
                <w:rFonts w:hAnsi="宋体"/>
                <w:sz w:val="22"/>
                <w:szCs w:val="13"/>
                <w:highlight w:val="none"/>
              </w:rPr>
            </w:pPr>
            <w:r>
              <w:rPr>
                <w:rFonts w:hint="eastAsia" w:hAnsi="宋体"/>
                <w:sz w:val="22"/>
                <w:szCs w:val="13"/>
                <w:highlight w:val="none"/>
              </w:rPr>
              <w:t>“五个一百”创建技术服务</w:t>
            </w:r>
          </w:p>
        </w:tc>
        <w:tc>
          <w:tcPr>
            <w:tcW w:w="4417" w:type="dxa"/>
            <w:vAlign w:val="center"/>
          </w:tcPr>
          <w:p>
            <w:pPr>
              <w:keepNext w:val="0"/>
              <w:keepLines w:val="0"/>
              <w:widowControl/>
              <w:suppressLineNumbers w:val="0"/>
              <w:jc w:val="center"/>
              <w:textAlignment w:val="top"/>
              <w:rPr>
                <w:rFonts w:hint="eastAsia" w:hAnsi="宋体"/>
                <w:sz w:val="22"/>
                <w:szCs w:val="13"/>
                <w:highlight w:val="none"/>
              </w:rPr>
            </w:pPr>
            <w:r>
              <w:rPr>
                <w:rFonts w:hint="eastAsia" w:hAnsi="宋体"/>
                <w:sz w:val="22"/>
                <w:szCs w:val="13"/>
                <w:highlight w:val="none"/>
              </w:rPr>
              <w:t>2024年度“五个一百”创建任务</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项</w:t>
            </w:r>
          </w:p>
        </w:tc>
        <w:tc>
          <w:tcPr>
            <w:tcW w:w="941"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11</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5000</w:t>
            </w:r>
          </w:p>
        </w:tc>
        <w:tc>
          <w:tcPr>
            <w:tcW w:w="1417" w:type="dxa"/>
            <w:vAlign w:val="center"/>
          </w:tcPr>
          <w:p>
            <w:pPr>
              <w:jc w:val="center"/>
              <w:rPr>
                <w:rFonts w:hAnsi="宋体"/>
                <w:sz w:val="22"/>
                <w:szCs w:val="13"/>
                <w:highlight w:val="none"/>
              </w:rPr>
            </w:pPr>
          </w:p>
        </w:tc>
        <w:tc>
          <w:tcPr>
            <w:tcW w:w="1633" w:type="dxa"/>
            <w:vAlign w:val="center"/>
          </w:tcPr>
          <w:p>
            <w:pPr>
              <w:jc w:val="center"/>
              <w:rPr>
                <w:rFonts w:hAnsi="宋体"/>
                <w:sz w:val="22"/>
                <w:szCs w:val="13"/>
                <w:highlight w:val="none"/>
              </w:rPr>
            </w:pPr>
          </w:p>
        </w:tc>
        <w:tc>
          <w:tcPr>
            <w:tcW w:w="1003" w:type="dxa"/>
            <w:vAlign w:val="center"/>
          </w:tcPr>
          <w:p>
            <w:pPr>
              <w:jc w:val="center"/>
              <w:rPr>
                <w:rFonts w:hAnsi="宋体"/>
                <w:sz w:val="22"/>
                <w:szCs w:val="13"/>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65" w:hRule="atLeast"/>
        </w:trPr>
        <w:tc>
          <w:tcPr>
            <w:tcW w:w="672" w:type="dxa"/>
            <w:vMerge w:val="continue"/>
            <w:vAlign w:val="center"/>
          </w:tcPr>
          <w:p>
            <w:pPr>
              <w:jc w:val="center"/>
            </w:pPr>
          </w:p>
        </w:tc>
        <w:tc>
          <w:tcPr>
            <w:tcW w:w="1903" w:type="dxa"/>
            <w:gridSpan w:val="2"/>
            <w:vMerge w:val="continue"/>
            <w:vAlign w:val="center"/>
          </w:tcPr>
          <w:p>
            <w:pPr>
              <w:jc w:val="center"/>
              <w:rPr>
                <w:rFonts w:hint="eastAsia" w:hAnsi="宋体"/>
                <w:sz w:val="22"/>
                <w:szCs w:val="13"/>
                <w:highlight w:val="none"/>
              </w:rPr>
            </w:pPr>
          </w:p>
        </w:tc>
        <w:tc>
          <w:tcPr>
            <w:tcW w:w="4417" w:type="dxa"/>
            <w:vAlign w:val="center"/>
          </w:tcPr>
          <w:p>
            <w:pPr>
              <w:jc w:val="center"/>
              <w:rPr>
                <w:rFonts w:hint="eastAsia" w:hAnsi="宋体"/>
                <w:sz w:val="22"/>
                <w:szCs w:val="13"/>
                <w:highlight w:val="none"/>
              </w:rPr>
            </w:pPr>
            <w:r>
              <w:rPr>
                <w:rFonts w:hint="eastAsia" w:hAnsi="宋体"/>
                <w:sz w:val="22"/>
                <w:szCs w:val="13"/>
                <w:highlight w:val="none"/>
              </w:rPr>
              <w:t>机埠泵站视频拍摄</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个</w:t>
            </w:r>
          </w:p>
        </w:tc>
        <w:tc>
          <w:tcPr>
            <w:tcW w:w="941" w:type="dxa"/>
            <w:vAlign w:val="center"/>
          </w:tcPr>
          <w:p>
            <w:pPr>
              <w:jc w:val="center"/>
              <w:rPr>
                <w:rFonts w:hint="eastAsia" w:hAnsi="宋体" w:eastAsia="宋体"/>
                <w:sz w:val="22"/>
                <w:szCs w:val="13"/>
                <w:highlight w:val="none"/>
                <w:lang w:val="en-US" w:eastAsia="zh-CN"/>
              </w:rPr>
            </w:pPr>
            <w:r>
              <w:rPr>
                <w:rFonts w:hint="eastAsia" w:hAnsi="宋体"/>
                <w:sz w:val="22"/>
                <w:szCs w:val="13"/>
                <w:highlight w:val="none"/>
                <w:lang w:val="en-US" w:eastAsia="zh-CN"/>
              </w:rPr>
              <w:t>5</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10000</w:t>
            </w:r>
          </w:p>
        </w:tc>
        <w:tc>
          <w:tcPr>
            <w:tcW w:w="1417" w:type="dxa"/>
            <w:vAlign w:val="center"/>
          </w:tcPr>
          <w:p>
            <w:pPr>
              <w:jc w:val="center"/>
              <w:rPr>
                <w:rFonts w:hint="eastAsia" w:hAnsi="宋体"/>
                <w:sz w:val="22"/>
                <w:szCs w:val="13"/>
                <w:highlight w:val="yellow"/>
              </w:rPr>
            </w:pPr>
          </w:p>
        </w:tc>
        <w:tc>
          <w:tcPr>
            <w:tcW w:w="1633" w:type="dxa"/>
            <w:vAlign w:val="center"/>
          </w:tcPr>
          <w:p>
            <w:pPr>
              <w:jc w:val="center"/>
              <w:rPr>
                <w:rFonts w:hint="eastAsia" w:hAnsi="宋体"/>
                <w:sz w:val="22"/>
                <w:szCs w:val="13"/>
                <w:highlight w:val="yellow"/>
              </w:rPr>
            </w:pPr>
          </w:p>
        </w:tc>
        <w:tc>
          <w:tcPr>
            <w:tcW w:w="1003" w:type="dxa"/>
            <w:vAlign w:val="center"/>
          </w:tcPr>
          <w:p>
            <w:pPr>
              <w:jc w:val="center"/>
              <w:rPr>
                <w:rFonts w:hint="eastAsia" w:hAnsi="宋体"/>
                <w:sz w:val="22"/>
                <w:szCs w:val="13"/>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672" w:type="dxa"/>
            <w:vAlign w:val="center"/>
          </w:tcPr>
          <w:p>
            <w:pPr>
              <w:jc w:val="center"/>
              <w:rPr>
                <w:rFonts w:hAnsi="宋体"/>
                <w:sz w:val="22"/>
                <w:szCs w:val="13"/>
                <w:highlight w:val="none"/>
              </w:rPr>
            </w:pPr>
            <w:r>
              <w:rPr>
                <w:rFonts w:hint="eastAsia" w:hAnsi="宋体"/>
                <w:sz w:val="22"/>
                <w:szCs w:val="13"/>
                <w:highlight w:val="none"/>
              </w:rPr>
              <w:t>4</w:t>
            </w:r>
          </w:p>
        </w:tc>
        <w:tc>
          <w:tcPr>
            <w:tcW w:w="6320" w:type="dxa"/>
            <w:gridSpan w:val="3"/>
            <w:vAlign w:val="center"/>
          </w:tcPr>
          <w:p>
            <w:pPr>
              <w:jc w:val="center"/>
              <w:rPr>
                <w:rFonts w:hAnsi="宋体"/>
                <w:sz w:val="22"/>
                <w:szCs w:val="13"/>
                <w:highlight w:val="none"/>
              </w:rPr>
            </w:pPr>
            <w:r>
              <w:rPr>
                <w:rFonts w:hint="eastAsia" w:hAnsi="宋体"/>
                <w:sz w:val="22"/>
                <w:szCs w:val="13"/>
                <w:highlight w:val="none"/>
              </w:rPr>
              <w:t>协助开展农业水价综合改革“回头看”核查与成果编制</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项</w:t>
            </w:r>
          </w:p>
        </w:tc>
        <w:tc>
          <w:tcPr>
            <w:tcW w:w="941"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val="en-US" w:eastAsia="zh-CN"/>
              </w:rPr>
              <w:t>1</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50000</w:t>
            </w:r>
          </w:p>
        </w:tc>
        <w:tc>
          <w:tcPr>
            <w:tcW w:w="1417" w:type="dxa"/>
            <w:vAlign w:val="center"/>
          </w:tcPr>
          <w:p>
            <w:pPr>
              <w:jc w:val="center"/>
              <w:rPr>
                <w:rFonts w:hAnsi="宋体"/>
                <w:sz w:val="22"/>
                <w:szCs w:val="13"/>
                <w:highlight w:val="none"/>
              </w:rPr>
            </w:pPr>
          </w:p>
        </w:tc>
        <w:tc>
          <w:tcPr>
            <w:tcW w:w="1633" w:type="dxa"/>
            <w:vAlign w:val="center"/>
          </w:tcPr>
          <w:p>
            <w:pPr>
              <w:jc w:val="center"/>
              <w:rPr>
                <w:rFonts w:hAnsi="宋体"/>
                <w:sz w:val="22"/>
                <w:szCs w:val="13"/>
                <w:highlight w:val="none"/>
              </w:rPr>
            </w:pPr>
          </w:p>
        </w:tc>
        <w:tc>
          <w:tcPr>
            <w:tcW w:w="1003" w:type="dxa"/>
            <w:vAlign w:val="center"/>
          </w:tcPr>
          <w:p>
            <w:pPr>
              <w:jc w:val="center"/>
              <w:rPr>
                <w:rFonts w:hAnsi="宋体"/>
                <w:sz w:val="22"/>
                <w:szCs w:val="13"/>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trPr>
        <w:tc>
          <w:tcPr>
            <w:tcW w:w="672" w:type="dxa"/>
            <w:vMerge w:val="restart"/>
            <w:vAlign w:val="center"/>
          </w:tcPr>
          <w:p>
            <w:pPr>
              <w:jc w:val="center"/>
              <w:rPr>
                <w:rFonts w:hAnsi="宋体"/>
                <w:sz w:val="22"/>
                <w:szCs w:val="13"/>
                <w:highlight w:val="none"/>
              </w:rPr>
            </w:pPr>
            <w:r>
              <w:rPr>
                <w:rFonts w:hint="eastAsia" w:hAnsi="宋体"/>
                <w:sz w:val="22"/>
                <w:szCs w:val="13"/>
                <w:highlight w:val="none"/>
              </w:rPr>
              <w:t>5</w:t>
            </w:r>
          </w:p>
        </w:tc>
        <w:tc>
          <w:tcPr>
            <w:tcW w:w="1903" w:type="dxa"/>
            <w:gridSpan w:val="2"/>
            <w:vMerge w:val="restart"/>
            <w:vAlign w:val="center"/>
          </w:tcPr>
          <w:p>
            <w:pPr>
              <w:jc w:val="center"/>
              <w:rPr>
                <w:rFonts w:hAnsi="宋体"/>
                <w:sz w:val="22"/>
                <w:szCs w:val="13"/>
                <w:highlight w:val="none"/>
              </w:rPr>
            </w:pPr>
            <w:r>
              <w:rPr>
                <w:rFonts w:hint="eastAsia" w:hAnsi="宋体"/>
                <w:sz w:val="22"/>
                <w:szCs w:val="13"/>
                <w:highlight w:val="none"/>
              </w:rPr>
              <w:t>温岭灌区和全市农业水价成本测算</w:t>
            </w:r>
          </w:p>
        </w:tc>
        <w:tc>
          <w:tcPr>
            <w:tcW w:w="4417" w:type="dxa"/>
            <w:vAlign w:val="center"/>
          </w:tcPr>
          <w:p>
            <w:pPr>
              <w:jc w:val="center"/>
              <w:rPr>
                <w:rFonts w:hint="eastAsia" w:hAnsi="宋体"/>
                <w:sz w:val="22"/>
                <w:szCs w:val="13"/>
                <w:highlight w:val="none"/>
              </w:rPr>
            </w:pPr>
            <w:r>
              <w:rPr>
                <w:rFonts w:hint="eastAsia" w:hAnsi="宋体"/>
                <w:sz w:val="22"/>
                <w:szCs w:val="13"/>
                <w:highlight w:val="none"/>
              </w:rPr>
              <w:t>《温岭市温岭灌区农业水价成本测算报告》</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项</w:t>
            </w:r>
          </w:p>
        </w:tc>
        <w:tc>
          <w:tcPr>
            <w:tcW w:w="941"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val="en-US" w:eastAsia="zh-CN"/>
              </w:rPr>
              <w:t>1</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120000</w:t>
            </w:r>
          </w:p>
        </w:tc>
        <w:tc>
          <w:tcPr>
            <w:tcW w:w="1417" w:type="dxa"/>
            <w:vAlign w:val="center"/>
          </w:tcPr>
          <w:p>
            <w:pPr>
              <w:jc w:val="center"/>
              <w:rPr>
                <w:rFonts w:hAnsi="宋体"/>
                <w:sz w:val="22"/>
                <w:szCs w:val="13"/>
                <w:highlight w:val="none"/>
              </w:rPr>
            </w:pPr>
          </w:p>
        </w:tc>
        <w:tc>
          <w:tcPr>
            <w:tcW w:w="1633" w:type="dxa"/>
            <w:vMerge w:val="restart"/>
            <w:vAlign w:val="center"/>
          </w:tcPr>
          <w:p>
            <w:pPr>
              <w:jc w:val="center"/>
              <w:rPr>
                <w:rFonts w:hAnsi="宋体"/>
                <w:sz w:val="22"/>
                <w:szCs w:val="13"/>
                <w:highlight w:val="none"/>
              </w:rPr>
            </w:pPr>
          </w:p>
        </w:tc>
        <w:tc>
          <w:tcPr>
            <w:tcW w:w="1003" w:type="dxa"/>
            <w:vMerge w:val="restart"/>
            <w:vAlign w:val="center"/>
          </w:tcPr>
          <w:p>
            <w:pPr>
              <w:jc w:val="center"/>
              <w:rPr>
                <w:rFonts w:hAnsi="宋体"/>
                <w:sz w:val="22"/>
                <w:szCs w:val="13"/>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321" w:hRule="atLeast"/>
        </w:trPr>
        <w:tc>
          <w:tcPr>
            <w:tcW w:w="672" w:type="dxa"/>
            <w:vMerge w:val="continue"/>
            <w:vAlign w:val="center"/>
          </w:tcPr>
          <w:p>
            <w:pPr>
              <w:jc w:val="center"/>
            </w:pPr>
          </w:p>
        </w:tc>
        <w:tc>
          <w:tcPr>
            <w:tcW w:w="1903" w:type="dxa"/>
            <w:gridSpan w:val="2"/>
            <w:vMerge w:val="continue"/>
            <w:vAlign w:val="center"/>
          </w:tcPr>
          <w:p>
            <w:pPr>
              <w:jc w:val="center"/>
              <w:rPr>
                <w:highlight w:val="none"/>
              </w:rPr>
            </w:pPr>
          </w:p>
        </w:tc>
        <w:tc>
          <w:tcPr>
            <w:tcW w:w="4417" w:type="dxa"/>
            <w:vAlign w:val="center"/>
          </w:tcPr>
          <w:p>
            <w:pPr>
              <w:jc w:val="center"/>
              <w:rPr>
                <w:rFonts w:hint="eastAsia" w:hAnsi="宋体"/>
                <w:sz w:val="22"/>
                <w:szCs w:val="13"/>
                <w:highlight w:val="none"/>
              </w:rPr>
            </w:pPr>
            <w:r>
              <w:rPr>
                <w:rFonts w:hint="eastAsia" w:hAnsi="宋体"/>
                <w:sz w:val="22"/>
                <w:szCs w:val="13"/>
                <w:highlight w:val="none"/>
              </w:rPr>
              <w:t>《温岭市农业水价成本测算报告》</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项</w:t>
            </w:r>
          </w:p>
        </w:tc>
        <w:tc>
          <w:tcPr>
            <w:tcW w:w="941" w:type="dxa"/>
            <w:vAlign w:val="center"/>
          </w:tcPr>
          <w:p>
            <w:pPr>
              <w:jc w:val="center"/>
              <w:rPr>
                <w:rFonts w:hint="eastAsia" w:hAnsi="宋体" w:eastAsia="宋体"/>
                <w:sz w:val="22"/>
                <w:szCs w:val="13"/>
                <w:highlight w:val="none"/>
                <w:lang w:val="en-US" w:eastAsia="zh-CN"/>
              </w:rPr>
            </w:pPr>
            <w:r>
              <w:rPr>
                <w:rFonts w:hint="eastAsia" w:hAnsi="宋体"/>
                <w:sz w:val="22"/>
                <w:szCs w:val="13"/>
                <w:highlight w:val="none"/>
                <w:lang w:val="en-US" w:eastAsia="zh-CN"/>
              </w:rPr>
              <w:t>1</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80000</w:t>
            </w:r>
          </w:p>
        </w:tc>
        <w:tc>
          <w:tcPr>
            <w:tcW w:w="1417" w:type="dxa"/>
            <w:vAlign w:val="center"/>
          </w:tcPr>
          <w:p>
            <w:pPr>
              <w:jc w:val="center"/>
              <w:rPr>
                <w:rFonts w:hint="eastAsia" w:hAnsi="宋体"/>
                <w:sz w:val="22"/>
                <w:szCs w:val="13"/>
                <w:highlight w:val="yellow"/>
              </w:rPr>
            </w:pPr>
          </w:p>
        </w:tc>
        <w:tc>
          <w:tcPr>
            <w:tcW w:w="1633" w:type="dxa"/>
            <w:vMerge w:val="continue"/>
            <w:vAlign w:val="center"/>
          </w:tcPr>
          <w:p>
            <w:pPr>
              <w:jc w:val="center"/>
              <w:rPr>
                <w:rFonts w:hint="eastAsia" w:hAnsi="宋体"/>
                <w:sz w:val="22"/>
                <w:szCs w:val="13"/>
                <w:highlight w:val="yellow"/>
              </w:rPr>
            </w:pPr>
          </w:p>
        </w:tc>
        <w:tc>
          <w:tcPr>
            <w:tcW w:w="1003" w:type="dxa"/>
            <w:vMerge w:val="continue"/>
            <w:vAlign w:val="center"/>
          </w:tcPr>
          <w:p>
            <w:pPr>
              <w:jc w:val="center"/>
              <w:rPr>
                <w:rFonts w:hint="eastAsia" w:hAnsi="宋体"/>
                <w:sz w:val="22"/>
                <w:szCs w:val="13"/>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72" w:type="dxa"/>
            <w:vAlign w:val="center"/>
          </w:tcPr>
          <w:p>
            <w:pPr>
              <w:jc w:val="center"/>
              <w:rPr>
                <w:rFonts w:hAnsi="宋体"/>
                <w:sz w:val="22"/>
                <w:szCs w:val="13"/>
                <w:highlight w:val="none"/>
              </w:rPr>
            </w:pPr>
            <w:r>
              <w:rPr>
                <w:rFonts w:hint="eastAsia" w:hAnsi="宋体"/>
                <w:sz w:val="22"/>
                <w:szCs w:val="13"/>
                <w:highlight w:val="none"/>
              </w:rPr>
              <w:t>6</w:t>
            </w:r>
          </w:p>
        </w:tc>
        <w:tc>
          <w:tcPr>
            <w:tcW w:w="6320" w:type="dxa"/>
            <w:gridSpan w:val="3"/>
            <w:vAlign w:val="center"/>
          </w:tcPr>
          <w:p>
            <w:pPr>
              <w:jc w:val="center"/>
              <w:rPr>
                <w:rFonts w:hAnsi="宋体"/>
                <w:sz w:val="22"/>
                <w:szCs w:val="13"/>
                <w:highlight w:val="none"/>
              </w:rPr>
            </w:pPr>
            <w:r>
              <w:rPr>
                <w:rFonts w:hint="eastAsia" w:hAnsi="宋体"/>
                <w:sz w:val="22"/>
                <w:szCs w:val="13"/>
                <w:highlight w:val="none"/>
              </w:rPr>
              <w:t>130座机埠“以电折水”率定</w:t>
            </w:r>
          </w:p>
        </w:tc>
        <w:tc>
          <w:tcPr>
            <w:tcW w:w="1033" w:type="dxa"/>
            <w:vAlign w:val="center"/>
          </w:tcPr>
          <w:p>
            <w:pPr>
              <w:jc w:val="center"/>
              <w:rPr>
                <w:rFonts w:hint="eastAsia" w:hAnsi="宋体" w:eastAsia="宋体"/>
                <w:sz w:val="22"/>
                <w:szCs w:val="13"/>
                <w:highlight w:val="none"/>
                <w:lang w:eastAsia="zh-CN"/>
              </w:rPr>
            </w:pPr>
            <w:r>
              <w:rPr>
                <w:rFonts w:hint="eastAsia" w:hAnsi="宋体"/>
                <w:sz w:val="22"/>
                <w:szCs w:val="13"/>
                <w:highlight w:val="none"/>
                <w:lang w:eastAsia="zh-CN"/>
              </w:rPr>
              <w:t>座</w:t>
            </w:r>
          </w:p>
        </w:tc>
        <w:tc>
          <w:tcPr>
            <w:tcW w:w="941"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130</w:t>
            </w:r>
          </w:p>
        </w:tc>
        <w:tc>
          <w:tcPr>
            <w:tcW w:w="1716" w:type="dxa"/>
            <w:vAlign w:val="center"/>
          </w:tcPr>
          <w:p>
            <w:pPr>
              <w:jc w:val="center"/>
              <w:rPr>
                <w:rFonts w:hint="default" w:hAnsi="宋体" w:eastAsia="宋体"/>
                <w:sz w:val="22"/>
                <w:szCs w:val="13"/>
                <w:highlight w:val="none"/>
                <w:lang w:val="en-US" w:eastAsia="zh-CN"/>
              </w:rPr>
            </w:pPr>
            <w:r>
              <w:rPr>
                <w:rFonts w:hint="eastAsia" w:hAnsi="宋体"/>
                <w:sz w:val="22"/>
                <w:szCs w:val="13"/>
                <w:highlight w:val="none"/>
                <w:lang w:val="en-US" w:eastAsia="zh-CN"/>
              </w:rPr>
              <w:t>1300</w:t>
            </w:r>
          </w:p>
        </w:tc>
        <w:tc>
          <w:tcPr>
            <w:tcW w:w="1417" w:type="dxa"/>
            <w:vAlign w:val="center"/>
          </w:tcPr>
          <w:p>
            <w:pPr>
              <w:jc w:val="center"/>
              <w:rPr>
                <w:rFonts w:hAnsi="宋体"/>
                <w:sz w:val="22"/>
                <w:szCs w:val="13"/>
                <w:highlight w:val="none"/>
              </w:rPr>
            </w:pPr>
          </w:p>
        </w:tc>
        <w:tc>
          <w:tcPr>
            <w:tcW w:w="1633" w:type="dxa"/>
            <w:vAlign w:val="center"/>
          </w:tcPr>
          <w:p>
            <w:pPr>
              <w:jc w:val="center"/>
              <w:rPr>
                <w:rFonts w:hAnsi="宋体"/>
                <w:sz w:val="22"/>
                <w:szCs w:val="13"/>
                <w:highlight w:val="none"/>
              </w:rPr>
            </w:pPr>
          </w:p>
        </w:tc>
        <w:tc>
          <w:tcPr>
            <w:tcW w:w="1003" w:type="dxa"/>
            <w:vAlign w:val="center"/>
          </w:tcPr>
          <w:p>
            <w:pPr>
              <w:rPr>
                <w:rFonts w:hAnsi="宋体"/>
                <w:sz w:val="22"/>
                <w:szCs w:val="13"/>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992" w:type="dxa"/>
            <w:gridSpan w:val="4"/>
            <w:vAlign w:val="center"/>
          </w:tcPr>
          <w:p>
            <w:pPr>
              <w:jc w:val="center"/>
              <w:rPr>
                <w:rFonts w:hAnsi="宋体"/>
                <w:sz w:val="22"/>
                <w:szCs w:val="13"/>
                <w:highlight w:val="none"/>
              </w:rPr>
            </w:pPr>
            <w:r>
              <w:rPr>
                <w:rFonts w:hint="eastAsia" w:hAnsi="宋体"/>
                <w:sz w:val="22"/>
                <w:szCs w:val="13"/>
                <w:highlight w:val="none"/>
              </w:rPr>
              <w:t>合   计（元）</w:t>
            </w:r>
          </w:p>
        </w:tc>
        <w:tc>
          <w:tcPr>
            <w:tcW w:w="7743" w:type="dxa"/>
            <w:gridSpan w:val="6"/>
            <w:vAlign w:val="center"/>
          </w:tcPr>
          <w:p>
            <w:pPr>
              <w:jc w:val="center"/>
              <w:rPr>
                <w:rFonts w:hAnsi="宋体"/>
                <w:sz w:val="22"/>
                <w:szCs w:val="13"/>
                <w:highlight w:val="none"/>
              </w:rPr>
            </w:pPr>
            <w:r>
              <w:rPr>
                <w:rFonts w:hint="eastAsia" w:hAnsi="宋体"/>
                <w:sz w:val="22"/>
                <w:szCs w:val="13"/>
                <w:highlight w:val="none"/>
              </w:rPr>
              <w:t>人民币</w:t>
            </w:r>
            <w:r>
              <w:rPr>
                <w:rFonts w:hint="eastAsia" w:hAnsi="宋体"/>
                <w:sz w:val="22"/>
                <w:szCs w:val="13"/>
                <w:highlight w:val="none"/>
                <w:u w:val="single"/>
              </w:rPr>
              <w:t xml:space="preserve">                        </w:t>
            </w:r>
            <w:r>
              <w:rPr>
                <w:rFonts w:hint="eastAsia" w:hAnsi="宋体"/>
                <w:sz w:val="22"/>
                <w:szCs w:val="13"/>
                <w:highlight w:val="none"/>
              </w:rPr>
              <w:t>元整（</w:t>
            </w:r>
            <w:r>
              <w:rPr>
                <w:rFonts w:ascii="Arial" w:hAnsi="Arial" w:cs="Arial"/>
                <w:sz w:val="22"/>
                <w:szCs w:val="13"/>
                <w:highlight w:val="none"/>
              </w:rPr>
              <w:t>¥</w:t>
            </w:r>
            <w:r>
              <w:rPr>
                <w:rFonts w:hint="eastAsia" w:ascii="Arial" w:hAnsi="Arial" w:cs="Arial"/>
                <w:sz w:val="22"/>
                <w:szCs w:val="13"/>
                <w:highlight w:val="none"/>
              </w:rPr>
              <w:t xml:space="preserve">：         </w:t>
            </w:r>
            <w:r>
              <w:rPr>
                <w:rFonts w:hint="eastAsia" w:hAnsi="宋体"/>
                <w:sz w:val="22"/>
                <w:szCs w:val="13"/>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1755" w:type="dxa"/>
            <w:gridSpan w:val="2"/>
            <w:vAlign w:val="center"/>
          </w:tcPr>
          <w:p>
            <w:pPr>
              <w:ind w:firstLine="480"/>
              <w:jc w:val="center"/>
              <w:rPr>
                <w:rFonts w:hint="eastAsia" w:hAnsi="宋体"/>
                <w:b/>
                <w:bCs/>
                <w:sz w:val="22"/>
                <w:szCs w:val="13"/>
                <w:highlight w:val="none"/>
              </w:rPr>
            </w:pPr>
          </w:p>
        </w:tc>
        <w:tc>
          <w:tcPr>
            <w:tcW w:w="12980" w:type="dxa"/>
            <w:gridSpan w:val="8"/>
            <w:vAlign w:val="center"/>
          </w:tcPr>
          <w:p>
            <w:pPr>
              <w:ind w:firstLine="480"/>
              <w:jc w:val="center"/>
              <w:rPr>
                <w:rFonts w:hAnsi="宋体"/>
                <w:sz w:val="22"/>
                <w:szCs w:val="13"/>
                <w:highlight w:val="none"/>
              </w:rPr>
            </w:pPr>
            <w:r>
              <w:rPr>
                <w:rFonts w:hint="eastAsia" w:hAnsi="宋体"/>
                <w:b/>
                <w:bCs/>
                <w:sz w:val="22"/>
                <w:szCs w:val="13"/>
                <w:highlight w:val="none"/>
              </w:rPr>
              <w:t>本表转至</w:t>
            </w:r>
            <w:r>
              <w:rPr>
                <w:rFonts w:hint="eastAsia" w:hAnsi="宋体"/>
                <w:b/>
                <w:bCs/>
                <w:sz w:val="22"/>
                <w:szCs w:val="13"/>
                <w:highlight w:val="none"/>
                <w:lang w:eastAsia="zh-CN"/>
              </w:rPr>
              <w:t>温岭市2024年度农业水价综合改革技术支撑</w:t>
            </w:r>
            <w:r>
              <w:rPr>
                <w:rFonts w:hAnsi="宋体"/>
                <w:b/>
                <w:bCs/>
                <w:sz w:val="22"/>
                <w:szCs w:val="13"/>
                <w:highlight w:val="none"/>
              </w:rPr>
              <w:t>项目</w:t>
            </w:r>
            <w:r>
              <w:rPr>
                <w:rFonts w:hint="eastAsia" w:hAnsi="宋体"/>
                <w:b/>
                <w:bCs/>
                <w:sz w:val="22"/>
                <w:szCs w:val="13"/>
                <w:highlight w:val="none"/>
              </w:rPr>
              <w:t>开标一览表</w:t>
            </w:r>
          </w:p>
        </w:tc>
      </w:tr>
    </w:tbl>
    <w:p>
      <w:pPr>
        <w:jc w:val="center"/>
        <w:rPr>
          <w:rFonts w:hAnsi="宋体"/>
          <w:b/>
          <w:bCs/>
          <w:sz w:val="36"/>
          <w:highlight w:val="none"/>
        </w:rPr>
      </w:pPr>
      <w:r>
        <w:rPr>
          <w:rFonts w:hint="eastAsia" w:hAnsi="宋体"/>
          <w:b/>
          <w:bCs/>
          <w:sz w:val="36"/>
          <w:highlight w:val="none"/>
        </w:rPr>
        <w:t>投标报价明细表</w:t>
      </w:r>
    </w:p>
    <w:p>
      <w:pPr>
        <w:spacing w:line="440" w:lineRule="exact"/>
        <w:rPr>
          <w:rFonts w:hAnsi="宋体"/>
          <w:sz w:val="22"/>
          <w:szCs w:val="13"/>
          <w:highlight w:val="none"/>
        </w:rPr>
      </w:pPr>
    </w:p>
    <w:p>
      <w:pPr>
        <w:spacing w:line="440" w:lineRule="exact"/>
        <w:ind w:firstLine="9240" w:firstLineChars="4200"/>
        <w:rPr>
          <w:rFonts w:hAnsi="宋体"/>
          <w:szCs w:val="11"/>
          <w:highlight w:val="none"/>
        </w:rPr>
      </w:pPr>
      <w:r>
        <w:rPr>
          <w:rFonts w:hAnsi="宋体"/>
          <w:sz w:val="22"/>
          <w:szCs w:val="13"/>
          <w:highlight w:val="none"/>
        </w:rPr>
        <w:t>投</w:t>
      </w:r>
      <w:r>
        <w:rPr>
          <w:rFonts w:hAnsi="宋体"/>
          <w:szCs w:val="11"/>
          <w:highlight w:val="none"/>
        </w:rPr>
        <w:t>标人（盖章）</w:t>
      </w:r>
      <w:r>
        <w:rPr>
          <w:rFonts w:hint="eastAsia" w:hAnsi="宋体"/>
          <w:szCs w:val="11"/>
          <w:highlight w:val="none"/>
        </w:rPr>
        <w:t>：</w:t>
      </w:r>
    </w:p>
    <w:p>
      <w:pPr>
        <w:spacing w:line="440" w:lineRule="exact"/>
        <w:ind w:firstLine="8820" w:firstLineChars="4200"/>
        <w:rPr>
          <w:rFonts w:hAnsi="宋体"/>
          <w:szCs w:val="11"/>
          <w:highlight w:val="none"/>
        </w:rPr>
      </w:pPr>
      <w:r>
        <w:rPr>
          <w:rFonts w:hAnsi="宋体"/>
          <w:szCs w:val="11"/>
          <w:highlight w:val="none"/>
        </w:rPr>
        <w:t>法定代表人或委托代理人：（</w:t>
      </w:r>
      <w:r>
        <w:rPr>
          <w:rFonts w:hint="eastAsia" w:hAnsi="宋体"/>
          <w:szCs w:val="11"/>
          <w:highlight w:val="none"/>
        </w:rPr>
        <w:t>签章或</w:t>
      </w:r>
      <w:r>
        <w:rPr>
          <w:rFonts w:hAnsi="宋体"/>
          <w:szCs w:val="11"/>
          <w:highlight w:val="none"/>
        </w:rPr>
        <w:t>签字）</w:t>
      </w:r>
    </w:p>
    <w:p>
      <w:pPr>
        <w:spacing w:line="440" w:lineRule="exact"/>
        <w:ind w:firstLine="8820" w:firstLineChars="4200"/>
        <w:rPr>
          <w:szCs w:val="11"/>
          <w:highlight w:val="none"/>
        </w:rPr>
      </w:pPr>
      <w:r>
        <w:rPr>
          <w:rFonts w:hint="eastAsia" w:hAnsi="宋体"/>
          <w:szCs w:val="11"/>
          <w:highlight w:val="none"/>
        </w:rPr>
        <w:t xml:space="preserve">     </w:t>
      </w:r>
      <w:r>
        <w:rPr>
          <w:rFonts w:hAnsi="宋体"/>
          <w:szCs w:val="11"/>
          <w:highlight w:val="none"/>
        </w:rPr>
        <w:t>年  月  日</w:t>
      </w:r>
    </w:p>
    <w:p>
      <w:pPr>
        <w:spacing w:line="380" w:lineRule="exact"/>
        <w:rPr>
          <w:sz w:val="18"/>
          <w:szCs w:val="18"/>
          <w:highlight w:val="none"/>
        </w:rPr>
      </w:pPr>
      <w:r>
        <w:rPr>
          <w:rFonts w:hint="eastAsia" w:hAnsi="宋体"/>
          <w:sz w:val="18"/>
          <w:szCs w:val="18"/>
          <w:highlight w:val="none"/>
        </w:rPr>
        <w:t xml:space="preserve">       </w:t>
      </w:r>
      <w:r>
        <w:rPr>
          <w:rFonts w:hint="eastAsia"/>
          <w:sz w:val="18"/>
          <w:szCs w:val="18"/>
          <w:highlight w:val="none"/>
        </w:rPr>
        <w:t xml:space="preserve">  （1）此表不得自行增减内</w:t>
      </w:r>
      <w:r>
        <w:rPr>
          <w:rFonts w:hint="eastAsia"/>
          <w:sz w:val="18"/>
          <w:szCs w:val="18"/>
          <w:highlight w:val="none"/>
          <w:u w:val="none"/>
        </w:rPr>
        <w:t>容。</w:t>
      </w:r>
    </w:p>
    <w:p>
      <w:pPr>
        <w:spacing w:line="380" w:lineRule="exact"/>
        <w:rPr>
          <w:sz w:val="18"/>
          <w:szCs w:val="18"/>
          <w:highlight w:val="none"/>
        </w:rPr>
        <w:sectPr>
          <w:footerReference r:id="rId14" w:type="first"/>
          <w:footerReference r:id="rId13" w:type="default"/>
          <w:pgSz w:w="16838" w:h="11906" w:orient="landscape"/>
          <w:pgMar w:top="1361" w:right="1247" w:bottom="1361" w:left="1247" w:header="851" w:footer="992" w:gutter="0"/>
          <w:pgNumType w:fmt="decimal" w:start="61"/>
          <w:cols w:space="720" w:num="1"/>
          <w:titlePg/>
          <w:docGrid w:type="lines" w:linePitch="312" w:charSpace="0"/>
        </w:sectPr>
      </w:pPr>
      <w:r>
        <w:rPr>
          <w:rFonts w:hint="eastAsia"/>
          <w:sz w:val="18"/>
          <w:szCs w:val="18"/>
          <w:highlight w:val="none"/>
        </w:rPr>
        <w:t xml:space="preserve">         （2）“合计”应与附件2《开标一览表》中“投标报价”相一致。</w:t>
      </w:r>
    </w:p>
    <w:p>
      <w:pPr>
        <w:pStyle w:val="72"/>
        <w:widowControl w:val="0"/>
        <w:snapToGrid w:val="0"/>
        <w:spacing w:line="500" w:lineRule="exact"/>
        <w:rPr>
          <w:rFonts w:ascii="方正小标宋简体" w:hAnsi="方正小标宋简体" w:eastAsia="方正小标宋简体" w:cs="方正小标宋简体"/>
          <w:color w:val="000000"/>
          <w:sz w:val="20"/>
          <w:highlight w:val="none"/>
        </w:rPr>
      </w:pPr>
      <w:r>
        <w:rPr>
          <w:rFonts w:hint="eastAsia" w:ascii="方正小标宋简体" w:hAnsi="方正小标宋简体" w:eastAsia="方正小标宋简体" w:cs="方正小标宋简体"/>
          <w:color w:val="000000"/>
          <w:sz w:val="20"/>
          <w:highlight w:val="none"/>
        </w:rPr>
        <w:t>附件：政府采购活动现场确认声明书</w:t>
      </w:r>
    </w:p>
    <w:p>
      <w:pPr>
        <w:pStyle w:val="72"/>
        <w:widowControl w:val="0"/>
        <w:snapToGrid w:val="0"/>
        <w:spacing w:line="500" w:lineRule="exact"/>
        <w:jc w:val="center"/>
        <w:rPr>
          <w:rFonts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政府采购活动现场确认声明书</w:t>
      </w:r>
    </w:p>
    <w:p>
      <w:pPr>
        <w:pStyle w:val="72"/>
        <w:widowControl w:val="0"/>
        <w:snapToGrid w:val="0"/>
        <w:spacing w:line="400" w:lineRule="exact"/>
        <w:jc w:val="both"/>
        <w:rPr>
          <w:rFonts w:ascii="仿宋" w:eastAsia="仿宋"/>
          <w:b/>
          <w:color w:val="000000"/>
          <w:sz w:val="28"/>
          <w:szCs w:val="21"/>
          <w:highlight w:val="none"/>
        </w:rPr>
      </w:pPr>
      <w:r>
        <w:rPr>
          <w:rFonts w:ascii="仿宋" w:hAnsi="仿宋"/>
          <w:color w:val="000000"/>
          <w:kern w:val="0"/>
          <w:sz w:val="28"/>
          <w:highlight w:val="none"/>
        </w:rPr>
        <w:t xml:space="preserve"> </w:t>
      </w:r>
      <w:r>
        <w:rPr>
          <w:rFonts w:hint="eastAsia" w:ascii="仿宋" w:hAnsi="仿宋"/>
          <w:color w:val="000000"/>
          <w:kern w:val="0"/>
          <w:sz w:val="28"/>
          <w:highlight w:val="none"/>
          <w:u w:val="single"/>
        </w:rPr>
        <w:t>建经投资咨询有限公司</w:t>
      </w:r>
      <w:r>
        <w:rPr>
          <w:rFonts w:ascii="仿宋" w:hAnsi="仿宋"/>
          <w:color w:val="000000"/>
          <w:kern w:val="0"/>
          <w:sz w:val="28"/>
          <w:highlight w:val="none"/>
          <w:u w:val="single"/>
        </w:rPr>
        <w:t xml:space="preserve"> </w:t>
      </w:r>
      <w:r>
        <w:rPr>
          <w:rFonts w:hint="eastAsia" w:ascii="仿宋" w:hAnsi="仿宋"/>
          <w:color w:val="000000"/>
          <w:kern w:val="0"/>
          <w:sz w:val="28"/>
          <w:szCs w:val="21"/>
          <w:highlight w:val="none"/>
        </w:rPr>
        <w:t>：</w:t>
      </w:r>
    </w:p>
    <w:p>
      <w:pPr>
        <w:pStyle w:val="72"/>
        <w:widowControl w:val="0"/>
        <w:snapToGrid w:val="0"/>
        <w:spacing w:line="400" w:lineRule="exact"/>
        <w:ind w:firstLine="584" w:firstLineChars="200"/>
        <w:jc w:val="both"/>
        <w:rPr>
          <w:rFonts w:ascii="仿宋" w:eastAsia="仿宋"/>
          <w:color w:val="000000"/>
          <w:spacing w:val="6"/>
          <w:sz w:val="28"/>
          <w:szCs w:val="21"/>
          <w:highlight w:val="none"/>
        </w:rPr>
      </w:pPr>
      <w:r>
        <w:rPr>
          <w:rFonts w:hint="eastAsia" w:ascii="仿宋" w:hAnsi="仿宋"/>
          <w:color w:val="000000"/>
          <w:spacing w:val="6"/>
          <w:sz w:val="28"/>
          <w:szCs w:val="21"/>
          <w:highlight w:val="none"/>
        </w:rPr>
        <w:t>本人经由</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rPr>
        <w:t>（单位）</w:t>
      </w:r>
      <w:r>
        <w:rPr>
          <w:rFonts w:hint="eastAsia" w:ascii="仿宋" w:hAnsi="仿宋"/>
          <w:color w:val="000000"/>
          <w:spacing w:val="6"/>
          <w:sz w:val="28"/>
          <w:szCs w:val="21"/>
          <w:highlight w:val="none"/>
        </w:rPr>
        <w:t>法人代表（负责人）</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rPr>
        <w:t>（姓名）</w:t>
      </w:r>
      <w:r>
        <w:rPr>
          <w:rFonts w:hint="eastAsia" w:ascii="仿宋" w:hAnsi="仿宋"/>
          <w:color w:val="000000"/>
          <w:spacing w:val="6"/>
          <w:sz w:val="28"/>
          <w:szCs w:val="21"/>
          <w:highlight w:val="none"/>
        </w:rPr>
        <w:t>合法授权参加</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温岭市2024年度农业水价综合改革技术支撑</w:t>
      </w:r>
      <w:r>
        <w:rPr>
          <w:rFonts w:hint="eastAsia" w:ascii="仿宋" w:hAnsi="仿宋"/>
          <w:color w:val="000000"/>
          <w:spacing w:val="6"/>
          <w:sz w:val="28"/>
          <w:szCs w:val="21"/>
          <w:highlight w:val="none"/>
        </w:rPr>
        <w:t>项目（编号：</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JJWL240425122</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rPr>
        <w:t>）政府采购活动，经与本单位法人代表（负责人）联系确认，现就有关公平竞争事项郑重声明如下：</w:t>
      </w:r>
      <w:r>
        <w:rPr>
          <w:rFonts w:ascii="仿宋" w:hAnsi="仿宋"/>
          <w:color w:val="000000"/>
          <w:spacing w:val="6"/>
          <w:sz w:val="28"/>
          <w:szCs w:val="21"/>
          <w:highlight w:val="none"/>
        </w:rPr>
        <w:t xml:space="preserve"> </w:t>
      </w:r>
    </w:p>
    <w:p>
      <w:pPr>
        <w:pStyle w:val="73"/>
        <w:widowControl/>
        <w:numPr>
          <w:ilvl w:val="0"/>
          <w:numId w:val="9"/>
        </w:numPr>
        <w:snapToGrid w:val="0"/>
        <w:spacing w:line="400" w:lineRule="exact"/>
        <w:ind w:firstLine="529" w:firstLineChars="189"/>
        <w:rPr>
          <w:rFonts w:ascii="仿宋" w:eastAsia="仿宋"/>
          <w:color w:val="000000"/>
          <w:kern w:val="0"/>
          <w:sz w:val="28"/>
          <w:szCs w:val="21"/>
          <w:highlight w:val="none"/>
        </w:rPr>
      </w:pPr>
      <w:r>
        <w:rPr>
          <w:rFonts w:hint="eastAsia" w:ascii="仿宋" w:hAnsi="仿宋"/>
          <w:color w:val="000000"/>
          <w:kern w:val="0"/>
          <w:sz w:val="28"/>
          <w:szCs w:val="21"/>
          <w:highlight w:val="none"/>
        </w:rPr>
        <w:t>本单位与采购人之间</w:t>
      </w:r>
      <w:r>
        <w:rPr>
          <w:rFonts w:ascii="仿宋" w:hAnsi="仿宋"/>
          <w:color w:val="000000"/>
          <w:kern w:val="0"/>
          <w:sz w:val="28"/>
          <w:szCs w:val="21"/>
          <w:highlight w:val="none"/>
        </w:rPr>
        <w:t xml:space="preserve"> </w:t>
      </w:r>
      <w:r>
        <w:rPr>
          <w:rFonts w:hint="eastAsia" w:ascii="宋体" w:hAnsi="宋体" w:cs="宋体"/>
          <w:color w:val="000000"/>
          <w:kern w:val="0"/>
          <w:sz w:val="28"/>
          <w:szCs w:val="21"/>
          <w:highlight w:val="none"/>
        </w:rPr>
        <w:t>□</w:t>
      </w:r>
      <w:r>
        <w:rPr>
          <w:rFonts w:hint="eastAsia" w:ascii="仿宋" w:hAnsi="仿宋"/>
          <w:color w:val="000000"/>
          <w:kern w:val="0"/>
          <w:sz w:val="28"/>
          <w:szCs w:val="21"/>
          <w:highlight w:val="none"/>
        </w:rPr>
        <w:t>不存在利害关系</w:t>
      </w:r>
      <w:r>
        <w:rPr>
          <w:rFonts w:ascii="仿宋" w:hAnsi="仿宋"/>
          <w:color w:val="000000"/>
          <w:kern w:val="0"/>
          <w:sz w:val="28"/>
          <w:szCs w:val="21"/>
          <w:highlight w:val="none"/>
        </w:rPr>
        <w:t xml:space="preserve"> </w:t>
      </w:r>
      <w:r>
        <w:rPr>
          <w:rFonts w:hint="eastAsia" w:ascii="宋体" w:hAnsi="宋体" w:cs="宋体"/>
          <w:color w:val="000000"/>
          <w:kern w:val="0"/>
          <w:sz w:val="28"/>
          <w:szCs w:val="21"/>
          <w:highlight w:val="none"/>
        </w:rPr>
        <w:t>□</w:t>
      </w:r>
      <w:r>
        <w:rPr>
          <w:rFonts w:hint="eastAsia"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hint="eastAsia" w:ascii="仿宋" w:hAnsi="仿宋"/>
          <w:color w:val="000000"/>
          <w:kern w:val="0"/>
          <w:sz w:val="28"/>
          <w:szCs w:val="21"/>
          <w:highlight w:val="none"/>
        </w:rPr>
        <w:t>：</w:t>
      </w:r>
    </w:p>
    <w:p>
      <w:pPr>
        <w:pStyle w:val="73"/>
        <w:widowControl/>
        <w:snapToGrid w:val="0"/>
        <w:spacing w:line="400" w:lineRule="exact"/>
        <w:rPr>
          <w:rFonts w:ascii="仿宋" w:eastAsia="仿宋"/>
          <w:color w:val="000000"/>
          <w:kern w:val="0"/>
          <w:sz w:val="28"/>
          <w:szCs w:val="21"/>
          <w:highlight w:val="none"/>
        </w:rPr>
      </w:pPr>
      <w:r>
        <w:rPr>
          <w:rFonts w:ascii="仿宋" w:hAnsi="仿宋"/>
          <w:color w:val="000000"/>
          <w:kern w:val="0"/>
          <w:sz w:val="28"/>
          <w:szCs w:val="21"/>
          <w:highlight w:val="none"/>
        </w:rPr>
        <w:t xml:space="preserve">  A.</w:t>
      </w:r>
      <w:r>
        <w:rPr>
          <w:rFonts w:hint="eastAsia" w:ascii="仿宋" w:hAnsi="仿宋"/>
          <w:color w:val="000000"/>
          <w:kern w:val="0"/>
          <w:sz w:val="28"/>
          <w:szCs w:val="21"/>
          <w:highlight w:val="none"/>
        </w:rPr>
        <w:t>投资关系</w:t>
      </w:r>
      <w:r>
        <w:rPr>
          <w:rFonts w:ascii="仿宋" w:hAnsi="仿宋"/>
          <w:color w:val="000000"/>
          <w:kern w:val="0"/>
          <w:sz w:val="28"/>
          <w:szCs w:val="21"/>
          <w:highlight w:val="none"/>
        </w:rPr>
        <w:t xml:space="preserve">    B.</w:t>
      </w:r>
      <w:r>
        <w:rPr>
          <w:rFonts w:hint="eastAsia" w:ascii="仿宋" w:hAnsi="仿宋"/>
          <w:color w:val="000000"/>
          <w:kern w:val="0"/>
          <w:sz w:val="28"/>
          <w:szCs w:val="21"/>
          <w:highlight w:val="none"/>
        </w:rPr>
        <w:t>行政隶属关系</w:t>
      </w:r>
      <w:r>
        <w:rPr>
          <w:rFonts w:ascii="仿宋" w:hAnsi="仿宋"/>
          <w:color w:val="000000"/>
          <w:kern w:val="0"/>
          <w:sz w:val="28"/>
          <w:szCs w:val="21"/>
          <w:highlight w:val="none"/>
        </w:rPr>
        <w:t xml:space="preserve">    C.</w:t>
      </w:r>
      <w:r>
        <w:rPr>
          <w:rFonts w:hint="eastAsia" w:ascii="仿宋" w:hAnsi="仿宋"/>
          <w:color w:val="000000"/>
          <w:kern w:val="0"/>
          <w:sz w:val="28"/>
          <w:szCs w:val="21"/>
          <w:highlight w:val="none"/>
        </w:rPr>
        <w:t>业务指导关系</w:t>
      </w:r>
    </w:p>
    <w:p>
      <w:pPr>
        <w:pStyle w:val="73"/>
        <w:widowControl/>
        <w:snapToGrid w:val="0"/>
        <w:spacing w:line="400" w:lineRule="exact"/>
        <w:rPr>
          <w:rFonts w:ascii="仿宋" w:eastAsia="仿宋"/>
          <w:color w:val="000000"/>
          <w:kern w:val="0"/>
          <w:sz w:val="28"/>
          <w:szCs w:val="21"/>
          <w:highlight w:val="none"/>
        </w:rPr>
      </w:pPr>
      <w:r>
        <w:rPr>
          <w:rFonts w:ascii="仿宋" w:hAnsi="仿宋"/>
          <w:color w:val="000000"/>
          <w:kern w:val="0"/>
          <w:sz w:val="28"/>
          <w:szCs w:val="21"/>
          <w:highlight w:val="none"/>
        </w:rPr>
        <w:t xml:space="preserve">  D.</w:t>
      </w:r>
      <w:r>
        <w:rPr>
          <w:rFonts w:hint="eastAsia" w:ascii="仿宋" w:hAnsi="仿宋"/>
          <w:color w:val="000000"/>
          <w:kern w:val="0"/>
          <w:sz w:val="28"/>
          <w:szCs w:val="21"/>
          <w:highlight w:val="none"/>
        </w:rPr>
        <w:t>其他可能</w:t>
      </w:r>
      <w:r>
        <w:rPr>
          <w:rFonts w:hint="eastAsia" w:ascii="仿宋" w:hAnsi="仿宋"/>
          <w:color w:val="000000"/>
          <w:sz w:val="28"/>
          <w:szCs w:val="21"/>
          <w:highlight w:val="none"/>
        </w:rPr>
        <w:t>影响采购公正的</w:t>
      </w:r>
      <w:r>
        <w:rPr>
          <w:rFonts w:hint="eastAsia" w:ascii="仿宋" w:hAnsi="仿宋"/>
          <w:color w:val="000000"/>
          <w:kern w:val="0"/>
          <w:sz w:val="28"/>
          <w:szCs w:val="21"/>
          <w:highlight w:val="none"/>
        </w:rPr>
        <w:t>利害关系</w:t>
      </w:r>
      <w:r>
        <w:rPr>
          <w:rFonts w:hint="eastAsia" w:ascii="仿宋" w:hAnsi="仿宋"/>
          <w:color w:val="000000"/>
          <w:kern w:val="0"/>
          <w:sz w:val="28"/>
          <w:szCs w:val="21"/>
          <w:highlight w:val="none"/>
          <w:u w:val="single"/>
        </w:rPr>
        <w:t>（如有，请如实说明）</w:t>
      </w:r>
      <w:r>
        <w:rPr>
          <w:rFonts w:ascii="仿宋" w:hAnsi="仿宋"/>
          <w:color w:val="000000"/>
          <w:kern w:val="0"/>
          <w:sz w:val="28"/>
          <w:szCs w:val="21"/>
          <w:highlight w:val="none"/>
          <w:u w:val="single"/>
        </w:rPr>
        <w:t xml:space="preserve">                 </w:t>
      </w:r>
      <w:r>
        <w:rPr>
          <w:rFonts w:hint="eastAsia" w:ascii="仿宋" w:hAnsi="仿宋"/>
          <w:color w:val="000000"/>
          <w:kern w:val="0"/>
          <w:sz w:val="28"/>
          <w:szCs w:val="21"/>
          <w:highlight w:val="none"/>
        </w:rPr>
        <w:t>。</w:t>
      </w:r>
    </w:p>
    <w:p>
      <w:pPr>
        <w:pStyle w:val="73"/>
        <w:widowControl/>
        <w:snapToGrid w:val="0"/>
        <w:spacing w:line="400" w:lineRule="exact"/>
        <w:rPr>
          <w:rFonts w:ascii="仿宋" w:eastAsia="仿宋"/>
          <w:color w:val="000000"/>
          <w:kern w:val="0"/>
          <w:sz w:val="28"/>
          <w:szCs w:val="21"/>
          <w:highlight w:val="none"/>
        </w:rPr>
      </w:pPr>
      <w:r>
        <w:rPr>
          <w:rFonts w:ascii="仿宋" w:hAnsi="仿宋"/>
          <w:color w:val="000000"/>
          <w:spacing w:val="6"/>
          <w:sz w:val="28"/>
          <w:szCs w:val="21"/>
          <w:highlight w:val="none"/>
        </w:rPr>
        <w:t xml:space="preserve">  </w:t>
      </w:r>
      <w:r>
        <w:rPr>
          <w:rFonts w:hint="eastAsia" w:ascii="仿宋" w:hAnsi="仿宋"/>
          <w:color w:val="000000"/>
          <w:spacing w:val="6"/>
          <w:sz w:val="28"/>
          <w:szCs w:val="21"/>
          <w:highlight w:val="none"/>
        </w:rPr>
        <w:t>二、</w:t>
      </w:r>
      <w:r>
        <w:rPr>
          <w:rFonts w:hint="eastAsia" w:ascii="仿宋" w:hAnsi="仿宋"/>
          <w:color w:val="000000"/>
          <w:kern w:val="0"/>
          <w:sz w:val="28"/>
          <w:szCs w:val="21"/>
          <w:highlight w:val="none"/>
        </w:rPr>
        <w:t>现已清楚知道参加本项目采购活动的其他所有供应商名称，本单位</w:t>
      </w:r>
      <w:r>
        <w:rPr>
          <w:rFonts w:ascii="仿宋" w:hAnsi="仿宋"/>
          <w:color w:val="000000"/>
          <w:kern w:val="0"/>
          <w:sz w:val="28"/>
          <w:szCs w:val="21"/>
          <w:highlight w:val="none"/>
        </w:rPr>
        <w:t xml:space="preserve"> </w:t>
      </w:r>
      <w:r>
        <w:rPr>
          <w:rFonts w:hint="eastAsia" w:ascii="宋体" w:hAnsi="宋体" w:cs="宋体"/>
          <w:color w:val="000000"/>
          <w:kern w:val="0"/>
          <w:sz w:val="28"/>
          <w:szCs w:val="21"/>
          <w:highlight w:val="none"/>
        </w:rPr>
        <w:t>□与其他所有供应商之间均</w:t>
      </w:r>
      <w:r>
        <w:rPr>
          <w:rFonts w:hint="eastAsia" w:ascii="仿宋" w:hAnsi="仿宋"/>
          <w:color w:val="000000"/>
          <w:kern w:val="0"/>
          <w:sz w:val="28"/>
          <w:szCs w:val="21"/>
          <w:highlight w:val="none"/>
        </w:rPr>
        <w:t>不存在利害关系</w:t>
      </w:r>
      <w:r>
        <w:rPr>
          <w:rFonts w:ascii="仿宋" w:hAnsi="仿宋"/>
          <w:color w:val="000000"/>
          <w:kern w:val="0"/>
          <w:sz w:val="28"/>
          <w:szCs w:val="21"/>
          <w:highlight w:val="none"/>
        </w:rPr>
        <w:t xml:space="preserve"> </w:t>
      </w:r>
      <w:r>
        <w:rPr>
          <w:rFonts w:hint="eastAsia" w:ascii="宋体" w:hAnsi="宋体" w:cs="宋体"/>
          <w:color w:val="000000"/>
          <w:kern w:val="0"/>
          <w:sz w:val="28"/>
          <w:szCs w:val="21"/>
          <w:highlight w:val="none"/>
        </w:rPr>
        <w:t>□与</w:t>
      </w:r>
      <w:r>
        <w:rPr>
          <w:rFonts w:ascii="宋体" w:hAnsi="宋体" w:cs="宋体"/>
          <w:color w:val="000000"/>
          <w:kern w:val="0"/>
          <w:sz w:val="28"/>
          <w:szCs w:val="21"/>
          <w:highlight w:val="none"/>
          <w:u w:val="single"/>
        </w:rPr>
        <w:t xml:space="preserve">           </w:t>
      </w:r>
      <w:r>
        <w:rPr>
          <w:rFonts w:hint="eastAsia" w:ascii="宋体" w:hAnsi="宋体" w:cs="宋体"/>
          <w:color w:val="000000"/>
          <w:kern w:val="0"/>
          <w:sz w:val="28"/>
          <w:szCs w:val="21"/>
          <w:highlight w:val="none"/>
          <w:u w:val="single"/>
        </w:rPr>
        <w:t>（供应商名称）</w:t>
      </w:r>
      <w:r>
        <w:rPr>
          <w:rFonts w:hint="eastAsia" w:ascii="宋体" w:hAnsi="宋体" w:cs="宋体"/>
          <w:color w:val="000000"/>
          <w:kern w:val="0"/>
          <w:sz w:val="28"/>
          <w:szCs w:val="21"/>
          <w:highlight w:val="none"/>
        </w:rPr>
        <w:t>之间</w:t>
      </w:r>
      <w:r>
        <w:rPr>
          <w:rFonts w:hint="eastAsia"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hint="eastAsia" w:ascii="仿宋" w:hAnsi="仿宋"/>
          <w:color w:val="000000"/>
          <w:kern w:val="0"/>
          <w:sz w:val="28"/>
          <w:szCs w:val="21"/>
          <w:highlight w:val="none"/>
        </w:rPr>
        <w:t>：</w:t>
      </w:r>
    </w:p>
    <w:p>
      <w:pPr>
        <w:pStyle w:val="72"/>
        <w:widowControl w:val="0"/>
        <w:snapToGrid w:val="0"/>
        <w:spacing w:line="400" w:lineRule="exact"/>
        <w:jc w:val="both"/>
        <w:rPr>
          <w:rFonts w:ascii="仿宋" w:eastAsia="仿宋"/>
          <w:color w:val="000000"/>
          <w:kern w:val="0"/>
          <w:sz w:val="28"/>
          <w:szCs w:val="21"/>
          <w:highlight w:val="none"/>
        </w:rPr>
      </w:pPr>
      <w:r>
        <w:rPr>
          <w:rFonts w:ascii="仿宋" w:hAnsi="仿宋"/>
          <w:color w:val="000000"/>
          <w:kern w:val="0"/>
          <w:sz w:val="28"/>
          <w:szCs w:val="21"/>
          <w:highlight w:val="none"/>
        </w:rPr>
        <w:t xml:space="preserve">  A.</w:t>
      </w:r>
      <w:r>
        <w:rPr>
          <w:rFonts w:hint="eastAsia" w:ascii="仿宋" w:hAnsi="仿宋"/>
          <w:color w:val="000000"/>
          <w:kern w:val="0"/>
          <w:sz w:val="28"/>
          <w:szCs w:val="21"/>
          <w:highlight w:val="none"/>
        </w:rPr>
        <w:t>法定代表人或负责人或实际控制人是同一人；</w:t>
      </w:r>
    </w:p>
    <w:p>
      <w:pPr>
        <w:pStyle w:val="72"/>
        <w:widowControl w:val="0"/>
        <w:snapToGrid w:val="0"/>
        <w:spacing w:line="400" w:lineRule="exact"/>
        <w:jc w:val="both"/>
        <w:rPr>
          <w:rFonts w:ascii="仿宋" w:eastAsia="仿宋"/>
          <w:color w:val="000000"/>
          <w:spacing w:val="6"/>
          <w:sz w:val="28"/>
          <w:szCs w:val="21"/>
          <w:highlight w:val="none"/>
        </w:rPr>
      </w:pPr>
      <w:r>
        <w:rPr>
          <w:rFonts w:ascii="仿宋" w:hAnsi="仿宋"/>
          <w:color w:val="000000"/>
          <w:kern w:val="0"/>
          <w:sz w:val="28"/>
          <w:szCs w:val="21"/>
          <w:highlight w:val="none"/>
        </w:rPr>
        <w:t xml:space="preserve">  B.</w:t>
      </w:r>
      <w:r>
        <w:rPr>
          <w:rFonts w:hint="eastAsia" w:ascii="仿宋" w:hAnsi="仿宋"/>
          <w:color w:val="000000"/>
          <w:kern w:val="0"/>
          <w:sz w:val="28"/>
          <w:szCs w:val="21"/>
          <w:highlight w:val="none"/>
        </w:rPr>
        <w:t>法定代表人或负责人或实际控制人是夫妻关系；</w:t>
      </w:r>
    </w:p>
    <w:p>
      <w:pPr>
        <w:pStyle w:val="72"/>
        <w:widowControl w:val="0"/>
        <w:snapToGrid w:val="0"/>
        <w:spacing w:line="400" w:lineRule="exact"/>
        <w:jc w:val="both"/>
        <w:rPr>
          <w:rFonts w:ascii="仿宋" w:eastAsia="仿宋"/>
          <w:color w:val="000000"/>
          <w:spacing w:val="6"/>
          <w:sz w:val="28"/>
          <w:szCs w:val="21"/>
          <w:highlight w:val="none"/>
        </w:rPr>
      </w:pPr>
      <w:r>
        <w:rPr>
          <w:rFonts w:ascii="仿宋" w:hAnsi="仿宋"/>
          <w:color w:val="000000"/>
          <w:kern w:val="0"/>
          <w:sz w:val="28"/>
          <w:szCs w:val="21"/>
          <w:highlight w:val="none"/>
        </w:rPr>
        <w:t xml:space="preserve">  C.</w:t>
      </w:r>
      <w:r>
        <w:rPr>
          <w:rFonts w:hint="eastAsia" w:ascii="仿宋" w:hAnsi="仿宋"/>
          <w:color w:val="000000"/>
          <w:kern w:val="0"/>
          <w:sz w:val="28"/>
          <w:szCs w:val="21"/>
          <w:highlight w:val="none"/>
        </w:rPr>
        <w:t>法定代表人或负责人或实际控制人是直系血亲关系；</w:t>
      </w:r>
    </w:p>
    <w:p>
      <w:pPr>
        <w:pStyle w:val="72"/>
        <w:widowControl w:val="0"/>
        <w:snapToGrid w:val="0"/>
        <w:spacing w:line="400" w:lineRule="exact"/>
        <w:jc w:val="both"/>
        <w:rPr>
          <w:rFonts w:ascii="仿宋" w:eastAsia="仿宋"/>
          <w:color w:val="000000"/>
          <w:spacing w:val="6"/>
          <w:sz w:val="28"/>
          <w:szCs w:val="21"/>
          <w:highlight w:val="none"/>
        </w:rPr>
      </w:pPr>
      <w:r>
        <w:rPr>
          <w:rFonts w:ascii="仿宋" w:hAnsi="仿宋"/>
          <w:color w:val="000000"/>
          <w:kern w:val="0"/>
          <w:sz w:val="28"/>
          <w:szCs w:val="21"/>
          <w:highlight w:val="none"/>
        </w:rPr>
        <w:t xml:space="preserve">  D.</w:t>
      </w:r>
      <w:r>
        <w:rPr>
          <w:rFonts w:hint="eastAsia" w:ascii="仿宋" w:hAnsi="仿宋"/>
          <w:color w:val="000000"/>
          <w:kern w:val="0"/>
          <w:sz w:val="28"/>
          <w:szCs w:val="21"/>
          <w:highlight w:val="none"/>
        </w:rPr>
        <w:t>法定代表人或负责人或实际控制人存在三代以内旁系血亲关系；</w:t>
      </w:r>
    </w:p>
    <w:p>
      <w:pPr>
        <w:pStyle w:val="72"/>
        <w:widowControl w:val="0"/>
        <w:snapToGrid w:val="0"/>
        <w:spacing w:line="400" w:lineRule="exact"/>
        <w:jc w:val="both"/>
        <w:rPr>
          <w:rFonts w:ascii="仿宋" w:eastAsia="仿宋"/>
          <w:color w:val="000000"/>
          <w:kern w:val="0"/>
          <w:sz w:val="28"/>
          <w:szCs w:val="21"/>
          <w:highlight w:val="none"/>
        </w:rPr>
      </w:pPr>
      <w:r>
        <w:rPr>
          <w:rFonts w:ascii="仿宋" w:hAnsi="仿宋"/>
          <w:color w:val="000000"/>
          <w:kern w:val="0"/>
          <w:sz w:val="28"/>
          <w:szCs w:val="21"/>
          <w:highlight w:val="none"/>
        </w:rPr>
        <w:t xml:space="preserve">  E.</w:t>
      </w:r>
      <w:r>
        <w:rPr>
          <w:rFonts w:hint="eastAsia" w:ascii="仿宋" w:hAnsi="仿宋"/>
          <w:color w:val="000000"/>
          <w:kern w:val="0"/>
          <w:sz w:val="28"/>
          <w:szCs w:val="21"/>
          <w:highlight w:val="none"/>
        </w:rPr>
        <w:t>法定代表人或负责人或实际控制人存在近姻亲关系；</w:t>
      </w:r>
    </w:p>
    <w:p>
      <w:pPr>
        <w:pStyle w:val="72"/>
        <w:widowControl w:val="0"/>
        <w:snapToGrid w:val="0"/>
        <w:spacing w:line="400" w:lineRule="exact"/>
        <w:jc w:val="both"/>
        <w:rPr>
          <w:rFonts w:ascii="仿宋" w:eastAsia="仿宋"/>
          <w:color w:val="000000"/>
          <w:kern w:val="0"/>
          <w:sz w:val="28"/>
          <w:szCs w:val="21"/>
          <w:highlight w:val="none"/>
        </w:rPr>
      </w:pPr>
      <w:r>
        <w:rPr>
          <w:rFonts w:ascii="仿宋" w:hAnsi="仿宋"/>
          <w:color w:val="000000"/>
          <w:kern w:val="0"/>
          <w:sz w:val="28"/>
          <w:szCs w:val="21"/>
          <w:highlight w:val="none"/>
        </w:rPr>
        <w:t xml:space="preserve">  F.</w:t>
      </w:r>
      <w:r>
        <w:rPr>
          <w:rFonts w:hint="eastAsia" w:ascii="仿宋" w:hAnsi="仿宋"/>
          <w:color w:val="000000"/>
          <w:kern w:val="0"/>
          <w:sz w:val="28"/>
          <w:szCs w:val="21"/>
          <w:highlight w:val="none"/>
        </w:rPr>
        <w:t>法定代表人或负责人或实际控制人存在股份控制或实际控制关系；</w:t>
      </w:r>
    </w:p>
    <w:p>
      <w:pPr>
        <w:pStyle w:val="72"/>
        <w:widowControl w:val="0"/>
        <w:snapToGrid w:val="0"/>
        <w:spacing w:line="400" w:lineRule="exact"/>
        <w:jc w:val="both"/>
        <w:outlineLvl w:val="0"/>
        <w:rPr>
          <w:rFonts w:ascii="仿宋" w:eastAsia="仿宋"/>
          <w:color w:val="000000"/>
          <w:kern w:val="0"/>
          <w:sz w:val="28"/>
          <w:szCs w:val="21"/>
          <w:highlight w:val="none"/>
        </w:rPr>
      </w:pPr>
      <w:r>
        <w:rPr>
          <w:rFonts w:ascii="仿宋" w:hAnsi="仿宋"/>
          <w:color w:val="000000"/>
          <w:kern w:val="0"/>
          <w:sz w:val="28"/>
          <w:szCs w:val="21"/>
          <w:highlight w:val="none"/>
        </w:rPr>
        <w:t xml:space="preserve">  G.</w:t>
      </w:r>
      <w:r>
        <w:rPr>
          <w:rFonts w:hint="eastAsia" w:ascii="仿宋" w:hAnsi="仿宋"/>
          <w:color w:val="000000"/>
          <w:kern w:val="0"/>
          <w:sz w:val="28"/>
          <w:szCs w:val="21"/>
          <w:highlight w:val="none"/>
        </w:rPr>
        <w:t>存在共同直接或间接投资设立子公司、联营企业和合营企业情况；</w:t>
      </w:r>
    </w:p>
    <w:p>
      <w:pPr>
        <w:pStyle w:val="72"/>
        <w:widowControl w:val="0"/>
        <w:snapToGrid w:val="0"/>
        <w:spacing w:line="400" w:lineRule="exact"/>
        <w:jc w:val="both"/>
        <w:rPr>
          <w:rFonts w:ascii="仿宋" w:eastAsia="仿宋"/>
          <w:color w:val="000000"/>
          <w:sz w:val="28"/>
          <w:szCs w:val="21"/>
          <w:highlight w:val="none"/>
        </w:rPr>
      </w:pPr>
      <w:r>
        <w:rPr>
          <w:rFonts w:ascii="仿宋" w:hAnsi="仿宋"/>
          <w:color w:val="000000"/>
          <w:kern w:val="0"/>
          <w:sz w:val="28"/>
          <w:szCs w:val="21"/>
          <w:highlight w:val="none"/>
        </w:rPr>
        <w:t xml:space="preserve">  H.</w:t>
      </w:r>
      <w:r>
        <w:rPr>
          <w:rFonts w:hint="eastAsia" w:ascii="仿宋" w:hAnsi="仿宋"/>
          <w:color w:val="000000"/>
          <w:kern w:val="0"/>
          <w:sz w:val="28"/>
          <w:szCs w:val="21"/>
          <w:highlight w:val="none"/>
        </w:rPr>
        <w:t>存在分级代理或代销关系、同一生产制造商关系、</w:t>
      </w:r>
      <w:r>
        <w:rPr>
          <w:rFonts w:hint="eastAsia" w:ascii="仿宋" w:hAnsi="仿宋"/>
          <w:color w:val="000000"/>
          <w:sz w:val="28"/>
          <w:szCs w:val="21"/>
          <w:highlight w:val="none"/>
        </w:rPr>
        <w:t>管理关系、重要业务（占主营业务收入</w:t>
      </w:r>
      <w:r>
        <w:rPr>
          <w:rFonts w:ascii="仿宋" w:hAnsi="仿宋"/>
          <w:color w:val="000000"/>
          <w:sz w:val="28"/>
          <w:szCs w:val="21"/>
          <w:highlight w:val="none"/>
        </w:rPr>
        <w:t>50%</w:t>
      </w:r>
      <w:r>
        <w:rPr>
          <w:rFonts w:hint="eastAsia" w:ascii="仿宋" w:hAnsi="仿宋"/>
          <w:color w:val="000000"/>
          <w:sz w:val="28"/>
          <w:szCs w:val="21"/>
          <w:highlight w:val="none"/>
        </w:rPr>
        <w:t>以上）或重要财务往来关系（如融资）等其他实质性控制关系；</w:t>
      </w:r>
    </w:p>
    <w:p>
      <w:pPr>
        <w:pStyle w:val="72"/>
        <w:widowControl w:val="0"/>
        <w:snapToGrid w:val="0"/>
        <w:spacing w:line="400" w:lineRule="exact"/>
        <w:jc w:val="both"/>
        <w:rPr>
          <w:rFonts w:ascii="仿宋" w:eastAsia="仿宋"/>
          <w:color w:val="000000"/>
          <w:spacing w:val="6"/>
          <w:sz w:val="28"/>
          <w:szCs w:val="21"/>
          <w:highlight w:val="none"/>
        </w:rPr>
      </w:pPr>
      <w:r>
        <w:rPr>
          <w:rFonts w:ascii="仿宋" w:hAnsi="仿宋"/>
          <w:color w:val="000000"/>
          <w:sz w:val="28"/>
          <w:szCs w:val="21"/>
          <w:highlight w:val="none"/>
        </w:rPr>
        <w:t xml:space="preserve">  I</w:t>
      </w:r>
      <w:r>
        <w:rPr>
          <w:rFonts w:ascii="仿宋" w:eastAsia="仿宋"/>
          <w:color w:val="000000"/>
          <w:kern w:val="0"/>
          <w:sz w:val="28"/>
          <w:szCs w:val="21"/>
          <w:highlight w:val="none"/>
        </w:rPr>
        <w:t>.</w:t>
      </w:r>
      <w:r>
        <w:rPr>
          <w:rFonts w:hint="eastAsia" w:ascii="仿宋" w:hAnsi="仿宋"/>
          <w:color w:val="000000"/>
          <w:sz w:val="28"/>
          <w:szCs w:val="21"/>
          <w:highlight w:val="none"/>
        </w:rPr>
        <w:t>其他利害关系情况</w:t>
      </w:r>
      <w:r>
        <w:rPr>
          <w:rFonts w:ascii="仿宋" w:hAnsi="仿宋"/>
          <w:color w:val="000000"/>
          <w:sz w:val="28"/>
          <w:szCs w:val="21"/>
          <w:highlight w:val="none"/>
          <w:u w:val="single"/>
        </w:rPr>
        <w:t xml:space="preserve">                              </w:t>
      </w:r>
      <w:r>
        <w:rPr>
          <w:rFonts w:hint="eastAsia" w:ascii="仿宋" w:hAnsi="仿宋"/>
          <w:color w:val="000000"/>
          <w:kern w:val="0"/>
          <w:sz w:val="28"/>
          <w:szCs w:val="21"/>
          <w:highlight w:val="none"/>
        </w:rPr>
        <w:t>。</w:t>
      </w:r>
    </w:p>
    <w:p>
      <w:pPr>
        <w:pStyle w:val="73"/>
        <w:widowControl/>
        <w:numPr>
          <w:ilvl w:val="0"/>
          <w:numId w:val="10"/>
        </w:numPr>
        <w:snapToGrid w:val="0"/>
        <w:spacing w:line="400" w:lineRule="exact"/>
        <w:ind w:firstLine="529" w:firstLineChars="189"/>
        <w:rPr>
          <w:rFonts w:ascii="仿宋" w:eastAsia="仿宋"/>
          <w:color w:val="000000"/>
          <w:kern w:val="0"/>
          <w:sz w:val="28"/>
          <w:szCs w:val="21"/>
          <w:highlight w:val="none"/>
        </w:rPr>
      </w:pPr>
      <w:r>
        <w:rPr>
          <w:rFonts w:hint="eastAsia" w:ascii="仿宋" w:hAnsi="仿宋"/>
          <w:color w:val="000000"/>
          <w:sz w:val="28"/>
          <w:szCs w:val="21"/>
          <w:highlight w:val="none"/>
        </w:rPr>
        <w:t>现已清楚知道并</w:t>
      </w:r>
      <w:r>
        <w:rPr>
          <w:rFonts w:hint="eastAsia" w:ascii="仿宋" w:hAnsi="仿宋"/>
          <w:color w:val="000000"/>
          <w:kern w:val="0"/>
          <w:sz w:val="28"/>
          <w:szCs w:val="21"/>
          <w:highlight w:val="none"/>
        </w:rPr>
        <w:t>严格遵守政府采购法律法规和现场纪律。</w:t>
      </w:r>
    </w:p>
    <w:p>
      <w:pPr>
        <w:pStyle w:val="73"/>
        <w:widowControl/>
        <w:numPr>
          <w:ilvl w:val="0"/>
          <w:numId w:val="10"/>
        </w:numPr>
        <w:snapToGrid w:val="0"/>
        <w:spacing w:line="400" w:lineRule="exact"/>
        <w:ind w:firstLine="529" w:firstLineChars="189"/>
        <w:rPr>
          <w:rFonts w:ascii="仿宋" w:eastAsia="仿宋"/>
          <w:color w:val="000000"/>
          <w:sz w:val="28"/>
          <w:szCs w:val="21"/>
          <w:highlight w:val="none"/>
        </w:rPr>
      </w:pPr>
      <w:r>
        <w:rPr>
          <w:rFonts w:hint="eastAsia" w:ascii="仿宋" w:hAnsi="仿宋"/>
          <w:color w:val="000000"/>
          <w:kern w:val="0"/>
          <w:sz w:val="28"/>
          <w:szCs w:val="21"/>
          <w:highlight w:val="none"/>
        </w:rPr>
        <w:t>我发现</w:t>
      </w:r>
      <w:r>
        <w:rPr>
          <w:rFonts w:ascii="仿宋" w:hAnsi="仿宋"/>
          <w:color w:val="000000"/>
          <w:kern w:val="0"/>
          <w:sz w:val="28"/>
          <w:szCs w:val="21"/>
          <w:highlight w:val="none"/>
          <w:u w:val="single"/>
        </w:rPr>
        <w:t xml:space="preserve">                    </w:t>
      </w:r>
      <w:r>
        <w:rPr>
          <w:rFonts w:hint="eastAsia" w:ascii="仿宋" w:hAnsi="仿宋"/>
          <w:color w:val="000000"/>
          <w:kern w:val="0"/>
          <w:sz w:val="28"/>
          <w:szCs w:val="21"/>
          <w:highlight w:val="none"/>
        </w:rPr>
        <w:t>供应商之间存在或可能存在上述第二条第</w:t>
      </w:r>
      <w:r>
        <w:rPr>
          <w:rFonts w:ascii="仿宋" w:hAnsi="仿宋"/>
          <w:color w:val="000000"/>
          <w:kern w:val="0"/>
          <w:sz w:val="28"/>
          <w:szCs w:val="21"/>
          <w:highlight w:val="none"/>
          <w:u w:val="single"/>
        </w:rPr>
        <w:t xml:space="preserve">        </w:t>
      </w:r>
      <w:r>
        <w:rPr>
          <w:rFonts w:hint="eastAsia" w:ascii="仿宋" w:hAnsi="仿宋"/>
          <w:color w:val="000000"/>
          <w:kern w:val="0"/>
          <w:sz w:val="28"/>
          <w:szCs w:val="21"/>
          <w:highlight w:val="none"/>
        </w:rPr>
        <w:t>项利害关系。</w:t>
      </w:r>
    </w:p>
    <w:p>
      <w:pPr>
        <w:pStyle w:val="72"/>
        <w:widowControl w:val="0"/>
        <w:snapToGrid w:val="0"/>
        <w:ind w:firstLine="560" w:firstLineChars="200"/>
        <w:jc w:val="both"/>
        <w:rPr>
          <w:rFonts w:ascii="仿宋" w:eastAsia="仿宋"/>
          <w:color w:val="000000"/>
          <w:sz w:val="28"/>
          <w:szCs w:val="21"/>
          <w:highlight w:val="none"/>
        </w:rPr>
      </w:pPr>
      <w:r>
        <w:rPr>
          <w:rFonts w:ascii="仿宋" w:hAnsi="仿宋"/>
          <w:color w:val="000000"/>
          <w:sz w:val="28"/>
          <w:szCs w:val="21"/>
          <w:highlight w:val="none"/>
        </w:rPr>
        <w:t xml:space="preserve">                               </w:t>
      </w:r>
      <w:r>
        <w:rPr>
          <w:rFonts w:hint="eastAsia" w:ascii="仿宋" w:hAnsi="仿宋"/>
          <w:color w:val="000000"/>
          <w:sz w:val="28"/>
          <w:szCs w:val="21"/>
          <w:highlight w:val="none"/>
        </w:rPr>
        <w:t>（供应商代表签名）：</w:t>
      </w:r>
    </w:p>
    <w:p>
      <w:pPr>
        <w:pStyle w:val="72"/>
        <w:widowControl w:val="0"/>
        <w:snapToGrid w:val="0"/>
        <w:ind w:firstLine="560" w:firstLineChars="200"/>
        <w:jc w:val="both"/>
        <w:rPr>
          <w:rFonts w:ascii="仿宋_GB2312" w:eastAsia="仿宋_GB2312"/>
          <w:b/>
          <w:sz w:val="24"/>
          <w:highlight w:val="none"/>
        </w:rPr>
      </w:pPr>
      <w:r>
        <w:rPr>
          <w:rFonts w:ascii="仿宋" w:hAnsi="仿宋"/>
          <w:color w:val="000000"/>
          <w:sz w:val="28"/>
          <w:szCs w:val="21"/>
          <w:highlight w:val="none"/>
        </w:rPr>
        <w:t xml:space="preserve">                                 </w:t>
      </w:r>
      <w:r>
        <w:rPr>
          <w:rFonts w:hint="eastAsia" w:ascii="仿宋" w:hAnsi="仿宋"/>
          <w:color w:val="000000"/>
          <w:sz w:val="28"/>
          <w:szCs w:val="21"/>
          <w:highlight w:val="none"/>
          <w:lang w:eastAsia="zh-CN"/>
        </w:rPr>
        <w:t>2024</w:t>
      </w:r>
      <w:r>
        <w:rPr>
          <w:rFonts w:hint="eastAsia" w:ascii="仿宋" w:hAnsi="仿宋"/>
          <w:color w:val="000000"/>
          <w:sz w:val="28"/>
          <w:szCs w:val="21"/>
          <w:highlight w:val="none"/>
        </w:rPr>
        <w:t>年</w:t>
      </w:r>
      <w:r>
        <w:rPr>
          <w:rFonts w:ascii="仿宋" w:hAnsi="仿宋"/>
          <w:color w:val="000000"/>
          <w:sz w:val="28"/>
          <w:szCs w:val="21"/>
          <w:highlight w:val="none"/>
        </w:rPr>
        <w:t xml:space="preserve">  </w:t>
      </w:r>
      <w:r>
        <w:rPr>
          <w:rFonts w:hint="eastAsia" w:ascii="仿宋" w:hAnsi="仿宋"/>
          <w:color w:val="000000"/>
          <w:sz w:val="28"/>
          <w:szCs w:val="21"/>
          <w:highlight w:val="none"/>
        </w:rPr>
        <w:t>月</w:t>
      </w:r>
      <w:r>
        <w:rPr>
          <w:rFonts w:ascii="仿宋" w:hAnsi="仿宋"/>
          <w:color w:val="000000"/>
          <w:sz w:val="28"/>
          <w:szCs w:val="21"/>
          <w:highlight w:val="none"/>
        </w:rPr>
        <w:t xml:space="preserve">   </w:t>
      </w:r>
      <w:r>
        <w:rPr>
          <w:rFonts w:hint="eastAsia" w:ascii="仿宋" w:hAnsi="仿宋"/>
          <w:color w:val="000000"/>
          <w:sz w:val="28"/>
          <w:szCs w:val="21"/>
          <w:highlight w:val="none"/>
        </w:rPr>
        <w:t>日</w:t>
      </w:r>
    </w:p>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FDD6184-4473-4B11-81DF-57B54D17443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FF7A049D-6541-4503-93A8-6966CED524C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980375E-E489-4B3A-AF71-E39A548B4FAE}"/>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D4BE06D4-DE6A-4B73-B05A-0551B0ED25E7}"/>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embedRegular r:id="rId5" w:fontKey="{A1327477-8199-4E67-B42F-1C3668CE6B1C}"/>
  </w:font>
  <w:font w:name="新宋体">
    <w:panose1 w:val="02010609030101010101"/>
    <w:charset w:val="86"/>
    <w:family w:val="modern"/>
    <w:pitch w:val="default"/>
    <w:sig w:usb0="00000003" w:usb1="288F0000" w:usb2="00000006" w:usb3="00000000" w:csb0="00040001" w:csb1="00000000"/>
    <w:embedRegular r:id="rId6" w:fontKey="{0BACE3DD-ACC2-427A-96FF-7DF0ABAB4DC8}"/>
  </w:font>
  <w:font w:name="方正小标宋简体">
    <w:panose1 w:val="02000000000000000000"/>
    <w:charset w:val="86"/>
    <w:family w:val="script"/>
    <w:pitch w:val="default"/>
    <w:sig w:usb0="00000001" w:usb1="08000000" w:usb2="00000000" w:usb3="00000000" w:csb0="00040000" w:csb1="00000000"/>
    <w:embedRegular r:id="rId7" w:fontKey="{62A8A0BB-319E-4400-9552-F875A8CEE83B}"/>
  </w:font>
  <w:font w:name="仿宋">
    <w:panose1 w:val="02010609060101010101"/>
    <w:charset w:val="86"/>
    <w:family w:val="modern"/>
    <w:pitch w:val="default"/>
    <w:sig w:usb0="800002BF" w:usb1="38CF7CFA" w:usb2="00000016" w:usb3="00000000" w:csb0="00040001" w:csb1="00000000"/>
    <w:embedRegular r:id="rId8" w:fontKey="{580B3B62-0CE5-4F5A-80CC-833BD27689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uU8s4BAACpAwAADgAAAGRycy9lMm9Eb2MueG1srVPNjtMwEL4j8Q6W&#10;7zRpJ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hvahNecOWHpxS8/vl9+/r78+saW&#10;N0mg3mNFdfeeKuPwFgYqnuNIwcR7aINNX2LEKE/ynq/yqiEymS6tV+t1SSlJudkh/OLhug8Y3ymw&#10;LBk1D/R+WVZx+oBxLJ1LUjcHd9qY/IbG/RUgzDGi8hJMtxOTceJkxWE/TPT20JyJXU+LUHNHe8+Z&#10;ee9I57QzsxFmYz8bRx/0octLlbqjf3OMNFKeNHUYYYlhcugFM9dp29KKPPZz1cMft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aLlPLOAQAAqQMAAA4AAAAAAAAAAQAgAAAAHgEAAGRycy9l&#10;Mm9Eb2MueG1sUEsFBgAAAAAGAAYAWQEAAF4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70</w:t>
                    </w:r>
                    <w:r>
                      <w:fldChar w:fldCharType="end"/>
                    </w:r>
                  </w:p>
                </w:txbxContent>
              </v:textbox>
            </v:shape>
          </w:pict>
        </mc:Fallback>
      </mc:AlternateContent>
    </w:r>
  </w:p>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F8UA3YAQAAsQ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ymxzODATz++n37+&#10;Pv36Rm6TPL2HGrMePebF4b0bcGnme8DLxHqQwaQv8iEYR3GPZ3HFEAlPj6plVZUY4hibHcQvnp/7&#10;APFBOEOS0dCA08uissNHiGPqnJKqWXevtM4T1Jb0iHpT3d7kF+cQomubkkVehgkncRp7T1YctsNE&#10;dOvaI/LscSEaanH/KdEfLOqddmc2wmxsZ2Pvg9p1eblSLfDv9hGbyz2nCiMsck0OTjKznrYurcrf&#10;fs56/tP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AXxQDdgBAACxAwAADgAAAAAAAAAB&#10;ACAAAAAiAQAAZHJzL2Uyb0RvYy54bWxQSwUGAAAAAAYABgBZAQAAbA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Pr>
    </w:pPr>
  </w:p>
  <w:p>
    <w:pPr>
      <w:pStyle w:val="18"/>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ind w:right="360"/>
                            <w:jc w:val="center"/>
                          </w:pPr>
                          <w:r>
                            <w:fldChar w:fldCharType="begin"/>
                          </w:r>
                          <w:r>
                            <w:instrText xml:space="preserve"> PAGE  \* MERGEFORMAT </w:instrText>
                          </w:r>
                          <w:r>
                            <w:fldChar w:fldCharType="separate"/>
                          </w:r>
                          <w:r>
                            <w:t>- 41 -</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gu/N6dgBAACyAwAADgAAAAAAAAAB&#10;ACAAAAAiAQAAZHJzL2Uyb0RvYy54bWxQSwUGAAAAAAYABgBZAQAAbAUAAAAA&#10;">
              <v:fill on="f" focussize="0,0"/>
              <v:stroke on="f" weight="1.25pt"/>
              <v:imagedata o:title=""/>
              <o:lock v:ext="edit" aspectratio="f"/>
              <v:textbox inset="0mm,0mm,0mm,0mm" style="mso-fit-shape-to-text:t;">
                <w:txbxContent>
                  <w:p>
                    <w:pPr>
                      <w:pStyle w:val="18"/>
                      <w:ind w:right="360"/>
                      <w:jc w:val="center"/>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6kL84BAACo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Y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cOpC/OAQAAqAMAAA4AAAAAAAAAAQAgAAAAHgEAAGRycy9l&#10;Mm9Eb2MueG1sUEsFBgAAAAAGAAYAWQEAAF4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Pr>
    </w:pPr>
  </w:p>
  <w:p>
    <w:pPr>
      <w:pStyle w:val="1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ind w:right="360"/>
                            <w:jc w:val="center"/>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S9hnNgBAACyAwAADgAAAAAAAAAB&#10;ACAAAAAiAQAAZHJzL2Uyb0RvYy54bWxQSwUGAAAAAAYABgBZAQAAbAUAAAAA&#10;">
              <v:fill on="f" focussize="0,0"/>
              <v:stroke on="f" weight="1.25pt"/>
              <v:imagedata o:title=""/>
              <o:lock v:ext="edit" aspectratio="f"/>
              <v:textbox inset="0mm,0mm,0mm,0mm" style="mso-fit-shape-to-text:t;">
                <w:txbxContent>
                  <w:p>
                    <w:pPr>
                      <w:pStyle w:val="18"/>
                      <w:ind w:right="360"/>
                      <w:jc w:val="center"/>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fOVc0BAACp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IEmsMPTil58/Lr/+XH5/Z8tV&#10;Eqj3WFHdvafKOLxzAxXPcaRg4j20waQvMWKUJ6zzVV4YIpPp0nq1XpeUkpSbHcIvHq77gPE9OMOS&#10;UfNA75dlFaePGMfSuSR1s+5OaZ3fUNt/AoQ5RiAvwXQ7MRknTlYc9sNEb++aM7HraRFqbmnvOdMf&#10;LOlM08bZCLOxn42jD+rQ5aVK3dHfHiONlCdNHUZYYpgcesHMddq2tCKP/Vz18Id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rfOVc0BAACpAwAADgAAAAAAAAABACAAAAAe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717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Bvnc0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cmZE5Ze/PL92+XHr8vPr2z5&#10;OgnUB6yo7iFQZRzu/EDFcxwpmHgPLdj0JUaM8iTv+SqvGiKT6dJ6tV6XlJKUmx3CLx6vB8D4VnnL&#10;klFzoPfLsorTe4xj6VySujl/r43Jb2jcXwHCHCMqL8F0OzEZJ05WHPbDRG/vmzOx62kRau5o7zkz&#10;7xzpnHZmNmA29rNxDKAPXV6q1B3D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RBvnc0BAACpAwAADgAAAAAAAAABACAAAAAe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cs="Times New Roman"/>
      </w:rPr>
    </w:lvl>
  </w:abstractNum>
  <w:abstractNum w:abstractNumId="1">
    <w:nsid w:val="9AA60DD3"/>
    <w:multiLevelType w:val="singleLevel"/>
    <w:tmpl w:val="9AA60DD3"/>
    <w:lvl w:ilvl="0" w:tentative="0">
      <w:start w:val="1"/>
      <w:numFmt w:val="decimal"/>
      <w:suff w:val="nothing"/>
      <w:lvlText w:val="%1、"/>
      <w:lvlJc w:val="left"/>
      <w:rPr>
        <w:rFonts w:cs="Times New Roman"/>
      </w:rPr>
    </w:lvl>
  </w:abstractNum>
  <w:abstractNum w:abstractNumId="2">
    <w:nsid w:val="AE2D8F7B"/>
    <w:multiLevelType w:val="singleLevel"/>
    <w:tmpl w:val="AE2D8F7B"/>
    <w:lvl w:ilvl="0" w:tentative="0">
      <w:start w:val="1"/>
      <w:numFmt w:val="decimal"/>
      <w:pStyle w:val="6"/>
      <w:lvlText w:val="%1."/>
      <w:lvlJc w:val="left"/>
      <w:pPr>
        <w:tabs>
          <w:tab w:val="left" w:pos="1070"/>
        </w:tabs>
        <w:ind w:left="1070" w:hanging="360"/>
      </w:pPr>
      <w:rPr>
        <w:rFonts w:cs="Times New Roman"/>
      </w:rPr>
    </w:lvl>
  </w:abstractNum>
  <w:abstractNum w:abstractNumId="3">
    <w:nsid w:val="AFAC851A"/>
    <w:multiLevelType w:val="singleLevel"/>
    <w:tmpl w:val="AFAC851A"/>
    <w:lvl w:ilvl="0" w:tentative="0">
      <w:start w:val="1"/>
      <w:numFmt w:val="decimal"/>
      <w:suff w:val="nothing"/>
      <w:lvlText w:val="%1、"/>
      <w:lvlJc w:val="left"/>
      <w:rPr>
        <w:rFonts w:cs="Times New Roman"/>
      </w:rPr>
    </w:lvl>
  </w:abstractNum>
  <w:abstractNum w:abstractNumId="4">
    <w:nsid w:val="C9C77C0D"/>
    <w:multiLevelType w:val="singleLevel"/>
    <w:tmpl w:val="C9C77C0D"/>
    <w:lvl w:ilvl="0" w:tentative="0">
      <w:start w:val="1"/>
      <w:numFmt w:val="decimal"/>
      <w:suff w:val="nothing"/>
      <w:lvlText w:val="%1、"/>
      <w:lvlJc w:val="left"/>
      <w:rPr>
        <w:rFonts w:cs="Times New Roman"/>
      </w:rPr>
    </w:lvl>
  </w:abstractNum>
  <w:abstractNum w:abstractNumId="5">
    <w:nsid w:val="E33B11D4"/>
    <w:multiLevelType w:val="singleLevel"/>
    <w:tmpl w:val="E33B11D4"/>
    <w:lvl w:ilvl="0" w:tentative="0">
      <w:start w:val="3"/>
      <w:numFmt w:val="decimal"/>
      <w:suff w:val="nothing"/>
      <w:lvlText w:val="%1、"/>
      <w:lvlJc w:val="left"/>
      <w:rPr>
        <w:rFonts w:cs="Times New Roman"/>
      </w:rPr>
    </w:lvl>
  </w:abstractNum>
  <w:abstractNum w:abstractNumId="6">
    <w:nsid w:val="4BC794F0"/>
    <w:multiLevelType w:val="singleLevel"/>
    <w:tmpl w:val="4BC794F0"/>
    <w:lvl w:ilvl="0" w:tentative="0">
      <w:start w:val="3"/>
      <w:numFmt w:val="chineseCounting"/>
      <w:suff w:val="nothing"/>
      <w:lvlText w:val="（%1）"/>
      <w:lvlJc w:val="left"/>
      <w:rPr>
        <w:rFonts w:hint="eastAsia" w:cs="Times New Roman"/>
      </w:rPr>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abstractNum w:abstractNumId="9">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2"/>
  </w:num>
  <w:num w:numId="2">
    <w:abstractNumId w:val="9"/>
  </w:num>
  <w:num w:numId="3">
    <w:abstractNumId w:val="0"/>
  </w:num>
  <w:num w:numId="4">
    <w:abstractNumId w:val="5"/>
  </w:num>
  <w:num w:numId="5">
    <w:abstractNumId w:val="6"/>
  </w:num>
  <w:num w:numId="6">
    <w:abstractNumId w:val="1"/>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315"/>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mY4NmI5ZjI4MDNmODA4ODkxOTc0YzMwZmJlZDgifQ=="/>
    <w:docVar w:name="KSO_WPS_MARK_KEY" w:val="8b6c58e3-7f3a-47d5-806c-16211a394170"/>
  </w:docVars>
  <w:rsids>
    <w:rsidRoot w:val="0E970358"/>
    <w:rsid w:val="00000F17"/>
    <w:rsid w:val="00001503"/>
    <w:rsid w:val="0002199D"/>
    <w:rsid w:val="0004261B"/>
    <w:rsid w:val="00044EF2"/>
    <w:rsid w:val="000455D1"/>
    <w:rsid w:val="0004585A"/>
    <w:rsid w:val="00051A10"/>
    <w:rsid w:val="0006294D"/>
    <w:rsid w:val="00062AB3"/>
    <w:rsid w:val="000A36D3"/>
    <w:rsid w:val="000A4198"/>
    <w:rsid w:val="000C0584"/>
    <w:rsid w:val="000C5808"/>
    <w:rsid w:val="000D067B"/>
    <w:rsid w:val="000E49F9"/>
    <w:rsid w:val="000F06E9"/>
    <w:rsid w:val="000F4673"/>
    <w:rsid w:val="000F4C1C"/>
    <w:rsid w:val="00101AE9"/>
    <w:rsid w:val="00107BF6"/>
    <w:rsid w:val="00112D0E"/>
    <w:rsid w:val="00116C73"/>
    <w:rsid w:val="00122944"/>
    <w:rsid w:val="001278E8"/>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A77E6"/>
    <w:rsid w:val="002B1189"/>
    <w:rsid w:val="002D51C5"/>
    <w:rsid w:val="002D5ACF"/>
    <w:rsid w:val="002E3E2F"/>
    <w:rsid w:val="002E4DD6"/>
    <w:rsid w:val="003102FB"/>
    <w:rsid w:val="00312B2C"/>
    <w:rsid w:val="00313638"/>
    <w:rsid w:val="003171FB"/>
    <w:rsid w:val="00332E30"/>
    <w:rsid w:val="00333A32"/>
    <w:rsid w:val="00346584"/>
    <w:rsid w:val="00346B98"/>
    <w:rsid w:val="00346DD8"/>
    <w:rsid w:val="003638D8"/>
    <w:rsid w:val="003639DE"/>
    <w:rsid w:val="003645B3"/>
    <w:rsid w:val="0037446B"/>
    <w:rsid w:val="003806B8"/>
    <w:rsid w:val="00381E72"/>
    <w:rsid w:val="003907AB"/>
    <w:rsid w:val="003A0D2A"/>
    <w:rsid w:val="003A1960"/>
    <w:rsid w:val="003B75F0"/>
    <w:rsid w:val="003C5E00"/>
    <w:rsid w:val="003D4ECD"/>
    <w:rsid w:val="003E32CD"/>
    <w:rsid w:val="003F008D"/>
    <w:rsid w:val="003F595C"/>
    <w:rsid w:val="003F78E0"/>
    <w:rsid w:val="0040648F"/>
    <w:rsid w:val="00412872"/>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319D6"/>
    <w:rsid w:val="00537DF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442D2"/>
    <w:rsid w:val="00655E3C"/>
    <w:rsid w:val="00663E40"/>
    <w:rsid w:val="00670734"/>
    <w:rsid w:val="00674C42"/>
    <w:rsid w:val="00680F4D"/>
    <w:rsid w:val="00683396"/>
    <w:rsid w:val="00683E7C"/>
    <w:rsid w:val="00696B76"/>
    <w:rsid w:val="006A1428"/>
    <w:rsid w:val="006B1685"/>
    <w:rsid w:val="006B1C70"/>
    <w:rsid w:val="006B4465"/>
    <w:rsid w:val="006B6026"/>
    <w:rsid w:val="006C01EC"/>
    <w:rsid w:val="006C256B"/>
    <w:rsid w:val="006C2786"/>
    <w:rsid w:val="006E0C84"/>
    <w:rsid w:val="006F4DFE"/>
    <w:rsid w:val="00704B23"/>
    <w:rsid w:val="00720551"/>
    <w:rsid w:val="00726E61"/>
    <w:rsid w:val="00767E76"/>
    <w:rsid w:val="00771BFE"/>
    <w:rsid w:val="00792925"/>
    <w:rsid w:val="007A2629"/>
    <w:rsid w:val="007B2F56"/>
    <w:rsid w:val="007B6ECC"/>
    <w:rsid w:val="007B7426"/>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A37B9"/>
    <w:rsid w:val="009B3E22"/>
    <w:rsid w:val="009D0731"/>
    <w:rsid w:val="009D576B"/>
    <w:rsid w:val="009D7DF0"/>
    <w:rsid w:val="009E3D2C"/>
    <w:rsid w:val="009F0D00"/>
    <w:rsid w:val="009F3459"/>
    <w:rsid w:val="009F7276"/>
    <w:rsid w:val="00A0183F"/>
    <w:rsid w:val="00A036B3"/>
    <w:rsid w:val="00A14C19"/>
    <w:rsid w:val="00A24CB5"/>
    <w:rsid w:val="00A30B75"/>
    <w:rsid w:val="00A33D3D"/>
    <w:rsid w:val="00A51DC9"/>
    <w:rsid w:val="00A561B9"/>
    <w:rsid w:val="00A730CA"/>
    <w:rsid w:val="00A76F11"/>
    <w:rsid w:val="00A9111E"/>
    <w:rsid w:val="00A965CA"/>
    <w:rsid w:val="00A96C38"/>
    <w:rsid w:val="00AA1D6F"/>
    <w:rsid w:val="00AC3034"/>
    <w:rsid w:val="00AC45B4"/>
    <w:rsid w:val="00AD682D"/>
    <w:rsid w:val="00B01964"/>
    <w:rsid w:val="00B10D42"/>
    <w:rsid w:val="00B11D9C"/>
    <w:rsid w:val="00B12F04"/>
    <w:rsid w:val="00B15DDF"/>
    <w:rsid w:val="00B31BFD"/>
    <w:rsid w:val="00B3382E"/>
    <w:rsid w:val="00B5399A"/>
    <w:rsid w:val="00B64974"/>
    <w:rsid w:val="00B72B07"/>
    <w:rsid w:val="00B85EAB"/>
    <w:rsid w:val="00BB3F4B"/>
    <w:rsid w:val="00BC3069"/>
    <w:rsid w:val="00BC48AA"/>
    <w:rsid w:val="00BC7C1E"/>
    <w:rsid w:val="00BD161F"/>
    <w:rsid w:val="00BE0DD6"/>
    <w:rsid w:val="00BE222A"/>
    <w:rsid w:val="00BE3743"/>
    <w:rsid w:val="00BE4F0E"/>
    <w:rsid w:val="00C00ACE"/>
    <w:rsid w:val="00C05747"/>
    <w:rsid w:val="00C068E1"/>
    <w:rsid w:val="00C101D1"/>
    <w:rsid w:val="00C11035"/>
    <w:rsid w:val="00C31D3D"/>
    <w:rsid w:val="00C34A14"/>
    <w:rsid w:val="00C418C5"/>
    <w:rsid w:val="00C45068"/>
    <w:rsid w:val="00C52E14"/>
    <w:rsid w:val="00C610B0"/>
    <w:rsid w:val="00C61DB0"/>
    <w:rsid w:val="00C65624"/>
    <w:rsid w:val="00C716C9"/>
    <w:rsid w:val="00C71C50"/>
    <w:rsid w:val="00C767D4"/>
    <w:rsid w:val="00C76F3B"/>
    <w:rsid w:val="00C83A29"/>
    <w:rsid w:val="00CB20E1"/>
    <w:rsid w:val="00CB4902"/>
    <w:rsid w:val="00CB6273"/>
    <w:rsid w:val="00CC1234"/>
    <w:rsid w:val="00CC232E"/>
    <w:rsid w:val="00CC3DE2"/>
    <w:rsid w:val="00CD1804"/>
    <w:rsid w:val="00CE4D1B"/>
    <w:rsid w:val="00CF7AF2"/>
    <w:rsid w:val="00D117BA"/>
    <w:rsid w:val="00D13ADB"/>
    <w:rsid w:val="00D220E4"/>
    <w:rsid w:val="00D603C1"/>
    <w:rsid w:val="00D6553A"/>
    <w:rsid w:val="00D731C1"/>
    <w:rsid w:val="00D869EF"/>
    <w:rsid w:val="00D974D8"/>
    <w:rsid w:val="00DA3EDF"/>
    <w:rsid w:val="00DA5164"/>
    <w:rsid w:val="00DB20F7"/>
    <w:rsid w:val="00DB677B"/>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EF7ADC"/>
    <w:rsid w:val="00F10AC9"/>
    <w:rsid w:val="00F127FF"/>
    <w:rsid w:val="00F21B06"/>
    <w:rsid w:val="00F41457"/>
    <w:rsid w:val="00F4402B"/>
    <w:rsid w:val="00F4419E"/>
    <w:rsid w:val="00F72C48"/>
    <w:rsid w:val="00F7484A"/>
    <w:rsid w:val="00F96DCE"/>
    <w:rsid w:val="00FB6666"/>
    <w:rsid w:val="00FC1944"/>
    <w:rsid w:val="00FC61C8"/>
    <w:rsid w:val="00FD4075"/>
    <w:rsid w:val="00FD457D"/>
    <w:rsid w:val="00FD6DA1"/>
    <w:rsid w:val="00FE4FF9"/>
    <w:rsid w:val="00FF1405"/>
    <w:rsid w:val="01057410"/>
    <w:rsid w:val="010E6E92"/>
    <w:rsid w:val="013666FF"/>
    <w:rsid w:val="013838BA"/>
    <w:rsid w:val="01514406"/>
    <w:rsid w:val="015A390A"/>
    <w:rsid w:val="015B511D"/>
    <w:rsid w:val="015C76D4"/>
    <w:rsid w:val="016C1AF5"/>
    <w:rsid w:val="0176006D"/>
    <w:rsid w:val="0176641C"/>
    <w:rsid w:val="017E7EB5"/>
    <w:rsid w:val="018118A2"/>
    <w:rsid w:val="01816F63"/>
    <w:rsid w:val="018C0833"/>
    <w:rsid w:val="01935887"/>
    <w:rsid w:val="01940AB9"/>
    <w:rsid w:val="01A666DA"/>
    <w:rsid w:val="01C167BF"/>
    <w:rsid w:val="01C62D15"/>
    <w:rsid w:val="01DD6C03"/>
    <w:rsid w:val="01DF53E0"/>
    <w:rsid w:val="01E23D33"/>
    <w:rsid w:val="02013798"/>
    <w:rsid w:val="02042A73"/>
    <w:rsid w:val="021675CF"/>
    <w:rsid w:val="024756ED"/>
    <w:rsid w:val="025D793F"/>
    <w:rsid w:val="02691A0E"/>
    <w:rsid w:val="02833336"/>
    <w:rsid w:val="02892DD5"/>
    <w:rsid w:val="028C2587"/>
    <w:rsid w:val="029167E5"/>
    <w:rsid w:val="02B836D0"/>
    <w:rsid w:val="02DB2208"/>
    <w:rsid w:val="02EA40CD"/>
    <w:rsid w:val="02EE3458"/>
    <w:rsid w:val="02F8548C"/>
    <w:rsid w:val="03051B1B"/>
    <w:rsid w:val="032479FB"/>
    <w:rsid w:val="03354D0D"/>
    <w:rsid w:val="033C4062"/>
    <w:rsid w:val="034D095E"/>
    <w:rsid w:val="03603CF0"/>
    <w:rsid w:val="0367055C"/>
    <w:rsid w:val="036C2CC6"/>
    <w:rsid w:val="03755B42"/>
    <w:rsid w:val="03814815"/>
    <w:rsid w:val="039823F5"/>
    <w:rsid w:val="03A82362"/>
    <w:rsid w:val="03D857BF"/>
    <w:rsid w:val="03DB5CD0"/>
    <w:rsid w:val="03E12280"/>
    <w:rsid w:val="03E81CB7"/>
    <w:rsid w:val="03FE3973"/>
    <w:rsid w:val="040C59C6"/>
    <w:rsid w:val="04207E21"/>
    <w:rsid w:val="043833BC"/>
    <w:rsid w:val="044D7B30"/>
    <w:rsid w:val="04777E7D"/>
    <w:rsid w:val="047A39D5"/>
    <w:rsid w:val="04C85F46"/>
    <w:rsid w:val="04CC341D"/>
    <w:rsid w:val="04CF653F"/>
    <w:rsid w:val="04E414E4"/>
    <w:rsid w:val="04E56DE7"/>
    <w:rsid w:val="04E574DE"/>
    <w:rsid w:val="05137CD7"/>
    <w:rsid w:val="05227593"/>
    <w:rsid w:val="05275126"/>
    <w:rsid w:val="054E3421"/>
    <w:rsid w:val="05717035"/>
    <w:rsid w:val="05877E33"/>
    <w:rsid w:val="058C3D75"/>
    <w:rsid w:val="05997116"/>
    <w:rsid w:val="05A3591D"/>
    <w:rsid w:val="05AD164E"/>
    <w:rsid w:val="05BC4260"/>
    <w:rsid w:val="05BE126C"/>
    <w:rsid w:val="060B26E0"/>
    <w:rsid w:val="0619693A"/>
    <w:rsid w:val="063D0FB4"/>
    <w:rsid w:val="064121F6"/>
    <w:rsid w:val="06734DC6"/>
    <w:rsid w:val="06735C14"/>
    <w:rsid w:val="067803E8"/>
    <w:rsid w:val="06894391"/>
    <w:rsid w:val="06BD723E"/>
    <w:rsid w:val="06E0784D"/>
    <w:rsid w:val="07132E29"/>
    <w:rsid w:val="07152947"/>
    <w:rsid w:val="071C2CF6"/>
    <w:rsid w:val="071D6DD8"/>
    <w:rsid w:val="073C107E"/>
    <w:rsid w:val="07571279"/>
    <w:rsid w:val="0759113A"/>
    <w:rsid w:val="0767527F"/>
    <w:rsid w:val="078E5C1A"/>
    <w:rsid w:val="07C719B2"/>
    <w:rsid w:val="07DA6BEB"/>
    <w:rsid w:val="07E10CD7"/>
    <w:rsid w:val="07E12452"/>
    <w:rsid w:val="07F452F4"/>
    <w:rsid w:val="07F87836"/>
    <w:rsid w:val="07FA2B93"/>
    <w:rsid w:val="080356C3"/>
    <w:rsid w:val="080C2964"/>
    <w:rsid w:val="080E7890"/>
    <w:rsid w:val="08143CCA"/>
    <w:rsid w:val="08235B52"/>
    <w:rsid w:val="082C148A"/>
    <w:rsid w:val="0848277D"/>
    <w:rsid w:val="086119F3"/>
    <w:rsid w:val="086C4C1D"/>
    <w:rsid w:val="0877513F"/>
    <w:rsid w:val="08777D39"/>
    <w:rsid w:val="087A7558"/>
    <w:rsid w:val="08843074"/>
    <w:rsid w:val="088D3477"/>
    <w:rsid w:val="0890739F"/>
    <w:rsid w:val="08B35707"/>
    <w:rsid w:val="08BC485F"/>
    <w:rsid w:val="08BE375E"/>
    <w:rsid w:val="08C134B6"/>
    <w:rsid w:val="08C16076"/>
    <w:rsid w:val="08CE54E5"/>
    <w:rsid w:val="08D23BCA"/>
    <w:rsid w:val="08EC7CBE"/>
    <w:rsid w:val="08EE7A7B"/>
    <w:rsid w:val="08F13851"/>
    <w:rsid w:val="091C1110"/>
    <w:rsid w:val="09231F5E"/>
    <w:rsid w:val="093F5CCD"/>
    <w:rsid w:val="094A7671"/>
    <w:rsid w:val="095D57B8"/>
    <w:rsid w:val="096A2124"/>
    <w:rsid w:val="09833B80"/>
    <w:rsid w:val="09B223E2"/>
    <w:rsid w:val="09BC3AD8"/>
    <w:rsid w:val="09E32AE9"/>
    <w:rsid w:val="09E76094"/>
    <w:rsid w:val="09EF0B4E"/>
    <w:rsid w:val="0A0776AF"/>
    <w:rsid w:val="0A0E7ED6"/>
    <w:rsid w:val="0A244CDF"/>
    <w:rsid w:val="0A3A569A"/>
    <w:rsid w:val="0A440183"/>
    <w:rsid w:val="0A482423"/>
    <w:rsid w:val="0A4E7C2D"/>
    <w:rsid w:val="0A663573"/>
    <w:rsid w:val="0A6D12C6"/>
    <w:rsid w:val="0A73034F"/>
    <w:rsid w:val="0A785BBB"/>
    <w:rsid w:val="0A80729F"/>
    <w:rsid w:val="0A8946E5"/>
    <w:rsid w:val="0A916673"/>
    <w:rsid w:val="0A9176B1"/>
    <w:rsid w:val="0A945930"/>
    <w:rsid w:val="0A9725C3"/>
    <w:rsid w:val="0A981059"/>
    <w:rsid w:val="0A98268B"/>
    <w:rsid w:val="0ABE742A"/>
    <w:rsid w:val="0AC562AB"/>
    <w:rsid w:val="0AC56FBF"/>
    <w:rsid w:val="0ADD3852"/>
    <w:rsid w:val="0AFB20F8"/>
    <w:rsid w:val="0AFD6391"/>
    <w:rsid w:val="0B0102C0"/>
    <w:rsid w:val="0B1E644E"/>
    <w:rsid w:val="0B4B5811"/>
    <w:rsid w:val="0B6E40A8"/>
    <w:rsid w:val="0B911355"/>
    <w:rsid w:val="0BA27631"/>
    <w:rsid w:val="0BCF6605"/>
    <w:rsid w:val="0BD303ED"/>
    <w:rsid w:val="0BD57DC0"/>
    <w:rsid w:val="0BD945A7"/>
    <w:rsid w:val="0BE4309B"/>
    <w:rsid w:val="0C16591F"/>
    <w:rsid w:val="0C1E2BA0"/>
    <w:rsid w:val="0C3138B5"/>
    <w:rsid w:val="0C381307"/>
    <w:rsid w:val="0C543204"/>
    <w:rsid w:val="0C6A3BC3"/>
    <w:rsid w:val="0C720D19"/>
    <w:rsid w:val="0C765CB2"/>
    <w:rsid w:val="0C8974EA"/>
    <w:rsid w:val="0C8B1044"/>
    <w:rsid w:val="0CA214C3"/>
    <w:rsid w:val="0CA85607"/>
    <w:rsid w:val="0CBF5550"/>
    <w:rsid w:val="0D0E49F2"/>
    <w:rsid w:val="0D4A5F0F"/>
    <w:rsid w:val="0D5236B1"/>
    <w:rsid w:val="0D6274E1"/>
    <w:rsid w:val="0D692272"/>
    <w:rsid w:val="0D6D0804"/>
    <w:rsid w:val="0D7755C7"/>
    <w:rsid w:val="0D801C0C"/>
    <w:rsid w:val="0D9D0F19"/>
    <w:rsid w:val="0DA72A09"/>
    <w:rsid w:val="0DB37DDE"/>
    <w:rsid w:val="0DB625E6"/>
    <w:rsid w:val="0DB73492"/>
    <w:rsid w:val="0DCC0013"/>
    <w:rsid w:val="0DEA524F"/>
    <w:rsid w:val="0DF504D7"/>
    <w:rsid w:val="0E5B71DD"/>
    <w:rsid w:val="0E5D6265"/>
    <w:rsid w:val="0E72608C"/>
    <w:rsid w:val="0E7B1859"/>
    <w:rsid w:val="0E892615"/>
    <w:rsid w:val="0E8F755A"/>
    <w:rsid w:val="0E9561D6"/>
    <w:rsid w:val="0E970358"/>
    <w:rsid w:val="0ED86CE5"/>
    <w:rsid w:val="0EE00B89"/>
    <w:rsid w:val="0EF67C78"/>
    <w:rsid w:val="0EF83413"/>
    <w:rsid w:val="0EF905F3"/>
    <w:rsid w:val="0F0648FB"/>
    <w:rsid w:val="0F100B8E"/>
    <w:rsid w:val="0F5321A3"/>
    <w:rsid w:val="0F677BC0"/>
    <w:rsid w:val="0F6B461F"/>
    <w:rsid w:val="0F6D4E58"/>
    <w:rsid w:val="0F71557E"/>
    <w:rsid w:val="0F8575FB"/>
    <w:rsid w:val="0F974FD7"/>
    <w:rsid w:val="0FCD5301"/>
    <w:rsid w:val="0FD221B2"/>
    <w:rsid w:val="0FE26A63"/>
    <w:rsid w:val="0FF8220B"/>
    <w:rsid w:val="0FFD23E5"/>
    <w:rsid w:val="100415DC"/>
    <w:rsid w:val="100F75E5"/>
    <w:rsid w:val="10327C7C"/>
    <w:rsid w:val="10392EAE"/>
    <w:rsid w:val="10455440"/>
    <w:rsid w:val="10480E2B"/>
    <w:rsid w:val="1049183E"/>
    <w:rsid w:val="104F676C"/>
    <w:rsid w:val="10631905"/>
    <w:rsid w:val="10706EC2"/>
    <w:rsid w:val="107F1F9D"/>
    <w:rsid w:val="108A7775"/>
    <w:rsid w:val="10E02E12"/>
    <w:rsid w:val="10EC6A7E"/>
    <w:rsid w:val="10F92BA2"/>
    <w:rsid w:val="113A6980"/>
    <w:rsid w:val="11617F02"/>
    <w:rsid w:val="116209F9"/>
    <w:rsid w:val="11625F1D"/>
    <w:rsid w:val="11647622"/>
    <w:rsid w:val="11672873"/>
    <w:rsid w:val="116D04A8"/>
    <w:rsid w:val="119B39AA"/>
    <w:rsid w:val="11AE1F19"/>
    <w:rsid w:val="11BD5C6E"/>
    <w:rsid w:val="11E132E5"/>
    <w:rsid w:val="11E740D3"/>
    <w:rsid w:val="11F27D2E"/>
    <w:rsid w:val="122D487F"/>
    <w:rsid w:val="1233442A"/>
    <w:rsid w:val="12521FD1"/>
    <w:rsid w:val="12620288"/>
    <w:rsid w:val="12662974"/>
    <w:rsid w:val="12807280"/>
    <w:rsid w:val="12A33F0A"/>
    <w:rsid w:val="12AB1C90"/>
    <w:rsid w:val="12AC437F"/>
    <w:rsid w:val="12AC5C99"/>
    <w:rsid w:val="12E12E99"/>
    <w:rsid w:val="12F10EF7"/>
    <w:rsid w:val="12F43F1A"/>
    <w:rsid w:val="13145EEE"/>
    <w:rsid w:val="134F3575"/>
    <w:rsid w:val="136163A6"/>
    <w:rsid w:val="13764091"/>
    <w:rsid w:val="13765492"/>
    <w:rsid w:val="13B5316D"/>
    <w:rsid w:val="13B63DD5"/>
    <w:rsid w:val="13CD65B1"/>
    <w:rsid w:val="13EA169A"/>
    <w:rsid w:val="140B70EB"/>
    <w:rsid w:val="14176E45"/>
    <w:rsid w:val="14257D8E"/>
    <w:rsid w:val="148463E6"/>
    <w:rsid w:val="14A2711D"/>
    <w:rsid w:val="14B23F9A"/>
    <w:rsid w:val="14BD7730"/>
    <w:rsid w:val="14D20D9B"/>
    <w:rsid w:val="14ED6FC2"/>
    <w:rsid w:val="15266C1F"/>
    <w:rsid w:val="152737A1"/>
    <w:rsid w:val="15736C9C"/>
    <w:rsid w:val="15804BFA"/>
    <w:rsid w:val="159863B1"/>
    <w:rsid w:val="159965F1"/>
    <w:rsid w:val="159E5424"/>
    <w:rsid w:val="15A06FFD"/>
    <w:rsid w:val="15A72BED"/>
    <w:rsid w:val="15C154FF"/>
    <w:rsid w:val="15CC1BB7"/>
    <w:rsid w:val="15D73BFE"/>
    <w:rsid w:val="15DE6F4A"/>
    <w:rsid w:val="15EB4DA8"/>
    <w:rsid w:val="15FA6F4E"/>
    <w:rsid w:val="1621170E"/>
    <w:rsid w:val="16267D89"/>
    <w:rsid w:val="162E3A67"/>
    <w:rsid w:val="16421670"/>
    <w:rsid w:val="16802CB5"/>
    <w:rsid w:val="168F67BD"/>
    <w:rsid w:val="1694674B"/>
    <w:rsid w:val="169C1AEB"/>
    <w:rsid w:val="16AC2B06"/>
    <w:rsid w:val="16BC1C2B"/>
    <w:rsid w:val="16C77CF4"/>
    <w:rsid w:val="16D96D98"/>
    <w:rsid w:val="16EC0CD5"/>
    <w:rsid w:val="16FB52F2"/>
    <w:rsid w:val="17062708"/>
    <w:rsid w:val="170A2ACD"/>
    <w:rsid w:val="171001C9"/>
    <w:rsid w:val="17132AEA"/>
    <w:rsid w:val="17355EC2"/>
    <w:rsid w:val="174D7076"/>
    <w:rsid w:val="175265FC"/>
    <w:rsid w:val="175823D6"/>
    <w:rsid w:val="17772910"/>
    <w:rsid w:val="178B6063"/>
    <w:rsid w:val="179A54EF"/>
    <w:rsid w:val="17A34A25"/>
    <w:rsid w:val="17A37FC3"/>
    <w:rsid w:val="17C57F05"/>
    <w:rsid w:val="17E458DD"/>
    <w:rsid w:val="17EC5EFF"/>
    <w:rsid w:val="17FB43E7"/>
    <w:rsid w:val="1806106E"/>
    <w:rsid w:val="181C3304"/>
    <w:rsid w:val="18235C06"/>
    <w:rsid w:val="182C4E57"/>
    <w:rsid w:val="182F5C8F"/>
    <w:rsid w:val="18355C33"/>
    <w:rsid w:val="18400792"/>
    <w:rsid w:val="184E67D0"/>
    <w:rsid w:val="1850765B"/>
    <w:rsid w:val="1854459C"/>
    <w:rsid w:val="185A295C"/>
    <w:rsid w:val="18603A2C"/>
    <w:rsid w:val="187219FE"/>
    <w:rsid w:val="187E7A7B"/>
    <w:rsid w:val="18851EA2"/>
    <w:rsid w:val="188F2CD2"/>
    <w:rsid w:val="18A330EA"/>
    <w:rsid w:val="18A65827"/>
    <w:rsid w:val="18B21069"/>
    <w:rsid w:val="18B501D5"/>
    <w:rsid w:val="18B91D2B"/>
    <w:rsid w:val="18BB5F89"/>
    <w:rsid w:val="18C40414"/>
    <w:rsid w:val="18CA5C97"/>
    <w:rsid w:val="18E17121"/>
    <w:rsid w:val="18E838B9"/>
    <w:rsid w:val="18FD6D49"/>
    <w:rsid w:val="190064FD"/>
    <w:rsid w:val="19107228"/>
    <w:rsid w:val="19435745"/>
    <w:rsid w:val="194A053B"/>
    <w:rsid w:val="194F0D00"/>
    <w:rsid w:val="1953527B"/>
    <w:rsid w:val="1962012A"/>
    <w:rsid w:val="19682818"/>
    <w:rsid w:val="196D6A4E"/>
    <w:rsid w:val="197467ED"/>
    <w:rsid w:val="19794664"/>
    <w:rsid w:val="197C4DC3"/>
    <w:rsid w:val="19893DF4"/>
    <w:rsid w:val="1998698A"/>
    <w:rsid w:val="199A1177"/>
    <w:rsid w:val="199D59EC"/>
    <w:rsid w:val="19A73941"/>
    <w:rsid w:val="19AC7318"/>
    <w:rsid w:val="19B14A6C"/>
    <w:rsid w:val="19B2683A"/>
    <w:rsid w:val="19B57D86"/>
    <w:rsid w:val="19B71C72"/>
    <w:rsid w:val="19BA0374"/>
    <w:rsid w:val="19C158A2"/>
    <w:rsid w:val="19DB28FC"/>
    <w:rsid w:val="19F64A65"/>
    <w:rsid w:val="1A023528"/>
    <w:rsid w:val="1A031FD2"/>
    <w:rsid w:val="1A152310"/>
    <w:rsid w:val="1A1D3D87"/>
    <w:rsid w:val="1A332E63"/>
    <w:rsid w:val="1A60180F"/>
    <w:rsid w:val="1A665AE7"/>
    <w:rsid w:val="1A6A6D44"/>
    <w:rsid w:val="1A817123"/>
    <w:rsid w:val="1A820650"/>
    <w:rsid w:val="1A8C5323"/>
    <w:rsid w:val="1A9B08A5"/>
    <w:rsid w:val="1ABF6FE8"/>
    <w:rsid w:val="1AD84F90"/>
    <w:rsid w:val="1ADD0D20"/>
    <w:rsid w:val="1AE35F1B"/>
    <w:rsid w:val="1AFF201C"/>
    <w:rsid w:val="1B1A198B"/>
    <w:rsid w:val="1B274F60"/>
    <w:rsid w:val="1B2C569C"/>
    <w:rsid w:val="1B3B7A3D"/>
    <w:rsid w:val="1B403FF2"/>
    <w:rsid w:val="1B706A5F"/>
    <w:rsid w:val="1B801845"/>
    <w:rsid w:val="1BCA25D5"/>
    <w:rsid w:val="1BD61BB8"/>
    <w:rsid w:val="1C093ECB"/>
    <w:rsid w:val="1C172075"/>
    <w:rsid w:val="1C266F58"/>
    <w:rsid w:val="1C300295"/>
    <w:rsid w:val="1C3524DA"/>
    <w:rsid w:val="1C3C69B6"/>
    <w:rsid w:val="1C57171C"/>
    <w:rsid w:val="1C6F553E"/>
    <w:rsid w:val="1C75795E"/>
    <w:rsid w:val="1C7749D1"/>
    <w:rsid w:val="1C7A6810"/>
    <w:rsid w:val="1C966F99"/>
    <w:rsid w:val="1CAF15DF"/>
    <w:rsid w:val="1CBD4F4F"/>
    <w:rsid w:val="1CCE0D4C"/>
    <w:rsid w:val="1CE43D62"/>
    <w:rsid w:val="1CE4433A"/>
    <w:rsid w:val="1CE847B6"/>
    <w:rsid w:val="1CFD5CD5"/>
    <w:rsid w:val="1D0A5940"/>
    <w:rsid w:val="1D2C1131"/>
    <w:rsid w:val="1D2D7103"/>
    <w:rsid w:val="1D2E343F"/>
    <w:rsid w:val="1D3669F9"/>
    <w:rsid w:val="1D43516A"/>
    <w:rsid w:val="1D576962"/>
    <w:rsid w:val="1DA71417"/>
    <w:rsid w:val="1DB66401"/>
    <w:rsid w:val="1DC419F5"/>
    <w:rsid w:val="1DE62F8D"/>
    <w:rsid w:val="1DFB0481"/>
    <w:rsid w:val="1E0A270D"/>
    <w:rsid w:val="1E303F87"/>
    <w:rsid w:val="1E376197"/>
    <w:rsid w:val="1E3D5E86"/>
    <w:rsid w:val="1E3F4285"/>
    <w:rsid w:val="1E596A41"/>
    <w:rsid w:val="1E640B8E"/>
    <w:rsid w:val="1E6E4153"/>
    <w:rsid w:val="1E8C3C41"/>
    <w:rsid w:val="1E9A4F48"/>
    <w:rsid w:val="1E9D6C46"/>
    <w:rsid w:val="1EA35B1D"/>
    <w:rsid w:val="1EC52C81"/>
    <w:rsid w:val="1EE47F9A"/>
    <w:rsid w:val="1EE84AA8"/>
    <w:rsid w:val="1EF24495"/>
    <w:rsid w:val="1F030917"/>
    <w:rsid w:val="1F131C0C"/>
    <w:rsid w:val="1F143134"/>
    <w:rsid w:val="1F175F0B"/>
    <w:rsid w:val="1F6A0842"/>
    <w:rsid w:val="1FA1137B"/>
    <w:rsid w:val="1FA85FD8"/>
    <w:rsid w:val="1FCE6CC8"/>
    <w:rsid w:val="1FDF72B6"/>
    <w:rsid w:val="1FE30229"/>
    <w:rsid w:val="1FE521F3"/>
    <w:rsid w:val="1FF760A6"/>
    <w:rsid w:val="202E0E59"/>
    <w:rsid w:val="203A39DB"/>
    <w:rsid w:val="2046714E"/>
    <w:rsid w:val="20604D66"/>
    <w:rsid w:val="206E30A7"/>
    <w:rsid w:val="20726F64"/>
    <w:rsid w:val="2079293B"/>
    <w:rsid w:val="20797F13"/>
    <w:rsid w:val="20842233"/>
    <w:rsid w:val="208B4B0C"/>
    <w:rsid w:val="20925798"/>
    <w:rsid w:val="20AA7CFD"/>
    <w:rsid w:val="20B644BB"/>
    <w:rsid w:val="20B96156"/>
    <w:rsid w:val="20BD69C7"/>
    <w:rsid w:val="20E1183E"/>
    <w:rsid w:val="20EA10BB"/>
    <w:rsid w:val="20FA503B"/>
    <w:rsid w:val="211B6DAF"/>
    <w:rsid w:val="212145AC"/>
    <w:rsid w:val="21217C6B"/>
    <w:rsid w:val="21296180"/>
    <w:rsid w:val="21360CCA"/>
    <w:rsid w:val="214F472F"/>
    <w:rsid w:val="21615478"/>
    <w:rsid w:val="216C45DC"/>
    <w:rsid w:val="217B5D66"/>
    <w:rsid w:val="217E030E"/>
    <w:rsid w:val="21822C84"/>
    <w:rsid w:val="21837DBF"/>
    <w:rsid w:val="2192051E"/>
    <w:rsid w:val="21980209"/>
    <w:rsid w:val="21BA460B"/>
    <w:rsid w:val="21C150AA"/>
    <w:rsid w:val="21D564EB"/>
    <w:rsid w:val="21EF792F"/>
    <w:rsid w:val="21FD745F"/>
    <w:rsid w:val="223374AD"/>
    <w:rsid w:val="22407BB4"/>
    <w:rsid w:val="225E0C1A"/>
    <w:rsid w:val="225E1181"/>
    <w:rsid w:val="228447E5"/>
    <w:rsid w:val="22AC1C94"/>
    <w:rsid w:val="22D60FBA"/>
    <w:rsid w:val="22F51F6F"/>
    <w:rsid w:val="231A0080"/>
    <w:rsid w:val="231B474B"/>
    <w:rsid w:val="233169B6"/>
    <w:rsid w:val="23323568"/>
    <w:rsid w:val="23366EC2"/>
    <w:rsid w:val="23395713"/>
    <w:rsid w:val="23424F53"/>
    <w:rsid w:val="23485451"/>
    <w:rsid w:val="236E14E2"/>
    <w:rsid w:val="236E28C1"/>
    <w:rsid w:val="23882149"/>
    <w:rsid w:val="238D2FD7"/>
    <w:rsid w:val="239C2661"/>
    <w:rsid w:val="23A43CA5"/>
    <w:rsid w:val="23AF3F5D"/>
    <w:rsid w:val="23B2716A"/>
    <w:rsid w:val="23BC57C3"/>
    <w:rsid w:val="23C05610"/>
    <w:rsid w:val="24073ECB"/>
    <w:rsid w:val="240A5C3D"/>
    <w:rsid w:val="242379FA"/>
    <w:rsid w:val="244666CC"/>
    <w:rsid w:val="24504727"/>
    <w:rsid w:val="24621793"/>
    <w:rsid w:val="248D10AB"/>
    <w:rsid w:val="24C724C9"/>
    <w:rsid w:val="24C93BD0"/>
    <w:rsid w:val="24D31FAA"/>
    <w:rsid w:val="24F42ED8"/>
    <w:rsid w:val="250F7D12"/>
    <w:rsid w:val="25103859"/>
    <w:rsid w:val="251B2969"/>
    <w:rsid w:val="254E083A"/>
    <w:rsid w:val="254E526C"/>
    <w:rsid w:val="255C5FB0"/>
    <w:rsid w:val="256D1080"/>
    <w:rsid w:val="257707D6"/>
    <w:rsid w:val="258424AE"/>
    <w:rsid w:val="25BA0970"/>
    <w:rsid w:val="25BD3E65"/>
    <w:rsid w:val="25C30105"/>
    <w:rsid w:val="25C75866"/>
    <w:rsid w:val="25E62821"/>
    <w:rsid w:val="25F76FA7"/>
    <w:rsid w:val="25FA1FBC"/>
    <w:rsid w:val="26141651"/>
    <w:rsid w:val="261F13EC"/>
    <w:rsid w:val="2623235F"/>
    <w:rsid w:val="26240B57"/>
    <w:rsid w:val="262837BC"/>
    <w:rsid w:val="264703AD"/>
    <w:rsid w:val="26716420"/>
    <w:rsid w:val="26741DCF"/>
    <w:rsid w:val="269E1BFC"/>
    <w:rsid w:val="26CE22D8"/>
    <w:rsid w:val="26D2304D"/>
    <w:rsid w:val="270175B6"/>
    <w:rsid w:val="270D179B"/>
    <w:rsid w:val="27256A91"/>
    <w:rsid w:val="27446E7B"/>
    <w:rsid w:val="276E0D20"/>
    <w:rsid w:val="277E1E75"/>
    <w:rsid w:val="278A06CE"/>
    <w:rsid w:val="27AD1EDB"/>
    <w:rsid w:val="27DB4E90"/>
    <w:rsid w:val="27F865FE"/>
    <w:rsid w:val="280070DA"/>
    <w:rsid w:val="28161004"/>
    <w:rsid w:val="281C0B58"/>
    <w:rsid w:val="281C7957"/>
    <w:rsid w:val="281F5186"/>
    <w:rsid w:val="283C6668"/>
    <w:rsid w:val="28493303"/>
    <w:rsid w:val="28503DBB"/>
    <w:rsid w:val="286F68E1"/>
    <w:rsid w:val="288021B7"/>
    <w:rsid w:val="28956169"/>
    <w:rsid w:val="28C31858"/>
    <w:rsid w:val="28C3509B"/>
    <w:rsid w:val="29550DA3"/>
    <w:rsid w:val="295C701F"/>
    <w:rsid w:val="296B45CF"/>
    <w:rsid w:val="29700849"/>
    <w:rsid w:val="29761CEF"/>
    <w:rsid w:val="29AE1A67"/>
    <w:rsid w:val="29C5431C"/>
    <w:rsid w:val="29D148D0"/>
    <w:rsid w:val="29E72B2B"/>
    <w:rsid w:val="29FA4D75"/>
    <w:rsid w:val="2A095C54"/>
    <w:rsid w:val="2A351FC9"/>
    <w:rsid w:val="2A4A740A"/>
    <w:rsid w:val="2A522DD9"/>
    <w:rsid w:val="2A5230BE"/>
    <w:rsid w:val="2A6B2924"/>
    <w:rsid w:val="2A7E3970"/>
    <w:rsid w:val="2A9A09CF"/>
    <w:rsid w:val="2AA079B5"/>
    <w:rsid w:val="2AAC5BBE"/>
    <w:rsid w:val="2AB56936"/>
    <w:rsid w:val="2AC803DC"/>
    <w:rsid w:val="2AC84AAE"/>
    <w:rsid w:val="2ACB14A0"/>
    <w:rsid w:val="2ADC0696"/>
    <w:rsid w:val="2AED60B9"/>
    <w:rsid w:val="2AEF7B6B"/>
    <w:rsid w:val="2AF04F2D"/>
    <w:rsid w:val="2AF155B9"/>
    <w:rsid w:val="2B1062E1"/>
    <w:rsid w:val="2B227912"/>
    <w:rsid w:val="2B2952E9"/>
    <w:rsid w:val="2B384847"/>
    <w:rsid w:val="2B3B53BD"/>
    <w:rsid w:val="2B4D6E9E"/>
    <w:rsid w:val="2B520F75"/>
    <w:rsid w:val="2B6B2A69"/>
    <w:rsid w:val="2B807273"/>
    <w:rsid w:val="2B946DAC"/>
    <w:rsid w:val="2BA1630A"/>
    <w:rsid w:val="2BA51F71"/>
    <w:rsid w:val="2BAE2F3D"/>
    <w:rsid w:val="2BB15E44"/>
    <w:rsid w:val="2BC0124A"/>
    <w:rsid w:val="2BF15C52"/>
    <w:rsid w:val="2BF42957"/>
    <w:rsid w:val="2BFC108D"/>
    <w:rsid w:val="2BFE6871"/>
    <w:rsid w:val="2C1774A5"/>
    <w:rsid w:val="2C181807"/>
    <w:rsid w:val="2C1A0BC8"/>
    <w:rsid w:val="2C24080B"/>
    <w:rsid w:val="2C391165"/>
    <w:rsid w:val="2C4C1FA5"/>
    <w:rsid w:val="2C5C3F49"/>
    <w:rsid w:val="2C9E4611"/>
    <w:rsid w:val="2CAB0A08"/>
    <w:rsid w:val="2CB96BFC"/>
    <w:rsid w:val="2CC52D77"/>
    <w:rsid w:val="2CC67A84"/>
    <w:rsid w:val="2CD029CD"/>
    <w:rsid w:val="2CD755B9"/>
    <w:rsid w:val="2CF558CB"/>
    <w:rsid w:val="2CFC00F6"/>
    <w:rsid w:val="2D050FDF"/>
    <w:rsid w:val="2D0A65F4"/>
    <w:rsid w:val="2D247B4D"/>
    <w:rsid w:val="2D2A66AC"/>
    <w:rsid w:val="2D2D2ACF"/>
    <w:rsid w:val="2D340194"/>
    <w:rsid w:val="2D535831"/>
    <w:rsid w:val="2D552D19"/>
    <w:rsid w:val="2D5917BE"/>
    <w:rsid w:val="2D6D6CFA"/>
    <w:rsid w:val="2D84684A"/>
    <w:rsid w:val="2D9564C8"/>
    <w:rsid w:val="2D967336"/>
    <w:rsid w:val="2DAD2704"/>
    <w:rsid w:val="2DAF6485"/>
    <w:rsid w:val="2DB82D9A"/>
    <w:rsid w:val="2DC1674C"/>
    <w:rsid w:val="2E1616AE"/>
    <w:rsid w:val="2E324BF5"/>
    <w:rsid w:val="2E3842C7"/>
    <w:rsid w:val="2E7876D2"/>
    <w:rsid w:val="2E88238B"/>
    <w:rsid w:val="2E893DF4"/>
    <w:rsid w:val="2E8D2344"/>
    <w:rsid w:val="2EA27968"/>
    <w:rsid w:val="2EA652C9"/>
    <w:rsid w:val="2EFB2AAB"/>
    <w:rsid w:val="2F0A063A"/>
    <w:rsid w:val="2F2660AC"/>
    <w:rsid w:val="2F2E6969"/>
    <w:rsid w:val="2F4C3BFD"/>
    <w:rsid w:val="2F537857"/>
    <w:rsid w:val="2F583F83"/>
    <w:rsid w:val="2F587383"/>
    <w:rsid w:val="2F603644"/>
    <w:rsid w:val="2F8325A5"/>
    <w:rsid w:val="2F90386C"/>
    <w:rsid w:val="2F90608B"/>
    <w:rsid w:val="2F945898"/>
    <w:rsid w:val="2FAC068E"/>
    <w:rsid w:val="2FB84779"/>
    <w:rsid w:val="2FBE0C3D"/>
    <w:rsid w:val="2FC65CF2"/>
    <w:rsid w:val="2FCC3E3E"/>
    <w:rsid w:val="2FE27D3F"/>
    <w:rsid w:val="2FE92495"/>
    <w:rsid w:val="2FEF4A12"/>
    <w:rsid w:val="300D5DF2"/>
    <w:rsid w:val="30135712"/>
    <w:rsid w:val="30143D85"/>
    <w:rsid w:val="301B15E5"/>
    <w:rsid w:val="303E2548"/>
    <w:rsid w:val="305B2E68"/>
    <w:rsid w:val="307013D5"/>
    <w:rsid w:val="30DA7C66"/>
    <w:rsid w:val="30DD6F16"/>
    <w:rsid w:val="30F24435"/>
    <w:rsid w:val="3108548D"/>
    <w:rsid w:val="311B2CAC"/>
    <w:rsid w:val="313B1992"/>
    <w:rsid w:val="314C1ADD"/>
    <w:rsid w:val="314E3C43"/>
    <w:rsid w:val="31576859"/>
    <w:rsid w:val="315B7DCF"/>
    <w:rsid w:val="31721AE9"/>
    <w:rsid w:val="31752B09"/>
    <w:rsid w:val="318167BE"/>
    <w:rsid w:val="31883BE4"/>
    <w:rsid w:val="319C7FD7"/>
    <w:rsid w:val="31A534FE"/>
    <w:rsid w:val="31CC7DB0"/>
    <w:rsid w:val="31D6395D"/>
    <w:rsid w:val="31E20C47"/>
    <w:rsid w:val="31E25F04"/>
    <w:rsid w:val="31E622F4"/>
    <w:rsid w:val="32036508"/>
    <w:rsid w:val="320F27A2"/>
    <w:rsid w:val="321011D8"/>
    <w:rsid w:val="32140631"/>
    <w:rsid w:val="32181B6E"/>
    <w:rsid w:val="32224886"/>
    <w:rsid w:val="322E5C7B"/>
    <w:rsid w:val="32541BEC"/>
    <w:rsid w:val="325637CC"/>
    <w:rsid w:val="32770F72"/>
    <w:rsid w:val="328164FC"/>
    <w:rsid w:val="32AF5545"/>
    <w:rsid w:val="32B142EF"/>
    <w:rsid w:val="32DF7D19"/>
    <w:rsid w:val="32EB0FB4"/>
    <w:rsid w:val="32ED1A20"/>
    <w:rsid w:val="32FA333E"/>
    <w:rsid w:val="33116103"/>
    <w:rsid w:val="331F6FA3"/>
    <w:rsid w:val="333741F8"/>
    <w:rsid w:val="33374D40"/>
    <w:rsid w:val="333762D8"/>
    <w:rsid w:val="334F65EC"/>
    <w:rsid w:val="33767E61"/>
    <w:rsid w:val="33821920"/>
    <w:rsid w:val="338378D6"/>
    <w:rsid w:val="33954620"/>
    <w:rsid w:val="33AE225C"/>
    <w:rsid w:val="33D116DB"/>
    <w:rsid w:val="33D237F6"/>
    <w:rsid w:val="33E40F52"/>
    <w:rsid w:val="33E92F26"/>
    <w:rsid w:val="33F93D56"/>
    <w:rsid w:val="33FC5FC5"/>
    <w:rsid w:val="341548E3"/>
    <w:rsid w:val="341B025E"/>
    <w:rsid w:val="341E368C"/>
    <w:rsid w:val="34370F49"/>
    <w:rsid w:val="34676710"/>
    <w:rsid w:val="346B1430"/>
    <w:rsid w:val="346C6723"/>
    <w:rsid w:val="34A03B47"/>
    <w:rsid w:val="34A704F3"/>
    <w:rsid w:val="34AB2BEB"/>
    <w:rsid w:val="34AB326B"/>
    <w:rsid w:val="34AB3C19"/>
    <w:rsid w:val="34BD5371"/>
    <w:rsid w:val="34BD5EBA"/>
    <w:rsid w:val="34C25A22"/>
    <w:rsid w:val="34C658AE"/>
    <w:rsid w:val="34D1732D"/>
    <w:rsid w:val="34D22520"/>
    <w:rsid w:val="34E546C0"/>
    <w:rsid w:val="3507526D"/>
    <w:rsid w:val="350D46DE"/>
    <w:rsid w:val="35171FD4"/>
    <w:rsid w:val="35204498"/>
    <w:rsid w:val="35223B4B"/>
    <w:rsid w:val="35354043"/>
    <w:rsid w:val="354135C5"/>
    <w:rsid w:val="35415CC5"/>
    <w:rsid w:val="354A335A"/>
    <w:rsid w:val="354B379E"/>
    <w:rsid w:val="355E75DD"/>
    <w:rsid w:val="35765E42"/>
    <w:rsid w:val="357F37E4"/>
    <w:rsid w:val="35A76478"/>
    <w:rsid w:val="35D271A0"/>
    <w:rsid w:val="36230503"/>
    <w:rsid w:val="36254886"/>
    <w:rsid w:val="3628478F"/>
    <w:rsid w:val="362B0499"/>
    <w:rsid w:val="365C6BE9"/>
    <w:rsid w:val="366B493E"/>
    <w:rsid w:val="367E2988"/>
    <w:rsid w:val="369E052B"/>
    <w:rsid w:val="36AD57D9"/>
    <w:rsid w:val="36B5516B"/>
    <w:rsid w:val="36BC43BC"/>
    <w:rsid w:val="36BD18C6"/>
    <w:rsid w:val="36C62117"/>
    <w:rsid w:val="36C92839"/>
    <w:rsid w:val="36D96467"/>
    <w:rsid w:val="370F16D6"/>
    <w:rsid w:val="371E2ABD"/>
    <w:rsid w:val="37345C09"/>
    <w:rsid w:val="373D7800"/>
    <w:rsid w:val="37424D9B"/>
    <w:rsid w:val="374767A1"/>
    <w:rsid w:val="375357D8"/>
    <w:rsid w:val="37712A39"/>
    <w:rsid w:val="377B74B6"/>
    <w:rsid w:val="377C4239"/>
    <w:rsid w:val="377C6A88"/>
    <w:rsid w:val="378A6A48"/>
    <w:rsid w:val="37901CF0"/>
    <w:rsid w:val="379C495A"/>
    <w:rsid w:val="37A8415B"/>
    <w:rsid w:val="37C27C02"/>
    <w:rsid w:val="37E12165"/>
    <w:rsid w:val="37ED442B"/>
    <w:rsid w:val="37EF2081"/>
    <w:rsid w:val="38057780"/>
    <w:rsid w:val="38254EA2"/>
    <w:rsid w:val="382B0481"/>
    <w:rsid w:val="382F5D5E"/>
    <w:rsid w:val="383C2A01"/>
    <w:rsid w:val="384E318B"/>
    <w:rsid w:val="384F3B36"/>
    <w:rsid w:val="3862034D"/>
    <w:rsid w:val="387C3EF0"/>
    <w:rsid w:val="38930034"/>
    <w:rsid w:val="38A70F1B"/>
    <w:rsid w:val="38C0108B"/>
    <w:rsid w:val="39007C46"/>
    <w:rsid w:val="390C3C2C"/>
    <w:rsid w:val="39100D52"/>
    <w:rsid w:val="391264F2"/>
    <w:rsid w:val="391D2B72"/>
    <w:rsid w:val="395B3791"/>
    <w:rsid w:val="39987FE8"/>
    <w:rsid w:val="39A97762"/>
    <w:rsid w:val="39B36B4A"/>
    <w:rsid w:val="39BF365D"/>
    <w:rsid w:val="39EB0A96"/>
    <w:rsid w:val="39F06458"/>
    <w:rsid w:val="3A093F85"/>
    <w:rsid w:val="3A1C69D0"/>
    <w:rsid w:val="3A247BB8"/>
    <w:rsid w:val="3A3A243F"/>
    <w:rsid w:val="3A403E2C"/>
    <w:rsid w:val="3A9C4318"/>
    <w:rsid w:val="3AC23905"/>
    <w:rsid w:val="3ACC060E"/>
    <w:rsid w:val="3AE47DFB"/>
    <w:rsid w:val="3AE50133"/>
    <w:rsid w:val="3AEF5C77"/>
    <w:rsid w:val="3AF22E8E"/>
    <w:rsid w:val="3B142CA0"/>
    <w:rsid w:val="3B1D1E68"/>
    <w:rsid w:val="3B2621E7"/>
    <w:rsid w:val="3B345EA5"/>
    <w:rsid w:val="3B34629D"/>
    <w:rsid w:val="3B5E190D"/>
    <w:rsid w:val="3B927B77"/>
    <w:rsid w:val="3BAF51F7"/>
    <w:rsid w:val="3BB75CAB"/>
    <w:rsid w:val="3BC74C1D"/>
    <w:rsid w:val="3BF176F6"/>
    <w:rsid w:val="3C052957"/>
    <w:rsid w:val="3C0767A7"/>
    <w:rsid w:val="3C225DD2"/>
    <w:rsid w:val="3C247C3C"/>
    <w:rsid w:val="3C2761EF"/>
    <w:rsid w:val="3C2D6F1A"/>
    <w:rsid w:val="3C487FF6"/>
    <w:rsid w:val="3C51571B"/>
    <w:rsid w:val="3C59609C"/>
    <w:rsid w:val="3C804FA5"/>
    <w:rsid w:val="3C8471CD"/>
    <w:rsid w:val="3C8C6A7E"/>
    <w:rsid w:val="3CA043ED"/>
    <w:rsid w:val="3CBB5AF8"/>
    <w:rsid w:val="3CD446E5"/>
    <w:rsid w:val="3CE11EBA"/>
    <w:rsid w:val="3CE5417C"/>
    <w:rsid w:val="3CEA45B2"/>
    <w:rsid w:val="3D2322D4"/>
    <w:rsid w:val="3D64069B"/>
    <w:rsid w:val="3D653E5D"/>
    <w:rsid w:val="3D675C77"/>
    <w:rsid w:val="3D6A3A62"/>
    <w:rsid w:val="3D6F7549"/>
    <w:rsid w:val="3D83006A"/>
    <w:rsid w:val="3D8C7B5A"/>
    <w:rsid w:val="3D950774"/>
    <w:rsid w:val="3D995F73"/>
    <w:rsid w:val="3DA33E63"/>
    <w:rsid w:val="3DB531EC"/>
    <w:rsid w:val="3DBF7131"/>
    <w:rsid w:val="3DC610E6"/>
    <w:rsid w:val="3DC963B5"/>
    <w:rsid w:val="3DE14804"/>
    <w:rsid w:val="3DF23514"/>
    <w:rsid w:val="3E052699"/>
    <w:rsid w:val="3E4354B8"/>
    <w:rsid w:val="3E570F61"/>
    <w:rsid w:val="3E7E67CB"/>
    <w:rsid w:val="3E863273"/>
    <w:rsid w:val="3E8F6541"/>
    <w:rsid w:val="3EAC0BAE"/>
    <w:rsid w:val="3EB44ADB"/>
    <w:rsid w:val="3EB72A1D"/>
    <w:rsid w:val="3EC453E3"/>
    <w:rsid w:val="3EDD0C8D"/>
    <w:rsid w:val="3EE02797"/>
    <w:rsid w:val="3F052175"/>
    <w:rsid w:val="3F0D01A2"/>
    <w:rsid w:val="3F0D3A65"/>
    <w:rsid w:val="3F5E430F"/>
    <w:rsid w:val="3F740A54"/>
    <w:rsid w:val="3F9C2016"/>
    <w:rsid w:val="401E7F5D"/>
    <w:rsid w:val="4024035F"/>
    <w:rsid w:val="40312C29"/>
    <w:rsid w:val="404A661B"/>
    <w:rsid w:val="40654C3D"/>
    <w:rsid w:val="40741A2F"/>
    <w:rsid w:val="40774DD8"/>
    <w:rsid w:val="407C439F"/>
    <w:rsid w:val="408F47A3"/>
    <w:rsid w:val="40DA4257"/>
    <w:rsid w:val="40E918A0"/>
    <w:rsid w:val="40F34E94"/>
    <w:rsid w:val="40FC6F44"/>
    <w:rsid w:val="41062A75"/>
    <w:rsid w:val="41121A65"/>
    <w:rsid w:val="411D4AE9"/>
    <w:rsid w:val="412070D7"/>
    <w:rsid w:val="412226F6"/>
    <w:rsid w:val="4137444B"/>
    <w:rsid w:val="413E633E"/>
    <w:rsid w:val="416326F1"/>
    <w:rsid w:val="41662173"/>
    <w:rsid w:val="416B79B4"/>
    <w:rsid w:val="41B22415"/>
    <w:rsid w:val="41C40CB5"/>
    <w:rsid w:val="41DC0B96"/>
    <w:rsid w:val="41DC0BC6"/>
    <w:rsid w:val="41EC2FE6"/>
    <w:rsid w:val="4221669C"/>
    <w:rsid w:val="42235687"/>
    <w:rsid w:val="423F44FE"/>
    <w:rsid w:val="42665C2B"/>
    <w:rsid w:val="427177FC"/>
    <w:rsid w:val="42862797"/>
    <w:rsid w:val="42867CCF"/>
    <w:rsid w:val="428A13CD"/>
    <w:rsid w:val="429A5FDB"/>
    <w:rsid w:val="42DC0480"/>
    <w:rsid w:val="42ED1682"/>
    <w:rsid w:val="42F60FDF"/>
    <w:rsid w:val="43036342"/>
    <w:rsid w:val="432724B1"/>
    <w:rsid w:val="43332B98"/>
    <w:rsid w:val="43351F2A"/>
    <w:rsid w:val="433D1546"/>
    <w:rsid w:val="437E09D9"/>
    <w:rsid w:val="43952F6B"/>
    <w:rsid w:val="43BA6E91"/>
    <w:rsid w:val="43BB0C9A"/>
    <w:rsid w:val="43C94D23"/>
    <w:rsid w:val="43DB36BB"/>
    <w:rsid w:val="43F5066D"/>
    <w:rsid w:val="440123D2"/>
    <w:rsid w:val="44112B59"/>
    <w:rsid w:val="441870DB"/>
    <w:rsid w:val="442034F6"/>
    <w:rsid w:val="4424396F"/>
    <w:rsid w:val="44251601"/>
    <w:rsid w:val="442C0C55"/>
    <w:rsid w:val="44351ADA"/>
    <w:rsid w:val="44461B08"/>
    <w:rsid w:val="44596DA5"/>
    <w:rsid w:val="44683A0C"/>
    <w:rsid w:val="446E7B66"/>
    <w:rsid w:val="447E4B46"/>
    <w:rsid w:val="4487548A"/>
    <w:rsid w:val="449016B5"/>
    <w:rsid w:val="44AC62A0"/>
    <w:rsid w:val="44C17A0F"/>
    <w:rsid w:val="44E5795A"/>
    <w:rsid w:val="44F267F0"/>
    <w:rsid w:val="44F57F73"/>
    <w:rsid w:val="450F2DA7"/>
    <w:rsid w:val="45182DF8"/>
    <w:rsid w:val="452F78E8"/>
    <w:rsid w:val="4549548A"/>
    <w:rsid w:val="455B5197"/>
    <w:rsid w:val="455C511E"/>
    <w:rsid w:val="45616914"/>
    <w:rsid w:val="4563730C"/>
    <w:rsid w:val="45A86688"/>
    <w:rsid w:val="45AE15E1"/>
    <w:rsid w:val="45B41B6B"/>
    <w:rsid w:val="45D3296A"/>
    <w:rsid w:val="45F90D43"/>
    <w:rsid w:val="46007CB3"/>
    <w:rsid w:val="46020E7B"/>
    <w:rsid w:val="460E7EEE"/>
    <w:rsid w:val="46103076"/>
    <w:rsid w:val="461461E0"/>
    <w:rsid w:val="461F06E9"/>
    <w:rsid w:val="462C02CC"/>
    <w:rsid w:val="462C50AC"/>
    <w:rsid w:val="4630324B"/>
    <w:rsid w:val="463A1123"/>
    <w:rsid w:val="46520FD9"/>
    <w:rsid w:val="46522481"/>
    <w:rsid w:val="465549FC"/>
    <w:rsid w:val="465877D2"/>
    <w:rsid w:val="466A70B5"/>
    <w:rsid w:val="4676706E"/>
    <w:rsid w:val="46956AE5"/>
    <w:rsid w:val="46AC689D"/>
    <w:rsid w:val="46DA68E1"/>
    <w:rsid w:val="46E42A17"/>
    <w:rsid w:val="46F77037"/>
    <w:rsid w:val="47304CD3"/>
    <w:rsid w:val="473269A5"/>
    <w:rsid w:val="475505CA"/>
    <w:rsid w:val="47724C48"/>
    <w:rsid w:val="477572D7"/>
    <w:rsid w:val="47846AB4"/>
    <w:rsid w:val="47B173A9"/>
    <w:rsid w:val="47C2207E"/>
    <w:rsid w:val="47DD34AC"/>
    <w:rsid w:val="47F4354D"/>
    <w:rsid w:val="47F8612D"/>
    <w:rsid w:val="480142C9"/>
    <w:rsid w:val="480C3963"/>
    <w:rsid w:val="480E5EDB"/>
    <w:rsid w:val="4816300A"/>
    <w:rsid w:val="481716F1"/>
    <w:rsid w:val="481876CC"/>
    <w:rsid w:val="481E59D1"/>
    <w:rsid w:val="483D0102"/>
    <w:rsid w:val="48551C81"/>
    <w:rsid w:val="48572566"/>
    <w:rsid w:val="48611F55"/>
    <w:rsid w:val="48694FA0"/>
    <w:rsid w:val="486C747C"/>
    <w:rsid w:val="488E768B"/>
    <w:rsid w:val="4898548E"/>
    <w:rsid w:val="48A30BB7"/>
    <w:rsid w:val="48B07229"/>
    <w:rsid w:val="48E54DD9"/>
    <w:rsid w:val="48FD2DFC"/>
    <w:rsid w:val="49053014"/>
    <w:rsid w:val="490B51D3"/>
    <w:rsid w:val="49123C82"/>
    <w:rsid w:val="492837E3"/>
    <w:rsid w:val="492F61FD"/>
    <w:rsid w:val="493860BD"/>
    <w:rsid w:val="495E407E"/>
    <w:rsid w:val="4984461B"/>
    <w:rsid w:val="498C4801"/>
    <w:rsid w:val="49AA5D59"/>
    <w:rsid w:val="49B354B4"/>
    <w:rsid w:val="49B97E29"/>
    <w:rsid w:val="49DE4839"/>
    <w:rsid w:val="49F30807"/>
    <w:rsid w:val="49F41D5E"/>
    <w:rsid w:val="4A3051B8"/>
    <w:rsid w:val="4A58694C"/>
    <w:rsid w:val="4A5942A3"/>
    <w:rsid w:val="4A69721E"/>
    <w:rsid w:val="4A6A4060"/>
    <w:rsid w:val="4A7D6392"/>
    <w:rsid w:val="4A8031BD"/>
    <w:rsid w:val="4A9075D7"/>
    <w:rsid w:val="4A9A1A84"/>
    <w:rsid w:val="4AA35149"/>
    <w:rsid w:val="4AAD0B1D"/>
    <w:rsid w:val="4AB07F2D"/>
    <w:rsid w:val="4ABC6F3C"/>
    <w:rsid w:val="4AC42881"/>
    <w:rsid w:val="4B1E31F7"/>
    <w:rsid w:val="4B3C7646"/>
    <w:rsid w:val="4B5C2BF1"/>
    <w:rsid w:val="4B5D3CF1"/>
    <w:rsid w:val="4B6E106E"/>
    <w:rsid w:val="4B710089"/>
    <w:rsid w:val="4B8962DB"/>
    <w:rsid w:val="4B94736D"/>
    <w:rsid w:val="4BA16A96"/>
    <w:rsid w:val="4BBE2AEB"/>
    <w:rsid w:val="4BCB3573"/>
    <w:rsid w:val="4BE41144"/>
    <w:rsid w:val="4BEE392E"/>
    <w:rsid w:val="4BFC3CC4"/>
    <w:rsid w:val="4BFE6608"/>
    <w:rsid w:val="4C012A4B"/>
    <w:rsid w:val="4C03742D"/>
    <w:rsid w:val="4C1A2021"/>
    <w:rsid w:val="4C2E46AD"/>
    <w:rsid w:val="4C371778"/>
    <w:rsid w:val="4C5C1E13"/>
    <w:rsid w:val="4C7E174F"/>
    <w:rsid w:val="4C805D55"/>
    <w:rsid w:val="4C812F0C"/>
    <w:rsid w:val="4C9B3A94"/>
    <w:rsid w:val="4C9B3C7F"/>
    <w:rsid w:val="4CA73684"/>
    <w:rsid w:val="4CA8057D"/>
    <w:rsid w:val="4CC9059A"/>
    <w:rsid w:val="4CCC5AD8"/>
    <w:rsid w:val="4CCF7961"/>
    <w:rsid w:val="4CD234BD"/>
    <w:rsid w:val="4CD3324F"/>
    <w:rsid w:val="4CD80CE2"/>
    <w:rsid w:val="4CE75373"/>
    <w:rsid w:val="4CF37766"/>
    <w:rsid w:val="4CFF747F"/>
    <w:rsid w:val="4D0A7AEE"/>
    <w:rsid w:val="4D0D22B1"/>
    <w:rsid w:val="4D165520"/>
    <w:rsid w:val="4D1F5AA9"/>
    <w:rsid w:val="4D4E000D"/>
    <w:rsid w:val="4D53333A"/>
    <w:rsid w:val="4D5B6EF2"/>
    <w:rsid w:val="4D623574"/>
    <w:rsid w:val="4D7265AC"/>
    <w:rsid w:val="4D7973FC"/>
    <w:rsid w:val="4D8F255C"/>
    <w:rsid w:val="4DA858DE"/>
    <w:rsid w:val="4DC648FC"/>
    <w:rsid w:val="4DCD5F3C"/>
    <w:rsid w:val="4E0272EF"/>
    <w:rsid w:val="4E0A397F"/>
    <w:rsid w:val="4E29729B"/>
    <w:rsid w:val="4E69218A"/>
    <w:rsid w:val="4E6A1EB9"/>
    <w:rsid w:val="4E8C1C16"/>
    <w:rsid w:val="4EB01F43"/>
    <w:rsid w:val="4EC43201"/>
    <w:rsid w:val="4EDD2096"/>
    <w:rsid w:val="4EE65A9B"/>
    <w:rsid w:val="4F0F7D42"/>
    <w:rsid w:val="4F1B0539"/>
    <w:rsid w:val="4F3360EB"/>
    <w:rsid w:val="4F3A5050"/>
    <w:rsid w:val="4F3E2FE4"/>
    <w:rsid w:val="4F62422F"/>
    <w:rsid w:val="4F9B4AC6"/>
    <w:rsid w:val="4FA10596"/>
    <w:rsid w:val="4FA533E9"/>
    <w:rsid w:val="4FB15886"/>
    <w:rsid w:val="4FB477EE"/>
    <w:rsid w:val="4FCE2551"/>
    <w:rsid w:val="4FE949E8"/>
    <w:rsid w:val="4FF03707"/>
    <w:rsid w:val="50121D7F"/>
    <w:rsid w:val="501734E8"/>
    <w:rsid w:val="50216218"/>
    <w:rsid w:val="506A3A21"/>
    <w:rsid w:val="507B52E1"/>
    <w:rsid w:val="508605D9"/>
    <w:rsid w:val="50A5505F"/>
    <w:rsid w:val="50B560F4"/>
    <w:rsid w:val="50E948A3"/>
    <w:rsid w:val="514564D7"/>
    <w:rsid w:val="514E3768"/>
    <w:rsid w:val="515B52DA"/>
    <w:rsid w:val="516E738A"/>
    <w:rsid w:val="519F1664"/>
    <w:rsid w:val="51C76D9E"/>
    <w:rsid w:val="51C861C6"/>
    <w:rsid w:val="51CE5592"/>
    <w:rsid w:val="520342A6"/>
    <w:rsid w:val="52094759"/>
    <w:rsid w:val="520E2C10"/>
    <w:rsid w:val="522462FB"/>
    <w:rsid w:val="52310498"/>
    <w:rsid w:val="5246131A"/>
    <w:rsid w:val="526112FB"/>
    <w:rsid w:val="526D4181"/>
    <w:rsid w:val="5275047F"/>
    <w:rsid w:val="528804D6"/>
    <w:rsid w:val="528A1057"/>
    <w:rsid w:val="528D1D76"/>
    <w:rsid w:val="52A96AE6"/>
    <w:rsid w:val="52B83D9A"/>
    <w:rsid w:val="52CC6656"/>
    <w:rsid w:val="52CE6C70"/>
    <w:rsid w:val="52E15FFB"/>
    <w:rsid w:val="52E4747B"/>
    <w:rsid w:val="52FD5ECE"/>
    <w:rsid w:val="53033090"/>
    <w:rsid w:val="53184928"/>
    <w:rsid w:val="532F22A6"/>
    <w:rsid w:val="53382625"/>
    <w:rsid w:val="5348541D"/>
    <w:rsid w:val="534B4829"/>
    <w:rsid w:val="535938E1"/>
    <w:rsid w:val="5361260F"/>
    <w:rsid w:val="536A3A27"/>
    <w:rsid w:val="536F5ABC"/>
    <w:rsid w:val="53777935"/>
    <w:rsid w:val="537D3E54"/>
    <w:rsid w:val="53E62644"/>
    <w:rsid w:val="54045CDA"/>
    <w:rsid w:val="541128AF"/>
    <w:rsid w:val="5414481D"/>
    <w:rsid w:val="545029BD"/>
    <w:rsid w:val="545D60C9"/>
    <w:rsid w:val="54634F69"/>
    <w:rsid w:val="546D0F70"/>
    <w:rsid w:val="54740E51"/>
    <w:rsid w:val="547873B0"/>
    <w:rsid w:val="549D05F3"/>
    <w:rsid w:val="54A43D21"/>
    <w:rsid w:val="54C73613"/>
    <w:rsid w:val="550A4A22"/>
    <w:rsid w:val="551553E4"/>
    <w:rsid w:val="55166F45"/>
    <w:rsid w:val="551E564F"/>
    <w:rsid w:val="55240FC2"/>
    <w:rsid w:val="55245CAA"/>
    <w:rsid w:val="553B6702"/>
    <w:rsid w:val="554041A9"/>
    <w:rsid w:val="554B131F"/>
    <w:rsid w:val="554D5B23"/>
    <w:rsid w:val="55625CCE"/>
    <w:rsid w:val="55730066"/>
    <w:rsid w:val="55D22986"/>
    <w:rsid w:val="55D47CA3"/>
    <w:rsid w:val="55F4179D"/>
    <w:rsid w:val="56043E92"/>
    <w:rsid w:val="56060383"/>
    <w:rsid w:val="56152F2D"/>
    <w:rsid w:val="562E3037"/>
    <w:rsid w:val="564B6825"/>
    <w:rsid w:val="566D4B95"/>
    <w:rsid w:val="56AB27BE"/>
    <w:rsid w:val="56B52A13"/>
    <w:rsid w:val="56B55774"/>
    <w:rsid w:val="56B75990"/>
    <w:rsid w:val="56C21824"/>
    <w:rsid w:val="56CA3EBA"/>
    <w:rsid w:val="56E95D12"/>
    <w:rsid w:val="56FF03B2"/>
    <w:rsid w:val="57072AB6"/>
    <w:rsid w:val="571838EA"/>
    <w:rsid w:val="572656D4"/>
    <w:rsid w:val="5729146F"/>
    <w:rsid w:val="574369D6"/>
    <w:rsid w:val="574C257C"/>
    <w:rsid w:val="57615BA7"/>
    <w:rsid w:val="57790340"/>
    <w:rsid w:val="577D0987"/>
    <w:rsid w:val="578E7E4A"/>
    <w:rsid w:val="57922A7F"/>
    <w:rsid w:val="579654F6"/>
    <w:rsid w:val="579C674E"/>
    <w:rsid w:val="57AE5161"/>
    <w:rsid w:val="57BC3A17"/>
    <w:rsid w:val="57D01DEC"/>
    <w:rsid w:val="57E81B4D"/>
    <w:rsid w:val="57F120AC"/>
    <w:rsid w:val="58336B39"/>
    <w:rsid w:val="58343945"/>
    <w:rsid w:val="5843311C"/>
    <w:rsid w:val="584D07F8"/>
    <w:rsid w:val="587474CA"/>
    <w:rsid w:val="5880205D"/>
    <w:rsid w:val="588F34FD"/>
    <w:rsid w:val="58981B63"/>
    <w:rsid w:val="58A64848"/>
    <w:rsid w:val="58CA1773"/>
    <w:rsid w:val="58D33380"/>
    <w:rsid w:val="58E0634A"/>
    <w:rsid w:val="58EB320E"/>
    <w:rsid w:val="59054D17"/>
    <w:rsid w:val="590F07DC"/>
    <w:rsid w:val="59116F02"/>
    <w:rsid w:val="59137433"/>
    <w:rsid w:val="59200130"/>
    <w:rsid w:val="593268DF"/>
    <w:rsid w:val="59474766"/>
    <w:rsid w:val="594B0990"/>
    <w:rsid w:val="594C28DC"/>
    <w:rsid w:val="594F1160"/>
    <w:rsid w:val="595C0122"/>
    <w:rsid w:val="596C4891"/>
    <w:rsid w:val="597E5FAB"/>
    <w:rsid w:val="59AD06A4"/>
    <w:rsid w:val="59B12F6A"/>
    <w:rsid w:val="59B15EB0"/>
    <w:rsid w:val="59CB5123"/>
    <w:rsid w:val="59D00E5D"/>
    <w:rsid w:val="59D732E1"/>
    <w:rsid w:val="59FA2DC3"/>
    <w:rsid w:val="5A1A74A5"/>
    <w:rsid w:val="5A257E4A"/>
    <w:rsid w:val="5A3475E7"/>
    <w:rsid w:val="5A4D586D"/>
    <w:rsid w:val="5A6249B0"/>
    <w:rsid w:val="5A755C08"/>
    <w:rsid w:val="5A8F7386"/>
    <w:rsid w:val="5A9C50C4"/>
    <w:rsid w:val="5AAF2B0E"/>
    <w:rsid w:val="5ACD5324"/>
    <w:rsid w:val="5AE03D11"/>
    <w:rsid w:val="5AFE1FB2"/>
    <w:rsid w:val="5B1E1290"/>
    <w:rsid w:val="5B275076"/>
    <w:rsid w:val="5B70393D"/>
    <w:rsid w:val="5BB46620"/>
    <w:rsid w:val="5BC03DAA"/>
    <w:rsid w:val="5BD90D9C"/>
    <w:rsid w:val="5BEA3506"/>
    <w:rsid w:val="5BEA4759"/>
    <w:rsid w:val="5BF444D2"/>
    <w:rsid w:val="5BF50434"/>
    <w:rsid w:val="5BF97583"/>
    <w:rsid w:val="5C0C2014"/>
    <w:rsid w:val="5C1667ED"/>
    <w:rsid w:val="5C1C5E65"/>
    <w:rsid w:val="5C351B43"/>
    <w:rsid w:val="5C773D2F"/>
    <w:rsid w:val="5C932B1A"/>
    <w:rsid w:val="5CAF1885"/>
    <w:rsid w:val="5CB011D2"/>
    <w:rsid w:val="5CB419B0"/>
    <w:rsid w:val="5CB83463"/>
    <w:rsid w:val="5CBE3C4A"/>
    <w:rsid w:val="5CD53B9E"/>
    <w:rsid w:val="5CE6782D"/>
    <w:rsid w:val="5CEE6039"/>
    <w:rsid w:val="5D1506A2"/>
    <w:rsid w:val="5D1D4073"/>
    <w:rsid w:val="5D2836BB"/>
    <w:rsid w:val="5D4F5A62"/>
    <w:rsid w:val="5D894C62"/>
    <w:rsid w:val="5D8C7A5E"/>
    <w:rsid w:val="5D9C35D1"/>
    <w:rsid w:val="5DB926F2"/>
    <w:rsid w:val="5DBD0A87"/>
    <w:rsid w:val="5DC75E8B"/>
    <w:rsid w:val="5DCC1F1C"/>
    <w:rsid w:val="5DD83CA4"/>
    <w:rsid w:val="5E051A70"/>
    <w:rsid w:val="5E104DC9"/>
    <w:rsid w:val="5E204C9C"/>
    <w:rsid w:val="5E3F0C96"/>
    <w:rsid w:val="5E434C88"/>
    <w:rsid w:val="5E442C50"/>
    <w:rsid w:val="5E504B79"/>
    <w:rsid w:val="5E5932DD"/>
    <w:rsid w:val="5E6F5118"/>
    <w:rsid w:val="5E867F9B"/>
    <w:rsid w:val="5E975D7F"/>
    <w:rsid w:val="5E9C4B20"/>
    <w:rsid w:val="5EDD631A"/>
    <w:rsid w:val="5EE84C68"/>
    <w:rsid w:val="5EEC63F2"/>
    <w:rsid w:val="5EF374A5"/>
    <w:rsid w:val="5EF8093C"/>
    <w:rsid w:val="5F045A13"/>
    <w:rsid w:val="5F10165A"/>
    <w:rsid w:val="5F3E04FA"/>
    <w:rsid w:val="5F425EBF"/>
    <w:rsid w:val="5F4A6A5C"/>
    <w:rsid w:val="5F4A7AC0"/>
    <w:rsid w:val="5F5222CE"/>
    <w:rsid w:val="5F674EDD"/>
    <w:rsid w:val="5F7565C0"/>
    <w:rsid w:val="5F786E10"/>
    <w:rsid w:val="5F817E72"/>
    <w:rsid w:val="5F96439A"/>
    <w:rsid w:val="5FCA6B48"/>
    <w:rsid w:val="5FEF68C3"/>
    <w:rsid w:val="600E378D"/>
    <w:rsid w:val="603469DC"/>
    <w:rsid w:val="60472306"/>
    <w:rsid w:val="607C4315"/>
    <w:rsid w:val="6089383E"/>
    <w:rsid w:val="60970B86"/>
    <w:rsid w:val="60977324"/>
    <w:rsid w:val="60981427"/>
    <w:rsid w:val="60981622"/>
    <w:rsid w:val="60993935"/>
    <w:rsid w:val="609E0524"/>
    <w:rsid w:val="60A01243"/>
    <w:rsid w:val="60CB1A85"/>
    <w:rsid w:val="60CC6CC5"/>
    <w:rsid w:val="60D32379"/>
    <w:rsid w:val="60E5452F"/>
    <w:rsid w:val="60E769D1"/>
    <w:rsid w:val="60EF739A"/>
    <w:rsid w:val="60F754E8"/>
    <w:rsid w:val="61056E3F"/>
    <w:rsid w:val="61117495"/>
    <w:rsid w:val="6115117A"/>
    <w:rsid w:val="61266199"/>
    <w:rsid w:val="612E4190"/>
    <w:rsid w:val="615C11AA"/>
    <w:rsid w:val="6170541E"/>
    <w:rsid w:val="6182038E"/>
    <w:rsid w:val="61A4142F"/>
    <w:rsid w:val="61AA312D"/>
    <w:rsid w:val="61FA0983"/>
    <w:rsid w:val="620F4EC3"/>
    <w:rsid w:val="621D5BA4"/>
    <w:rsid w:val="621F1AB0"/>
    <w:rsid w:val="623C49F9"/>
    <w:rsid w:val="624442BC"/>
    <w:rsid w:val="626F7DA5"/>
    <w:rsid w:val="62815992"/>
    <w:rsid w:val="628A753E"/>
    <w:rsid w:val="62947502"/>
    <w:rsid w:val="62A255A8"/>
    <w:rsid w:val="62A56A1F"/>
    <w:rsid w:val="62F46046"/>
    <w:rsid w:val="63001EFA"/>
    <w:rsid w:val="631B36DC"/>
    <w:rsid w:val="63331B76"/>
    <w:rsid w:val="633F3346"/>
    <w:rsid w:val="63526B0D"/>
    <w:rsid w:val="63576C6B"/>
    <w:rsid w:val="635B6748"/>
    <w:rsid w:val="637A33F8"/>
    <w:rsid w:val="637D23F9"/>
    <w:rsid w:val="638667CB"/>
    <w:rsid w:val="63947A95"/>
    <w:rsid w:val="639A55A9"/>
    <w:rsid w:val="63B314A6"/>
    <w:rsid w:val="63B361C6"/>
    <w:rsid w:val="63CD5521"/>
    <w:rsid w:val="63CE0748"/>
    <w:rsid w:val="63D3192F"/>
    <w:rsid w:val="63D542CE"/>
    <w:rsid w:val="63DF65B8"/>
    <w:rsid w:val="63EC6027"/>
    <w:rsid w:val="64241C11"/>
    <w:rsid w:val="644E53B4"/>
    <w:rsid w:val="644F210A"/>
    <w:rsid w:val="64846651"/>
    <w:rsid w:val="64874BF3"/>
    <w:rsid w:val="649E2054"/>
    <w:rsid w:val="64A525EE"/>
    <w:rsid w:val="64AB4DB9"/>
    <w:rsid w:val="64B318E3"/>
    <w:rsid w:val="64C04F9C"/>
    <w:rsid w:val="64C1762E"/>
    <w:rsid w:val="64C33CFB"/>
    <w:rsid w:val="64C953BF"/>
    <w:rsid w:val="64D66927"/>
    <w:rsid w:val="64F5538E"/>
    <w:rsid w:val="650559E0"/>
    <w:rsid w:val="65153E5C"/>
    <w:rsid w:val="652E12FA"/>
    <w:rsid w:val="654C35A5"/>
    <w:rsid w:val="654E67AF"/>
    <w:rsid w:val="655672A6"/>
    <w:rsid w:val="6558654D"/>
    <w:rsid w:val="655A2655"/>
    <w:rsid w:val="656F7A22"/>
    <w:rsid w:val="65711400"/>
    <w:rsid w:val="65772B8D"/>
    <w:rsid w:val="658C10AC"/>
    <w:rsid w:val="65A12B5F"/>
    <w:rsid w:val="65A73073"/>
    <w:rsid w:val="65AB5639"/>
    <w:rsid w:val="65AC068A"/>
    <w:rsid w:val="65C41FC1"/>
    <w:rsid w:val="65CA49CF"/>
    <w:rsid w:val="662136A0"/>
    <w:rsid w:val="663C1F8C"/>
    <w:rsid w:val="664452BF"/>
    <w:rsid w:val="66472F59"/>
    <w:rsid w:val="664C4D63"/>
    <w:rsid w:val="665049A1"/>
    <w:rsid w:val="66685BD6"/>
    <w:rsid w:val="666A4346"/>
    <w:rsid w:val="666B093E"/>
    <w:rsid w:val="667875E7"/>
    <w:rsid w:val="66BC09F3"/>
    <w:rsid w:val="66CD3E2A"/>
    <w:rsid w:val="66D460EA"/>
    <w:rsid w:val="66D55306"/>
    <w:rsid w:val="66E75E1D"/>
    <w:rsid w:val="6723554C"/>
    <w:rsid w:val="672F0560"/>
    <w:rsid w:val="675535AA"/>
    <w:rsid w:val="67644680"/>
    <w:rsid w:val="678307F6"/>
    <w:rsid w:val="679265C0"/>
    <w:rsid w:val="67992DA0"/>
    <w:rsid w:val="679C3434"/>
    <w:rsid w:val="67B167D1"/>
    <w:rsid w:val="67C7094E"/>
    <w:rsid w:val="67CA0AAC"/>
    <w:rsid w:val="67EC4100"/>
    <w:rsid w:val="67F14260"/>
    <w:rsid w:val="681F010B"/>
    <w:rsid w:val="68415F73"/>
    <w:rsid w:val="684B5059"/>
    <w:rsid w:val="68556DB7"/>
    <w:rsid w:val="685F1C50"/>
    <w:rsid w:val="68693C57"/>
    <w:rsid w:val="68724703"/>
    <w:rsid w:val="68A02565"/>
    <w:rsid w:val="68B35D09"/>
    <w:rsid w:val="68CC0367"/>
    <w:rsid w:val="68F16CFC"/>
    <w:rsid w:val="68FB2ABD"/>
    <w:rsid w:val="690D41A2"/>
    <w:rsid w:val="69112769"/>
    <w:rsid w:val="69162D3D"/>
    <w:rsid w:val="691D3CA0"/>
    <w:rsid w:val="692100D5"/>
    <w:rsid w:val="6925672C"/>
    <w:rsid w:val="694078ED"/>
    <w:rsid w:val="69454029"/>
    <w:rsid w:val="694918DB"/>
    <w:rsid w:val="69492DB1"/>
    <w:rsid w:val="699022E9"/>
    <w:rsid w:val="69AC00C0"/>
    <w:rsid w:val="69B51F48"/>
    <w:rsid w:val="69B73A82"/>
    <w:rsid w:val="69D87B81"/>
    <w:rsid w:val="69F11830"/>
    <w:rsid w:val="69F63F6B"/>
    <w:rsid w:val="6A1B31EF"/>
    <w:rsid w:val="6A1B7E64"/>
    <w:rsid w:val="6A2523B5"/>
    <w:rsid w:val="6A2C3596"/>
    <w:rsid w:val="6A3008E1"/>
    <w:rsid w:val="6A3365AE"/>
    <w:rsid w:val="6A714498"/>
    <w:rsid w:val="6A7A07D1"/>
    <w:rsid w:val="6A845374"/>
    <w:rsid w:val="6A9C42EC"/>
    <w:rsid w:val="6AA238FA"/>
    <w:rsid w:val="6AA307CE"/>
    <w:rsid w:val="6AB7724E"/>
    <w:rsid w:val="6ABF6769"/>
    <w:rsid w:val="6AF82AC5"/>
    <w:rsid w:val="6AF857FE"/>
    <w:rsid w:val="6AFD3C02"/>
    <w:rsid w:val="6B0E1524"/>
    <w:rsid w:val="6B1932A2"/>
    <w:rsid w:val="6B351524"/>
    <w:rsid w:val="6B43383E"/>
    <w:rsid w:val="6B580622"/>
    <w:rsid w:val="6B5E3CCB"/>
    <w:rsid w:val="6B656995"/>
    <w:rsid w:val="6B6B42D1"/>
    <w:rsid w:val="6B6D1C63"/>
    <w:rsid w:val="6B704219"/>
    <w:rsid w:val="6B727AAD"/>
    <w:rsid w:val="6B992734"/>
    <w:rsid w:val="6BA124EA"/>
    <w:rsid w:val="6BA67537"/>
    <w:rsid w:val="6BF62A43"/>
    <w:rsid w:val="6C033C17"/>
    <w:rsid w:val="6C1E0A24"/>
    <w:rsid w:val="6C421D0B"/>
    <w:rsid w:val="6C464D18"/>
    <w:rsid w:val="6C551346"/>
    <w:rsid w:val="6C795C0A"/>
    <w:rsid w:val="6C8C6B1F"/>
    <w:rsid w:val="6C9E1519"/>
    <w:rsid w:val="6CC04C1D"/>
    <w:rsid w:val="6CCD79CA"/>
    <w:rsid w:val="6CD209D6"/>
    <w:rsid w:val="6D133958"/>
    <w:rsid w:val="6D196605"/>
    <w:rsid w:val="6D384BEE"/>
    <w:rsid w:val="6D425ED7"/>
    <w:rsid w:val="6D6B5948"/>
    <w:rsid w:val="6D844AD1"/>
    <w:rsid w:val="6D8E238B"/>
    <w:rsid w:val="6D9A566F"/>
    <w:rsid w:val="6DA3362D"/>
    <w:rsid w:val="6DC16C40"/>
    <w:rsid w:val="6DCD6174"/>
    <w:rsid w:val="6DE31E07"/>
    <w:rsid w:val="6DF00B8F"/>
    <w:rsid w:val="6E0928AB"/>
    <w:rsid w:val="6E1B4027"/>
    <w:rsid w:val="6E1D4A1D"/>
    <w:rsid w:val="6E2E4D16"/>
    <w:rsid w:val="6E3C0C09"/>
    <w:rsid w:val="6E3F5920"/>
    <w:rsid w:val="6E4B56AE"/>
    <w:rsid w:val="6E977946"/>
    <w:rsid w:val="6EA24716"/>
    <w:rsid w:val="6EAC1C58"/>
    <w:rsid w:val="6EB35010"/>
    <w:rsid w:val="6EC7233D"/>
    <w:rsid w:val="6ECC508C"/>
    <w:rsid w:val="6EE61A4E"/>
    <w:rsid w:val="6EEC44C8"/>
    <w:rsid w:val="6EEC72A3"/>
    <w:rsid w:val="6EF8010B"/>
    <w:rsid w:val="6F124789"/>
    <w:rsid w:val="6F1654F2"/>
    <w:rsid w:val="6F1B18FB"/>
    <w:rsid w:val="6F1C702C"/>
    <w:rsid w:val="6F1D63C8"/>
    <w:rsid w:val="6F2A7052"/>
    <w:rsid w:val="6F4715AA"/>
    <w:rsid w:val="6F4A6FAA"/>
    <w:rsid w:val="6F512ABF"/>
    <w:rsid w:val="6F563B40"/>
    <w:rsid w:val="6F7D148D"/>
    <w:rsid w:val="6F846ACA"/>
    <w:rsid w:val="6F9315E8"/>
    <w:rsid w:val="6FAB446E"/>
    <w:rsid w:val="6FC15409"/>
    <w:rsid w:val="6FC77FAE"/>
    <w:rsid w:val="6FD042F1"/>
    <w:rsid w:val="6FD92FE6"/>
    <w:rsid w:val="6FDD7679"/>
    <w:rsid w:val="6FE62BC3"/>
    <w:rsid w:val="6FEA6C35"/>
    <w:rsid w:val="7005193D"/>
    <w:rsid w:val="70061711"/>
    <w:rsid w:val="703E424C"/>
    <w:rsid w:val="70512FE0"/>
    <w:rsid w:val="70525F88"/>
    <w:rsid w:val="70555BA8"/>
    <w:rsid w:val="70630925"/>
    <w:rsid w:val="706A1A49"/>
    <w:rsid w:val="70A10CF5"/>
    <w:rsid w:val="70AA2434"/>
    <w:rsid w:val="70BB12FF"/>
    <w:rsid w:val="70BE05C9"/>
    <w:rsid w:val="70CC1DE0"/>
    <w:rsid w:val="70DA254F"/>
    <w:rsid w:val="70DC0075"/>
    <w:rsid w:val="70E16B91"/>
    <w:rsid w:val="70E328BF"/>
    <w:rsid w:val="70EA1120"/>
    <w:rsid w:val="710423EB"/>
    <w:rsid w:val="71053890"/>
    <w:rsid w:val="715139A8"/>
    <w:rsid w:val="71571F91"/>
    <w:rsid w:val="71624A26"/>
    <w:rsid w:val="716C6823"/>
    <w:rsid w:val="71920D47"/>
    <w:rsid w:val="71972B99"/>
    <w:rsid w:val="71A8362C"/>
    <w:rsid w:val="71B50105"/>
    <w:rsid w:val="71CB25AE"/>
    <w:rsid w:val="71EF2CA8"/>
    <w:rsid w:val="71F24E09"/>
    <w:rsid w:val="7203217F"/>
    <w:rsid w:val="720C1270"/>
    <w:rsid w:val="720D18B1"/>
    <w:rsid w:val="720E3B62"/>
    <w:rsid w:val="72226C98"/>
    <w:rsid w:val="72270FFD"/>
    <w:rsid w:val="722962CE"/>
    <w:rsid w:val="72365DF2"/>
    <w:rsid w:val="723916FF"/>
    <w:rsid w:val="723D3377"/>
    <w:rsid w:val="723E1CBA"/>
    <w:rsid w:val="724A58BF"/>
    <w:rsid w:val="724A7F50"/>
    <w:rsid w:val="726A0FFB"/>
    <w:rsid w:val="727F1191"/>
    <w:rsid w:val="72901B1D"/>
    <w:rsid w:val="72962E43"/>
    <w:rsid w:val="729B4C6A"/>
    <w:rsid w:val="72BD5C84"/>
    <w:rsid w:val="72C44E87"/>
    <w:rsid w:val="72C61A65"/>
    <w:rsid w:val="72CC0F8D"/>
    <w:rsid w:val="72CE5658"/>
    <w:rsid w:val="72CE60E3"/>
    <w:rsid w:val="72CF23C1"/>
    <w:rsid w:val="72D64AE7"/>
    <w:rsid w:val="72ED5CFC"/>
    <w:rsid w:val="72FD4686"/>
    <w:rsid w:val="72FD4827"/>
    <w:rsid w:val="731E3037"/>
    <w:rsid w:val="73307800"/>
    <w:rsid w:val="734808C6"/>
    <w:rsid w:val="7377509E"/>
    <w:rsid w:val="737B26A1"/>
    <w:rsid w:val="737C0F84"/>
    <w:rsid w:val="73F8374D"/>
    <w:rsid w:val="73F954EE"/>
    <w:rsid w:val="73FD43C9"/>
    <w:rsid w:val="741B6F2D"/>
    <w:rsid w:val="741C0DC4"/>
    <w:rsid w:val="742304A1"/>
    <w:rsid w:val="74290E12"/>
    <w:rsid w:val="743C23C7"/>
    <w:rsid w:val="74523E64"/>
    <w:rsid w:val="745919C6"/>
    <w:rsid w:val="746633FE"/>
    <w:rsid w:val="74702A9A"/>
    <w:rsid w:val="7489103F"/>
    <w:rsid w:val="74A97023"/>
    <w:rsid w:val="74B11020"/>
    <w:rsid w:val="74B41A12"/>
    <w:rsid w:val="74BB7697"/>
    <w:rsid w:val="74BD004D"/>
    <w:rsid w:val="74BE32A8"/>
    <w:rsid w:val="74CF18FC"/>
    <w:rsid w:val="74DB2B58"/>
    <w:rsid w:val="750A6315"/>
    <w:rsid w:val="751E0DF2"/>
    <w:rsid w:val="75230E9F"/>
    <w:rsid w:val="753010AB"/>
    <w:rsid w:val="754D03C3"/>
    <w:rsid w:val="75637081"/>
    <w:rsid w:val="75771B27"/>
    <w:rsid w:val="75922EDB"/>
    <w:rsid w:val="759D63E0"/>
    <w:rsid w:val="75A263AA"/>
    <w:rsid w:val="75BA0227"/>
    <w:rsid w:val="75BA3914"/>
    <w:rsid w:val="75DC2BE1"/>
    <w:rsid w:val="75DD6ED1"/>
    <w:rsid w:val="76050101"/>
    <w:rsid w:val="7606011C"/>
    <w:rsid w:val="760E5965"/>
    <w:rsid w:val="761C2BBB"/>
    <w:rsid w:val="76256893"/>
    <w:rsid w:val="762D36F0"/>
    <w:rsid w:val="763D3927"/>
    <w:rsid w:val="764B3118"/>
    <w:rsid w:val="76625AB3"/>
    <w:rsid w:val="768947FB"/>
    <w:rsid w:val="768D6379"/>
    <w:rsid w:val="76965874"/>
    <w:rsid w:val="769E7B7B"/>
    <w:rsid w:val="76C51CC8"/>
    <w:rsid w:val="76DA70A9"/>
    <w:rsid w:val="76EA37FB"/>
    <w:rsid w:val="76EC7055"/>
    <w:rsid w:val="77074966"/>
    <w:rsid w:val="770B6DAD"/>
    <w:rsid w:val="77102312"/>
    <w:rsid w:val="7711214E"/>
    <w:rsid w:val="772630FD"/>
    <w:rsid w:val="772720EE"/>
    <w:rsid w:val="77516051"/>
    <w:rsid w:val="775F1BD6"/>
    <w:rsid w:val="776125DC"/>
    <w:rsid w:val="776A1DE8"/>
    <w:rsid w:val="777C69BD"/>
    <w:rsid w:val="778F33F5"/>
    <w:rsid w:val="77A15683"/>
    <w:rsid w:val="77BA1751"/>
    <w:rsid w:val="77CD14F2"/>
    <w:rsid w:val="77ED0B73"/>
    <w:rsid w:val="78036CE6"/>
    <w:rsid w:val="783B64A4"/>
    <w:rsid w:val="7849561A"/>
    <w:rsid w:val="785D00CA"/>
    <w:rsid w:val="789D363C"/>
    <w:rsid w:val="78A94AB8"/>
    <w:rsid w:val="78AE3C72"/>
    <w:rsid w:val="78CA0E79"/>
    <w:rsid w:val="78D37FAF"/>
    <w:rsid w:val="78E839B0"/>
    <w:rsid w:val="790C6A64"/>
    <w:rsid w:val="79157851"/>
    <w:rsid w:val="791E5503"/>
    <w:rsid w:val="7929591C"/>
    <w:rsid w:val="792D65B5"/>
    <w:rsid w:val="79584B1B"/>
    <w:rsid w:val="795D0736"/>
    <w:rsid w:val="79620AE3"/>
    <w:rsid w:val="7979406C"/>
    <w:rsid w:val="798F64CA"/>
    <w:rsid w:val="79990CCD"/>
    <w:rsid w:val="799C2A97"/>
    <w:rsid w:val="79D66E61"/>
    <w:rsid w:val="7A15284A"/>
    <w:rsid w:val="7A547A52"/>
    <w:rsid w:val="7A6223B7"/>
    <w:rsid w:val="7A860A4A"/>
    <w:rsid w:val="7A9C37B5"/>
    <w:rsid w:val="7AB03B90"/>
    <w:rsid w:val="7AB362AE"/>
    <w:rsid w:val="7AEF0321"/>
    <w:rsid w:val="7AFD6E85"/>
    <w:rsid w:val="7AFE6D10"/>
    <w:rsid w:val="7AFF4A3E"/>
    <w:rsid w:val="7B046594"/>
    <w:rsid w:val="7B0852CA"/>
    <w:rsid w:val="7B161DBC"/>
    <w:rsid w:val="7B39371D"/>
    <w:rsid w:val="7B3F7195"/>
    <w:rsid w:val="7B725821"/>
    <w:rsid w:val="7B870A41"/>
    <w:rsid w:val="7B883CE0"/>
    <w:rsid w:val="7B924664"/>
    <w:rsid w:val="7B9B3234"/>
    <w:rsid w:val="7BA9149B"/>
    <w:rsid w:val="7BAC3D28"/>
    <w:rsid w:val="7BB975A9"/>
    <w:rsid w:val="7BBD458C"/>
    <w:rsid w:val="7BD23CE8"/>
    <w:rsid w:val="7BE704A0"/>
    <w:rsid w:val="7BFB6EBF"/>
    <w:rsid w:val="7BFF300D"/>
    <w:rsid w:val="7C002197"/>
    <w:rsid w:val="7C170C02"/>
    <w:rsid w:val="7C264CF7"/>
    <w:rsid w:val="7C2F6DB7"/>
    <w:rsid w:val="7C327C25"/>
    <w:rsid w:val="7C3C3700"/>
    <w:rsid w:val="7C535045"/>
    <w:rsid w:val="7C5A401D"/>
    <w:rsid w:val="7C986C5B"/>
    <w:rsid w:val="7C9C7128"/>
    <w:rsid w:val="7CB9570E"/>
    <w:rsid w:val="7D006B69"/>
    <w:rsid w:val="7D0C4EAB"/>
    <w:rsid w:val="7D1765E7"/>
    <w:rsid w:val="7D2B1193"/>
    <w:rsid w:val="7D3522C4"/>
    <w:rsid w:val="7D4F2810"/>
    <w:rsid w:val="7D6B16C1"/>
    <w:rsid w:val="7D872E89"/>
    <w:rsid w:val="7D88520A"/>
    <w:rsid w:val="7D965A4F"/>
    <w:rsid w:val="7DDD6CEA"/>
    <w:rsid w:val="7DEC0D1F"/>
    <w:rsid w:val="7E507D20"/>
    <w:rsid w:val="7E532E74"/>
    <w:rsid w:val="7E594DE6"/>
    <w:rsid w:val="7E636E14"/>
    <w:rsid w:val="7E670B7C"/>
    <w:rsid w:val="7E716E53"/>
    <w:rsid w:val="7E7A44AA"/>
    <w:rsid w:val="7E7F2812"/>
    <w:rsid w:val="7E822046"/>
    <w:rsid w:val="7E835C2C"/>
    <w:rsid w:val="7E8C5F6D"/>
    <w:rsid w:val="7E910E77"/>
    <w:rsid w:val="7E977CD1"/>
    <w:rsid w:val="7EAA15AE"/>
    <w:rsid w:val="7ED51702"/>
    <w:rsid w:val="7F4D668A"/>
    <w:rsid w:val="7F546D2D"/>
    <w:rsid w:val="7F5A773F"/>
    <w:rsid w:val="7F7818B1"/>
    <w:rsid w:val="7FAE4688"/>
    <w:rsid w:val="7FC51C02"/>
    <w:rsid w:val="7FF66A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nhideWhenUsed="0" w:uiPriority="99" w:semiHidden="0" w:name="heading 7"/>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qFormat="1" w:unhideWhenUsed="0" w:uiPriority="99" w:semiHidden="0"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autoRedefine/>
    <w:qFormat/>
    <w:uiPriority w:val="99"/>
    <w:pPr>
      <w:keepNext/>
      <w:keepLines/>
      <w:spacing w:before="340" w:after="330" w:line="576" w:lineRule="auto"/>
      <w:outlineLvl w:val="0"/>
    </w:pPr>
    <w:rPr>
      <w:rFonts w:ascii="宋体" w:hAnsi="宋体"/>
      <w:b/>
      <w:color w:val="000000"/>
      <w:kern w:val="0"/>
      <w:sz w:val="36"/>
      <w:szCs w:val="20"/>
    </w:rPr>
  </w:style>
  <w:style w:type="paragraph" w:styleId="3">
    <w:name w:val="heading 2"/>
    <w:basedOn w:val="1"/>
    <w:next w:val="1"/>
    <w:link w:val="35"/>
    <w:autoRedefine/>
    <w:qFormat/>
    <w:uiPriority w:val="99"/>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link w:val="36"/>
    <w:autoRedefine/>
    <w:qFormat/>
    <w:uiPriority w:val="99"/>
    <w:pPr>
      <w:keepNext/>
      <w:keepLines/>
      <w:spacing w:before="260" w:after="260" w:line="416" w:lineRule="auto"/>
      <w:outlineLvl w:val="2"/>
    </w:pPr>
    <w:rPr>
      <w:b/>
      <w:bCs/>
      <w:sz w:val="32"/>
      <w:szCs w:val="32"/>
    </w:rPr>
  </w:style>
  <w:style w:type="paragraph" w:styleId="5">
    <w:name w:val="heading 7"/>
    <w:basedOn w:val="1"/>
    <w:next w:val="1"/>
    <w:link w:val="37"/>
    <w:autoRedefine/>
    <w:qFormat/>
    <w:uiPriority w:val="99"/>
    <w:pPr>
      <w:ind w:left="698"/>
      <w:outlineLvl w:val="6"/>
    </w:pPr>
    <w:rPr>
      <w:rFonts w:ascii="宋体" w:hAnsi="宋体" w:cs="宋体"/>
      <w:b/>
      <w:bCs/>
      <w:sz w:val="24"/>
      <w:szCs w:val="24"/>
      <w:lang w:val="zh-CN"/>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autoRedefine/>
    <w:qFormat/>
    <w:uiPriority w:val="99"/>
    <w:pPr>
      <w:ind w:firstLine="420"/>
    </w:pPr>
  </w:style>
  <w:style w:type="paragraph" w:styleId="8">
    <w:name w:val="toa heading"/>
    <w:basedOn w:val="1"/>
    <w:next w:val="1"/>
    <w:autoRedefine/>
    <w:qFormat/>
    <w:locked/>
    <w:uiPriority w:val="99"/>
    <w:rPr>
      <w:rFonts w:ascii="Arial" w:hAnsi="Arial"/>
      <w:sz w:val="24"/>
    </w:rPr>
  </w:style>
  <w:style w:type="paragraph" w:styleId="9">
    <w:name w:val="annotation text"/>
    <w:basedOn w:val="1"/>
    <w:link w:val="39"/>
    <w:autoRedefine/>
    <w:semiHidden/>
    <w:qFormat/>
    <w:uiPriority w:val="99"/>
    <w:pPr>
      <w:jc w:val="left"/>
    </w:pPr>
  </w:style>
  <w:style w:type="paragraph" w:styleId="10">
    <w:name w:val="Body Text"/>
    <w:basedOn w:val="1"/>
    <w:next w:val="11"/>
    <w:link w:val="40"/>
    <w:autoRedefine/>
    <w:qFormat/>
    <w:uiPriority w:val="99"/>
    <w:pPr>
      <w:spacing w:line="360" w:lineRule="exact"/>
    </w:pPr>
    <w:rPr>
      <w:sz w:val="24"/>
      <w:szCs w:val="24"/>
    </w:rPr>
  </w:style>
  <w:style w:type="paragraph" w:styleId="11">
    <w:name w:val="Body Text First Indent"/>
    <w:basedOn w:val="10"/>
    <w:next w:val="1"/>
    <w:link w:val="41"/>
    <w:autoRedefine/>
    <w:qFormat/>
    <w:locked/>
    <w:uiPriority w:val="99"/>
    <w:pPr>
      <w:autoSpaceDE w:val="0"/>
      <w:autoSpaceDN w:val="0"/>
      <w:adjustRightInd w:val="0"/>
      <w:spacing w:line="360" w:lineRule="auto"/>
      <w:ind w:firstLine="420" w:firstLineChars="100"/>
    </w:pPr>
  </w:style>
  <w:style w:type="paragraph" w:styleId="12">
    <w:name w:val="Body Text Indent"/>
    <w:basedOn w:val="1"/>
    <w:next w:val="1"/>
    <w:link w:val="42"/>
    <w:autoRedefine/>
    <w:qFormat/>
    <w:uiPriority w:val="99"/>
    <w:pPr>
      <w:spacing w:after="120"/>
      <w:ind w:left="420" w:leftChars="200"/>
    </w:pPr>
  </w:style>
  <w:style w:type="paragraph" w:styleId="13">
    <w:name w:val="Block Text"/>
    <w:basedOn w:val="1"/>
    <w:autoRedefine/>
    <w:qFormat/>
    <w:locked/>
    <w:uiPriority w:val="99"/>
    <w:pPr>
      <w:spacing w:after="120"/>
      <w:ind w:left="1440" w:leftChars="700" w:right="700" w:rightChars="700"/>
    </w:pPr>
  </w:style>
  <w:style w:type="paragraph" w:styleId="14">
    <w:name w:val="Plain Text"/>
    <w:basedOn w:val="1"/>
    <w:next w:val="1"/>
    <w:link w:val="43"/>
    <w:autoRedefine/>
    <w:qFormat/>
    <w:uiPriority w:val="99"/>
    <w:rPr>
      <w:rFonts w:ascii="宋体" w:hAnsi="Courier New" w:cs="宋体"/>
    </w:rPr>
  </w:style>
  <w:style w:type="paragraph" w:styleId="15">
    <w:name w:val="Date"/>
    <w:basedOn w:val="1"/>
    <w:next w:val="1"/>
    <w:link w:val="44"/>
    <w:autoRedefine/>
    <w:qFormat/>
    <w:uiPriority w:val="99"/>
    <w:pPr>
      <w:ind w:left="2500" w:leftChars="2500"/>
    </w:pPr>
    <w:rPr>
      <w:rFonts w:ascii="Calibri" w:hAnsi="Calibri" w:eastAsia="楷体_GB2312" w:cs="Calibri"/>
      <w:sz w:val="32"/>
      <w:szCs w:val="32"/>
    </w:rPr>
  </w:style>
  <w:style w:type="paragraph" w:styleId="16">
    <w:name w:val="Body Text Indent 2"/>
    <w:basedOn w:val="1"/>
    <w:link w:val="45"/>
    <w:autoRedefine/>
    <w:qFormat/>
    <w:locked/>
    <w:uiPriority w:val="99"/>
    <w:pPr>
      <w:ind w:firstLine="560" w:firstLineChars="200"/>
    </w:pPr>
    <w:rPr>
      <w:rFonts w:ascii="宋体" w:hAnsi="宋体"/>
      <w:szCs w:val="20"/>
    </w:rPr>
  </w:style>
  <w:style w:type="paragraph" w:styleId="17">
    <w:name w:val="Balloon Text"/>
    <w:basedOn w:val="1"/>
    <w:link w:val="46"/>
    <w:autoRedefine/>
    <w:semiHidden/>
    <w:qFormat/>
    <w:uiPriority w:val="99"/>
    <w:rPr>
      <w:sz w:val="18"/>
      <w:szCs w:val="18"/>
    </w:rPr>
  </w:style>
  <w:style w:type="paragraph" w:styleId="18">
    <w:name w:val="footer"/>
    <w:basedOn w:val="1"/>
    <w:link w:val="47"/>
    <w:autoRedefine/>
    <w:qFormat/>
    <w:uiPriority w:val="99"/>
    <w:pPr>
      <w:tabs>
        <w:tab w:val="center" w:pos="4153"/>
        <w:tab w:val="right" w:pos="8306"/>
      </w:tabs>
      <w:snapToGrid w:val="0"/>
      <w:jc w:val="left"/>
    </w:pPr>
    <w:rPr>
      <w:sz w:val="18"/>
      <w:szCs w:val="18"/>
    </w:rPr>
  </w:style>
  <w:style w:type="paragraph" w:styleId="19">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6"/>
    <w:basedOn w:val="1"/>
    <w:next w:val="1"/>
    <w:autoRedefine/>
    <w:qFormat/>
    <w:locked/>
    <w:uiPriority w:val="0"/>
    <w:pPr>
      <w:ind w:left="2100" w:leftChars="1000"/>
    </w:p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8"/>
    <w:autoRedefine/>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annotation subject"/>
    <w:basedOn w:val="9"/>
    <w:next w:val="9"/>
    <w:link w:val="49"/>
    <w:autoRedefine/>
    <w:semiHidden/>
    <w:qFormat/>
    <w:uiPriority w:val="99"/>
    <w:rPr>
      <w:b/>
      <w:bCs/>
    </w:rPr>
  </w:style>
  <w:style w:type="paragraph" w:styleId="24">
    <w:name w:val="Body Text First Indent 2"/>
    <w:basedOn w:val="12"/>
    <w:link w:val="50"/>
    <w:autoRedefine/>
    <w:qFormat/>
    <w:locked/>
    <w:uiPriority w:val="99"/>
    <w:pPr>
      <w:autoSpaceDE w:val="0"/>
      <w:autoSpaceDN w:val="0"/>
      <w:adjustRightInd w:val="0"/>
      <w:ind w:firstLine="420" w:firstLineChars="200"/>
      <w:jc w:val="left"/>
    </w:pPr>
  </w:style>
  <w:style w:type="table" w:styleId="26">
    <w:name w:val="Table Grid"/>
    <w:basedOn w:val="25"/>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autoRedefine/>
    <w:qFormat/>
    <w:uiPriority w:val="99"/>
    <w:rPr>
      <w:rFonts w:cs="Times New Roman"/>
    </w:rPr>
  </w:style>
  <w:style w:type="character" w:styleId="29">
    <w:name w:val="page number"/>
    <w:basedOn w:val="27"/>
    <w:autoRedefine/>
    <w:qFormat/>
    <w:locked/>
    <w:uiPriority w:val="99"/>
    <w:rPr>
      <w:rFonts w:cs="Times New Roman"/>
    </w:rPr>
  </w:style>
  <w:style w:type="character" w:styleId="30">
    <w:name w:val="Hyperlink"/>
    <w:basedOn w:val="27"/>
    <w:autoRedefine/>
    <w:qFormat/>
    <w:locked/>
    <w:uiPriority w:val="99"/>
    <w:rPr>
      <w:rFonts w:cs="Times New Roman"/>
      <w:color w:val="0000FF"/>
      <w:u w:val="single"/>
    </w:rPr>
  </w:style>
  <w:style w:type="character" w:styleId="31">
    <w:name w:val="annotation reference"/>
    <w:basedOn w:val="27"/>
    <w:autoRedefine/>
    <w:semiHidden/>
    <w:qFormat/>
    <w:uiPriority w:val="99"/>
    <w:rPr>
      <w:rFonts w:cs="Times New Roman"/>
      <w:sz w:val="21"/>
      <w:szCs w:val="21"/>
    </w:rPr>
  </w:style>
  <w:style w:type="paragraph" w:customStyle="1" w:styleId="32">
    <w:name w:val="表格文字"/>
    <w:basedOn w:val="12"/>
    <w:next w:val="10"/>
    <w:autoRedefine/>
    <w:qFormat/>
    <w:uiPriority w:val="99"/>
    <w:pPr>
      <w:spacing w:line="420" w:lineRule="atLeast"/>
      <w:textAlignment w:val="baseline"/>
    </w:pPr>
    <w:rPr>
      <w:rFonts w:ascii="Calibri" w:hAnsi="Calibri"/>
    </w:rPr>
  </w:style>
  <w:style w:type="paragraph" w:customStyle="1" w:styleId="33">
    <w:name w:val="无间隔1"/>
    <w:autoRedefine/>
    <w:qFormat/>
    <w:uiPriority w:val="99"/>
    <w:pPr>
      <w:adjustRightInd w:val="0"/>
      <w:snapToGrid w:val="0"/>
    </w:pPr>
    <w:rPr>
      <w:rFonts w:ascii="Tahoma" w:hAnsi="Tahoma" w:eastAsia="微软雅黑" w:cs="Tahoma"/>
      <w:sz w:val="22"/>
      <w:szCs w:val="22"/>
      <w:lang w:val="en-US" w:eastAsia="zh-CN" w:bidi="ar-SA"/>
    </w:rPr>
  </w:style>
  <w:style w:type="character" w:customStyle="1" w:styleId="34">
    <w:name w:val="标题 1 Char"/>
    <w:basedOn w:val="27"/>
    <w:link w:val="2"/>
    <w:autoRedefine/>
    <w:qFormat/>
    <w:uiPriority w:val="9"/>
    <w:rPr>
      <w:b/>
      <w:bCs/>
      <w:kern w:val="44"/>
      <w:sz w:val="44"/>
      <w:szCs w:val="44"/>
    </w:rPr>
  </w:style>
  <w:style w:type="character" w:customStyle="1" w:styleId="35">
    <w:name w:val="标题 2 Char"/>
    <w:basedOn w:val="27"/>
    <w:link w:val="3"/>
    <w:autoRedefine/>
    <w:semiHidden/>
    <w:qFormat/>
    <w:uiPriority w:val="9"/>
    <w:rPr>
      <w:rFonts w:asciiTheme="majorHAnsi" w:hAnsiTheme="majorHAnsi" w:eastAsiaTheme="majorEastAsia" w:cstheme="majorBidi"/>
      <w:b/>
      <w:bCs/>
      <w:sz w:val="32"/>
      <w:szCs w:val="32"/>
    </w:rPr>
  </w:style>
  <w:style w:type="character" w:customStyle="1" w:styleId="36">
    <w:name w:val="标题 3 Char"/>
    <w:basedOn w:val="27"/>
    <w:link w:val="4"/>
    <w:autoRedefine/>
    <w:semiHidden/>
    <w:qFormat/>
    <w:locked/>
    <w:uiPriority w:val="99"/>
    <w:rPr>
      <w:rFonts w:cs="Times New Roman"/>
      <w:sz w:val="32"/>
      <w:szCs w:val="32"/>
    </w:rPr>
  </w:style>
  <w:style w:type="character" w:customStyle="1" w:styleId="37">
    <w:name w:val="标题 7 Char"/>
    <w:basedOn w:val="27"/>
    <w:link w:val="5"/>
    <w:autoRedefine/>
    <w:semiHidden/>
    <w:qFormat/>
    <w:uiPriority w:val="9"/>
    <w:rPr>
      <w:b/>
      <w:bCs/>
      <w:sz w:val="24"/>
      <w:szCs w:val="24"/>
    </w:rPr>
  </w:style>
  <w:style w:type="character" w:customStyle="1" w:styleId="38">
    <w:name w:val="标题 Char"/>
    <w:basedOn w:val="27"/>
    <w:link w:val="22"/>
    <w:autoRedefine/>
    <w:qFormat/>
    <w:uiPriority w:val="10"/>
    <w:rPr>
      <w:rFonts w:asciiTheme="majorHAnsi" w:hAnsiTheme="majorHAnsi" w:cstheme="majorBidi"/>
      <w:b/>
      <w:bCs/>
      <w:sz w:val="32"/>
      <w:szCs w:val="32"/>
    </w:rPr>
  </w:style>
  <w:style w:type="character" w:customStyle="1" w:styleId="39">
    <w:name w:val="批注文字 Char"/>
    <w:basedOn w:val="27"/>
    <w:link w:val="9"/>
    <w:autoRedefine/>
    <w:qFormat/>
    <w:locked/>
    <w:uiPriority w:val="99"/>
    <w:rPr>
      <w:rFonts w:ascii="Times New Roman" w:hAnsi="Times New Roman" w:eastAsia="宋体" w:cs="Times New Roman"/>
      <w:kern w:val="2"/>
      <w:sz w:val="24"/>
      <w:szCs w:val="24"/>
    </w:rPr>
  </w:style>
  <w:style w:type="character" w:customStyle="1" w:styleId="40">
    <w:name w:val="正文文本 Char"/>
    <w:basedOn w:val="27"/>
    <w:link w:val="10"/>
    <w:autoRedefine/>
    <w:semiHidden/>
    <w:qFormat/>
    <w:locked/>
    <w:uiPriority w:val="99"/>
    <w:rPr>
      <w:rFonts w:cs="Times New Roman"/>
      <w:sz w:val="21"/>
      <w:szCs w:val="21"/>
    </w:rPr>
  </w:style>
  <w:style w:type="character" w:customStyle="1" w:styleId="41">
    <w:name w:val="正文首行缩进 Char"/>
    <w:basedOn w:val="40"/>
    <w:link w:val="11"/>
    <w:autoRedefine/>
    <w:semiHidden/>
    <w:qFormat/>
    <w:uiPriority w:val="99"/>
  </w:style>
  <w:style w:type="character" w:customStyle="1" w:styleId="42">
    <w:name w:val="正文文本缩进 Char"/>
    <w:basedOn w:val="27"/>
    <w:link w:val="12"/>
    <w:autoRedefine/>
    <w:qFormat/>
    <w:locked/>
    <w:uiPriority w:val="99"/>
    <w:rPr>
      <w:rFonts w:cs="Times New Roman"/>
      <w:kern w:val="2"/>
      <w:sz w:val="24"/>
      <w:szCs w:val="24"/>
    </w:rPr>
  </w:style>
  <w:style w:type="character" w:customStyle="1" w:styleId="43">
    <w:name w:val="纯文本 Char"/>
    <w:basedOn w:val="27"/>
    <w:link w:val="14"/>
    <w:autoRedefine/>
    <w:semiHidden/>
    <w:qFormat/>
    <w:locked/>
    <w:uiPriority w:val="99"/>
    <w:rPr>
      <w:rFonts w:ascii="宋体" w:hAnsi="Courier New" w:cs="Courier New"/>
      <w:sz w:val="21"/>
      <w:szCs w:val="21"/>
    </w:rPr>
  </w:style>
  <w:style w:type="character" w:customStyle="1" w:styleId="44">
    <w:name w:val="日期 Char"/>
    <w:basedOn w:val="27"/>
    <w:link w:val="15"/>
    <w:autoRedefine/>
    <w:semiHidden/>
    <w:qFormat/>
    <w:locked/>
    <w:uiPriority w:val="99"/>
    <w:rPr>
      <w:rFonts w:cs="Times New Roman"/>
      <w:sz w:val="21"/>
      <w:szCs w:val="21"/>
    </w:rPr>
  </w:style>
  <w:style w:type="character" w:customStyle="1" w:styleId="45">
    <w:name w:val="正文文本缩进 2 Char"/>
    <w:basedOn w:val="27"/>
    <w:link w:val="16"/>
    <w:autoRedefine/>
    <w:semiHidden/>
    <w:qFormat/>
    <w:uiPriority w:val="99"/>
    <w:rPr>
      <w:szCs w:val="21"/>
    </w:rPr>
  </w:style>
  <w:style w:type="character" w:customStyle="1" w:styleId="46">
    <w:name w:val="批注框文本 Char"/>
    <w:basedOn w:val="27"/>
    <w:link w:val="17"/>
    <w:autoRedefine/>
    <w:qFormat/>
    <w:locked/>
    <w:uiPriority w:val="99"/>
    <w:rPr>
      <w:rFonts w:ascii="Times New Roman" w:hAnsi="Times New Roman" w:eastAsia="宋体" w:cs="Times New Roman"/>
      <w:kern w:val="2"/>
      <w:sz w:val="18"/>
      <w:szCs w:val="18"/>
    </w:rPr>
  </w:style>
  <w:style w:type="character" w:customStyle="1" w:styleId="47">
    <w:name w:val="页脚 Char"/>
    <w:basedOn w:val="27"/>
    <w:link w:val="18"/>
    <w:autoRedefine/>
    <w:semiHidden/>
    <w:qFormat/>
    <w:locked/>
    <w:uiPriority w:val="99"/>
    <w:rPr>
      <w:rFonts w:cs="Times New Roman"/>
      <w:sz w:val="18"/>
      <w:szCs w:val="18"/>
    </w:rPr>
  </w:style>
  <w:style w:type="character" w:customStyle="1" w:styleId="48">
    <w:name w:val="页眉 Char"/>
    <w:basedOn w:val="27"/>
    <w:link w:val="19"/>
    <w:autoRedefine/>
    <w:semiHidden/>
    <w:qFormat/>
    <w:locked/>
    <w:uiPriority w:val="99"/>
    <w:rPr>
      <w:rFonts w:cs="Times New Roman"/>
      <w:sz w:val="18"/>
      <w:szCs w:val="18"/>
    </w:rPr>
  </w:style>
  <w:style w:type="character" w:customStyle="1" w:styleId="49">
    <w:name w:val="批注主题 Char"/>
    <w:basedOn w:val="39"/>
    <w:link w:val="23"/>
    <w:autoRedefine/>
    <w:qFormat/>
    <w:locked/>
    <w:uiPriority w:val="99"/>
  </w:style>
  <w:style w:type="character" w:customStyle="1" w:styleId="50">
    <w:name w:val="正文首行缩进 2 Char"/>
    <w:basedOn w:val="42"/>
    <w:link w:val="24"/>
    <w:autoRedefine/>
    <w:semiHidden/>
    <w:qFormat/>
    <w:uiPriority w:val="99"/>
    <w:rPr>
      <w:szCs w:val="21"/>
    </w:rPr>
  </w:style>
  <w:style w:type="paragraph" w:customStyle="1" w:styleId="51">
    <w:name w:val="Char"/>
    <w:basedOn w:val="1"/>
    <w:autoRedefine/>
    <w:qFormat/>
    <w:uiPriority w:val="99"/>
    <w:rPr>
      <w:rFonts w:ascii="仿宋_GB2312" w:eastAsia="仿宋_GB2312" w:cs="仿宋_GB2312"/>
      <w:b/>
      <w:bCs/>
      <w:sz w:val="32"/>
      <w:szCs w:val="32"/>
    </w:rPr>
  </w:style>
  <w:style w:type="paragraph" w:customStyle="1" w:styleId="52">
    <w:name w:val="[Normal]"/>
    <w:autoRedefine/>
    <w:qFormat/>
    <w:uiPriority w:val="99"/>
    <w:rPr>
      <w:rFonts w:ascii="宋体" w:hAnsi="宋体" w:eastAsia="宋体" w:cs="Times New Roman"/>
      <w:sz w:val="24"/>
      <w:szCs w:val="22"/>
      <w:lang w:val="zh-CN" w:eastAsia="zh-CN" w:bidi="ar-SA"/>
    </w:rPr>
  </w:style>
  <w:style w:type="paragraph" w:customStyle="1" w:styleId="53">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54">
    <w:name w:val="正文首行缩进 21"/>
    <w:basedOn w:val="55"/>
    <w:autoRedefine/>
    <w:qFormat/>
    <w:uiPriority w:val="99"/>
    <w:pPr>
      <w:ind w:firstLine="420"/>
    </w:pPr>
    <w:rPr>
      <w:rFonts w:cs="宋体"/>
    </w:rPr>
  </w:style>
  <w:style w:type="paragraph" w:customStyle="1" w:styleId="55">
    <w:name w:val="正文文本缩进1"/>
    <w:basedOn w:val="1"/>
    <w:next w:val="1"/>
    <w:autoRedefine/>
    <w:qFormat/>
    <w:uiPriority w:val="99"/>
    <w:pPr>
      <w:spacing w:after="120"/>
      <w:ind w:left="420" w:leftChars="200"/>
    </w:pPr>
    <w:rPr>
      <w:color w:val="000000"/>
    </w:rPr>
  </w:style>
  <w:style w:type="paragraph" w:customStyle="1" w:styleId="56">
    <w:name w:val="zw"/>
    <w:basedOn w:val="1"/>
    <w:autoRedefine/>
    <w:qFormat/>
    <w:uiPriority w:val="99"/>
    <w:pPr>
      <w:widowControl/>
      <w:spacing w:before="30"/>
      <w:ind w:left="100" w:right="100"/>
    </w:pPr>
    <w:rPr>
      <w:rFonts w:ascii="方正书宋简体" w:hAnsi="宋体" w:eastAsia="方正书宋简体" w:cs="方正书宋简体"/>
      <w:color w:val="000000"/>
      <w:kern w:val="0"/>
    </w:rPr>
  </w:style>
  <w:style w:type="paragraph" w:styleId="57">
    <w:name w:val="List Paragraph"/>
    <w:basedOn w:val="1"/>
    <w:autoRedefine/>
    <w:qFormat/>
    <w:uiPriority w:val="99"/>
    <w:pPr>
      <w:ind w:firstLine="420" w:firstLineChars="200"/>
    </w:pPr>
    <w:rPr>
      <w:rFonts w:ascii="Calibri" w:hAnsi="Calibri" w:cs="Calibri"/>
    </w:rPr>
  </w:style>
  <w:style w:type="paragraph" w:customStyle="1" w:styleId="58">
    <w:name w:val="列出段落1"/>
    <w:basedOn w:val="1"/>
    <w:autoRedefine/>
    <w:qFormat/>
    <w:uiPriority w:val="99"/>
    <w:pPr>
      <w:ind w:firstLine="420" w:firstLineChars="200"/>
    </w:pPr>
    <w:rPr>
      <w:rFonts w:ascii="Calibri" w:hAnsi="Calibri" w:cs="Calibri"/>
      <w:kern w:val="0"/>
    </w:rPr>
  </w:style>
  <w:style w:type="paragraph" w:customStyle="1" w:styleId="59">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60">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14"/>
    <w:autoRedefine/>
    <w:qFormat/>
    <w:uiPriority w:val="99"/>
    <w:rPr>
      <w:rFonts w:ascii="Times New Roman" w:hAnsi="Times New Roman" w:eastAsia="宋体" w:cs="Times New Roman"/>
      <w:sz w:val="21"/>
      <w:szCs w:val="21"/>
      <w:lang w:val="en-US" w:eastAsia="zh-CN" w:bidi="ar-SA"/>
    </w:rPr>
  </w:style>
  <w:style w:type="paragraph" w:customStyle="1" w:styleId="63">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纯文本_3"/>
    <w:basedOn w:val="65"/>
    <w:autoRedefine/>
    <w:qFormat/>
    <w:uiPriority w:val="99"/>
    <w:pPr>
      <w:widowControl/>
      <w:jc w:val="left"/>
    </w:pPr>
    <w:rPr>
      <w:rFonts w:ascii="宋体" w:hAnsi="Courier New" w:cs="宋体"/>
    </w:rPr>
  </w:style>
  <w:style w:type="paragraph" w:customStyle="1" w:styleId="67">
    <w:name w:val="纯文本_0_1"/>
    <w:basedOn w:val="1"/>
    <w:autoRedefine/>
    <w:qFormat/>
    <w:uiPriority w:val="99"/>
    <w:pPr>
      <w:widowControl/>
      <w:jc w:val="left"/>
    </w:pPr>
    <w:rPr>
      <w:rFonts w:ascii="宋体" w:hAnsi="Courier New" w:cs="宋体"/>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72">
    <w:name w:val="纯文本1"/>
    <w:basedOn w:val="73"/>
    <w:autoRedefine/>
    <w:qFormat/>
    <w:uiPriority w:val="99"/>
    <w:pPr>
      <w:widowControl/>
      <w:jc w:val="left"/>
    </w:pPr>
    <w:rPr>
      <w:rFonts w:ascii="宋体" w:hAnsi="Courier New"/>
    </w:rPr>
  </w:style>
  <w:style w:type="paragraph" w:customStyle="1" w:styleId="73">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4">
    <w:name w:val="表格标题"/>
    <w:basedOn w:val="1"/>
    <w:autoRedefine/>
    <w:qFormat/>
    <w:uiPriority w:val="99"/>
    <w:pPr>
      <w:jc w:val="center"/>
    </w:pPr>
    <w:rPr>
      <w:b/>
    </w:rPr>
  </w:style>
  <w:style w:type="paragraph" w:customStyle="1" w:styleId="75">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6">
    <w:name w:val="附件文字"/>
    <w:basedOn w:val="14"/>
    <w:autoRedefine/>
    <w:qFormat/>
    <w:uiPriority w:val="99"/>
    <w:pPr>
      <w:adjustRightInd w:val="0"/>
      <w:snapToGrid w:val="0"/>
      <w:ind w:firstLine="150" w:firstLineChars="150"/>
    </w:pPr>
    <w:rPr>
      <w:rFonts w:ascii="Arial" w:hAnsi="Times New Roman"/>
      <w:color w:val="000000"/>
      <w:sz w:val="24"/>
    </w:rPr>
  </w:style>
  <w:style w:type="character" w:customStyle="1" w:styleId="77">
    <w:name w:val="font41"/>
    <w:basedOn w:val="27"/>
    <w:autoRedefine/>
    <w:qFormat/>
    <w:uiPriority w:val="99"/>
    <w:rPr>
      <w:rFonts w:ascii="宋体" w:hAnsi="宋体" w:eastAsia="宋体" w:cs="宋体"/>
      <w:color w:val="000000"/>
      <w:sz w:val="24"/>
      <w:szCs w:val="24"/>
      <w:u w:val="none"/>
    </w:rPr>
  </w:style>
  <w:style w:type="character" w:customStyle="1" w:styleId="78">
    <w:name w:val="font01"/>
    <w:basedOn w:val="27"/>
    <w:autoRedefine/>
    <w:qFormat/>
    <w:uiPriority w:val="99"/>
    <w:rPr>
      <w:rFonts w:ascii="宋体" w:hAnsi="宋体" w:eastAsia="宋体" w:cs="宋体"/>
      <w:color w:val="000000"/>
      <w:sz w:val="18"/>
      <w:szCs w:val="18"/>
      <w:u w:val="none"/>
    </w:rPr>
  </w:style>
  <w:style w:type="character" w:customStyle="1" w:styleId="79">
    <w:name w:val="NormalCharacter"/>
    <w:autoRedefine/>
    <w:qFormat/>
    <w:uiPriority w:val="99"/>
  </w:style>
  <w:style w:type="paragraph" w:customStyle="1" w:styleId="80">
    <w:name w:val="样式 宋体 行距: 固定值 20 磅 首行缩进:  2 字符"/>
    <w:basedOn w:val="1"/>
    <w:autoRedefine/>
    <w:qFormat/>
    <w:uiPriority w:val="99"/>
    <w:pPr>
      <w:spacing w:line="400" w:lineRule="exact"/>
      <w:ind w:firstLine="435" w:firstLineChars="207"/>
    </w:pPr>
    <w:rPr>
      <w:rFonts w:ascii="宋体" w:hAnsi="宋体" w:cs="宋体"/>
      <w:szCs w:val="20"/>
    </w:rPr>
  </w:style>
  <w:style w:type="paragraph" w:customStyle="1" w:styleId="81">
    <w:name w:val="WPSOffice手动目录 1"/>
    <w:autoRedefine/>
    <w:qFormat/>
    <w:uiPriority w:val="99"/>
    <w:rPr>
      <w:rFonts w:ascii="Times New Roman" w:hAnsi="Times New Roman" w:eastAsia="宋体" w:cs="Times New Roman"/>
      <w:lang w:val="en-US" w:eastAsia="zh-CN" w:bidi="ar-SA"/>
    </w:rPr>
  </w:style>
  <w:style w:type="paragraph" w:customStyle="1" w:styleId="82">
    <w:name w:val="Table Paragraph"/>
    <w:basedOn w:val="1"/>
    <w:autoRedefine/>
    <w:qFormat/>
    <w:uiPriority w:val="99"/>
    <w:rPr>
      <w:rFonts w:ascii="宋体" w:hAnsi="宋体" w:cs="宋体"/>
      <w:lang w:val="zh-CN"/>
    </w:rPr>
  </w:style>
  <w:style w:type="paragraph" w:customStyle="1" w:styleId="83">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4">
    <w:name w:val="_Style 1"/>
    <w:basedOn w:val="1"/>
    <w:autoRedefine/>
    <w:qFormat/>
    <w:uiPriority w:val="99"/>
    <w:pPr>
      <w:ind w:firstLine="420" w:firstLineChars="200"/>
    </w:pPr>
    <w:rPr>
      <w:rFonts w:ascii="Calibri" w:hAnsi="Calibri"/>
      <w:szCs w:val="22"/>
    </w:rPr>
  </w:style>
  <w:style w:type="paragraph" w:customStyle="1" w:styleId="85">
    <w:name w:val="p1"/>
    <w:basedOn w:val="1"/>
    <w:autoRedefine/>
    <w:qFormat/>
    <w:uiPriority w:val="99"/>
    <w:pPr>
      <w:spacing w:line="380" w:lineRule="atLeast"/>
      <w:jc w:val="left"/>
    </w:pPr>
    <w:rPr>
      <w:rFonts w:ascii="Helvetica Neue" w:hAnsi="Helvetica Neue"/>
      <w:color w:val="000000"/>
      <w:kern w:val="0"/>
      <w:sz w:val="26"/>
      <w:szCs w:val="26"/>
    </w:rPr>
  </w:style>
  <w:style w:type="paragraph" w:customStyle="1" w:styleId="86">
    <w:name w:val="样式 标题 3 + (中文) 黑体 小四 非加粗 段前: 7.8 磅 段后: 0 磅 行距: 固定值 20 磅"/>
    <w:basedOn w:val="4"/>
    <w:autoRedefine/>
    <w:qFormat/>
    <w:uiPriority w:val="0"/>
    <w:pPr>
      <w:numPr>
        <w:ilvl w:val="0"/>
        <w:numId w:val="0"/>
      </w:num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28803</Words>
  <Characters>30682</Characters>
  <Lines>324</Lines>
  <Paragraphs>91</Paragraphs>
  <TotalTime>2</TotalTime>
  <ScaleCrop>false</ScaleCrop>
  <LinksUpToDate>false</LinksUpToDate>
  <CharactersWithSpaces>32415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2020-06-05T10:04:00Z</dcterms:created>
  <dc:creator>S-mile</dc:creator>
  <cp:lastModifiedBy>贰捌°</cp:lastModifiedBy>
  <cp:lastPrinted>2024-06-04T04:37:00Z</cp:lastPrinted>
  <dcterms:modified xsi:type="dcterms:W3CDTF">2024-06-05T01:18:54Z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6CD1FE465C484871B3E24EACDD07768D_13</vt:lpwstr>
  </property>
</Properties>
</file>