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9341B1">
      <w:pPr>
        <w:spacing w:before="156" w:beforeLines="50"/>
        <w:jc w:val="right"/>
        <w:rPr>
          <w:rFonts w:ascii="宋体" w:hAnsi="宋体"/>
          <w:b/>
          <w:bCs/>
          <w:color w:val="auto"/>
          <w:sz w:val="36"/>
          <w:szCs w:val="36"/>
          <w:highlight w:val="none"/>
        </w:rPr>
      </w:pPr>
      <w:bookmarkStart w:id="0" w:name="_Toc25017_WPSOffice_Type1"/>
    </w:p>
    <w:p w14:paraId="062173EE">
      <w:pPr>
        <w:spacing w:before="156" w:beforeLines="50"/>
        <w:jc w:val="right"/>
        <w:rPr>
          <w:rFonts w:ascii="宋体" w:hAnsi="宋体"/>
          <w:b/>
          <w:bCs/>
          <w:color w:val="auto"/>
          <w:sz w:val="36"/>
          <w:szCs w:val="36"/>
          <w:highlight w:val="none"/>
        </w:rPr>
      </w:pPr>
      <w:r>
        <w:rPr>
          <w:rFonts w:ascii="宋体"/>
          <w:b/>
          <w:color w:val="auto"/>
          <w:kern w:val="0"/>
          <w:sz w:val="52"/>
          <w:szCs w:val="52"/>
          <w:highlight w:val="none"/>
        </w:rPr>
        <w:drawing>
          <wp:inline distT="0" distB="0" distL="0" distR="0">
            <wp:extent cx="1851660" cy="544830"/>
            <wp:effectExtent l="19050" t="0" r="0" b="0"/>
            <wp:docPr id="2" name="图片 4" descr="微信图片_202401021407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微信图片_20240102140738.jpg"/>
                    <pic:cNvPicPr>
                      <a:picLocks noChangeAspect="1"/>
                    </pic:cNvPicPr>
                  </pic:nvPicPr>
                  <pic:blipFill>
                    <a:blip r:embed="rId6"/>
                    <a:stretch>
                      <a:fillRect/>
                    </a:stretch>
                  </pic:blipFill>
                  <pic:spPr>
                    <a:xfrm>
                      <a:off x="0" y="0"/>
                      <a:ext cx="1851660" cy="545211"/>
                    </a:xfrm>
                    <a:prstGeom prst="rect">
                      <a:avLst/>
                    </a:prstGeom>
                  </pic:spPr>
                </pic:pic>
              </a:graphicData>
            </a:graphic>
          </wp:inline>
        </w:drawing>
      </w:r>
    </w:p>
    <w:p w14:paraId="2784D541">
      <w:pPr>
        <w:spacing w:before="156" w:beforeLines="50"/>
        <w:jc w:val="center"/>
        <w:rPr>
          <w:rFonts w:ascii="宋体" w:hAnsi="宋体"/>
          <w:b/>
          <w:bCs/>
          <w:color w:val="auto"/>
          <w:sz w:val="48"/>
          <w:szCs w:val="48"/>
          <w:highlight w:val="none"/>
        </w:rPr>
      </w:pPr>
    </w:p>
    <w:p w14:paraId="07095F9F">
      <w:pPr>
        <w:spacing w:before="156" w:beforeLines="50"/>
        <w:jc w:val="center"/>
        <w:rPr>
          <w:rFonts w:ascii="宋体" w:hAnsi="宋体"/>
          <w:b/>
          <w:bCs/>
          <w:color w:val="auto"/>
          <w:sz w:val="48"/>
          <w:szCs w:val="48"/>
          <w:highlight w:val="none"/>
        </w:rPr>
      </w:pPr>
    </w:p>
    <w:p w14:paraId="70F634D6">
      <w:pPr>
        <w:spacing w:before="156" w:beforeLines="50"/>
        <w:jc w:val="center"/>
        <w:rPr>
          <w:rFonts w:ascii="宋体" w:hAnsi="宋体"/>
          <w:color w:val="auto"/>
          <w:sz w:val="40"/>
          <w:szCs w:val="40"/>
          <w:highlight w:val="none"/>
        </w:rPr>
      </w:pPr>
      <w:bookmarkStart w:id="1" w:name="OLE_LINK395"/>
      <w:bookmarkStart w:id="2" w:name="OLE_LINK394"/>
      <w:bookmarkStart w:id="3" w:name="OLE_LINK89"/>
      <w:r>
        <w:rPr>
          <w:rFonts w:hint="eastAsia" w:ascii="宋体" w:hAnsi="宋体"/>
          <w:b/>
          <w:bCs/>
          <w:color w:val="auto"/>
          <w:sz w:val="40"/>
          <w:szCs w:val="40"/>
          <w:highlight w:val="none"/>
        </w:rPr>
        <w:t>台州市椒江区白云街道社区卫生服务中心CT采购项目</w:t>
      </w:r>
    </w:p>
    <w:bookmarkEnd w:id="1"/>
    <w:bookmarkEnd w:id="2"/>
    <w:bookmarkEnd w:id="3"/>
    <w:p w14:paraId="5B1D03E9">
      <w:pPr>
        <w:spacing w:before="156" w:beforeLines="50"/>
        <w:rPr>
          <w:rFonts w:ascii="宋体" w:hAnsi="宋体"/>
          <w:color w:val="auto"/>
          <w:sz w:val="52"/>
          <w:szCs w:val="52"/>
          <w:highlight w:val="none"/>
        </w:rPr>
      </w:pPr>
    </w:p>
    <w:p w14:paraId="68F270B9">
      <w:pPr>
        <w:pStyle w:val="21"/>
        <w:rPr>
          <w:color w:val="auto"/>
          <w:highlight w:val="none"/>
        </w:rPr>
      </w:pPr>
    </w:p>
    <w:p w14:paraId="24FAFBB6">
      <w:pPr>
        <w:pStyle w:val="21"/>
        <w:rPr>
          <w:color w:val="auto"/>
          <w:highlight w:val="none"/>
        </w:rPr>
      </w:pPr>
    </w:p>
    <w:p w14:paraId="77D2EC38">
      <w:pPr>
        <w:snapToGrid w:val="0"/>
        <w:spacing w:before="156" w:beforeLines="50"/>
        <w:jc w:val="center"/>
        <w:rPr>
          <w:rFonts w:ascii="宋体" w:hAnsi="宋体"/>
          <w:color w:val="auto"/>
          <w:sz w:val="30"/>
          <w:szCs w:val="72"/>
          <w:highlight w:val="none"/>
        </w:rPr>
      </w:pPr>
      <w:r>
        <w:rPr>
          <w:rFonts w:hint="eastAsia" w:ascii="宋体" w:hAnsi="宋体"/>
          <w:color w:val="auto"/>
          <w:sz w:val="84"/>
          <w:szCs w:val="84"/>
          <w:highlight w:val="none"/>
        </w:rPr>
        <w:t>公开招标文件</w:t>
      </w:r>
    </w:p>
    <w:p w14:paraId="7560B081">
      <w:pPr>
        <w:snapToGrid w:val="0"/>
        <w:jc w:val="center"/>
        <w:rPr>
          <w:rFonts w:ascii="宋体" w:hAnsi="宋体"/>
          <w:color w:val="auto"/>
          <w:sz w:val="48"/>
          <w:szCs w:val="48"/>
          <w:highlight w:val="none"/>
        </w:rPr>
      </w:pPr>
      <w:r>
        <w:rPr>
          <w:rFonts w:ascii="宋体" w:hAnsi="宋体"/>
          <w:color w:val="auto"/>
          <w:sz w:val="48"/>
          <w:szCs w:val="48"/>
          <w:highlight w:val="none"/>
        </w:rPr>
        <w:t>（电子招投标）</w:t>
      </w:r>
    </w:p>
    <w:p w14:paraId="48CFE615">
      <w:pPr>
        <w:snapToGrid w:val="0"/>
        <w:spacing w:before="156" w:beforeLines="50" w:line="360" w:lineRule="auto"/>
        <w:rPr>
          <w:rFonts w:ascii="宋体" w:hAnsi="宋体"/>
          <w:color w:val="auto"/>
          <w:sz w:val="30"/>
          <w:szCs w:val="72"/>
          <w:highlight w:val="none"/>
        </w:rPr>
      </w:pPr>
    </w:p>
    <w:p w14:paraId="3DC4100E">
      <w:pPr>
        <w:pStyle w:val="13"/>
        <w:rPr>
          <w:color w:val="auto"/>
          <w:w w:val="95"/>
          <w:highlight w:val="none"/>
        </w:rPr>
      </w:pPr>
    </w:p>
    <w:p w14:paraId="79FA0A45">
      <w:pPr>
        <w:pStyle w:val="14"/>
        <w:ind w:left="5250"/>
        <w:rPr>
          <w:color w:val="auto"/>
          <w:highlight w:val="none"/>
        </w:rPr>
      </w:pPr>
    </w:p>
    <w:p w14:paraId="1AA4934B">
      <w:pPr>
        <w:rPr>
          <w:color w:val="auto"/>
          <w:highlight w:val="none"/>
        </w:rPr>
      </w:pPr>
    </w:p>
    <w:p w14:paraId="657B55FD">
      <w:pPr>
        <w:snapToGrid w:val="0"/>
        <w:spacing w:before="156" w:beforeLines="50" w:line="360" w:lineRule="auto"/>
        <w:jc w:val="center"/>
        <w:rPr>
          <w:rFonts w:ascii="宋体" w:hAnsi="宋体"/>
          <w:b/>
          <w:bCs/>
          <w:color w:val="auto"/>
          <w:w w:val="95"/>
          <w:sz w:val="30"/>
          <w:szCs w:val="30"/>
          <w:highlight w:val="none"/>
        </w:rPr>
      </w:pPr>
      <w:r>
        <w:rPr>
          <w:rFonts w:hint="eastAsia" w:ascii="宋体" w:hAnsi="宋体"/>
          <w:b/>
          <w:bCs/>
          <w:color w:val="auto"/>
          <w:w w:val="95"/>
          <w:sz w:val="30"/>
          <w:szCs w:val="30"/>
          <w:highlight w:val="none"/>
        </w:rPr>
        <w:t>采 购 人：台州市椒江区白云街道社区卫生服务中心</w:t>
      </w:r>
    </w:p>
    <w:p w14:paraId="2024AA6F">
      <w:pPr>
        <w:snapToGrid w:val="0"/>
        <w:spacing w:before="156" w:beforeLines="50" w:line="360" w:lineRule="auto"/>
        <w:jc w:val="center"/>
        <w:rPr>
          <w:rFonts w:ascii="宋体" w:hAnsi="宋体"/>
          <w:b/>
          <w:bCs/>
          <w:color w:val="auto"/>
          <w:w w:val="95"/>
          <w:sz w:val="30"/>
          <w:szCs w:val="30"/>
          <w:highlight w:val="none"/>
        </w:rPr>
      </w:pPr>
      <w:r>
        <w:rPr>
          <w:rFonts w:hint="eastAsia" w:ascii="宋体" w:hAnsi="宋体"/>
          <w:b/>
          <w:bCs/>
          <w:color w:val="auto"/>
          <w:w w:val="95"/>
          <w:sz w:val="30"/>
          <w:szCs w:val="30"/>
          <w:highlight w:val="none"/>
        </w:rPr>
        <w:t>代理机构：浙江中永工程咨询有限公司</w:t>
      </w:r>
    </w:p>
    <w:p w14:paraId="3521FD70">
      <w:pPr>
        <w:snapToGrid w:val="0"/>
        <w:spacing w:before="156" w:beforeLines="50" w:line="360" w:lineRule="auto"/>
        <w:jc w:val="center"/>
        <w:rPr>
          <w:rFonts w:ascii="宋体" w:hAnsi="宋体"/>
          <w:b/>
          <w:bCs/>
          <w:color w:val="auto"/>
          <w:w w:val="95"/>
          <w:sz w:val="30"/>
          <w:szCs w:val="30"/>
          <w:highlight w:val="none"/>
        </w:rPr>
      </w:pPr>
    </w:p>
    <w:p w14:paraId="2B22361F">
      <w:pPr>
        <w:snapToGrid w:val="0"/>
        <w:spacing w:before="156" w:beforeLines="50" w:line="360" w:lineRule="auto"/>
        <w:jc w:val="center"/>
        <w:rPr>
          <w:rFonts w:ascii="宋体" w:hAnsi="宋体"/>
          <w:b/>
          <w:bCs/>
          <w:color w:val="auto"/>
          <w:w w:val="95"/>
          <w:sz w:val="30"/>
          <w:szCs w:val="30"/>
          <w:highlight w:val="none"/>
        </w:rPr>
      </w:pPr>
      <w:r>
        <w:rPr>
          <w:rFonts w:hint="eastAsia" w:ascii="宋体" w:hAnsi="宋体"/>
          <w:b/>
          <w:bCs/>
          <w:color w:val="auto"/>
          <w:w w:val="95"/>
          <w:sz w:val="30"/>
          <w:szCs w:val="30"/>
          <w:highlight w:val="none"/>
        </w:rPr>
        <w:t>二○二五年四月</w:t>
      </w:r>
    </w:p>
    <w:p w14:paraId="781E5A49">
      <w:pPr>
        <w:pStyle w:val="21"/>
        <w:rPr>
          <w:color w:val="auto"/>
          <w:highlight w:val="none"/>
        </w:rPr>
      </w:pPr>
    </w:p>
    <w:p w14:paraId="664D5325">
      <w:pPr>
        <w:pStyle w:val="21"/>
        <w:rPr>
          <w:color w:val="auto"/>
          <w:highlight w:val="none"/>
        </w:rPr>
      </w:pPr>
    </w:p>
    <w:sdt>
      <w:sdtPr>
        <w:rPr>
          <w:rFonts w:ascii="宋体" w:hAnsi="宋体"/>
          <w:color w:val="auto"/>
          <w:kern w:val="0"/>
          <w:sz w:val="28"/>
          <w:szCs w:val="28"/>
          <w:highlight w:val="none"/>
        </w:rPr>
        <w:id w:val="147471336"/>
        <w:docPartObj>
          <w:docPartGallery w:val="Table of Contents"/>
          <w:docPartUnique/>
        </w:docPartObj>
      </w:sdtPr>
      <w:sdtEndPr>
        <w:rPr>
          <w:rFonts w:ascii="宋体" w:hAnsi="宋体"/>
          <w:color w:val="auto"/>
          <w:kern w:val="0"/>
          <w:sz w:val="20"/>
          <w:szCs w:val="20"/>
          <w:highlight w:val="none"/>
        </w:rPr>
      </w:sdtEndPr>
      <w:sdtContent>
        <w:p w14:paraId="03008230">
          <w:pPr>
            <w:spacing w:line="480" w:lineRule="auto"/>
            <w:jc w:val="center"/>
            <w:rPr>
              <w:rFonts w:ascii="宋体" w:hAnsi="宋体"/>
              <w:color w:val="auto"/>
              <w:sz w:val="28"/>
              <w:szCs w:val="28"/>
              <w:highlight w:val="none"/>
            </w:rPr>
          </w:pPr>
        </w:p>
        <w:p w14:paraId="229F0E07">
          <w:pPr>
            <w:spacing w:line="480" w:lineRule="auto"/>
            <w:jc w:val="center"/>
            <w:rPr>
              <w:color w:val="auto"/>
              <w:sz w:val="28"/>
              <w:szCs w:val="28"/>
              <w:highlight w:val="none"/>
            </w:rPr>
          </w:pPr>
          <w:r>
            <w:rPr>
              <w:rFonts w:ascii="宋体" w:hAnsi="宋体"/>
              <w:b/>
              <w:bCs/>
              <w:color w:val="auto"/>
              <w:sz w:val="36"/>
              <w:szCs w:val="36"/>
              <w:highlight w:val="none"/>
            </w:rPr>
            <w:t>目录</w:t>
          </w:r>
        </w:p>
        <w:p w14:paraId="381907F7">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"_Toc4350_WPSOffice_Level1" </w:instrText>
          </w:r>
          <w:r>
            <w:rPr>
              <w:color w:val="auto"/>
              <w:highlight w:val="none"/>
            </w:rPr>
            <w:fldChar w:fldCharType="separate"/>
          </w:r>
          <w:r>
            <w:rPr>
              <w:rFonts w:hint="eastAsia" w:asciiTheme="majorEastAsia" w:hAnsiTheme="majorEastAsia" w:eastAsiaTheme="majorEastAsia"/>
              <w:color w:val="auto"/>
              <w:sz w:val="28"/>
              <w:szCs w:val="28"/>
              <w:highlight w:val="none"/>
            </w:rPr>
            <w:t xml:space="preserve">第一章 招标公告 </w:t>
          </w:r>
          <w:r>
            <w:rPr>
              <w:color w:val="auto"/>
              <w:sz w:val="28"/>
              <w:szCs w:val="28"/>
              <w:highlight w:val="none"/>
            </w:rPr>
            <w:tab/>
          </w:r>
          <w:bookmarkStart w:id="4" w:name="_Toc4350_WPSOffice_Level1Page"/>
          <w:r>
            <w:rPr>
              <w:color w:val="auto"/>
              <w:sz w:val="28"/>
              <w:szCs w:val="28"/>
              <w:highlight w:val="none"/>
            </w:rPr>
            <w:t>3</w:t>
          </w:r>
          <w:bookmarkEnd w:id="4"/>
          <w:r>
            <w:rPr>
              <w:color w:val="auto"/>
              <w:sz w:val="28"/>
              <w:szCs w:val="28"/>
              <w:highlight w:val="none"/>
            </w:rPr>
            <w:fldChar w:fldCharType="end"/>
          </w:r>
        </w:p>
        <w:p w14:paraId="56A1A61F">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"_Toc25017_WPSOffice_Level1"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第二章 投标供应商须知</w:t>
          </w:r>
          <w:r>
            <w:rPr>
              <w:color w:val="auto"/>
              <w:sz w:val="28"/>
              <w:szCs w:val="28"/>
              <w:highlight w:val="none"/>
            </w:rPr>
            <w:tab/>
          </w:r>
          <w:r>
            <w:rPr>
              <w:rFonts w:hint="eastAsia"/>
              <w:color w:val="auto"/>
              <w:sz w:val="28"/>
              <w:szCs w:val="28"/>
              <w:highlight w:val="none"/>
            </w:rPr>
            <w:t>6</w:t>
          </w:r>
          <w:r>
            <w:rPr>
              <w:rFonts w:hint="eastAsia"/>
              <w:color w:val="auto"/>
              <w:sz w:val="28"/>
              <w:szCs w:val="28"/>
              <w:highlight w:val="none"/>
            </w:rPr>
            <w:fldChar w:fldCharType="end"/>
          </w:r>
        </w:p>
        <w:p w14:paraId="5A338EA3">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"_Toc13072_WPSOffice_Level1"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第三章 招标需求</w:t>
          </w:r>
          <w:r>
            <w:rPr>
              <w:color w:val="auto"/>
              <w:sz w:val="28"/>
              <w:szCs w:val="28"/>
              <w:highlight w:val="none"/>
            </w:rPr>
            <w:tab/>
          </w:r>
          <w:r>
            <w:rPr>
              <w:rFonts w:hint="eastAsia"/>
              <w:color w:val="auto"/>
              <w:sz w:val="28"/>
              <w:szCs w:val="28"/>
              <w:highlight w:val="none"/>
            </w:rPr>
            <w:t>1</w:t>
          </w:r>
          <w:r>
            <w:rPr>
              <w:rFonts w:hint="eastAsia"/>
              <w:color w:val="auto"/>
              <w:sz w:val="28"/>
              <w:szCs w:val="28"/>
              <w:highlight w:val="none"/>
            </w:rPr>
            <w:fldChar w:fldCharType="end"/>
          </w:r>
          <w:r>
            <w:rPr>
              <w:rFonts w:hint="eastAsia"/>
              <w:color w:val="auto"/>
              <w:sz w:val="28"/>
              <w:szCs w:val="28"/>
              <w:highlight w:val="none"/>
            </w:rPr>
            <w:t>7</w:t>
          </w:r>
        </w:p>
        <w:p w14:paraId="5477EAAE">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"_Toc31173_WPSOffice_Level1"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第四章 评标</w:t>
          </w:r>
          <w:r>
            <w:rPr>
              <w:color w:val="auto"/>
              <w:sz w:val="28"/>
              <w:szCs w:val="28"/>
              <w:highlight w:val="none"/>
            </w:rPr>
            <w:tab/>
          </w:r>
          <w:bookmarkStart w:id="5" w:name="_Toc31173_WPSOffice_Level1Page"/>
          <w:r>
            <w:rPr>
              <w:color w:val="auto"/>
              <w:sz w:val="28"/>
              <w:szCs w:val="28"/>
              <w:highlight w:val="none"/>
            </w:rPr>
            <w:t>2</w:t>
          </w:r>
          <w:bookmarkEnd w:id="5"/>
          <w:r>
            <w:rPr>
              <w:rFonts w:hint="eastAsia"/>
              <w:color w:val="auto"/>
              <w:sz w:val="28"/>
              <w:szCs w:val="28"/>
              <w:highlight w:val="none"/>
            </w:rPr>
            <w:t>4</w:t>
          </w:r>
          <w:r>
            <w:rPr>
              <w:rFonts w:hint="eastAsia"/>
              <w:color w:val="auto"/>
              <w:sz w:val="28"/>
              <w:szCs w:val="28"/>
              <w:highlight w:val="none"/>
            </w:rPr>
            <w:fldChar w:fldCharType="end"/>
          </w:r>
        </w:p>
        <w:p w14:paraId="0604A4D7">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"_Toc27944_WPSOffice_Level1"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第五章 拟签订的合同文本</w:t>
          </w:r>
          <w:r>
            <w:rPr>
              <w:color w:val="auto"/>
              <w:sz w:val="28"/>
              <w:szCs w:val="28"/>
              <w:highlight w:val="none"/>
            </w:rPr>
            <w:tab/>
          </w:r>
          <w:bookmarkStart w:id="6" w:name="_Toc27944_WPSOffice_Level1Page"/>
          <w:r>
            <w:rPr>
              <w:color w:val="auto"/>
              <w:sz w:val="28"/>
              <w:szCs w:val="28"/>
              <w:highlight w:val="none"/>
            </w:rPr>
            <w:t>3</w:t>
          </w:r>
          <w:bookmarkEnd w:id="6"/>
          <w:r>
            <w:rPr>
              <w:rFonts w:hint="eastAsia"/>
              <w:color w:val="auto"/>
              <w:sz w:val="28"/>
              <w:szCs w:val="28"/>
              <w:highlight w:val="none"/>
            </w:rPr>
            <w:t>2</w:t>
          </w:r>
          <w:r>
            <w:rPr>
              <w:rFonts w:hint="eastAsia"/>
              <w:color w:val="auto"/>
              <w:sz w:val="28"/>
              <w:szCs w:val="28"/>
              <w:highlight w:val="none"/>
            </w:rPr>
            <w:fldChar w:fldCharType="end"/>
          </w:r>
        </w:p>
        <w:p w14:paraId="64F31391">
          <w:pPr>
            <w:pStyle w:val="48"/>
            <w:tabs>
              <w:tab w:val="right" w:leader="dot" w:pos="8300"/>
            </w:tabs>
            <w:spacing w:line="480" w:lineRule="auto"/>
            <w:rPr>
              <w:color w:val="auto"/>
              <w:highlight w:val="none"/>
            </w:rPr>
          </w:pPr>
          <w:r>
            <w:rPr>
              <w:color w:val="auto"/>
              <w:highlight w:val="none"/>
            </w:rPr>
            <w:fldChar w:fldCharType="begin"/>
          </w:r>
          <w:r>
            <w:rPr>
              <w:color w:val="auto"/>
              <w:highlight w:val="none"/>
            </w:rPr>
            <w:instrText xml:space="preserve"> HYPERLINK \l "_Toc5481_WPSOffice_Level1"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第六章 投标文件格式</w:t>
          </w:r>
          <w:r>
            <w:rPr>
              <w:color w:val="auto"/>
              <w:sz w:val="28"/>
              <w:szCs w:val="28"/>
              <w:highlight w:val="none"/>
            </w:rPr>
            <w:tab/>
          </w:r>
          <w:r>
            <w:rPr>
              <w:rFonts w:hint="eastAsia"/>
              <w:color w:val="auto"/>
              <w:sz w:val="28"/>
              <w:szCs w:val="28"/>
              <w:highlight w:val="none"/>
            </w:rPr>
            <w:t>39</w:t>
          </w:r>
          <w:r>
            <w:rPr>
              <w:rFonts w:hint="eastAsia"/>
              <w:color w:val="auto"/>
              <w:sz w:val="28"/>
              <w:szCs w:val="28"/>
              <w:highlight w:val="none"/>
            </w:rPr>
            <w:fldChar w:fldCharType="end"/>
          </w:r>
        </w:p>
      </w:sdtContent>
    </w:sdt>
    <w:bookmarkEnd w:id="0"/>
    <w:p w14:paraId="18F34086">
      <w:pPr>
        <w:spacing w:line="480" w:lineRule="auto"/>
        <w:rPr>
          <w:color w:val="auto"/>
          <w:sz w:val="28"/>
          <w:szCs w:val="28"/>
          <w:highlight w:val="none"/>
        </w:rPr>
      </w:pPr>
    </w:p>
    <w:p w14:paraId="6E84AFDB">
      <w:pPr>
        <w:spacing w:line="360" w:lineRule="auto"/>
        <w:rPr>
          <w:color w:val="auto"/>
          <w:highlight w:val="none"/>
        </w:rPr>
      </w:pPr>
    </w:p>
    <w:p w14:paraId="58264016">
      <w:pPr>
        <w:spacing w:line="360" w:lineRule="auto"/>
        <w:rPr>
          <w:color w:val="auto"/>
          <w:highlight w:val="none"/>
        </w:rPr>
      </w:pPr>
    </w:p>
    <w:p w14:paraId="613238A2">
      <w:pPr>
        <w:spacing w:line="360" w:lineRule="auto"/>
        <w:rPr>
          <w:color w:val="auto"/>
          <w:highlight w:val="none"/>
        </w:rPr>
      </w:pPr>
    </w:p>
    <w:p w14:paraId="388B7751">
      <w:pPr>
        <w:spacing w:line="360" w:lineRule="auto"/>
        <w:rPr>
          <w:color w:val="auto"/>
          <w:highlight w:val="none"/>
        </w:rPr>
      </w:pPr>
    </w:p>
    <w:p w14:paraId="1A363A20">
      <w:pPr>
        <w:spacing w:line="360" w:lineRule="auto"/>
        <w:rPr>
          <w:color w:val="auto"/>
          <w:highlight w:val="none"/>
        </w:rPr>
      </w:pPr>
    </w:p>
    <w:p w14:paraId="1B14EEE7">
      <w:pPr>
        <w:spacing w:line="360" w:lineRule="auto"/>
        <w:rPr>
          <w:color w:val="auto"/>
          <w:highlight w:val="none"/>
        </w:rPr>
      </w:pPr>
    </w:p>
    <w:p w14:paraId="5A7DFBE6">
      <w:pPr>
        <w:spacing w:line="360" w:lineRule="auto"/>
        <w:rPr>
          <w:color w:val="auto"/>
          <w:highlight w:val="none"/>
        </w:rPr>
      </w:pPr>
    </w:p>
    <w:p w14:paraId="3CB36DEF">
      <w:pPr>
        <w:spacing w:line="360" w:lineRule="auto"/>
        <w:rPr>
          <w:color w:val="auto"/>
          <w:highlight w:val="none"/>
        </w:rPr>
      </w:pPr>
    </w:p>
    <w:p w14:paraId="403CBE7A">
      <w:pPr>
        <w:spacing w:line="360" w:lineRule="auto"/>
        <w:rPr>
          <w:color w:val="auto"/>
          <w:highlight w:val="none"/>
        </w:rPr>
      </w:pPr>
    </w:p>
    <w:p w14:paraId="07437310">
      <w:pPr>
        <w:spacing w:line="360" w:lineRule="auto"/>
        <w:rPr>
          <w:color w:val="auto"/>
          <w:highlight w:val="none"/>
        </w:rPr>
      </w:pPr>
    </w:p>
    <w:p w14:paraId="045423CC">
      <w:pPr>
        <w:spacing w:line="360" w:lineRule="auto"/>
        <w:rPr>
          <w:color w:val="auto"/>
          <w:highlight w:val="none"/>
        </w:rPr>
      </w:pPr>
    </w:p>
    <w:p w14:paraId="3CA2CE1B">
      <w:pPr>
        <w:spacing w:line="360" w:lineRule="auto"/>
        <w:rPr>
          <w:color w:val="auto"/>
          <w:highlight w:val="none"/>
        </w:rPr>
      </w:pPr>
    </w:p>
    <w:p w14:paraId="163FF8C8">
      <w:pPr>
        <w:spacing w:line="360" w:lineRule="auto"/>
        <w:rPr>
          <w:color w:val="auto"/>
          <w:highlight w:val="none"/>
        </w:rPr>
      </w:pPr>
    </w:p>
    <w:p w14:paraId="643D0A17">
      <w:pPr>
        <w:spacing w:line="360" w:lineRule="auto"/>
        <w:rPr>
          <w:color w:val="auto"/>
          <w:highlight w:val="none"/>
        </w:rPr>
      </w:pPr>
    </w:p>
    <w:p w14:paraId="310E660E">
      <w:pPr>
        <w:spacing w:line="360" w:lineRule="auto"/>
        <w:rPr>
          <w:color w:val="auto"/>
          <w:highlight w:val="none"/>
        </w:rPr>
      </w:pPr>
    </w:p>
    <w:p w14:paraId="7282BD85">
      <w:pPr>
        <w:widowControl/>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1F76D093">
      <w:pPr>
        <w:numPr>
          <w:ilvl w:val="0"/>
          <w:numId w:val="3"/>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color w:val="auto"/>
          <w:sz w:val="36"/>
          <w:szCs w:val="36"/>
          <w:highlight w:val="none"/>
        </w:rPr>
      </w:pPr>
      <w:r>
        <w:rPr>
          <w:rFonts w:hint="eastAsia" w:ascii="宋体" w:hAnsi="宋体" w:cs="宋体"/>
          <w:b/>
          <w:color w:val="auto"/>
          <w:kern w:val="0"/>
          <w:sz w:val="36"/>
          <w:szCs w:val="36"/>
          <w:highlight w:val="none"/>
        </w:rPr>
        <w:t xml:space="preserve">招标公告 </w:t>
      </w:r>
    </w:p>
    <w:p w14:paraId="4BDC7693">
      <w:pPr>
        <w:pStyle w:val="5"/>
        <w:ind w:firstLine="480" w:firstLineChars="200"/>
        <w:rPr>
          <w:rFonts w:cs="宋体"/>
          <w:b w:val="0"/>
          <w:color w:val="auto"/>
          <w:sz w:val="24"/>
          <w:szCs w:val="24"/>
          <w:highlight w:val="none"/>
        </w:rPr>
      </w:pPr>
      <w:bookmarkStart w:id="7" w:name="_Toc35393621"/>
      <w:bookmarkStart w:id="8" w:name="_Toc28359079"/>
      <w:bookmarkStart w:id="9" w:name="_Toc35393790"/>
      <w:bookmarkStart w:id="10" w:name="_Toc28359002"/>
      <w:bookmarkStart w:id="11" w:name="_Hlk24379207"/>
      <w:bookmarkStart w:id="12" w:name="_Toc28359087"/>
      <w:bookmarkStart w:id="13" w:name="_Toc28359010"/>
      <w:r>
        <w:rPr>
          <w:rFonts w:hint="eastAsia" w:cs="宋体"/>
          <w:b w:val="0"/>
          <w:color w:val="auto"/>
          <w:sz w:val="24"/>
          <w:szCs w:val="24"/>
          <w:highlight w:val="none"/>
        </w:rPr>
        <w:t>浙江中永工程咨询有限公司受台州市椒江区白云街道社区卫生服务中心委托，就台州市椒江区白云街道社区卫生服务中心CT采购项目进行公开招标，欢迎符合资格条件的国内投标供应商参加投标。</w:t>
      </w:r>
    </w:p>
    <w:p w14:paraId="69EA92C9">
      <w:pPr>
        <w:pStyle w:val="5"/>
        <w:ind w:firstLine="482" w:firstLineChars="200"/>
        <w:rPr>
          <w:rFonts w:cs="宋体"/>
          <w:bCs/>
          <w:color w:val="auto"/>
          <w:sz w:val="24"/>
          <w:szCs w:val="24"/>
          <w:highlight w:val="none"/>
        </w:rPr>
      </w:pPr>
      <w:r>
        <w:rPr>
          <w:rFonts w:hint="eastAsia" w:cs="宋体"/>
          <w:bCs/>
          <w:color w:val="auto"/>
          <w:sz w:val="24"/>
          <w:szCs w:val="24"/>
          <w:highlight w:val="none"/>
        </w:rPr>
        <w:t>一、项目基本情况</w:t>
      </w:r>
      <w:bookmarkEnd w:id="7"/>
      <w:bookmarkEnd w:id="8"/>
      <w:bookmarkEnd w:id="9"/>
      <w:bookmarkEnd w:id="10"/>
    </w:p>
    <w:p w14:paraId="7D669F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项目编号：</w:t>
      </w:r>
      <w:bookmarkStart w:id="14" w:name="OLE_LINK12"/>
      <w:bookmarkStart w:id="15" w:name="OLE_LINK11"/>
      <w:r>
        <w:rPr>
          <w:rFonts w:ascii="宋体" w:hAnsi="宋体" w:cs="宋体"/>
          <w:color w:val="auto"/>
          <w:sz w:val="24"/>
          <w:highlight w:val="none"/>
        </w:rPr>
        <w:t>ZYZFCG</w:t>
      </w:r>
      <w:bookmarkEnd w:id="14"/>
      <w:bookmarkEnd w:id="15"/>
      <w:r>
        <w:rPr>
          <w:rFonts w:ascii="宋体" w:hAnsi="宋体" w:cs="宋体"/>
          <w:color w:val="auto"/>
          <w:sz w:val="24"/>
          <w:highlight w:val="none"/>
        </w:rPr>
        <w:t>〔2025〕008</w:t>
      </w:r>
    </w:p>
    <w:bookmarkEnd w:id="11"/>
    <w:p w14:paraId="7468F57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kern w:val="0"/>
          <w:sz w:val="24"/>
          <w:highlight w:val="none"/>
        </w:rPr>
        <w:t>台州市椒江区白云街道社区卫生服务中心CT采购项目</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2706"/>
        <w:gridCol w:w="987"/>
        <w:gridCol w:w="965"/>
        <w:gridCol w:w="1564"/>
        <w:gridCol w:w="1564"/>
      </w:tblGrid>
      <w:tr w14:paraId="63586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29" w:type="pct"/>
            <w:vAlign w:val="center"/>
          </w:tcPr>
          <w:p w14:paraId="303B510B">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标项号</w:t>
            </w:r>
          </w:p>
        </w:tc>
        <w:tc>
          <w:tcPr>
            <w:tcW w:w="1519" w:type="pct"/>
            <w:vAlign w:val="center"/>
          </w:tcPr>
          <w:p w14:paraId="03FC0F16">
            <w:pPr>
              <w:tabs>
                <w:tab w:val="left" w:pos="8280"/>
              </w:tabs>
              <w:autoSpaceDE w:val="0"/>
              <w:autoSpaceDN w:val="0"/>
              <w:adjustRightInd w:val="0"/>
              <w:ind w:firstLine="120" w:firstLineChars="50"/>
              <w:jc w:val="center"/>
              <w:rPr>
                <w:rFonts w:ascii="宋体" w:hAnsi="宋体"/>
                <w:b/>
                <w:color w:val="auto"/>
                <w:sz w:val="24"/>
                <w:highlight w:val="none"/>
              </w:rPr>
            </w:pPr>
            <w:r>
              <w:rPr>
                <w:rFonts w:hint="eastAsia" w:ascii="宋体" w:hAnsi="宋体"/>
                <w:b/>
                <w:color w:val="auto"/>
                <w:sz w:val="24"/>
                <w:highlight w:val="none"/>
              </w:rPr>
              <w:t>标项名称</w:t>
            </w:r>
          </w:p>
        </w:tc>
        <w:tc>
          <w:tcPr>
            <w:tcW w:w="554" w:type="pct"/>
            <w:vAlign w:val="center"/>
          </w:tcPr>
          <w:p w14:paraId="4DF3051B">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数量</w:t>
            </w:r>
          </w:p>
        </w:tc>
        <w:tc>
          <w:tcPr>
            <w:tcW w:w="542" w:type="pct"/>
            <w:vAlign w:val="center"/>
          </w:tcPr>
          <w:p w14:paraId="176964EF">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单位</w:t>
            </w:r>
          </w:p>
        </w:tc>
        <w:tc>
          <w:tcPr>
            <w:tcW w:w="878" w:type="pct"/>
            <w:vAlign w:val="center"/>
          </w:tcPr>
          <w:p w14:paraId="2891147B">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总预算</w:t>
            </w:r>
          </w:p>
          <w:p w14:paraId="6FDD5F65">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（万元）</w:t>
            </w:r>
          </w:p>
        </w:tc>
        <w:tc>
          <w:tcPr>
            <w:tcW w:w="878" w:type="pct"/>
            <w:vAlign w:val="center"/>
          </w:tcPr>
          <w:p w14:paraId="0CDFAE19">
            <w:pPr>
              <w:jc w:val="center"/>
              <w:rPr>
                <w:rFonts w:ascii="宋体" w:hAnsi="宋体"/>
                <w:b/>
                <w:color w:val="auto"/>
                <w:sz w:val="24"/>
                <w:highlight w:val="none"/>
              </w:rPr>
            </w:pPr>
            <w:r>
              <w:rPr>
                <w:rFonts w:hint="eastAsia" w:ascii="宋体" w:hAnsi="宋体"/>
                <w:b/>
                <w:color w:val="auto"/>
                <w:sz w:val="24"/>
                <w:highlight w:val="none"/>
              </w:rPr>
              <w:t>最高限价</w:t>
            </w:r>
          </w:p>
          <w:p w14:paraId="19BF71FA">
            <w:pPr>
              <w:jc w:val="center"/>
              <w:rPr>
                <w:rFonts w:ascii="宋体" w:hAnsi="宋体"/>
                <w:b/>
                <w:color w:val="auto"/>
                <w:sz w:val="24"/>
                <w:highlight w:val="none"/>
              </w:rPr>
            </w:pPr>
            <w:r>
              <w:rPr>
                <w:rFonts w:hint="eastAsia" w:ascii="宋体" w:hAnsi="宋体"/>
                <w:b/>
                <w:color w:val="auto"/>
                <w:sz w:val="24"/>
                <w:highlight w:val="none"/>
              </w:rPr>
              <w:t>（万元）</w:t>
            </w:r>
          </w:p>
        </w:tc>
      </w:tr>
      <w:tr w14:paraId="08F09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629" w:type="pct"/>
            <w:vAlign w:val="center"/>
          </w:tcPr>
          <w:p w14:paraId="2CC4AEC8">
            <w:pPr>
              <w:tabs>
                <w:tab w:val="left" w:pos="8280"/>
              </w:tabs>
              <w:autoSpaceDE w:val="0"/>
              <w:autoSpaceDN w:val="0"/>
              <w:adjustRightInd w:val="0"/>
              <w:jc w:val="center"/>
              <w:rPr>
                <w:rFonts w:ascii="宋体" w:hAnsi="宋体" w:cs="宋体"/>
                <w:color w:val="auto"/>
                <w:sz w:val="24"/>
                <w:highlight w:val="none"/>
              </w:rPr>
            </w:pPr>
            <w:r>
              <w:rPr>
                <w:rFonts w:ascii="宋体" w:hAnsi="宋体" w:cs="宋体"/>
                <w:color w:val="auto"/>
                <w:sz w:val="24"/>
                <w:highlight w:val="none"/>
              </w:rPr>
              <w:t>一</w:t>
            </w:r>
          </w:p>
        </w:tc>
        <w:tc>
          <w:tcPr>
            <w:tcW w:w="1519" w:type="pct"/>
            <w:vAlign w:val="center"/>
          </w:tcPr>
          <w:p w14:paraId="331696C4">
            <w:pPr>
              <w:tabs>
                <w:tab w:val="left" w:pos="8280"/>
              </w:tabs>
              <w:autoSpaceDE w:val="0"/>
              <w:autoSpaceDN w:val="0"/>
              <w:adjustRightInd w:val="0"/>
              <w:jc w:val="center"/>
              <w:rPr>
                <w:rFonts w:ascii="宋体" w:hAnsi="宋体" w:cs="宋体"/>
                <w:color w:val="auto"/>
                <w:sz w:val="24"/>
                <w:highlight w:val="none"/>
              </w:rPr>
            </w:pPr>
            <w:bookmarkStart w:id="16" w:name="OLE_LINK86"/>
            <w:bookmarkStart w:id="17" w:name="OLE_LINK94"/>
            <w:bookmarkStart w:id="18" w:name="OLE_LINK95"/>
            <w:r>
              <w:rPr>
                <w:rFonts w:hint="eastAsia" w:ascii="宋体" w:hAnsi="宋体" w:cs="宋体"/>
                <w:color w:val="auto"/>
                <w:sz w:val="24"/>
                <w:highlight w:val="none"/>
              </w:rPr>
              <w:t>台州市椒江区白云街道社区卫生服务中心CT采购项目</w:t>
            </w:r>
            <w:bookmarkEnd w:id="16"/>
            <w:bookmarkEnd w:id="17"/>
            <w:bookmarkEnd w:id="18"/>
          </w:p>
        </w:tc>
        <w:tc>
          <w:tcPr>
            <w:tcW w:w="554" w:type="pct"/>
            <w:vAlign w:val="center"/>
          </w:tcPr>
          <w:p w14:paraId="65857F8C">
            <w:pPr>
              <w:tabs>
                <w:tab w:val="left" w:pos="8280"/>
              </w:tabs>
              <w:autoSpaceDE w:val="0"/>
              <w:autoSpaceDN w:val="0"/>
              <w:adjustRightInd w:val="0"/>
              <w:jc w:val="center"/>
              <w:rPr>
                <w:rFonts w:ascii="宋体" w:hAnsi="宋体" w:cs="宋体"/>
                <w:color w:val="auto"/>
                <w:sz w:val="24"/>
                <w:highlight w:val="none"/>
              </w:rPr>
            </w:pPr>
            <w:r>
              <w:rPr>
                <w:rFonts w:hint="eastAsia" w:ascii="宋体" w:hAnsi="宋体" w:cs="宋体"/>
                <w:color w:val="auto"/>
                <w:sz w:val="24"/>
                <w:highlight w:val="none"/>
              </w:rPr>
              <w:t>1</w:t>
            </w:r>
          </w:p>
        </w:tc>
        <w:tc>
          <w:tcPr>
            <w:tcW w:w="542" w:type="pct"/>
            <w:vAlign w:val="center"/>
          </w:tcPr>
          <w:p w14:paraId="75134B95">
            <w:pPr>
              <w:tabs>
                <w:tab w:val="left" w:pos="8280"/>
              </w:tabs>
              <w:autoSpaceDE w:val="0"/>
              <w:autoSpaceDN w:val="0"/>
              <w:adjustRightInd w:val="0"/>
              <w:jc w:val="center"/>
              <w:rPr>
                <w:rFonts w:ascii="宋体" w:hAnsi="宋体" w:cs="宋体"/>
                <w:color w:val="auto"/>
                <w:sz w:val="24"/>
                <w:highlight w:val="none"/>
              </w:rPr>
            </w:pPr>
            <w:r>
              <w:rPr>
                <w:rFonts w:ascii="宋体" w:hAnsi="宋体" w:cs="宋体"/>
                <w:color w:val="auto"/>
                <w:sz w:val="24"/>
                <w:highlight w:val="none"/>
              </w:rPr>
              <w:t>项</w:t>
            </w:r>
          </w:p>
        </w:tc>
        <w:tc>
          <w:tcPr>
            <w:tcW w:w="878" w:type="pct"/>
            <w:vAlign w:val="center"/>
          </w:tcPr>
          <w:p w14:paraId="2FC3C985">
            <w:pPr>
              <w:tabs>
                <w:tab w:val="left" w:pos="8280"/>
              </w:tabs>
              <w:autoSpaceDE w:val="0"/>
              <w:autoSpaceDN w:val="0"/>
              <w:adjustRightIn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220</w:t>
            </w:r>
          </w:p>
        </w:tc>
        <w:tc>
          <w:tcPr>
            <w:tcW w:w="878" w:type="pct"/>
            <w:shd w:val="clear" w:color="auto" w:fill="auto"/>
            <w:vAlign w:val="center"/>
          </w:tcPr>
          <w:p w14:paraId="09F686C8">
            <w:pPr>
              <w:tabs>
                <w:tab w:val="left" w:pos="8280"/>
              </w:tabs>
              <w:autoSpaceDE w:val="0"/>
              <w:autoSpaceDN w:val="0"/>
              <w:adjustRightIn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220</w:t>
            </w:r>
          </w:p>
        </w:tc>
      </w:tr>
    </w:tbl>
    <w:p w14:paraId="023C0536">
      <w:pPr>
        <w:pStyle w:val="5"/>
        <w:ind w:right="0" w:firstLine="482" w:firstLineChars="200"/>
        <w:rPr>
          <w:rFonts w:cs="宋体"/>
          <w:bCs/>
          <w:color w:val="auto"/>
          <w:sz w:val="24"/>
          <w:szCs w:val="24"/>
          <w:highlight w:val="none"/>
        </w:rPr>
      </w:pPr>
      <w:bookmarkStart w:id="19" w:name="_Toc28359003"/>
      <w:bookmarkStart w:id="20" w:name="_Toc35393622"/>
      <w:bookmarkStart w:id="21" w:name="_Toc28359080"/>
      <w:bookmarkStart w:id="22" w:name="_Toc35393791"/>
      <w:r>
        <w:rPr>
          <w:rFonts w:hint="eastAsia" w:cs="宋体"/>
          <w:bCs/>
          <w:color w:val="auto"/>
          <w:sz w:val="24"/>
          <w:szCs w:val="24"/>
          <w:highlight w:val="none"/>
        </w:rPr>
        <w:t>二、投标供应商的资格要求</w:t>
      </w:r>
      <w:bookmarkEnd w:id="19"/>
      <w:bookmarkEnd w:id="20"/>
      <w:bookmarkEnd w:id="21"/>
      <w:bookmarkEnd w:id="22"/>
    </w:p>
    <w:p w14:paraId="427ED52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（一）满足《中华人民共和国政府采购法》第二十二条规定</w:t>
      </w:r>
    </w:p>
    <w:p w14:paraId="424A0607">
      <w:pPr>
        <w:spacing w:line="360" w:lineRule="auto"/>
        <w:ind w:firstLine="480" w:firstLineChars="200"/>
        <w:rPr>
          <w:rFonts w:ascii="宋体" w:hAnsi="宋体" w:cs="宋体"/>
          <w:color w:val="auto"/>
          <w:kern w:val="0"/>
          <w:sz w:val="24"/>
          <w:highlight w:val="none"/>
        </w:rPr>
      </w:pPr>
      <w:bookmarkStart w:id="23" w:name="_Toc35393792"/>
      <w:bookmarkStart w:id="24" w:name="_Toc28359004"/>
      <w:bookmarkStart w:id="25" w:name="_Toc28359081"/>
      <w:bookmarkStart w:id="26" w:name="_Toc35393623"/>
      <w:r>
        <w:rPr>
          <w:rFonts w:hint="eastAsia" w:ascii="宋体" w:hAnsi="宋体" w:cs="宋体"/>
          <w:color w:val="auto"/>
          <w:sz w:val="24"/>
          <w:highlight w:val="none"/>
        </w:rPr>
        <w:t>（二）本项目的特定资格要求：</w:t>
      </w:r>
      <w:bookmarkStart w:id="27" w:name="OLE_LINK96"/>
      <w:bookmarkStart w:id="28" w:name="OLE_LINK97"/>
      <w:r>
        <w:rPr>
          <w:rFonts w:ascii="宋体" w:hAnsi="宋体" w:cs="宋体"/>
          <w:color w:val="auto"/>
          <w:kern w:val="0"/>
          <w:sz w:val="24"/>
          <w:highlight w:val="none"/>
        </w:rPr>
        <w:t>供应商为</w:t>
      </w:r>
      <w:r>
        <w:rPr>
          <w:rFonts w:hint="eastAsia" w:ascii="宋体" w:hAnsi="宋体" w:cs="宋体"/>
          <w:color w:val="auto"/>
          <w:kern w:val="0"/>
          <w:sz w:val="24"/>
          <w:highlight w:val="none"/>
        </w:rPr>
        <w:t>医疗器械注册（备案）人</w:t>
      </w:r>
      <w:r>
        <w:rPr>
          <w:rFonts w:ascii="宋体" w:hAnsi="宋体" w:cs="宋体"/>
          <w:color w:val="auto"/>
          <w:kern w:val="0"/>
          <w:sz w:val="24"/>
          <w:highlight w:val="none"/>
        </w:rPr>
        <w:t>或</w:t>
      </w:r>
      <w:r>
        <w:rPr>
          <w:rFonts w:hint="eastAsia" w:ascii="宋体" w:hAnsi="宋体" w:cs="宋体"/>
          <w:color w:val="auto"/>
          <w:kern w:val="0"/>
          <w:sz w:val="24"/>
          <w:highlight w:val="none"/>
        </w:rPr>
        <w:t>医疗器械经营企业</w:t>
      </w:r>
      <w:bookmarkEnd w:id="27"/>
      <w:bookmarkEnd w:id="28"/>
      <w:r>
        <w:rPr>
          <w:rFonts w:ascii="宋体" w:hAnsi="宋体" w:cs="宋体"/>
          <w:color w:val="auto"/>
          <w:kern w:val="0"/>
          <w:sz w:val="24"/>
          <w:highlight w:val="none"/>
        </w:rPr>
        <w:t>。</w:t>
      </w:r>
      <w:r>
        <w:rPr>
          <w:rFonts w:ascii="宋体" w:hAnsi="宋体" w:cs="宋体"/>
          <w:color w:val="auto"/>
          <w:sz w:val="24"/>
          <w:highlight w:val="none"/>
        </w:rPr>
        <w:t xml:space="preserve"> </w:t>
      </w:r>
    </w:p>
    <w:p w14:paraId="651ABA5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（三）本项目</w:t>
      </w:r>
      <w:r>
        <w:rPr>
          <w:rFonts w:hint="eastAsia" w:ascii="宋体" w:hAnsi="宋体" w:cs="宋体"/>
          <w:b/>
          <w:bCs/>
          <w:color w:val="auto"/>
          <w:sz w:val="24"/>
          <w:highlight w:val="none"/>
        </w:rPr>
        <w:t>(不接受)</w:t>
      </w:r>
      <w:r>
        <w:rPr>
          <w:rFonts w:hint="eastAsia" w:ascii="宋体" w:hAnsi="宋体" w:cs="宋体"/>
          <w:color w:val="auto"/>
          <w:sz w:val="24"/>
          <w:highlight w:val="none"/>
        </w:rPr>
        <w:t>联合体投标</w:t>
      </w:r>
    </w:p>
    <w:p w14:paraId="07ED30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（四）本项目</w:t>
      </w:r>
      <w:r>
        <w:rPr>
          <w:rFonts w:hint="eastAsia" w:ascii="宋体" w:hAnsi="宋体" w:cs="宋体"/>
          <w:b/>
          <w:bCs/>
          <w:color w:val="auto"/>
          <w:sz w:val="24"/>
          <w:highlight w:val="none"/>
        </w:rPr>
        <w:t>(否)</w:t>
      </w:r>
      <w:r>
        <w:rPr>
          <w:rFonts w:hint="eastAsia" w:ascii="宋体" w:hAnsi="宋体" w:cs="宋体"/>
          <w:bCs/>
          <w:color w:val="auto"/>
          <w:sz w:val="24"/>
          <w:highlight w:val="none"/>
        </w:rPr>
        <w:t>专门面向</w:t>
      </w:r>
      <w:r>
        <w:rPr>
          <w:rFonts w:hint="eastAsia" w:ascii="宋体" w:hAnsi="宋体" w:cs="宋体"/>
          <w:color w:val="auto"/>
          <w:sz w:val="24"/>
          <w:highlight w:val="none"/>
        </w:rPr>
        <w:t>中小企业</w:t>
      </w:r>
      <w:r>
        <w:rPr>
          <w:rFonts w:hint="eastAsia" w:asciiTheme="minorEastAsia" w:hAnsiTheme="minorEastAsia" w:cstheme="minorEastAsia"/>
          <w:color w:val="auto"/>
          <w:sz w:val="24"/>
          <w:highlight w:val="none"/>
        </w:rPr>
        <w:t>。</w:t>
      </w:r>
    </w:p>
    <w:p w14:paraId="4BEED5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（五）信用记录：未被“信用中国”（www.creditchina.gov.cn)、中国政府采购网（www.ccgp.gov.cn）列入失信被执行人、重大税收违法失信主体、政府采购严重违法失信行为记录名单。</w:t>
      </w:r>
    </w:p>
    <w:p w14:paraId="139AB1B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六）法律、行政法规规定的其他条件：单位负责人为同一人或者存在直接控股、管理关系的不同供应商，不得同时参加同一项目投标；为本项目提供整体设计、规范编制或者项目管理、监理、检测等服务的供应商，不得再参与本项目投标。电子交易平台运营机构，以及与该机构有直接控股或者管理关系可能影响采购公正性的任何单位和个人，不得在该平台进行的政府采购项目电子交易中投标、响应和代理政府采购项目。</w:t>
      </w:r>
    </w:p>
    <w:p w14:paraId="6B3F0A1F">
      <w:pPr>
        <w:pStyle w:val="5"/>
        <w:ind w:right="0" w:firstLine="482" w:firstLineChars="200"/>
        <w:rPr>
          <w:rFonts w:cs="宋体"/>
          <w:bCs/>
          <w:color w:val="auto"/>
          <w:sz w:val="24"/>
          <w:szCs w:val="24"/>
          <w:highlight w:val="none"/>
        </w:rPr>
      </w:pPr>
      <w:r>
        <w:rPr>
          <w:rFonts w:hint="eastAsia" w:cs="宋体"/>
          <w:bCs/>
          <w:color w:val="auto"/>
          <w:sz w:val="24"/>
          <w:szCs w:val="24"/>
          <w:highlight w:val="none"/>
        </w:rPr>
        <w:t>三、获取招标文件</w:t>
      </w:r>
      <w:bookmarkEnd w:id="23"/>
      <w:bookmarkEnd w:id="24"/>
      <w:bookmarkEnd w:id="25"/>
      <w:bookmarkEnd w:id="26"/>
    </w:p>
    <w:p w14:paraId="6CA9729F">
      <w:pPr>
        <w:spacing w:line="360" w:lineRule="auto"/>
        <w:ind w:firstLine="480" w:firstLineChars="200"/>
        <w:rPr>
          <w:rFonts w:cs="宋体"/>
          <w:color w:val="auto"/>
          <w:sz w:val="24"/>
          <w:highlight w:val="none"/>
        </w:rPr>
      </w:pPr>
      <w:r>
        <w:rPr>
          <w:rFonts w:hint="eastAsia" w:ascii="宋体" w:hAnsi="宋体" w:cs="宋体"/>
          <w:color w:val="auto"/>
          <w:sz w:val="24"/>
          <w:highlight w:val="none"/>
        </w:rPr>
        <w:t>（一）时间：</w:t>
      </w:r>
      <w:r>
        <w:rPr>
          <w:rFonts w:hint="eastAsia" w:ascii="宋体" w:hAnsi="宋体" w:cs="Arial"/>
          <w:color w:val="auto"/>
          <w:sz w:val="24"/>
          <w:highlight w:val="none"/>
        </w:rPr>
        <w:t>自本公告发布之日起至投标文件递交截止时间止（</w:t>
      </w:r>
      <w:r>
        <w:rPr>
          <w:rFonts w:hint="eastAsia" w:ascii="宋体" w:hAnsi="宋体" w:cs="宋体"/>
          <w:color w:val="auto"/>
          <w:sz w:val="24"/>
          <w:highlight w:val="none"/>
        </w:rPr>
        <w:t>以浙江政府采购网（https://zfcg.czt.zj.gov.cn）公告时间为准</w:t>
      </w:r>
      <w:r>
        <w:rPr>
          <w:rFonts w:hint="eastAsia" w:cs="宋体"/>
          <w:color w:val="auto"/>
          <w:sz w:val="24"/>
          <w:highlight w:val="none"/>
        </w:rPr>
        <w:t>）</w:t>
      </w:r>
    </w:p>
    <w:p w14:paraId="757808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（二）方式：浙江政府采购网（https://zfcg.czt.zj.gov.cn）免费下载</w:t>
      </w:r>
      <w:r>
        <w:rPr>
          <w:rFonts w:hint="eastAsia" w:ascii="宋体" w:hAnsi="宋体" w:cs="宋体"/>
          <w:color w:val="auto"/>
          <w:sz w:val="24"/>
          <w:szCs w:val="32"/>
          <w:highlight w:val="none"/>
        </w:rPr>
        <w:t>（本项目实行网上报名，不接受现场报名。供应商登录浙江政府采购网进行报名。）</w:t>
      </w:r>
    </w:p>
    <w:p w14:paraId="12946B16">
      <w:pPr>
        <w:pStyle w:val="5"/>
        <w:ind w:right="0" w:firstLine="482" w:firstLineChars="200"/>
        <w:rPr>
          <w:rFonts w:cs="宋体"/>
          <w:bCs/>
          <w:color w:val="auto"/>
          <w:sz w:val="24"/>
          <w:szCs w:val="24"/>
          <w:highlight w:val="none"/>
        </w:rPr>
      </w:pPr>
      <w:bookmarkStart w:id="29" w:name="_Toc28359005"/>
      <w:bookmarkStart w:id="30" w:name="_Toc28359082"/>
      <w:bookmarkStart w:id="31" w:name="_Toc35393793"/>
      <w:bookmarkStart w:id="32" w:name="_Toc35393624"/>
      <w:r>
        <w:rPr>
          <w:rFonts w:hint="eastAsia" w:cs="宋体"/>
          <w:bCs/>
          <w:color w:val="auto"/>
          <w:sz w:val="24"/>
          <w:szCs w:val="24"/>
          <w:highlight w:val="none"/>
        </w:rPr>
        <w:t>四、提交投标文件</w:t>
      </w:r>
      <w:bookmarkEnd w:id="29"/>
      <w:bookmarkEnd w:id="30"/>
      <w:bookmarkEnd w:id="31"/>
      <w:bookmarkEnd w:id="32"/>
    </w:p>
    <w:p w14:paraId="0A270277">
      <w:pPr>
        <w:spacing w:line="360" w:lineRule="auto"/>
        <w:ind w:firstLine="480" w:firstLineChars="200"/>
        <w:rPr>
          <w:rFonts w:ascii="宋体" w:hAnsi="宋体" w:cs="宋体"/>
          <w:iCs/>
          <w:color w:val="auto"/>
          <w:sz w:val="24"/>
          <w:highlight w:val="none"/>
          <w:u w:val="single"/>
        </w:rPr>
      </w:pPr>
      <w:bookmarkStart w:id="33" w:name="_Toc35393794"/>
      <w:bookmarkStart w:id="34" w:name="_Toc35393625"/>
      <w:bookmarkStart w:id="35" w:name="_Toc28359007"/>
      <w:bookmarkStart w:id="36" w:name="_Toc28359084"/>
      <w:r>
        <w:rPr>
          <w:rFonts w:hint="eastAsia" w:ascii="宋体" w:hAnsi="宋体" w:cs="宋体"/>
          <w:color w:val="auto"/>
          <w:sz w:val="24"/>
          <w:highlight w:val="none"/>
        </w:rPr>
        <w:t>（一）截止时间（开标时间）：以浙江政府采购网（https://zfcg.czt.zj.gov.cn）公告时间为准</w:t>
      </w:r>
    </w:p>
    <w:p w14:paraId="34F6DD49">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（二）投标网址：浙江政府采购云平台（http://www.zcygov.cn）</w:t>
      </w:r>
    </w:p>
    <w:bookmarkEnd w:id="33"/>
    <w:bookmarkEnd w:id="34"/>
    <w:bookmarkEnd w:id="35"/>
    <w:bookmarkEnd w:id="36"/>
    <w:p w14:paraId="0214E912">
      <w:pPr>
        <w:pStyle w:val="21"/>
        <w:spacing w:after="0" w:line="360"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五、发布公告</w:t>
      </w:r>
    </w:p>
    <w:p w14:paraId="20B2180B">
      <w:pPr>
        <w:pStyle w:val="21"/>
        <w:spacing w:after="0" w:line="360" w:lineRule="auto"/>
        <w:ind w:left="0" w:leftChars="0" w:firstLine="480" w:firstLineChars="200"/>
        <w:rPr>
          <w:rFonts w:ascii="宋体" w:hAnsi="宋体" w:cs="宋体"/>
          <w:color w:val="auto"/>
          <w:kern w:val="0"/>
          <w:sz w:val="24"/>
          <w:highlight w:val="none"/>
        </w:rPr>
      </w:pPr>
      <w:r>
        <w:rPr>
          <w:rFonts w:hint="eastAsia" w:ascii="宋体" w:hAnsi="宋体" w:cs="宋体"/>
          <w:color w:val="auto"/>
          <w:sz w:val="24"/>
          <w:highlight w:val="none"/>
        </w:rPr>
        <w:t>（一）公告网址：</w:t>
      </w:r>
      <w:r>
        <w:rPr>
          <w:rFonts w:hint="eastAsia" w:ascii="宋体" w:hAnsi="宋体" w:cs="宋体"/>
          <w:color w:val="auto"/>
          <w:kern w:val="0"/>
          <w:sz w:val="24"/>
          <w:highlight w:val="none"/>
        </w:rPr>
        <w:t>浙江政府采购网（</w:t>
      </w:r>
      <w:r>
        <w:rPr>
          <w:rFonts w:hint="eastAsia" w:ascii="宋体" w:hAnsi="宋体" w:cs="宋体"/>
          <w:color w:val="auto"/>
          <w:sz w:val="24"/>
          <w:highlight w:val="none"/>
        </w:rPr>
        <w:t>https://zfcg.czt.zj.gov.cn</w:t>
      </w:r>
      <w:r>
        <w:rPr>
          <w:rFonts w:hint="eastAsia" w:ascii="宋体" w:hAnsi="宋体" w:cs="宋体"/>
          <w:color w:val="auto"/>
          <w:kern w:val="0"/>
          <w:sz w:val="24"/>
          <w:highlight w:val="none"/>
        </w:rPr>
        <w:t>）。</w:t>
      </w:r>
    </w:p>
    <w:p w14:paraId="3685EC3C">
      <w:pPr>
        <w:pStyle w:val="21"/>
        <w:spacing w:after="0" w:line="360" w:lineRule="auto"/>
        <w:ind w:left="0" w:leftChars="0" w:firstLine="480" w:firstLineChars="200"/>
        <w:rPr>
          <w:rFonts w:ascii="宋体" w:hAnsi="宋体" w:cs="宋体"/>
          <w:color w:val="auto"/>
          <w:kern w:val="0"/>
          <w:sz w:val="24"/>
          <w:highlight w:val="none"/>
        </w:rPr>
      </w:pPr>
      <w:r>
        <w:rPr>
          <w:rFonts w:hint="eastAsia" w:ascii="宋体" w:hAnsi="宋体" w:cs="宋体"/>
          <w:color w:val="auto"/>
          <w:sz w:val="24"/>
          <w:highlight w:val="none"/>
        </w:rPr>
        <w:t>（二）公告期限：</w:t>
      </w:r>
      <w:r>
        <w:rPr>
          <w:rFonts w:hint="eastAsia" w:ascii="宋体" w:hAnsi="宋体" w:cs="宋体"/>
          <w:color w:val="auto"/>
          <w:kern w:val="0"/>
          <w:sz w:val="24"/>
          <w:highlight w:val="none"/>
        </w:rPr>
        <w:t>本公告期限自发布之日起五个工作日。</w:t>
      </w:r>
    </w:p>
    <w:p w14:paraId="1ADEED74">
      <w:pPr>
        <w:pStyle w:val="5"/>
        <w:ind w:right="0" w:firstLine="482" w:firstLineChars="200"/>
        <w:rPr>
          <w:rFonts w:cs="宋体"/>
          <w:bCs/>
          <w:color w:val="auto"/>
          <w:sz w:val="24"/>
          <w:szCs w:val="24"/>
          <w:highlight w:val="none"/>
        </w:rPr>
      </w:pPr>
      <w:bookmarkStart w:id="37" w:name="_Toc35393626"/>
      <w:bookmarkStart w:id="38" w:name="_Toc35393795"/>
      <w:r>
        <w:rPr>
          <w:rFonts w:hint="eastAsia" w:cs="宋体"/>
          <w:bCs/>
          <w:color w:val="auto"/>
          <w:sz w:val="24"/>
          <w:szCs w:val="24"/>
          <w:highlight w:val="none"/>
        </w:rPr>
        <w:t>六、</w:t>
      </w:r>
      <w:bookmarkEnd w:id="37"/>
      <w:bookmarkEnd w:id="38"/>
      <w:r>
        <w:rPr>
          <w:rFonts w:hint="eastAsia" w:cs="宋体"/>
          <w:bCs/>
          <w:color w:val="auto"/>
          <w:sz w:val="24"/>
          <w:szCs w:val="24"/>
          <w:highlight w:val="none"/>
        </w:rPr>
        <w:t>其他</w:t>
      </w:r>
    </w:p>
    <w:p w14:paraId="2450A87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投标供应商需登录浙江省政府采购网（https://zfcg.czt.zj.gov.cn/）进行注册后报名。</w:t>
      </w:r>
    </w:p>
    <w:p w14:paraId="0C439F21">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招标</w:t>
      </w:r>
      <w:r>
        <w:rPr>
          <w:rFonts w:hint="eastAsia" w:asciiTheme="minorEastAsia" w:hAnsiTheme="minorEastAsia" w:eastAsiaTheme="minorEastAsia" w:cstheme="minorEastAsia"/>
          <w:color w:val="auto"/>
          <w:sz w:val="24"/>
          <w:highlight w:val="none"/>
        </w:rPr>
        <w:t>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仅需浏览招标文件的供应商可点击“游客，浏览招标文件”直接下载招标文件浏览，如需参加项目投标，请供应商按上述要求获取招标文件，如未在政采云系统内完成相关流程，采购组织机构将拒绝非报名供应商的投标文件，引起的投标无效责任自负。</w:t>
      </w:r>
    </w:p>
    <w:p w14:paraId="1C936D68">
      <w:pPr>
        <w:pStyle w:val="5"/>
        <w:ind w:right="0" w:firstLine="482" w:firstLineChars="200"/>
        <w:rPr>
          <w:rFonts w:cs="宋体"/>
          <w:bCs/>
          <w:color w:val="auto"/>
          <w:sz w:val="24"/>
          <w:szCs w:val="24"/>
          <w:highlight w:val="none"/>
        </w:rPr>
      </w:pPr>
      <w:bookmarkStart w:id="39" w:name="_Toc35393627"/>
      <w:bookmarkStart w:id="40" w:name="_Toc28359008"/>
      <w:bookmarkStart w:id="41" w:name="_Toc35393796"/>
      <w:bookmarkStart w:id="42" w:name="_Toc28359085"/>
      <w:r>
        <w:rPr>
          <w:rFonts w:hint="eastAsia" w:cs="宋体"/>
          <w:bCs/>
          <w:color w:val="auto"/>
          <w:sz w:val="24"/>
          <w:szCs w:val="24"/>
          <w:highlight w:val="none"/>
        </w:rPr>
        <w:t>七、</w:t>
      </w:r>
      <w:bookmarkEnd w:id="39"/>
      <w:bookmarkEnd w:id="40"/>
      <w:bookmarkEnd w:id="41"/>
      <w:bookmarkEnd w:id="42"/>
      <w:r>
        <w:rPr>
          <w:rFonts w:hint="eastAsia" w:cs="宋体"/>
          <w:bCs/>
          <w:color w:val="auto"/>
          <w:sz w:val="24"/>
          <w:szCs w:val="24"/>
          <w:highlight w:val="none"/>
        </w:rPr>
        <w:t>联系方式</w:t>
      </w:r>
    </w:p>
    <w:p w14:paraId="2E91C86E">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 xml:space="preserve">（一）采购人 </w:t>
      </w:r>
    </w:p>
    <w:p w14:paraId="205D0A90">
      <w:pPr>
        <w:spacing w:line="360" w:lineRule="auto"/>
        <w:ind w:firstLine="480" w:firstLineChars="200"/>
        <w:rPr>
          <w:rFonts w:ascii="宋体" w:hAnsi="宋体" w:cs="宋体"/>
          <w:color w:val="auto"/>
          <w:sz w:val="24"/>
          <w:highlight w:val="none"/>
        </w:rPr>
      </w:pPr>
      <w:bookmarkStart w:id="43" w:name="OLE_LINK8"/>
      <w:bookmarkStart w:id="44" w:name="OLE_LINK9"/>
      <w:r>
        <w:rPr>
          <w:rFonts w:hint="eastAsia" w:ascii="宋体" w:hAnsi="宋体" w:cs="宋体"/>
          <w:color w:val="auto"/>
          <w:sz w:val="24"/>
          <w:highlight w:val="none"/>
        </w:rPr>
        <w:t>名  称：</w:t>
      </w:r>
      <w:bookmarkStart w:id="45" w:name="OLE_LINK3"/>
      <w:bookmarkStart w:id="46" w:name="OLE_LINK4"/>
      <w:r>
        <w:rPr>
          <w:rFonts w:hint="eastAsia" w:ascii="宋体" w:hAnsi="宋体" w:cs="宋体"/>
          <w:color w:val="auto"/>
          <w:sz w:val="24"/>
          <w:highlight w:val="none"/>
          <w:u w:val="single"/>
        </w:rPr>
        <w:t>台州市椒江区白云街道社区卫生服务中心</w:t>
      </w:r>
      <w:bookmarkEnd w:id="45"/>
      <w:bookmarkEnd w:id="46"/>
    </w:p>
    <w:p w14:paraId="5F679021">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single"/>
        </w:rPr>
        <w:t>　台州市椒江区中山西路99号　</w:t>
      </w:r>
    </w:p>
    <w:p w14:paraId="054624B0">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联系人：</w:t>
      </w:r>
      <w:bookmarkStart w:id="47" w:name="_Toc28359009"/>
      <w:bookmarkStart w:id="48" w:name="_Toc28359086"/>
      <w:r>
        <w:rPr>
          <w:rFonts w:hint="eastAsia" w:ascii="宋体" w:hAnsi="宋体" w:cs="宋体"/>
          <w:color w:val="auto"/>
          <w:sz w:val="24"/>
          <w:highlight w:val="none"/>
          <w:u w:val="single"/>
        </w:rPr>
        <w:t>王老师</w:t>
      </w:r>
    </w:p>
    <w:p w14:paraId="1B860BE9">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ascii="宋体" w:hAnsi="宋体" w:cs="宋体"/>
          <w:color w:val="auto"/>
          <w:sz w:val="24"/>
          <w:highlight w:val="none"/>
          <w:u w:val="single"/>
        </w:rPr>
        <w:t>0576-88801569</w:t>
      </w:r>
    </w:p>
    <w:bookmarkEnd w:id="47"/>
    <w:bookmarkEnd w:id="48"/>
    <w:p w14:paraId="294B2A2C">
      <w:pPr>
        <w:spacing w:line="440" w:lineRule="exact"/>
        <w:ind w:firstLine="480" w:firstLineChars="200"/>
        <w:rPr>
          <w:rFonts w:ascii="宋体" w:hAnsi="宋体" w:cs="宋体"/>
          <w:color w:val="auto"/>
          <w:sz w:val="24"/>
          <w:highlight w:val="none"/>
        </w:rPr>
      </w:pPr>
      <w:r>
        <w:rPr>
          <w:rFonts w:ascii="宋体" w:hAnsi="宋体" w:cs="宋体"/>
          <w:color w:val="auto"/>
          <w:sz w:val="24"/>
          <w:highlight w:val="none"/>
        </w:rPr>
        <w:t>采购人书面质疑接收人：</w:t>
      </w:r>
      <w:r>
        <w:rPr>
          <w:rFonts w:hint="eastAsia" w:ascii="宋体" w:hAnsi="宋体" w:cs="宋体"/>
          <w:color w:val="auto"/>
          <w:sz w:val="24"/>
          <w:highlight w:val="none"/>
          <w:u w:val="single"/>
        </w:rPr>
        <w:t>郭老师</w:t>
      </w:r>
    </w:p>
    <w:p w14:paraId="38FD7A89">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联系电话：</w:t>
      </w:r>
      <w:r>
        <w:rPr>
          <w:rFonts w:ascii="宋体" w:hAnsi="宋体" w:cs="宋体"/>
          <w:color w:val="auto"/>
          <w:sz w:val="24"/>
          <w:highlight w:val="none"/>
          <w:u w:val="single"/>
        </w:rPr>
        <w:t>18072588035</w:t>
      </w:r>
    </w:p>
    <w:p w14:paraId="26A7C5C3">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书面质疑接收地址：</w:t>
      </w:r>
      <w:r>
        <w:rPr>
          <w:rFonts w:hint="eastAsia" w:ascii="宋体" w:hAnsi="宋体" w:cs="宋体"/>
          <w:color w:val="auto"/>
          <w:sz w:val="24"/>
          <w:highlight w:val="none"/>
          <w:u w:val="single"/>
        </w:rPr>
        <w:t>台州市椒江区中山西路99号</w:t>
      </w:r>
    </w:p>
    <w:p w14:paraId="560F46EF">
      <w:pPr>
        <w:spacing w:line="440" w:lineRule="exact"/>
        <w:ind w:firstLine="482" w:firstLineChars="200"/>
        <w:rPr>
          <w:rFonts w:ascii="宋体" w:hAnsi="宋体" w:cs="宋体"/>
          <w:b/>
          <w:color w:val="auto"/>
          <w:sz w:val="24"/>
          <w:highlight w:val="none"/>
        </w:rPr>
      </w:pPr>
      <w:r>
        <w:rPr>
          <w:rFonts w:hint="eastAsia" w:ascii="宋体" w:hAnsi="宋体" w:cs="宋体"/>
          <w:b/>
          <w:bCs/>
          <w:color w:val="auto"/>
          <w:sz w:val="24"/>
          <w:highlight w:val="none"/>
        </w:rPr>
        <w:t>（二）采购组织机构</w:t>
      </w:r>
    </w:p>
    <w:p w14:paraId="08521D3F">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浙江中永工程咨询有限公司</w:t>
      </w:r>
    </w:p>
    <w:p w14:paraId="3996088F">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single"/>
        </w:rPr>
        <w:t>浙江省台州市椒江区海洋广场1幢601室</w:t>
      </w:r>
    </w:p>
    <w:p w14:paraId="3644A321">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项目联系人：</w:t>
      </w:r>
      <w:r>
        <w:rPr>
          <w:rFonts w:hint="eastAsia" w:ascii="宋体" w:hAnsi="宋体" w:cs="宋体"/>
          <w:color w:val="auto"/>
          <w:sz w:val="24"/>
          <w:highlight w:val="none"/>
          <w:u w:val="single"/>
        </w:rPr>
        <w:t>马女士</w:t>
      </w:r>
    </w:p>
    <w:p w14:paraId="10B1FF2A">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0576-88228183</w:t>
      </w:r>
    </w:p>
    <w:p w14:paraId="657CF0A8">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质疑受理联系人：</w:t>
      </w:r>
      <w:r>
        <w:rPr>
          <w:rFonts w:hint="eastAsia" w:ascii="宋体" w:hAnsi="宋体" w:cs="宋体"/>
          <w:color w:val="auto"/>
          <w:sz w:val="24"/>
          <w:highlight w:val="none"/>
          <w:u w:val="single"/>
        </w:rPr>
        <w:t>邱女士</w:t>
      </w:r>
    </w:p>
    <w:p w14:paraId="7EF03ED2">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 xml:space="preserve">0576-88589196 </w:t>
      </w:r>
    </w:p>
    <w:p w14:paraId="23108CE7">
      <w:pPr>
        <w:spacing w:line="44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（三）同级政府采购监管机构</w:t>
      </w:r>
    </w:p>
    <w:p w14:paraId="38C25BB9">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台州市椒江区财政局政府采购监管科</w:t>
      </w:r>
    </w:p>
    <w:p w14:paraId="7591C620">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地址：</w:t>
      </w:r>
      <w:r>
        <w:rPr>
          <w:rFonts w:hint="eastAsia" w:ascii="宋体" w:hAnsi="宋体" w:cs="宋体"/>
          <w:color w:val="auto"/>
          <w:sz w:val="24"/>
          <w:highlight w:val="none"/>
          <w:u w:val="single"/>
        </w:rPr>
        <w:t xml:space="preserve">台州市椒江区财政局 </w:t>
      </w:r>
    </w:p>
    <w:p w14:paraId="71E93334">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王科  </w:t>
      </w:r>
    </w:p>
    <w:p w14:paraId="7F5FE85F">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0576-89069293</w:t>
      </w:r>
    </w:p>
    <w:p w14:paraId="45DFC1E9">
      <w:pPr>
        <w:spacing w:line="44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（四）政采云平台</w:t>
      </w:r>
    </w:p>
    <w:p w14:paraId="7DB5DD7B">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95763</w:t>
      </w:r>
      <w:bookmarkEnd w:id="43"/>
      <w:bookmarkEnd w:id="44"/>
    </w:p>
    <w:p w14:paraId="3EA15210">
      <w:pPr>
        <w:widowControl/>
        <w:spacing w:line="360" w:lineRule="auto"/>
        <w:ind w:firstLine="200"/>
        <w:rPr>
          <w:rFonts w:ascii="宋体" w:hAnsi="宋体" w:cs="宋体"/>
          <w:color w:val="auto"/>
          <w:kern w:val="0"/>
          <w:sz w:val="24"/>
          <w:highlight w:val="none"/>
        </w:rPr>
      </w:pPr>
      <w:r>
        <w:rPr>
          <w:color w:val="auto"/>
          <w:highlight w:val="none"/>
        </w:rPr>
        <w:br w:type="page"/>
      </w:r>
    </w:p>
    <w:bookmarkEnd w:id="12"/>
    <w:bookmarkEnd w:id="13"/>
    <w:p w14:paraId="398B5CD1">
      <w:pPr>
        <w:numPr>
          <w:ilvl w:val="0"/>
          <w:numId w:val="4"/>
        </w:numPr>
        <w:spacing w:line="360" w:lineRule="auto"/>
        <w:jc w:val="center"/>
        <w:rPr>
          <w:rFonts w:asciiTheme="minorEastAsia" w:hAnsiTheme="minorEastAsia" w:eastAsiaTheme="minorEastAsia"/>
          <w:b/>
          <w:color w:val="auto"/>
          <w:sz w:val="36"/>
          <w:szCs w:val="36"/>
          <w:highlight w:val="none"/>
        </w:rPr>
      </w:pPr>
      <w:bookmarkStart w:id="49" w:name="_Toc25017_WPSOffice_Level1"/>
      <w:r>
        <w:rPr>
          <w:rFonts w:hint="eastAsia" w:asciiTheme="minorEastAsia" w:hAnsiTheme="minorEastAsia" w:eastAsiaTheme="minorEastAsia"/>
          <w:b/>
          <w:color w:val="auto"/>
          <w:sz w:val="36"/>
          <w:szCs w:val="36"/>
          <w:highlight w:val="none"/>
        </w:rPr>
        <w:t>投标供应商须知</w:t>
      </w:r>
      <w:bookmarkEnd w:id="49"/>
    </w:p>
    <w:p w14:paraId="7A49C97B">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一、前附表</w:t>
      </w:r>
    </w:p>
    <w:tbl>
      <w:tblPr>
        <w:tblStyle w:val="22"/>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
        <w:gridCol w:w="1760"/>
        <w:gridCol w:w="6501"/>
      </w:tblGrid>
      <w:tr w14:paraId="44E99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45FF6992">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序号</w:t>
            </w:r>
          </w:p>
        </w:tc>
        <w:tc>
          <w:tcPr>
            <w:tcW w:w="1760" w:type="dxa"/>
            <w:tcBorders>
              <w:top w:val="single" w:color="auto" w:sz="4" w:space="0"/>
              <w:left w:val="single" w:color="auto" w:sz="4" w:space="0"/>
              <w:bottom w:val="single" w:color="auto" w:sz="4" w:space="0"/>
              <w:right w:val="single" w:color="auto" w:sz="4" w:space="0"/>
            </w:tcBorders>
            <w:vAlign w:val="center"/>
          </w:tcPr>
          <w:p w14:paraId="2FD27CCF">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事项</w:t>
            </w:r>
          </w:p>
        </w:tc>
        <w:tc>
          <w:tcPr>
            <w:tcW w:w="6501" w:type="dxa"/>
            <w:tcBorders>
              <w:top w:val="single" w:color="auto" w:sz="4" w:space="0"/>
              <w:left w:val="single" w:color="auto" w:sz="4" w:space="0"/>
              <w:bottom w:val="single" w:color="auto" w:sz="4" w:space="0"/>
              <w:right w:val="single" w:color="auto" w:sz="4" w:space="0"/>
            </w:tcBorders>
            <w:vAlign w:val="center"/>
          </w:tcPr>
          <w:p w14:paraId="3CC55598">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本项目的特别规定</w:t>
            </w:r>
          </w:p>
        </w:tc>
      </w:tr>
      <w:tr w14:paraId="7A1BF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2318484C">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1760" w:type="dxa"/>
            <w:tcBorders>
              <w:top w:val="single" w:color="auto" w:sz="4" w:space="0"/>
              <w:left w:val="single" w:color="auto" w:sz="4" w:space="0"/>
              <w:bottom w:val="single" w:color="auto" w:sz="4" w:space="0"/>
              <w:right w:val="single" w:color="auto" w:sz="4" w:space="0"/>
            </w:tcBorders>
            <w:vAlign w:val="center"/>
          </w:tcPr>
          <w:p w14:paraId="743D4424">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是否允许联合体</w:t>
            </w:r>
          </w:p>
        </w:tc>
        <w:tc>
          <w:tcPr>
            <w:tcW w:w="6501" w:type="dxa"/>
            <w:tcBorders>
              <w:top w:val="single" w:color="auto" w:sz="4" w:space="0"/>
              <w:left w:val="single" w:color="auto" w:sz="4" w:space="0"/>
              <w:bottom w:val="single" w:color="auto" w:sz="4" w:space="0"/>
              <w:right w:val="single" w:color="auto" w:sz="4" w:space="0"/>
            </w:tcBorders>
            <w:vAlign w:val="center"/>
          </w:tcPr>
          <w:p w14:paraId="68EB2C3A">
            <w:pPr>
              <w:autoSpaceDE w:val="0"/>
              <w:autoSpaceDN w:val="0"/>
              <w:adjustRightInd w:val="0"/>
              <w:rPr>
                <w:color w:val="auto"/>
                <w:szCs w:val="21"/>
                <w:highlight w:val="none"/>
              </w:rPr>
            </w:pPr>
            <w:r>
              <w:rPr>
                <w:rFonts w:hint="eastAsia" w:ascii="宋体" w:hAnsi="宋体" w:cs="宋体"/>
                <w:bCs/>
                <w:color w:val="auto"/>
                <w:szCs w:val="21"/>
                <w:highlight w:val="none"/>
              </w:rPr>
              <w:t>▲不</w:t>
            </w:r>
            <w:r>
              <w:rPr>
                <w:rFonts w:hint="eastAsia"/>
                <w:b/>
                <w:color w:val="auto"/>
                <w:szCs w:val="21"/>
                <w:highlight w:val="none"/>
              </w:rPr>
              <w:t>允许</w:t>
            </w:r>
          </w:p>
        </w:tc>
      </w:tr>
      <w:tr w14:paraId="7B244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5F8831E3">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1760" w:type="dxa"/>
            <w:tcBorders>
              <w:top w:val="single" w:color="auto" w:sz="4" w:space="0"/>
              <w:left w:val="single" w:color="auto" w:sz="4" w:space="0"/>
              <w:bottom w:val="single" w:color="auto" w:sz="4" w:space="0"/>
              <w:right w:val="single" w:color="auto" w:sz="4" w:space="0"/>
            </w:tcBorders>
            <w:vAlign w:val="center"/>
          </w:tcPr>
          <w:p w14:paraId="6B923114">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是否允许分包</w:t>
            </w:r>
          </w:p>
        </w:tc>
        <w:tc>
          <w:tcPr>
            <w:tcW w:w="6501" w:type="dxa"/>
            <w:tcBorders>
              <w:top w:val="single" w:color="auto" w:sz="4" w:space="0"/>
              <w:left w:val="single" w:color="auto" w:sz="4" w:space="0"/>
              <w:bottom w:val="single" w:color="auto" w:sz="4" w:space="0"/>
              <w:right w:val="single" w:color="auto" w:sz="4" w:space="0"/>
            </w:tcBorders>
            <w:vAlign w:val="center"/>
          </w:tcPr>
          <w:p w14:paraId="5884DEA2">
            <w:pPr>
              <w:autoSpaceDE w:val="0"/>
              <w:autoSpaceDN w:val="0"/>
              <w:adjustRightInd w:val="0"/>
              <w:rPr>
                <w:color w:val="auto"/>
                <w:szCs w:val="21"/>
                <w:highlight w:val="none"/>
              </w:rPr>
            </w:pPr>
            <w:bookmarkStart w:id="50" w:name="OLE_LINK189"/>
            <w:bookmarkStart w:id="51" w:name="OLE_LINK190"/>
            <w:r>
              <w:rPr>
                <w:rFonts w:hint="eastAsia" w:ascii="宋体" w:hAnsi="宋体" w:cs="宋体"/>
                <w:bCs/>
                <w:color w:val="auto"/>
                <w:szCs w:val="21"/>
                <w:highlight w:val="none"/>
              </w:rPr>
              <w:t>▲不</w:t>
            </w:r>
            <w:r>
              <w:rPr>
                <w:rFonts w:hint="eastAsia"/>
                <w:color w:val="auto"/>
                <w:szCs w:val="21"/>
                <w:highlight w:val="none"/>
              </w:rPr>
              <w:t>允许</w:t>
            </w:r>
            <w:bookmarkEnd w:id="50"/>
            <w:bookmarkEnd w:id="51"/>
          </w:p>
        </w:tc>
      </w:tr>
      <w:tr w14:paraId="7A624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06D01BBE">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1760" w:type="dxa"/>
            <w:tcBorders>
              <w:top w:val="single" w:color="auto" w:sz="4" w:space="0"/>
              <w:left w:val="single" w:color="auto" w:sz="4" w:space="0"/>
              <w:bottom w:val="single" w:color="auto" w:sz="4" w:space="0"/>
              <w:right w:val="single" w:color="auto" w:sz="4" w:space="0"/>
            </w:tcBorders>
            <w:vAlign w:val="center"/>
          </w:tcPr>
          <w:p w14:paraId="6A726D26">
            <w:pPr>
              <w:rPr>
                <w:rFonts w:ascii="宋体" w:hAnsi="宋体" w:cs="宋体"/>
                <w:color w:val="auto"/>
                <w:kern w:val="0"/>
                <w:szCs w:val="21"/>
                <w:highlight w:val="none"/>
              </w:rPr>
            </w:pPr>
            <w:r>
              <w:rPr>
                <w:rFonts w:hint="eastAsia" w:ascii="宋体" w:hAnsi="宋体" w:cs="宋体"/>
                <w:color w:val="auto"/>
                <w:kern w:val="0"/>
                <w:szCs w:val="21"/>
                <w:highlight w:val="none"/>
              </w:rPr>
              <w:t>是否包含政府强制采购节能产品</w:t>
            </w:r>
          </w:p>
        </w:tc>
        <w:tc>
          <w:tcPr>
            <w:tcW w:w="6501" w:type="dxa"/>
            <w:tcBorders>
              <w:top w:val="single" w:color="auto" w:sz="4" w:space="0"/>
              <w:left w:val="single" w:color="auto" w:sz="4" w:space="0"/>
              <w:bottom w:val="single" w:color="auto" w:sz="4" w:space="0"/>
              <w:right w:val="single" w:color="auto" w:sz="4" w:space="0"/>
            </w:tcBorders>
            <w:vAlign w:val="center"/>
          </w:tcPr>
          <w:p w14:paraId="6500F265">
            <w:pPr>
              <w:rPr>
                <w:b/>
                <w:color w:val="auto"/>
                <w:highlight w:val="none"/>
              </w:rPr>
            </w:pPr>
            <w:r>
              <w:rPr>
                <w:rFonts w:hint="eastAsia"/>
                <w:b/>
                <w:color w:val="auto"/>
                <w:highlight w:val="none"/>
              </w:rPr>
              <w:t>否</w:t>
            </w:r>
          </w:p>
        </w:tc>
      </w:tr>
      <w:tr w14:paraId="464EB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6835C032">
            <w:pPr>
              <w:jc w:val="center"/>
              <w:rPr>
                <w:rFonts w:ascii="宋体" w:hAnsi="宋体" w:cs="宋体"/>
                <w:color w:val="auto"/>
                <w:szCs w:val="21"/>
                <w:highlight w:val="none"/>
              </w:rPr>
            </w:pPr>
            <w:r>
              <w:rPr>
                <w:rFonts w:hint="eastAsia" w:ascii="宋体" w:hAnsi="宋体" w:cs="宋体"/>
                <w:color w:val="auto"/>
                <w:szCs w:val="21"/>
                <w:highlight w:val="none"/>
              </w:rPr>
              <w:t>4</w:t>
            </w:r>
          </w:p>
        </w:tc>
        <w:tc>
          <w:tcPr>
            <w:tcW w:w="1760" w:type="dxa"/>
            <w:tcBorders>
              <w:top w:val="single" w:color="auto" w:sz="4" w:space="0"/>
              <w:left w:val="single" w:color="auto" w:sz="4" w:space="0"/>
              <w:bottom w:val="single" w:color="auto" w:sz="4" w:space="0"/>
              <w:right w:val="single" w:color="auto" w:sz="4" w:space="0"/>
            </w:tcBorders>
            <w:vAlign w:val="center"/>
          </w:tcPr>
          <w:p w14:paraId="7BDAC3E4">
            <w:pPr>
              <w:rPr>
                <w:rFonts w:ascii="宋体" w:hAnsi="宋体" w:cs="宋体"/>
                <w:color w:val="auto"/>
                <w:kern w:val="0"/>
                <w:szCs w:val="21"/>
                <w:highlight w:val="none"/>
              </w:rPr>
            </w:pPr>
            <w:r>
              <w:rPr>
                <w:rFonts w:hint="eastAsia" w:ascii="宋体" w:hAnsi="宋体" w:cs="宋体"/>
                <w:color w:val="auto"/>
                <w:kern w:val="0"/>
                <w:szCs w:val="21"/>
                <w:highlight w:val="none"/>
              </w:rPr>
              <w:t>是否允许进口产品投标</w:t>
            </w:r>
          </w:p>
        </w:tc>
        <w:tc>
          <w:tcPr>
            <w:tcW w:w="6501" w:type="dxa"/>
            <w:tcBorders>
              <w:top w:val="single" w:color="auto" w:sz="4" w:space="0"/>
              <w:left w:val="single" w:color="auto" w:sz="4" w:space="0"/>
              <w:bottom w:val="single" w:color="auto" w:sz="4" w:space="0"/>
              <w:right w:val="single" w:color="auto" w:sz="4" w:space="0"/>
            </w:tcBorders>
            <w:vAlign w:val="center"/>
          </w:tcPr>
          <w:p w14:paraId="6BAABD98">
            <w:pPr>
              <w:rPr>
                <w:b/>
                <w:color w:val="auto"/>
                <w:highlight w:val="none"/>
              </w:rPr>
            </w:pPr>
            <w:r>
              <w:rPr>
                <w:rFonts w:hint="eastAsia" w:ascii="宋体" w:hAnsi="宋体" w:cs="宋体"/>
                <w:bCs/>
                <w:color w:val="auto"/>
                <w:szCs w:val="21"/>
                <w:highlight w:val="none"/>
              </w:rPr>
              <w:t>▲不</w:t>
            </w:r>
            <w:r>
              <w:rPr>
                <w:rFonts w:hint="eastAsia"/>
                <w:color w:val="auto"/>
                <w:szCs w:val="21"/>
                <w:highlight w:val="none"/>
              </w:rPr>
              <w:t>允许</w:t>
            </w:r>
          </w:p>
        </w:tc>
      </w:tr>
      <w:tr w14:paraId="40331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3C577D33">
            <w:pPr>
              <w:jc w:val="center"/>
              <w:rPr>
                <w:rFonts w:ascii="宋体" w:hAnsi="宋体" w:cs="宋体"/>
                <w:color w:val="auto"/>
                <w:szCs w:val="21"/>
                <w:highlight w:val="none"/>
              </w:rPr>
            </w:pPr>
            <w:r>
              <w:rPr>
                <w:rFonts w:hint="eastAsia" w:ascii="宋体" w:hAnsi="宋体" w:cs="宋体"/>
                <w:color w:val="auto"/>
                <w:szCs w:val="21"/>
                <w:highlight w:val="none"/>
              </w:rPr>
              <w:t>5</w:t>
            </w:r>
          </w:p>
        </w:tc>
        <w:tc>
          <w:tcPr>
            <w:tcW w:w="1760" w:type="dxa"/>
            <w:tcBorders>
              <w:top w:val="single" w:color="auto" w:sz="4" w:space="0"/>
              <w:left w:val="single" w:color="auto" w:sz="4" w:space="0"/>
              <w:bottom w:val="single" w:color="auto" w:sz="4" w:space="0"/>
              <w:right w:val="single" w:color="auto" w:sz="4" w:space="0"/>
            </w:tcBorders>
            <w:vAlign w:val="center"/>
          </w:tcPr>
          <w:p w14:paraId="6B56C07D">
            <w:pPr>
              <w:rPr>
                <w:rFonts w:ascii="宋体" w:hAnsi="宋体" w:cs="宋体"/>
                <w:color w:val="auto"/>
                <w:kern w:val="0"/>
                <w:szCs w:val="21"/>
                <w:highlight w:val="none"/>
              </w:rPr>
            </w:pPr>
            <w:r>
              <w:rPr>
                <w:rFonts w:hint="eastAsia" w:ascii="宋体" w:hAnsi="宋体" w:cs="宋体"/>
                <w:color w:val="auto"/>
                <w:kern w:val="0"/>
                <w:szCs w:val="21"/>
                <w:highlight w:val="none"/>
              </w:rPr>
              <w:t>答疑会或</w:t>
            </w:r>
          </w:p>
          <w:p w14:paraId="568AE95D">
            <w:pPr>
              <w:rPr>
                <w:rFonts w:ascii="宋体" w:hAnsi="宋体" w:cs="宋体"/>
                <w:color w:val="auto"/>
                <w:kern w:val="0"/>
                <w:szCs w:val="21"/>
                <w:highlight w:val="none"/>
              </w:rPr>
            </w:pPr>
            <w:r>
              <w:rPr>
                <w:rFonts w:hint="eastAsia" w:ascii="宋体" w:hAnsi="宋体" w:cs="宋体"/>
                <w:color w:val="auto"/>
                <w:szCs w:val="21"/>
                <w:highlight w:val="none"/>
              </w:rPr>
              <w:t>现场踏勘</w:t>
            </w:r>
          </w:p>
        </w:tc>
        <w:tc>
          <w:tcPr>
            <w:tcW w:w="6501" w:type="dxa"/>
            <w:tcBorders>
              <w:top w:val="single" w:color="auto" w:sz="4" w:space="0"/>
              <w:left w:val="single" w:color="auto" w:sz="4" w:space="0"/>
              <w:bottom w:val="single" w:color="auto" w:sz="4" w:space="0"/>
              <w:right w:val="single" w:color="auto" w:sz="4" w:space="0"/>
            </w:tcBorders>
            <w:vAlign w:val="center"/>
          </w:tcPr>
          <w:p w14:paraId="471F49B2">
            <w:pPr>
              <w:rPr>
                <w:color w:val="auto"/>
                <w:highlight w:val="none"/>
              </w:rPr>
            </w:pPr>
            <w:r>
              <w:rPr>
                <w:rFonts w:hint="eastAsia"/>
                <w:color w:val="auto"/>
                <w:szCs w:val="21"/>
                <w:highlight w:val="none"/>
              </w:rPr>
              <w:t>采购人不组织集中现场踏勘，如有需要投标供应商可自行踏勘，具体要求详见“投标供应商须知：（六）现场踏勘”</w:t>
            </w:r>
          </w:p>
        </w:tc>
      </w:tr>
      <w:tr w14:paraId="5C30F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478AE8E5">
            <w:pPr>
              <w:jc w:val="center"/>
              <w:rPr>
                <w:rFonts w:ascii="宋体" w:hAnsi="宋体" w:cs="宋体"/>
                <w:color w:val="auto"/>
                <w:szCs w:val="21"/>
                <w:highlight w:val="none"/>
              </w:rPr>
            </w:pPr>
            <w:r>
              <w:rPr>
                <w:rFonts w:hint="eastAsia" w:ascii="宋体" w:hAnsi="宋体" w:cs="宋体"/>
                <w:color w:val="auto"/>
                <w:szCs w:val="21"/>
                <w:highlight w:val="none"/>
              </w:rPr>
              <w:t>6</w:t>
            </w:r>
          </w:p>
        </w:tc>
        <w:tc>
          <w:tcPr>
            <w:tcW w:w="1760" w:type="dxa"/>
            <w:tcBorders>
              <w:top w:val="single" w:color="auto" w:sz="4" w:space="0"/>
              <w:left w:val="single" w:color="auto" w:sz="4" w:space="0"/>
              <w:bottom w:val="single" w:color="auto" w:sz="4" w:space="0"/>
              <w:right w:val="single" w:color="auto" w:sz="4" w:space="0"/>
            </w:tcBorders>
            <w:vAlign w:val="center"/>
          </w:tcPr>
          <w:p w14:paraId="3A3C0146">
            <w:pPr>
              <w:rPr>
                <w:rFonts w:ascii="宋体" w:hAnsi="宋体" w:cs="宋体"/>
                <w:color w:val="auto"/>
                <w:kern w:val="0"/>
                <w:szCs w:val="21"/>
                <w:highlight w:val="none"/>
              </w:rPr>
            </w:pPr>
            <w:r>
              <w:rPr>
                <w:rFonts w:hint="eastAsia" w:ascii="宋体" w:hAnsi="宋体" w:cs="宋体"/>
                <w:color w:val="auto"/>
                <w:szCs w:val="21"/>
                <w:highlight w:val="none"/>
              </w:rPr>
              <w:t>投标文件的制作和投标</w:t>
            </w:r>
          </w:p>
        </w:tc>
        <w:tc>
          <w:tcPr>
            <w:tcW w:w="6501" w:type="dxa"/>
            <w:tcBorders>
              <w:top w:val="single" w:color="auto" w:sz="4" w:space="0"/>
              <w:left w:val="single" w:color="auto" w:sz="4" w:space="0"/>
              <w:bottom w:val="single" w:color="auto" w:sz="4" w:space="0"/>
              <w:right w:val="single" w:color="auto" w:sz="4" w:space="0"/>
            </w:tcBorders>
            <w:vAlign w:val="center"/>
          </w:tcPr>
          <w:p w14:paraId="423F98E7">
            <w:pPr>
              <w:ind w:firstLine="420" w:firstLineChars="200"/>
              <w:rPr>
                <w:color w:val="auto"/>
                <w:highlight w:val="none"/>
              </w:rPr>
            </w:pPr>
            <w:r>
              <w:rPr>
                <w:rFonts w:hint="eastAsia"/>
                <w:color w:val="auto"/>
                <w:highlight w:val="none"/>
              </w:rPr>
              <w:t>请投标供应商在投标前仔细阅读“政府采购项目电子交易操作指南”。</w:t>
            </w:r>
          </w:p>
          <w:p w14:paraId="549AE7F5">
            <w:pPr>
              <w:ind w:firstLine="420" w:firstLineChars="200"/>
              <w:rPr>
                <w:color w:val="auto"/>
                <w:highlight w:val="none"/>
              </w:rPr>
            </w:pPr>
            <w:r>
              <w:rPr>
                <w:rFonts w:hint="eastAsia"/>
                <w:color w:val="auto"/>
                <w:highlight w:val="none"/>
              </w:rPr>
              <w:t>1.投标文件的制作：投标供应商按照本项目招标文件和政采云平台的要求,通过“政采云电子交易客户端”编制、加密并递交投标文件（下载网址：</w:t>
            </w:r>
            <w:r>
              <w:rPr>
                <w:color w:val="auto"/>
                <w:highlight w:val="none"/>
              </w:rPr>
              <w:fldChar w:fldCharType="begin"/>
            </w:r>
            <w:r>
              <w:rPr>
                <w:color w:val="auto"/>
                <w:highlight w:val="none"/>
              </w:rPr>
              <w:instrText xml:space="preserve"> HYPERLINK "http://www.zjzfcg.gov.cn/bidClientTemplate/2019-09-24/12975.html）。" </w:instrText>
            </w:r>
            <w:r>
              <w:rPr>
                <w:color w:val="auto"/>
                <w:highlight w:val="none"/>
              </w:rPr>
              <w:fldChar w:fldCharType="separate"/>
            </w:r>
            <w:r>
              <w:rPr>
                <w:rFonts w:hint="eastAsia"/>
                <w:color w:val="auto"/>
                <w:highlight w:val="none"/>
              </w:rPr>
              <w:t>https://zfcg.czt.zj.gov.cn/download/index.html）。</w:t>
            </w:r>
            <w:r>
              <w:rPr>
                <w:rFonts w:hint="eastAsia"/>
                <w:color w:val="auto"/>
                <w:highlight w:val="none"/>
              </w:rPr>
              <w:fldChar w:fldCharType="end"/>
            </w:r>
          </w:p>
          <w:p w14:paraId="352A24F6">
            <w:pPr>
              <w:ind w:firstLine="420" w:firstLineChars="200"/>
              <w:rPr>
                <w:color w:val="auto"/>
                <w:highlight w:val="none"/>
              </w:rPr>
            </w:pPr>
            <w:r>
              <w:rPr>
                <w:rFonts w:hint="eastAsia"/>
                <w:color w:val="auto"/>
                <w:highlight w:val="none"/>
              </w:rPr>
              <w:t>2.投标：投标供应商应当在投标截止时间前完成投标文件的传输递交，逾期上传的投标文件恕不接受。补充或者修改投标文件的，应当先行撤回原文件，补充、修改后重新传输递交。</w:t>
            </w:r>
            <w:r>
              <w:rPr>
                <w:rFonts w:hint="eastAsia" w:ascii="宋体" w:hAnsi="宋体" w:cs="宋体"/>
                <w:bCs/>
                <w:color w:val="auto"/>
                <w:szCs w:val="21"/>
                <w:highlight w:val="none"/>
              </w:rPr>
              <w:t>▲</w:t>
            </w:r>
            <w:r>
              <w:rPr>
                <w:rFonts w:hint="eastAsia"/>
                <w:color w:val="auto"/>
                <w:highlight w:val="none"/>
              </w:rPr>
              <w:t>投标截止时间前未完成上传的，视为撤回投标文件。</w:t>
            </w:r>
          </w:p>
          <w:p w14:paraId="256CD76C">
            <w:pPr>
              <w:ind w:firstLine="420" w:firstLineChars="200"/>
              <w:rPr>
                <w:rFonts w:ascii="宋体" w:hAnsi="宋体" w:cs="宋体"/>
                <w:color w:val="auto"/>
                <w:kern w:val="0"/>
                <w:szCs w:val="21"/>
                <w:highlight w:val="none"/>
              </w:rPr>
            </w:pPr>
            <w:r>
              <w:rPr>
                <w:rFonts w:hint="eastAsia"/>
                <w:color w:val="auto"/>
                <w:highlight w:val="none"/>
              </w:rPr>
              <w:t>3.投标文件解密：投标供应商应在开标后30分钟完成解密。</w:t>
            </w:r>
          </w:p>
        </w:tc>
      </w:tr>
      <w:tr w14:paraId="03BB7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2182F7F7">
            <w:pPr>
              <w:jc w:val="center"/>
              <w:rPr>
                <w:rFonts w:ascii="宋体" w:hAnsi="宋体" w:cs="宋体"/>
                <w:color w:val="auto"/>
                <w:szCs w:val="21"/>
                <w:highlight w:val="none"/>
              </w:rPr>
            </w:pPr>
            <w:r>
              <w:rPr>
                <w:rFonts w:hint="eastAsia" w:ascii="宋体" w:hAnsi="宋体" w:cs="宋体"/>
                <w:color w:val="auto"/>
                <w:szCs w:val="21"/>
                <w:highlight w:val="none"/>
              </w:rPr>
              <w:t>7</w:t>
            </w:r>
          </w:p>
        </w:tc>
        <w:tc>
          <w:tcPr>
            <w:tcW w:w="1760" w:type="dxa"/>
            <w:tcBorders>
              <w:top w:val="single" w:color="auto" w:sz="4" w:space="0"/>
              <w:left w:val="single" w:color="auto" w:sz="4" w:space="0"/>
              <w:bottom w:val="single" w:color="auto" w:sz="4" w:space="0"/>
              <w:right w:val="single" w:color="auto" w:sz="4" w:space="0"/>
            </w:tcBorders>
            <w:vAlign w:val="center"/>
          </w:tcPr>
          <w:p w14:paraId="7FCD4719">
            <w:pPr>
              <w:pStyle w:val="21"/>
              <w:spacing w:after="0"/>
              <w:ind w:left="0" w:leftChars="0" w:firstLine="0"/>
              <w:rPr>
                <w:rFonts w:ascii="宋体" w:hAnsi="宋体" w:cs="宋体"/>
                <w:color w:val="auto"/>
                <w:kern w:val="0"/>
                <w:szCs w:val="21"/>
                <w:highlight w:val="none"/>
              </w:rPr>
            </w:pPr>
            <w:r>
              <w:rPr>
                <w:rFonts w:hint="eastAsia" w:ascii="宋体" w:hAnsi="宋体" w:cs="宋体"/>
                <w:color w:val="auto"/>
                <w:szCs w:val="21"/>
                <w:highlight w:val="none"/>
              </w:rPr>
              <w:t>备份投标文件的递交</w:t>
            </w:r>
          </w:p>
        </w:tc>
        <w:tc>
          <w:tcPr>
            <w:tcW w:w="6501" w:type="dxa"/>
            <w:tcBorders>
              <w:top w:val="single" w:color="auto" w:sz="4" w:space="0"/>
              <w:left w:val="single" w:color="auto" w:sz="4" w:space="0"/>
              <w:bottom w:val="single" w:color="auto" w:sz="4" w:space="0"/>
              <w:right w:val="single" w:color="auto" w:sz="4" w:space="0"/>
            </w:tcBorders>
            <w:vAlign w:val="center"/>
          </w:tcPr>
          <w:p w14:paraId="45C7EE9E">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备份投标文件是通过政采云电子交易客户端制作投标文件产生的备份文件，请投标供应商自行妥善保管。</w:t>
            </w:r>
          </w:p>
          <w:p w14:paraId="131CB2C4">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1.使用前提：投标供应商自行在线解密操作失败无法按时寻求技术人员帮助解密，或者投标供应商寻求技术人员帮助仍无法按时完成解密。</w:t>
            </w:r>
          </w:p>
          <w:p w14:paraId="5F668BF0">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2.递交截止时间：同投标截止时间</w:t>
            </w:r>
          </w:p>
          <w:p w14:paraId="04551ECB">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3.投递邮箱：2093416632@qq.com</w:t>
            </w:r>
          </w:p>
          <w:p w14:paraId="0A208F44">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4. 备份投标文件由供应商自行确定是否提交，因备份投标文件未加密而造成失密等情况，采购组织机构概不负责。▲未在系统上提交投标文件而仅提交备份投标文件的，其响应无效。</w:t>
            </w:r>
          </w:p>
        </w:tc>
      </w:tr>
      <w:tr w14:paraId="3560D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2E30C980">
            <w:pPr>
              <w:jc w:val="center"/>
              <w:rPr>
                <w:rFonts w:ascii="宋体" w:hAnsi="宋体" w:cs="宋体"/>
                <w:color w:val="auto"/>
                <w:szCs w:val="21"/>
                <w:highlight w:val="none"/>
              </w:rPr>
            </w:pPr>
            <w:r>
              <w:rPr>
                <w:rFonts w:hint="eastAsia" w:ascii="宋体" w:hAnsi="宋体" w:cs="宋体"/>
                <w:color w:val="auto"/>
                <w:szCs w:val="21"/>
                <w:highlight w:val="none"/>
              </w:rPr>
              <w:t>8</w:t>
            </w:r>
          </w:p>
        </w:tc>
        <w:tc>
          <w:tcPr>
            <w:tcW w:w="1760" w:type="dxa"/>
            <w:tcBorders>
              <w:top w:val="single" w:color="auto" w:sz="4" w:space="0"/>
              <w:left w:val="single" w:color="auto" w:sz="4" w:space="0"/>
              <w:bottom w:val="single" w:color="auto" w:sz="4" w:space="0"/>
              <w:right w:val="single" w:color="auto" w:sz="4" w:space="0"/>
            </w:tcBorders>
            <w:vAlign w:val="center"/>
          </w:tcPr>
          <w:p w14:paraId="14B581EE">
            <w:pPr>
              <w:pStyle w:val="9"/>
              <w:ind w:firstLine="0"/>
              <w:rPr>
                <w:rFonts w:ascii="宋体" w:hAnsi="宋体" w:cs="宋体"/>
                <w:color w:val="auto"/>
                <w:kern w:val="0"/>
                <w:szCs w:val="21"/>
                <w:highlight w:val="none"/>
              </w:rPr>
            </w:pPr>
            <w:r>
              <w:rPr>
                <w:rFonts w:hint="eastAsia" w:ascii="宋体" w:hAnsi="宋体" w:cs="宋体"/>
                <w:color w:val="auto"/>
                <w:szCs w:val="21"/>
                <w:highlight w:val="none"/>
              </w:rPr>
              <w:t>不见面开标</w:t>
            </w:r>
          </w:p>
        </w:tc>
        <w:tc>
          <w:tcPr>
            <w:tcW w:w="6501" w:type="dxa"/>
            <w:tcBorders>
              <w:top w:val="single" w:color="auto" w:sz="4" w:space="0"/>
              <w:left w:val="single" w:color="auto" w:sz="4" w:space="0"/>
              <w:bottom w:val="single" w:color="auto" w:sz="4" w:space="0"/>
              <w:right w:val="single" w:color="auto" w:sz="4" w:space="0"/>
            </w:tcBorders>
            <w:vAlign w:val="center"/>
          </w:tcPr>
          <w:p w14:paraId="32355721">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采购组织机构按照招标文件规定的时间通过“政采云平台”组织开标，所有投标供应商均应当准时在线参加。如未参加，造成无法投标、投标失败等后果由投标供应商自行承担。</w:t>
            </w:r>
          </w:p>
        </w:tc>
      </w:tr>
      <w:tr w14:paraId="5A246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957" w:type="dxa"/>
            <w:tcBorders>
              <w:top w:val="single" w:color="auto" w:sz="4" w:space="0"/>
              <w:left w:val="single" w:color="auto" w:sz="4" w:space="0"/>
              <w:bottom w:val="single" w:color="auto" w:sz="4" w:space="0"/>
              <w:right w:val="single" w:color="auto" w:sz="4" w:space="0"/>
            </w:tcBorders>
            <w:vAlign w:val="center"/>
          </w:tcPr>
          <w:p w14:paraId="2D2CCB0E">
            <w:pPr>
              <w:jc w:val="center"/>
              <w:rPr>
                <w:rFonts w:ascii="宋体" w:hAnsi="宋体" w:cs="宋体"/>
                <w:color w:val="auto"/>
                <w:szCs w:val="21"/>
                <w:highlight w:val="none"/>
              </w:rPr>
            </w:pPr>
            <w:r>
              <w:rPr>
                <w:rFonts w:hint="eastAsia" w:ascii="宋体" w:hAnsi="宋体" w:cs="宋体"/>
                <w:color w:val="auto"/>
                <w:szCs w:val="21"/>
                <w:highlight w:val="none"/>
              </w:rPr>
              <w:t>9</w:t>
            </w:r>
          </w:p>
        </w:tc>
        <w:tc>
          <w:tcPr>
            <w:tcW w:w="1760" w:type="dxa"/>
            <w:tcBorders>
              <w:top w:val="single" w:color="auto" w:sz="4" w:space="0"/>
              <w:left w:val="single" w:color="auto" w:sz="4" w:space="0"/>
              <w:bottom w:val="single" w:color="auto" w:sz="4" w:space="0"/>
              <w:right w:val="single" w:color="auto" w:sz="4" w:space="0"/>
            </w:tcBorders>
            <w:vAlign w:val="center"/>
          </w:tcPr>
          <w:p w14:paraId="5BA90A00">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投标与开标注意事项</w:t>
            </w:r>
          </w:p>
        </w:tc>
        <w:tc>
          <w:tcPr>
            <w:tcW w:w="6501" w:type="dxa"/>
            <w:tcBorders>
              <w:top w:val="single" w:color="auto" w:sz="4" w:space="0"/>
              <w:left w:val="single" w:color="auto" w:sz="4" w:space="0"/>
              <w:bottom w:val="single" w:color="auto" w:sz="4" w:space="0"/>
              <w:right w:val="single" w:color="auto" w:sz="4" w:space="0"/>
            </w:tcBorders>
            <w:vAlign w:val="center"/>
          </w:tcPr>
          <w:p w14:paraId="0214000C">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1.本项目实行电子投标，投标供应商自行承担投标一切费用。</w:t>
            </w:r>
          </w:p>
          <w:p w14:paraId="259E9F2A">
            <w:pPr>
              <w:pStyle w:val="18"/>
              <w:spacing w:before="0" w:beforeAutospacing="0" w:after="0" w:afterAutospacing="0"/>
              <w:ind w:firstLine="420" w:firstLineChars="200"/>
              <w:jc w:val="both"/>
              <w:rPr>
                <w:rFonts w:hint="default" w:cs="宋体"/>
                <w:bCs/>
                <w:color w:val="auto"/>
                <w:szCs w:val="21"/>
                <w:highlight w:val="none"/>
              </w:rPr>
            </w:pPr>
            <w:r>
              <w:rPr>
                <w:rFonts w:cs="宋体"/>
                <w:bCs/>
                <w:color w:val="auto"/>
                <w:sz w:val="21"/>
                <w:szCs w:val="21"/>
                <w:highlight w:val="none"/>
              </w:rPr>
              <w:t>2.标前准备：投标供应商在开标前确保成为浙江省政府采购网正式注册用户，并完成CA数字证书办理。因未注册入库、未办理CA数字证书等原因造成无法投标或投标失败等后果由投标供应商自行承担。</w:t>
            </w:r>
          </w:p>
        </w:tc>
      </w:tr>
      <w:tr w14:paraId="596D7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24B6CC7E">
            <w:pPr>
              <w:jc w:val="center"/>
              <w:rPr>
                <w:rFonts w:ascii="宋体" w:hAnsi="宋体" w:cs="宋体"/>
                <w:color w:val="auto"/>
                <w:szCs w:val="21"/>
                <w:highlight w:val="none"/>
              </w:rPr>
            </w:pPr>
            <w:r>
              <w:rPr>
                <w:rFonts w:hint="eastAsia" w:ascii="宋体" w:hAnsi="宋体" w:cs="宋体"/>
                <w:color w:val="auto"/>
                <w:szCs w:val="21"/>
                <w:highlight w:val="none"/>
              </w:rPr>
              <w:t>10</w:t>
            </w:r>
          </w:p>
        </w:tc>
        <w:tc>
          <w:tcPr>
            <w:tcW w:w="1760" w:type="dxa"/>
            <w:tcBorders>
              <w:top w:val="single" w:color="auto" w:sz="4" w:space="0"/>
              <w:left w:val="single" w:color="auto" w:sz="4" w:space="0"/>
              <w:bottom w:val="single" w:color="auto" w:sz="4" w:space="0"/>
              <w:right w:val="single" w:color="auto" w:sz="4" w:space="0"/>
            </w:tcBorders>
            <w:vAlign w:val="center"/>
          </w:tcPr>
          <w:p w14:paraId="3EA653BD">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信用信息查询渠道</w:t>
            </w:r>
          </w:p>
        </w:tc>
        <w:tc>
          <w:tcPr>
            <w:tcW w:w="6501" w:type="dxa"/>
            <w:tcBorders>
              <w:top w:val="single" w:color="auto" w:sz="4" w:space="0"/>
              <w:left w:val="single" w:color="auto" w:sz="4" w:space="0"/>
              <w:bottom w:val="single" w:color="auto" w:sz="4" w:space="0"/>
              <w:right w:val="single" w:color="auto" w:sz="4" w:space="0"/>
            </w:tcBorders>
            <w:vAlign w:val="center"/>
          </w:tcPr>
          <w:p w14:paraId="1F1152D7">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信用中国（网址：</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cs="Arial" w:asciiTheme="minorEastAsia" w:hAnsiTheme="minorEastAsia" w:eastAsiaTheme="minorEastAsia"/>
                <w:color w:val="auto"/>
                <w:szCs w:val="21"/>
                <w:highlight w:val="none"/>
              </w:rPr>
              <w:t>http://www.creditchina.gov.cn</w:t>
            </w:r>
            <w:r>
              <w:rPr>
                <w:rFonts w:cs="Arial" w:asciiTheme="minorEastAsia" w:hAnsiTheme="minorEastAsia" w:eastAsiaTheme="minorEastAsia"/>
                <w:color w:val="auto"/>
                <w:szCs w:val="21"/>
                <w:highlight w:val="none"/>
              </w:rPr>
              <w:fldChar w:fldCharType="end"/>
            </w:r>
            <w:r>
              <w:rPr>
                <w:rFonts w:hint="eastAsia" w:cs="Arial" w:asciiTheme="minorEastAsia" w:hAnsiTheme="minorEastAsia" w:eastAsiaTheme="minorEastAsia"/>
                <w:color w:val="auto"/>
                <w:szCs w:val="21"/>
                <w:highlight w:val="none"/>
              </w:rPr>
              <w:t>)</w:t>
            </w:r>
          </w:p>
          <w:p w14:paraId="5173DA10">
            <w:pPr>
              <w:snapToGrid w:val="0"/>
              <w:rPr>
                <w:rFonts w:ascii="宋体" w:hAnsi="宋体" w:cs="宋体"/>
                <w:color w:val="auto"/>
                <w:szCs w:val="21"/>
                <w:highlight w:val="none"/>
              </w:rPr>
            </w:pPr>
            <w:r>
              <w:rPr>
                <w:rFonts w:hint="eastAsia" w:cs="Arial" w:asciiTheme="minorEastAsia" w:hAnsiTheme="minorEastAsia" w:eastAsiaTheme="minorEastAsia"/>
                <w:color w:val="auto"/>
                <w:szCs w:val="21"/>
                <w:highlight w:val="none"/>
              </w:rPr>
              <w:t>中国政府采购网（网址：</w:t>
            </w:r>
            <w:r>
              <w:rPr>
                <w:rFonts w:cs="Arial" w:asciiTheme="minorEastAsia" w:hAnsiTheme="minorEastAsia" w:eastAsiaTheme="minorEastAsia"/>
                <w:color w:val="auto"/>
                <w:szCs w:val="21"/>
                <w:highlight w:val="none"/>
              </w:rPr>
              <w:t>http://www.ccgp.gov.cn</w:t>
            </w:r>
            <w:r>
              <w:rPr>
                <w:rFonts w:hint="eastAsia" w:cs="Arial" w:asciiTheme="minorEastAsia" w:hAnsiTheme="minorEastAsia" w:eastAsiaTheme="minorEastAsia"/>
                <w:color w:val="auto"/>
                <w:szCs w:val="21"/>
                <w:highlight w:val="none"/>
              </w:rPr>
              <w:t>)</w:t>
            </w:r>
          </w:p>
        </w:tc>
      </w:tr>
      <w:tr w14:paraId="7A50B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4381AE04">
            <w:pPr>
              <w:jc w:val="center"/>
              <w:rPr>
                <w:rFonts w:ascii="宋体" w:hAnsi="宋体" w:cs="宋体"/>
                <w:color w:val="auto"/>
                <w:szCs w:val="21"/>
                <w:highlight w:val="none"/>
              </w:rPr>
            </w:pPr>
            <w:r>
              <w:rPr>
                <w:rFonts w:hint="eastAsia" w:ascii="宋体" w:hAnsi="宋体" w:cs="宋体"/>
                <w:color w:val="auto"/>
                <w:szCs w:val="21"/>
                <w:highlight w:val="none"/>
              </w:rPr>
              <w:t>11</w:t>
            </w:r>
          </w:p>
        </w:tc>
        <w:tc>
          <w:tcPr>
            <w:tcW w:w="1760" w:type="dxa"/>
            <w:tcBorders>
              <w:top w:val="single" w:color="auto" w:sz="4" w:space="0"/>
              <w:left w:val="single" w:color="auto" w:sz="4" w:space="0"/>
              <w:bottom w:val="single" w:color="auto" w:sz="4" w:space="0"/>
              <w:right w:val="single" w:color="auto" w:sz="4" w:space="0"/>
            </w:tcBorders>
            <w:vAlign w:val="center"/>
          </w:tcPr>
          <w:p w14:paraId="337097C3">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中小企业预留份额情况</w:t>
            </w:r>
          </w:p>
        </w:tc>
        <w:tc>
          <w:tcPr>
            <w:tcW w:w="6501" w:type="dxa"/>
            <w:tcBorders>
              <w:top w:val="single" w:color="auto" w:sz="4" w:space="0"/>
              <w:left w:val="single" w:color="auto" w:sz="4" w:space="0"/>
              <w:bottom w:val="single" w:color="auto" w:sz="4" w:space="0"/>
              <w:right w:val="single" w:color="auto" w:sz="4" w:space="0"/>
            </w:tcBorders>
            <w:vAlign w:val="center"/>
          </w:tcPr>
          <w:p w14:paraId="3F879E80">
            <w:pPr>
              <w:snapToGrid w:val="0"/>
              <w:rPr>
                <w:rFonts w:ascii="黑体" w:hAnsi="黑体" w:eastAsia="黑体" w:cs="黑体"/>
                <w:color w:val="auto"/>
                <w:szCs w:val="21"/>
                <w:highlight w:val="none"/>
                <w:shd w:val="clear" w:color="auto" w:fill="FFFFFF"/>
              </w:rPr>
            </w:pPr>
            <w:r>
              <w:rPr>
                <w:rFonts w:hint="eastAsia" w:cs="Arial" w:asciiTheme="minorEastAsia" w:hAnsiTheme="minorEastAsia" w:eastAsiaTheme="minorEastAsia"/>
                <w:color w:val="auto"/>
                <w:szCs w:val="21"/>
                <w:highlight w:val="none"/>
              </w:rPr>
              <w:t xml:space="preserve">根据《政府采购促进中小企业发展管理办法》财库〔2020〕46号文件的规定，本项目  </w:t>
            </w:r>
            <w:r>
              <w:rPr>
                <w:rFonts w:hint="eastAsia" w:cs="Arial" w:asciiTheme="minorEastAsia" w:hAnsiTheme="minorEastAsia" w:eastAsiaTheme="minorEastAsia"/>
                <w:b/>
                <w:color w:val="auto"/>
                <w:szCs w:val="21"/>
                <w:highlight w:val="none"/>
              </w:rPr>
              <w:t xml:space="preserve">否 </w:t>
            </w:r>
            <w:r>
              <w:rPr>
                <w:rFonts w:hint="eastAsia" w:cs="Arial" w:asciiTheme="minorEastAsia" w:hAnsiTheme="minorEastAsia" w:eastAsiaTheme="minorEastAsia"/>
                <w:color w:val="auto"/>
                <w:szCs w:val="21"/>
                <w:highlight w:val="none"/>
              </w:rPr>
              <w:t>属于专门面向中小企业采购的项目。</w:t>
            </w:r>
          </w:p>
        </w:tc>
      </w:tr>
      <w:tr w14:paraId="1CC98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957" w:type="dxa"/>
            <w:tcBorders>
              <w:top w:val="single" w:color="auto" w:sz="4" w:space="0"/>
              <w:left w:val="single" w:color="auto" w:sz="4" w:space="0"/>
              <w:bottom w:val="single" w:color="auto" w:sz="4" w:space="0"/>
              <w:right w:val="single" w:color="auto" w:sz="4" w:space="0"/>
            </w:tcBorders>
            <w:vAlign w:val="center"/>
          </w:tcPr>
          <w:p w14:paraId="154455F8">
            <w:pPr>
              <w:jc w:val="center"/>
              <w:rPr>
                <w:rFonts w:ascii="宋体" w:hAnsi="宋体" w:cs="宋体"/>
                <w:color w:val="auto"/>
                <w:szCs w:val="21"/>
                <w:highlight w:val="none"/>
              </w:rPr>
            </w:pPr>
            <w:r>
              <w:rPr>
                <w:rFonts w:hint="eastAsia" w:ascii="宋体" w:hAnsi="宋体" w:cs="宋体"/>
                <w:color w:val="auto"/>
                <w:szCs w:val="21"/>
                <w:highlight w:val="none"/>
              </w:rPr>
              <w:t>12</w:t>
            </w:r>
          </w:p>
        </w:tc>
        <w:tc>
          <w:tcPr>
            <w:tcW w:w="1760" w:type="dxa"/>
            <w:tcBorders>
              <w:top w:val="single" w:color="auto" w:sz="4" w:space="0"/>
              <w:left w:val="single" w:color="auto" w:sz="4" w:space="0"/>
              <w:bottom w:val="single" w:color="auto" w:sz="4" w:space="0"/>
              <w:right w:val="single" w:color="auto" w:sz="4" w:space="0"/>
            </w:tcBorders>
            <w:vAlign w:val="center"/>
          </w:tcPr>
          <w:p w14:paraId="76CE5CB0">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中小企业优惠措施</w:t>
            </w:r>
          </w:p>
        </w:tc>
        <w:tc>
          <w:tcPr>
            <w:tcW w:w="6501" w:type="dxa"/>
            <w:tcBorders>
              <w:top w:val="single" w:color="auto" w:sz="4" w:space="0"/>
              <w:left w:val="single" w:color="auto" w:sz="4" w:space="0"/>
              <w:bottom w:val="single" w:color="auto" w:sz="4" w:space="0"/>
              <w:right w:val="single" w:color="auto" w:sz="4" w:space="0"/>
            </w:tcBorders>
            <w:vAlign w:val="center"/>
          </w:tcPr>
          <w:p w14:paraId="34F492F8">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1.项目属性（货物类）</w:t>
            </w:r>
          </w:p>
          <w:p w14:paraId="2D109B08">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2.中小企业划分标准所属行业（具体根据《中小企业划型标准规定》执行）</w:t>
            </w:r>
          </w:p>
          <w:p w14:paraId="401C6A9C">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采购标的：</w:t>
            </w:r>
            <w:r>
              <w:rPr>
                <w:rFonts w:hint="eastAsia" w:cs="Arial" w:asciiTheme="minorEastAsia" w:hAnsiTheme="minorEastAsia" w:eastAsiaTheme="minorEastAsia"/>
                <w:b/>
                <w:color w:val="auto"/>
                <w:szCs w:val="21"/>
                <w:highlight w:val="none"/>
              </w:rPr>
              <w:t>CT</w:t>
            </w:r>
            <w:r>
              <w:rPr>
                <w:rFonts w:hint="eastAsia" w:cs="Arial" w:asciiTheme="minorEastAsia" w:hAnsiTheme="minorEastAsia" w:eastAsiaTheme="minorEastAsia"/>
                <w:color w:val="auto"/>
                <w:szCs w:val="21"/>
                <w:highlight w:val="none"/>
              </w:rPr>
              <w:t>，所属行业：</w:t>
            </w:r>
            <w:r>
              <w:rPr>
                <w:rFonts w:hint="eastAsia" w:cs="Arial" w:asciiTheme="minorEastAsia" w:hAnsiTheme="minorEastAsia" w:eastAsiaTheme="minorEastAsia"/>
                <w:b/>
                <w:color w:val="auto"/>
                <w:szCs w:val="21"/>
                <w:highlight w:val="none"/>
              </w:rPr>
              <w:t>工业</w:t>
            </w:r>
            <w:r>
              <w:rPr>
                <w:rFonts w:hint="eastAsia" w:cs="Arial" w:asciiTheme="minorEastAsia" w:hAnsiTheme="minorEastAsia" w:eastAsiaTheme="minorEastAsia"/>
                <w:color w:val="auto"/>
                <w:szCs w:val="21"/>
                <w:highlight w:val="none"/>
              </w:rPr>
              <w:t>。</w:t>
            </w:r>
          </w:p>
          <w:p w14:paraId="159A4CE7">
            <w:pPr>
              <w:snapToGrid w:val="0"/>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b/>
                <w:color w:val="auto"/>
                <w:szCs w:val="21"/>
                <w:highlight w:val="none"/>
              </w:rPr>
              <w:t>3.在货物采购项目中，供应商提供的货物既有中小企业制造货物，也有大型企业制造货物的，不享受中小企业扶持政策。供应商应保证其提供的产品均由中小企业制造（构成货物的原材料及辅助材料除外），并在《中小企业声明函》中明确货物来源企业是否为中小企业。</w:t>
            </w:r>
          </w:p>
          <w:p w14:paraId="6D0D695A">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4.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5793F6BC">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5.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4B35C985">
            <w:pPr>
              <w:snapToGrid w:val="0"/>
              <w:rPr>
                <w:rFonts w:ascii="宋体" w:hAnsi="宋体" w:cs="宋体"/>
                <w:color w:val="auto"/>
                <w:szCs w:val="21"/>
                <w:highlight w:val="none"/>
              </w:rPr>
            </w:pPr>
            <w:r>
              <w:rPr>
                <w:rFonts w:hint="eastAsia" w:cs="Arial" w:asciiTheme="minorEastAsia" w:hAnsiTheme="minorEastAsia" w:eastAsiaTheme="minorEastAsia"/>
                <w:color w:val="auto"/>
                <w:szCs w:val="21"/>
                <w:highlight w:val="none"/>
              </w:rPr>
              <w:t>(注：未提供以上材料的，均不给予价格扣除）。</w:t>
            </w:r>
          </w:p>
        </w:tc>
      </w:tr>
      <w:tr w14:paraId="41B58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76D8B049">
            <w:pPr>
              <w:jc w:val="center"/>
              <w:rPr>
                <w:rFonts w:ascii="宋体" w:hAnsi="宋体" w:cs="宋体"/>
                <w:color w:val="auto"/>
                <w:szCs w:val="21"/>
                <w:highlight w:val="none"/>
              </w:rPr>
            </w:pPr>
            <w:r>
              <w:rPr>
                <w:rFonts w:hint="eastAsia" w:ascii="宋体" w:hAnsi="宋体" w:cs="宋体"/>
                <w:color w:val="auto"/>
                <w:szCs w:val="21"/>
                <w:highlight w:val="none"/>
              </w:rPr>
              <w:t>13</w:t>
            </w:r>
          </w:p>
        </w:tc>
        <w:tc>
          <w:tcPr>
            <w:tcW w:w="1760" w:type="dxa"/>
            <w:tcBorders>
              <w:top w:val="single" w:color="auto" w:sz="4" w:space="0"/>
              <w:left w:val="single" w:color="auto" w:sz="4" w:space="0"/>
              <w:bottom w:val="single" w:color="auto" w:sz="4" w:space="0"/>
              <w:right w:val="single" w:color="auto" w:sz="4" w:space="0"/>
            </w:tcBorders>
            <w:vAlign w:val="center"/>
          </w:tcPr>
          <w:p w14:paraId="0A427785">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采购代理机构代理费用的收取标准和方式</w:t>
            </w:r>
          </w:p>
        </w:tc>
        <w:tc>
          <w:tcPr>
            <w:tcW w:w="6501" w:type="dxa"/>
            <w:tcBorders>
              <w:top w:val="single" w:color="auto" w:sz="4" w:space="0"/>
              <w:left w:val="single" w:color="auto" w:sz="4" w:space="0"/>
              <w:bottom w:val="single" w:color="auto" w:sz="4" w:space="0"/>
              <w:right w:val="single" w:color="auto" w:sz="4" w:space="0"/>
            </w:tcBorders>
            <w:vAlign w:val="center"/>
          </w:tcPr>
          <w:p w14:paraId="533B2D38">
            <w:pPr>
              <w:snapToGrid w:val="0"/>
              <w:rPr>
                <w:color w:val="auto"/>
                <w:highlight w:val="none"/>
              </w:rPr>
            </w:pPr>
            <w:r>
              <w:rPr>
                <w:rFonts w:hint="eastAsia"/>
                <w:color w:val="auto"/>
                <w:highlight w:val="none"/>
              </w:rPr>
              <w:t>本项目代理服务费参照计价格〔2002〕1980号文件收费标准的60%计取（低于陆仟元按陆仟元计取），在发中标通知书时由中标供应商支付到以下账号，投标供应商在报价时综合考虑。</w:t>
            </w:r>
          </w:p>
          <w:p w14:paraId="74C59E45">
            <w:pPr>
              <w:snapToGrid w:val="0"/>
              <w:jc w:val="left"/>
              <w:rPr>
                <w:color w:val="auto"/>
                <w:highlight w:val="none"/>
              </w:rPr>
            </w:pPr>
            <w:r>
              <w:rPr>
                <w:rFonts w:hint="eastAsia"/>
                <w:color w:val="auto"/>
                <w:highlight w:val="none"/>
              </w:rPr>
              <w:t xml:space="preserve">收款单位名称：浙江中永工程咨询有限公司 </w:t>
            </w:r>
          </w:p>
          <w:p w14:paraId="0B1F1F2A">
            <w:pPr>
              <w:snapToGrid w:val="0"/>
              <w:jc w:val="left"/>
              <w:rPr>
                <w:color w:val="auto"/>
                <w:highlight w:val="none"/>
              </w:rPr>
            </w:pPr>
            <w:r>
              <w:rPr>
                <w:rFonts w:hint="eastAsia"/>
                <w:color w:val="auto"/>
                <w:highlight w:val="none"/>
              </w:rPr>
              <w:t>开户银行：台州银行股份有限公司市府大道支行</w:t>
            </w:r>
          </w:p>
          <w:p w14:paraId="0BB0D8E1">
            <w:pPr>
              <w:snapToGrid w:val="0"/>
              <w:jc w:val="left"/>
              <w:rPr>
                <w:color w:val="auto"/>
                <w:highlight w:val="none"/>
              </w:rPr>
            </w:pPr>
            <w:r>
              <w:rPr>
                <w:rFonts w:hint="eastAsia"/>
                <w:color w:val="auto"/>
                <w:highlight w:val="none"/>
              </w:rPr>
              <w:t>银行账号：</w:t>
            </w:r>
            <w:r>
              <w:rPr>
                <w:color w:val="auto"/>
                <w:highlight w:val="none"/>
              </w:rPr>
              <w:t>510838838100028</w:t>
            </w:r>
            <w:r>
              <w:rPr>
                <w:rFonts w:hint="eastAsia"/>
                <w:color w:val="auto"/>
                <w:highlight w:val="none"/>
              </w:rPr>
              <w:t xml:space="preserve"> </w:t>
            </w:r>
          </w:p>
          <w:p w14:paraId="153757A4">
            <w:pPr>
              <w:snapToGrid w:val="0"/>
              <w:rPr>
                <w:rFonts w:ascii="宋体" w:hAnsi="宋体" w:cs="宋体"/>
                <w:color w:val="auto"/>
                <w:szCs w:val="21"/>
                <w:highlight w:val="none"/>
              </w:rPr>
            </w:pPr>
            <w:r>
              <w:rPr>
                <w:rFonts w:hint="eastAsia"/>
                <w:color w:val="auto"/>
                <w:highlight w:val="none"/>
              </w:rPr>
              <w:t>财务联系电话：0576-88581708</w:t>
            </w:r>
          </w:p>
        </w:tc>
      </w:tr>
      <w:tr w14:paraId="4FA25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B3968E7">
            <w:pPr>
              <w:jc w:val="center"/>
              <w:rPr>
                <w:rFonts w:ascii="宋体" w:hAnsi="宋体" w:cs="宋体"/>
                <w:color w:val="auto"/>
                <w:szCs w:val="21"/>
                <w:highlight w:val="none"/>
              </w:rPr>
            </w:pPr>
            <w:r>
              <w:rPr>
                <w:rFonts w:hint="eastAsia" w:ascii="宋体" w:hAnsi="宋体" w:cs="宋体"/>
                <w:color w:val="auto"/>
                <w:szCs w:val="21"/>
                <w:highlight w:val="none"/>
              </w:rPr>
              <w:t>14</w:t>
            </w:r>
          </w:p>
        </w:tc>
        <w:tc>
          <w:tcPr>
            <w:tcW w:w="1760" w:type="dxa"/>
            <w:tcBorders>
              <w:top w:val="single" w:color="auto" w:sz="4" w:space="0"/>
              <w:left w:val="single" w:color="auto" w:sz="4" w:space="0"/>
              <w:bottom w:val="single" w:color="auto" w:sz="4" w:space="0"/>
              <w:right w:val="single" w:color="auto" w:sz="4" w:space="0"/>
            </w:tcBorders>
            <w:vAlign w:val="center"/>
          </w:tcPr>
          <w:p w14:paraId="115AADD5">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履约保证金</w:t>
            </w:r>
          </w:p>
        </w:tc>
        <w:tc>
          <w:tcPr>
            <w:tcW w:w="6501" w:type="dxa"/>
            <w:tcBorders>
              <w:top w:val="single" w:color="auto" w:sz="4" w:space="0"/>
              <w:left w:val="single" w:color="auto" w:sz="4" w:space="0"/>
              <w:bottom w:val="single" w:color="auto" w:sz="4" w:space="0"/>
              <w:right w:val="single" w:color="auto" w:sz="4" w:space="0"/>
            </w:tcBorders>
            <w:vAlign w:val="center"/>
          </w:tcPr>
          <w:p w14:paraId="53793417">
            <w:pPr>
              <w:autoSpaceDE w:val="0"/>
              <w:autoSpaceDN w:val="0"/>
              <w:adjustRightInd w:val="0"/>
              <w:rPr>
                <w:rFonts w:ascii="宋体" w:hAnsi="宋体" w:cs="宋体"/>
                <w:color w:val="auto"/>
                <w:kern w:val="0"/>
                <w:szCs w:val="21"/>
                <w:highlight w:val="none"/>
                <w:lang w:val="zh-CN"/>
              </w:rPr>
            </w:pPr>
            <w:r>
              <w:rPr>
                <w:rFonts w:hint="eastAsia" w:ascii="宋体" w:hAnsi="宋体" w:cs="宋体"/>
                <w:bCs/>
                <w:color w:val="auto"/>
                <w:szCs w:val="21"/>
                <w:highlight w:val="none"/>
              </w:rPr>
              <w:t>中标供应商须在中标通知书发出之日起七个工作日内提交合同总价1%的履约担保，以支票、银行汇票、本票或者金融机构出具的保函等非现金形式提交。如为支票、银行汇票、本票形式，在项目最终验收结束后经采购人确认无质量问题且扣除中标供应商应承担的违约金（如有）等费用后无息退还；如以金融机构出具的保函等非现金形式提供的（须为见索即付的独立保函），担保期限为项目最终验收结束后15个工作日。中标供应商因违约或其他原因导致履约金被没收后应在自没收之日起15天内补足。</w:t>
            </w:r>
          </w:p>
        </w:tc>
      </w:tr>
      <w:tr w14:paraId="5DB64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198D5339">
            <w:pPr>
              <w:jc w:val="center"/>
              <w:rPr>
                <w:rFonts w:ascii="宋体" w:hAnsi="宋体" w:cs="宋体"/>
                <w:color w:val="auto"/>
                <w:szCs w:val="21"/>
                <w:highlight w:val="none"/>
              </w:rPr>
            </w:pPr>
            <w:r>
              <w:rPr>
                <w:rFonts w:hint="eastAsia" w:ascii="宋体" w:hAnsi="宋体" w:cs="宋体"/>
                <w:color w:val="auto"/>
                <w:szCs w:val="21"/>
                <w:highlight w:val="none"/>
              </w:rPr>
              <w:t>15</w:t>
            </w:r>
          </w:p>
        </w:tc>
        <w:tc>
          <w:tcPr>
            <w:tcW w:w="1760" w:type="dxa"/>
            <w:tcBorders>
              <w:top w:val="single" w:color="auto" w:sz="4" w:space="0"/>
              <w:left w:val="single" w:color="auto" w:sz="4" w:space="0"/>
              <w:bottom w:val="single" w:color="auto" w:sz="4" w:space="0"/>
              <w:right w:val="single" w:color="auto" w:sz="4" w:space="0"/>
            </w:tcBorders>
            <w:vAlign w:val="center"/>
          </w:tcPr>
          <w:p w14:paraId="19BDC4A4">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实质性条款（如有）</w:t>
            </w:r>
          </w:p>
        </w:tc>
        <w:tc>
          <w:tcPr>
            <w:tcW w:w="6501" w:type="dxa"/>
            <w:tcBorders>
              <w:top w:val="single" w:color="auto" w:sz="4" w:space="0"/>
              <w:left w:val="single" w:color="auto" w:sz="4" w:space="0"/>
              <w:bottom w:val="single" w:color="auto" w:sz="4" w:space="0"/>
              <w:right w:val="single" w:color="auto" w:sz="4" w:space="0"/>
            </w:tcBorders>
            <w:vAlign w:val="center"/>
          </w:tcPr>
          <w:p w14:paraId="448F8966">
            <w:pPr>
              <w:autoSpaceDE w:val="0"/>
              <w:autoSpaceDN w:val="0"/>
              <w:adjustRightInd w:val="0"/>
              <w:rPr>
                <w:rFonts w:ascii="宋体" w:hAnsi="宋体" w:cs="宋体"/>
                <w:color w:val="auto"/>
                <w:szCs w:val="21"/>
                <w:highlight w:val="none"/>
              </w:rPr>
            </w:pPr>
            <w:r>
              <w:rPr>
                <w:rFonts w:hint="eastAsia" w:ascii="宋体" w:hAnsi="宋体" w:cs="宋体"/>
                <w:color w:val="auto"/>
                <w:kern w:val="0"/>
                <w:szCs w:val="21"/>
                <w:highlight w:val="none"/>
                <w:lang w:val="zh-CN"/>
              </w:rPr>
              <w:t>带“</w:t>
            </w:r>
            <w:r>
              <w:rPr>
                <w:rFonts w:hint="eastAsia" w:ascii="宋体" w:hAnsi="宋体" w:cs="宋体"/>
                <w:bCs/>
                <w:color w:val="auto"/>
                <w:szCs w:val="21"/>
                <w:highlight w:val="none"/>
              </w:rPr>
              <w:t>▲”的条款是实质性条款，投标文件须做出实质性响应，否则作无效投标处理。</w:t>
            </w:r>
          </w:p>
        </w:tc>
      </w:tr>
      <w:tr w14:paraId="38193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23FD8568">
            <w:pPr>
              <w:jc w:val="center"/>
              <w:rPr>
                <w:rFonts w:ascii="宋体" w:hAnsi="宋体" w:cs="宋体"/>
                <w:color w:val="auto"/>
                <w:szCs w:val="21"/>
                <w:highlight w:val="none"/>
              </w:rPr>
            </w:pPr>
            <w:r>
              <w:rPr>
                <w:rFonts w:hint="eastAsia" w:ascii="宋体" w:hAnsi="宋体" w:cs="宋体"/>
                <w:color w:val="auto"/>
                <w:szCs w:val="21"/>
                <w:highlight w:val="none"/>
              </w:rPr>
              <w:t>16</w:t>
            </w:r>
          </w:p>
        </w:tc>
        <w:tc>
          <w:tcPr>
            <w:tcW w:w="1760" w:type="dxa"/>
            <w:tcBorders>
              <w:top w:val="single" w:color="auto" w:sz="4" w:space="0"/>
              <w:left w:val="single" w:color="auto" w:sz="4" w:space="0"/>
              <w:bottom w:val="single" w:color="auto" w:sz="4" w:space="0"/>
              <w:right w:val="single" w:color="auto" w:sz="4" w:space="0"/>
            </w:tcBorders>
            <w:vAlign w:val="center"/>
          </w:tcPr>
          <w:p w14:paraId="50113239">
            <w:pPr>
              <w:autoSpaceDE w:val="0"/>
              <w:autoSpaceDN w:val="0"/>
              <w:adjustRightInd w:val="0"/>
              <w:rPr>
                <w:rFonts w:ascii="宋体" w:hAnsi="宋体" w:cs="宋体"/>
                <w:color w:val="auto"/>
                <w:szCs w:val="21"/>
                <w:highlight w:val="none"/>
              </w:rPr>
            </w:pPr>
            <w:r>
              <w:rPr>
                <w:rFonts w:ascii="宋体" w:hAnsi="宋体" w:cs="宋体"/>
                <w:color w:val="auto"/>
                <w:szCs w:val="21"/>
                <w:highlight w:val="none"/>
              </w:rPr>
              <w:t>主要性能参数</w:t>
            </w:r>
            <w:r>
              <w:rPr>
                <w:rFonts w:hint="eastAsia" w:ascii="宋体" w:hAnsi="宋体" w:cs="宋体"/>
                <w:color w:val="auto"/>
                <w:szCs w:val="21"/>
                <w:highlight w:val="none"/>
              </w:rPr>
              <w:t>（如有）</w:t>
            </w:r>
          </w:p>
        </w:tc>
        <w:tc>
          <w:tcPr>
            <w:tcW w:w="6501" w:type="dxa"/>
            <w:tcBorders>
              <w:top w:val="single" w:color="auto" w:sz="4" w:space="0"/>
              <w:left w:val="single" w:color="auto" w:sz="4" w:space="0"/>
              <w:bottom w:val="single" w:color="auto" w:sz="4" w:space="0"/>
              <w:right w:val="single" w:color="auto" w:sz="4" w:space="0"/>
            </w:tcBorders>
            <w:vAlign w:val="center"/>
          </w:tcPr>
          <w:p w14:paraId="2C7BEAFD">
            <w:pPr>
              <w:autoSpaceDE w:val="0"/>
              <w:autoSpaceDN w:val="0"/>
              <w:adjustRightInd w:val="0"/>
              <w:rPr>
                <w:rFonts w:cs="宋体"/>
                <w:color w:val="auto"/>
                <w:szCs w:val="21"/>
                <w:highlight w:val="none"/>
              </w:rPr>
            </w:pPr>
            <w:r>
              <w:rPr>
                <w:rFonts w:hint="eastAsia" w:ascii="宋体" w:hAnsi="宋体" w:cs="宋体"/>
                <w:color w:val="auto"/>
                <w:szCs w:val="21"/>
                <w:highlight w:val="none"/>
              </w:rPr>
              <w:t>带“★”的条款是</w:t>
            </w:r>
            <w:r>
              <w:rPr>
                <w:rFonts w:asciiTheme="minorEastAsia" w:hAnsiTheme="minorEastAsia" w:eastAsiaTheme="minorEastAsia"/>
                <w:color w:val="auto"/>
                <w:highlight w:val="none"/>
              </w:rPr>
              <w:t>主要性能参数</w:t>
            </w:r>
            <w:r>
              <w:rPr>
                <w:rFonts w:hint="eastAsia" w:asciiTheme="minorEastAsia" w:hAnsiTheme="minorEastAsia" w:eastAsiaTheme="minorEastAsia"/>
                <w:color w:val="auto"/>
                <w:highlight w:val="none"/>
              </w:rPr>
              <w:t>。</w:t>
            </w:r>
          </w:p>
        </w:tc>
      </w:tr>
      <w:tr w14:paraId="4783C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BFBB425">
            <w:pPr>
              <w:jc w:val="center"/>
              <w:rPr>
                <w:rFonts w:ascii="宋体" w:hAnsi="宋体" w:cs="宋体"/>
                <w:color w:val="auto"/>
                <w:szCs w:val="21"/>
                <w:highlight w:val="none"/>
              </w:rPr>
            </w:pPr>
            <w:r>
              <w:rPr>
                <w:rFonts w:hint="eastAsia" w:ascii="宋体" w:hAnsi="宋体" w:cs="宋体"/>
                <w:color w:val="auto"/>
                <w:szCs w:val="21"/>
                <w:highlight w:val="none"/>
              </w:rPr>
              <w:t>17</w:t>
            </w:r>
          </w:p>
        </w:tc>
        <w:tc>
          <w:tcPr>
            <w:tcW w:w="1760" w:type="dxa"/>
            <w:tcBorders>
              <w:top w:val="single" w:color="auto" w:sz="4" w:space="0"/>
              <w:left w:val="single" w:color="auto" w:sz="4" w:space="0"/>
              <w:bottom w:val="single" w:color="auto" w:sz="4" w:space="0"/>
              <w:right w:val="single" w:color="auto" w:sz="4" w:space="0"/>
            </w:tcBorders>
            <w:vAlign w:val="center"/>
          </w:tcPr>
          <w:p w14:paraId="28606B35">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书面形式</w:t>
            </w:r>
          </w:p>
        </w:tc>
        <w:tc>
          <w:tcPr>
            <w:tcW w:w="6501" w:type="dxa"/>
            <w:tcBorders>
              <w:top w:val="single" w:color="auto" w:sz="4" w:space="0"/>
              <w:left w:val="single" w:color="auto" w:sz="4" w:space="0"/>
              <w:bottom w:val="single" w:color="auto" w:sz="4" w:space="0"/>
              <w:right w:val="single" w:color="auto" w:sz="4" w:space="0"/>
            </w:tcBorders>
            <w:vAlign w:val="center"/>
          </w:tcPr>
          <w:p w14:paraId="7A7933AE">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包括电子邮件、信函、传真。</w:t>
            </w:r>
          </w:p>
        </w:tc>
      </w:tr>
      <w:tr w14:paraId="7116D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7138FE0B">
            <w:pPr>
              <w:jc w:val="center"/>
              <w:rPr>
                <w:rFonts w:ascii="宋体" w:hAnsi="宋体" w:cs="宋体"/>
                <w:color w:val="auto"/>
                <w:szCs w:val="21"/>
                <w:highlight w:val="none"/>
              </w:rPr>
            </w:pPr>
            <w:r>
              <w:rPr>
                <w:rFonts w:hint="eastAsia" w:ascii="宋体" w:hAnsi="宋体" w:cs="宋体"/>
                <w:color w:val="auto"/>
                <w:sz w:val="24"/>
                <w:highlight w:val="none"/>
              </w:rPr>
              <w:t>18</w:t>
            </w:r>
          </w:p>
        </w:tc>
        <w:tc>
          <w:tcPr>
            <w:tcW w:w="1760" w:type="dxa"/>
            <w:tcBorders>
              <w:top w:val="single" w:color="auto" w:sz="4" w:space="0"/>
              <w:left w:val="single" w:color="auto" w:sz="4" w:space="0"/>
              <w:bottom w:val="single" w:color="auto" w:sz="4" w:space="0"/>
              <w:right w:val="single" w:color="auto" w:sz="4" w:space="0"/>
            </w:tcBorders>
            <w:vAlign w:val="center"/>
          </w:tcPr>
          <w:p w14:paraId="360F7288">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解释权</w:t>
            </w:r>
          </w:p>
        </w:tc>
        <w:tc>
          <w:tcPr>
            <w:tcW w:w="6501" w:type="dxa"/>
            <w:tcBorders>
              <w:top w:val="single" w:color="auto" w:sz="4" w:space="0"/>
              <w:left w:val="single" w:color="auto" w:sz="4" w:space="0"/>
              <w:bottom w:val="single" w:color="auto" w:sz="4" w:space="0"/>
              <w:right w:val="single" w:color="auto" w:sz="4" w:space="0"/>
            </w:tcBorders>
            <w:vAlign w:val="center"/>
          </w:tcPr>
          <w:p w14:paraId="2841081F">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本招标文件解释权属于采购人和采购组织机构。</w:t>
            </w:r>
          </w:p>
        </w:tc>
      </w:tr>
      <w:tr w14:paraId="11CF5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73A3A25">
            <w:pPr>
              <w:jc w:val="center"/>
              <w:rPr>
                <w:rFonts w:ascii="宋体" w:hAnsi="宋体" w:cs="宋体"/>
                <w:color w:val="auto"/>
                <w:szCs w:val="21"/>
                <w:highlight w:val="none"/>
              </w:rPr>
            </w:pPr>
            <w:r>
              <w:rPr>
                <w:rFonts w:hint="eastAsia" w:ascii="宋体" w:hAnsi="宋体" w:cs="宋体"/>
                <w:color w:val="auto"/>
                <w:szCs w:val="21"/>
                <w:highlight w:val="none"/>
              </w:rPr>
              <w:t>19</w:t>
            </w:r>
          </w:p>
        </w:tc>
        <w:tc>
          <w:tcPr>
            <w:tcW w:w="1760" w:type="dxa"/>
            <w:tcBorders>
              <w:top w:val="single" w:color="auto" w:sz="4" w:space="0"/>
              <w:left w:val="single" w:color="auto" w:sz="4" w:space="0"/>
              <w:bottom w:val="single" w:color="auto" w:sz="4" w:space="0"/>
              <w:right w:val="single" w:color="auto" w:sz="4" w:space="0"/>
            </w:tcBorders>
            <w:vAlign w:val="center"/>
          </w:tcPr>
          <w:p w14:paraId="2E57AFB5">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其他</w:t>
            </w:r>
          </w:p>
        </w:tc>
        <w:tc>
          <w:tcPr>
            <w:tcW w:w="6501" w:type="dxa"/>
            <w:tcBorders>
              <w:top w:val="single" w:color="auto" w:sz="4" w:space="0"/>
              <w:left w:val="single" w:color="auto" w:sz="4" w:space="0"/>
              <w:bottom w:val="single" w:color="auto" w:sz="4" w:space="0"/>
              <w:right w:val="single" w:color="auto" w:sz="4" w:space="0"/>
            </w:tcBorders>
            <w:vAlign w:val="center"/>
          </w:tcPr>
          <w:p w14:paraId="07B79D41">
            <w:pPr>
              <w:autoSpaceDE w:val="0"/>
              <w:autoSpaceDN w:val="0"/>
              <w:adjustRightInd w:val="0"/>
              <w:rPr>
                <w:rFonts w:ascii="宋体" w:hAnsi="宋体" w:cs="宋体"/>
                <w:color w:val="auto"/>
                <w:szCs w:val="21"/>
                <w:highlight w:val="none"/>
              </w:rPr>
            </w:pPr>
            <w:r>
              <w:rPr>
                <w:rFonts w:hint="eastAsia"/>
                <w:color w:val="auto"/>
                <w:szCs w:val="21"/>
                <w:highlight w:val="none"/>
              </w:rPr>
              <w:t>供应商中标后需提供纸质投标文件给招标代理机构作为备案存档，纸质投标文件系电子投标文件纸质版，两者内容应一致，如不一致相关责任由供应商承担；数量为：资格证明文件</w:t>
            </w:r>
            <w:r>
              <w:rPr>
                <w:color w:val="auto"/>
                <w:szCs w:val="21"/>
                <w:highlight w:val="none"/>
              </w:rPr>
              <w:t>、</w:t>
            </w:r>
            <w:r>
              <w:rPr>
                <w:rFonts w:hint="eastAsia"/>
                <w:color w:val="auto"/>
                <w:szCs w:val="21"/>
                <w:highlight w:val="none"/>
              </w:rPr>
              <w:t>商务与技术文件</w:t>
            </w:r>
            <w:r>
              <w:rPr>
                <w:color w:val="auto"/>
                <w:szCs w:val="21"/>
                <w:highlight w:val="none"/>
              </w:rPr>
              <w:t>、</w:t>
            </w:r>
            <w:r>
              <w:rPr>
                <w:rFonts w:hint="eastAsia"/>
                <w:color w:val="auto"/>
                <w:szCs w:val="21"/>
                <w:highlight w:val="none"/>
              </w:rPr>
              <w:t>报价文件各一正二副。邮寄地址代理机构另行通知。</w:t>
            </w:r>
          </w:p>
        </w:tc>
      </w:tr>
      <w:tr w14:paraId="7FC3A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28D1736">
            <w:pPr>
              <w:adjustRightInd w:val="0"/>
              <w:snapToGrid w:val="0"/>
              <w:spacing w:line="480" w:lineRule="exact"/>
              <w:jc w:val="center"/>
              <w:rPr>
                <w:rFonts w:ascii="宋体" w:hAnsi="宋体" w:cs="宋体"/>
                <w:color w:val="auto"/>
                <w:sz w:val="24"/>
                <w:highlight w:val="none"/>
              </w:rPr>
            </w:pPr>
            <w:r>
              <w:rPr>
                <w:rFonts w:hint="eastAsia" w:ascii="宋体" w:hAnsi="宋体" w:cs="宋体"/>
                <w:color w:val="auto"/>
                <w:sz w:val="24"/>
                <w:highlight w:val="none"/>
              </w:rPr>
              <w:t>20</w:t>
            </w:r>
          </w:p>
        </w:tc>
        <w:tc>
          <w:tcPr>
            <w:tcW w:w="1760" w:type="dxa"/>
            <w:tcBorders>
              <w:top w:val="single" w:color="auto" w:sz="4" w:space="0"/>
              <w:left w:val="single" w:color="auto" w:sz="4" w:space="0"/>
              <w:bottom w:val="single" w:color="auto" w:sz="4" w:space="0"/>
              <w:right w:val="single" w:color="auto" w:sz="4" w:space="0"/>
            </w:tcBorders>
            <w:vAlign w:val="center"/>
          </w:tcPr>
          <w:p w14:paraId="0C0ED1C3">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中标（成交）供应商如有融资需求，可使用以下银行的政采贷服务。</w:t>
            </w:r>
          </w:p>
          <w:p w14:paraId="595D4F2A">
            <w:pPr>
              <w:autoSpaceDE w:val="0"/>
              <w:autoSpaceDN w:val="0"/>
              <w:adjustRightInd w:val="0"/>
              <w:rPr>
                <w:rFonts w:ascii="宋体" w:hAnsi="宋体" w:cs="宋体"/>
                <w:color w:val="auto"/>
                <w:szCs w:val="21"/>
                <w:highlight w:val="none"/>
              </w:rPr>
            </w:pPr>
          </w:p>
        </w:tc>
        <w:tc>
          <w:tcPr>
            <w:tcW w:w="6501" w:type="dxa"/>
            <w:tcBorders>
              <w:top w:val="single" w:color="auto" w:sz="4" w:space="0"/>
              <w:left w:val="single" w:color="auto" w:sz="4" w:space="0"/>
              <w:bottom w:val="single" w:color="auto" w:sz="4" w:space="0"/>
              <w:right w:val="single" w:color="auto" w:sz="4" w:space="0"/>
            </w:tcBorders>
            <w:vAlign w:val="center"/>
          </w:tcPr>
          <w:tbl>
            <w:tblPr>
              <w:tblStyle w:val="2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41"/>
              <w:gridCol w:w="1222"/>
              <w:gridCol w:w="1244"/>
              <w:gridCol w:w="1568"/>
            </w:tblGrid>
            <w:tr w14:paraId="3AA3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219E727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银行</w:t>
                  </w:r>
                </w:p>
              </w:tc>
              <w:tc>
                <w:tcPr>
                  <w:tcW w:w="974" w:type="pct"/>
                  <w:vAlign w:val="center"/>
                </w:tcPr>
                <w:p w14:paraId="751CF84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贷款年利率</w:t>
                  </w:r>
                </w:p>
              </w:tc>
              <w:tc>
                <w:tcPr>
                  <w:tcW w:w="991" w:type="pct"/>
                  <w:vAlign w:val="center"/>
                </w:tcPr>
                <w:p w14:paraId="1ADDA59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联系人</w:t>
                  </w:r>
                </w:p>
              </w:tc>
              <w:tc>
                <w:tcPr>
                  <w:tcW w:w="1249" w:type="pct"/>
                  <w:vAlign w:val="center"/>
                </w:tcPr>
                <w:p w14:paraId="35943C8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联系电话</w:t>
                  </w:r>
                </w:p>
              </w:tc>
            </w:tr>
            <w:tr w14:paraId="48794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347F1FF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中国工商银行</w:t>
                  </w:r>
                </w:p>
              </w:tc>
              <w:tc>
                <w:tcPr>
                  <w:tcW w:w="974" w:type="pct"/>
                  <w:vAlign w:val="center"/>
                </w:tcPr>
                <w:p w14:paraId="129BE7E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3.8%起</w:t>
                  </w:r>
                </w:p>
              </w:tc>
              <w:tc>
                <w:tcPr>
                  <w:tcW w:w="991" w:type="pct"/>
                  <w:vAlign w:val="center"/>
                </w:tcPr>
                <w:p w14:paraId="5BFDCFB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卢嘉诚</w:t>
                  </w:r>
                </w:p>
              </w:tc>
              <w:tc>
                <w:tcPr>
                  <w:tcW w:w="1249" w:type="pct"/>
                  <w:vAlign w:val="center"/>
                </w:tcPr>
                <w:p w14:paraId="26EC274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 xml:space="preserve">88588246  </w:t>
                  </w:r>
                  <w:r>
                    <w:rPr>
                      <w:rFonts w:ascii="宋体" w:hAnsi="宋体" w:cs="宋体"/>
                      <w:color w:val="auto"/>
                      <w:sz w:val="18"/>
                      <w:szCs w:val="18"/>
                      <w:highlight w:val="none"/>
                    </w:rPr>
                    <w:t>13867658508</w:t>
                  </w:r>
                </w:p>
              </w:tc>
            </w:tr>
            <w:tr w14:paraId="5BBC5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3AA9579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中国农业银行</w:t>
                  </w:r>
                </w:p>
              </w:tc>
              <w:tc>
                <w:tcPr>
                  <w:tcW w:w="974" w:type="pct"/>
                  <w:vAlign w:val="center"/>
                </w:tcPr>
                <w:p w14:paraId="09113D6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3.8%起</w:t>
                  </w:r>
                </w:p>
              </w:tc>
              <w:tc>
                <w:tcPr>
                  <w:tcW w:w="991" w:type="pct"/>
                  <w:vAlign w:val="center"/>
                </w:tcPr>
                <w:p w14:paraId="7EDB7A0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龚盛</w:t>
                  </w:r>
                </w:p>
              </w:tc>
              <w:tc>
                <w:tcPr>
                  <w:tcW w:w="1249" w:type="pct"/>
                  <w:vAlign w:val="center"/>
                </w:tcPr>
                <w:p w14:paraId="09F4B09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15858682216</w:t>
                  </w:r>
                </w:p>
              </w:tc>
            </w:tr>
            <w:tr w14:paraId="0D15B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1197981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中国建设银行</w:t>
                  </w:r>
                </w:p>
              </w:tc>
              <w:tc>
                <w:tcPr>
                  <w:tcW w:w="974" w:type="pct"/>
                  <w:vAlign w:val="center"/>
                </w:tcPr>
                <w:p w14:paraId="4B1A6B4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3.8%起</w:t>
                  </w:r>
                </w:p>
              </w:tc>
              <w:tc>
                <w:tcPr>
                  <w:tcW w:w="991" w:type="pct"/>
                  <w:vAlign w:val="center"/>
                </w:tcPr>
                <w:p w14:paraId="3B6863C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梅晶晶</w:t>
                  </w:r>
                </w:p>
              </w:tc>
              <w:tc>
                <w:tcPr>
                  <w:tcW w:w="1249" w:type="pct"/>
                  <w:vAlign w:val="center"/>
                </w:tcPr>
                <w:p w14:paraId="15545FD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88525339</w:t>
                  </w:r>
                </w:p>
                <w:p w14:paraId="7E56211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13736585303</w:t>
                  </w:r>
                </w:p>
              </w:tc>
            </w:tr>
            <w:tr w14:paraId="2D57B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3F21C24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中国银行</w:t>
                  </w:r>
                </w:p>
              </w:tc>
              <w:tc>
                <w:tcPr>
                  <w:tcW w:w="974" w:type="pct"/>
                  <w:vAlign w:val="center"/>
                </w:tcPr>
                <w:p w14:paraId="4EF2BDF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3.75%起</w:t>
                  </w:r>
                </w:p>
              </w:tc>
              <w:tc>
                <w:tcPr>
                  <w:tcW w:w="991" w:type="pct"/>
                  <w:vAlign w:val="center"/>
                </w:tcPr>
                <w:p w14:paraId="42F7286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王海</w:t>
                  </w:r>
                </w:p>
              </w:tc>
              <w:tc>
                <w:tcPr>
                  <w:tcW w:w="1249" w:type="pct"/>
                  <w:vAlign w:val="center"/>
                </w:tcPr>
                <w:p w14:paraId="47C23616">
                  <w:pPr>
                    <w:snapToGrid w:val="0"/>
                    <w:jc w:val="center"/>
                    <w:rPr>
                      <w:rFonts w:ascii="宋体" w:hAnsi="宋体" w:cs="宋体"/>
                      <w:color w:val="auto"/>
                      <w:sz w:val="18"/>
                      <w:szCs w:val="18"/>
                      <w:highlight w:val="none"/>
                    </w:rPr>
                  </w:pPr>
                  <w:r>
                    <w:rPr>
                      <w:rFonts w:ascii="宋体" w:hAnsi="宋体" w:cs="宋体"/>
                      <w:color w:val="auto"/>
                      <w:sz w:val="18"/>
                      <w:szCs w:val="18"/>
                      <w:highlight w:val="none"/>
                    </w:rPr>
                    <w:t>13857677798</w:t>
                  </w:r>
                </w:p>
              </w:tc>
            </w:tr>
            <w:tr w14:paraId="029DB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31FC489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浦发银行台州分行</w:t>
                  </w:r>
                </w:p>
              </w:tc>
              <w:tc>
                <w:tcPr>
                  <w:tcW w:w="974" w:type="pct"/>
                  <w:vAlign w:val="center"/>
                </w:tcPr>
                <w:p w14:paraId="2B04945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4.05%起</w:t>
                  </w:r>
                </w:p>
              </w:tc>
              <w:tc>
                <w:tcPr>
                  <w:tcW w:w="991" w:type="pct"/>
                  <w:vAlign w:val="center"/>
                </w:tcPr>
                <w:p w14:paraId="74E75BD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王渊</w:t>
                  </w:r>
                </w:p>
              </w:tc>
              <w:tc>
                <w:tcPr>
                  <w:tcW w:w="1249" w:type="pct"/>
                  <w:vAlign w:val="center"/>
                </w:tcPr>
                <w:p w14:paraId="05EFCCE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13616676319</w:t>
                  </w:r>
                </w:p>
              </w:tc>
            </w:tr>
            <w:tr w14:paraId="63A5C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528D131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浦发银行椒江分行</w:t>
                  </w:r>
                </w:p>
              </w:tc>
              <w:tc>
                <w:tcPr>
                  <w:tcW w:w="974" w:type="pct"/>
                  <w:vAlign w:val="center"/>
                </w:tcPr>
                <w:p w14:paraId="1EFD351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4.05%起</w:t>
                  </w:r>
                </w:p>
              </w:tc>
              <w:tc>
                <w:tcPr>
                  <w:tcW w:w="991" w:type="pct"/>
                  <w:vAlign w:val="center"/>
                </w:tcPr>
                <w:p w14:paraId="3FA9871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孙瑞华</w:t>
                  </w:r>
                </w:p>
              </w:tc>
              <w:tc>
                <w:tcPr>
                  <w:tcW w:w="1249" w:type="pct"/>
                  <w:vAlign w:val="center"/>
                </w:tcPr>
                <w:p w14:paraId="7F5AA86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13857688081</w:t>
                  </w:r>
                </w:p>
              </w:tc>
            </w:tr>
            <w:tr w14:paraId="46CF9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252B9E4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交通银行台州分行</w:t>
                  </w:r>
                </w:p>
              </w:tc>
              <w:tc>
                <w:tcPr>
                  <w:tcW w:w="974" w:type="pct"/>
                  <w:vAlign w:val="center"/>
                </w:tcPr>
                <w:p w14:paraId="683F25C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3.75%起</w:t>
                  </w:r>
                </w:p>
              </w:tc>
              <w:tc>
                <w:tcPr>
                  <w:tcW w:w="991" w:type="pct"/>
                  <w:vAlign w:val="center"/>
                </w:tcPr>
                <w:p w14:paraId="556115C6">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周翔宇</w:t>
                  </w:r>
                </w:p>
              </w:tc>
              <w:tc>
                <w:tcPr>
                  <w:tcW w:w="1249" w:type="pct"/>
                  <w:vAlign w:val="center"/>
                </w:tcPr>
                <w:p w14:paraId="6129AD4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13867697018</w:t>
                  </w:r>
                </w:p>
              </w:tc>
            </w:tr>
            <w:tr w14:paraId="3DC03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2986B19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招商银行台州分行</w:t>
                  </w:r>
                </w:p>
              </w:tc>
              <w:tc>
                <w:tcPr>
                  <w:tcW w:w="974" w:type="pct"/>
                  <w:vAlign w:val="center"/>
                </w:tcPr>
                <w:p w14:paraId="3E156E0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4.32%起</w:t>
                  </w:r>
                </w:p>
              </w:tc>
              <w:tc>
                <w:tcPr>
                  <w:tcW w:w="991" w:type="pct"/>
                  <w:vAlign w:val="center"/>
                </w:tcPr>
                <w:p w14:paraId="11901D1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王海玲</w:t>
                  </w:r>
                </w:p>
              </w:tc>
              <w:tc>
                <w:tcPr>
                  <w:tcW w:w="1249" w:type="pct"/>
                  <w:vAlign w:val="center"/>
                </w:tcPr>
                <w:p w14:paraId="6BB6833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13566413827</w:t>
                  </w:r>
                </w:p>
              </w:tc>
            </w:tr>
            <w:tr w14:paraId="399DE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766247E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浙商银行台州分行</w:t>
                  </w:r>
                </w:p>
              </w:tc>
              <w:tc>
                <w:tcPr>
                  <w:tcW w:w="974" w:type="pct"/>
                  <w:vAlign w:val="center"/>
                </w:tcPr>
                <w:p w14:paraId="565B190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5.01%起</w:t>
                  </w:r>
                </w:p>
              </w:tc>
              <w:tc>
                <w:tcPr>
                  <w:tcW w:w="991" w:type="pct"/>
                  <w:vAlign w:val="center"/>
                </w:tcPr>
                <w:p w14:paraId="24E568F6">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章涉漪</w:t>
                  </w:r>
                </w:p>
              </w:tc>
              <w:tc>
                <w:tcPr>
                  <w:tcW w:w="1249" w:type="pct"/>
                  <w:vAlign w:val="center"/>
                </w:tcPr>
                <w:p w14:paraId="72B8823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81880185</w:t>
                  </w:r>
                </w:p>
                <w:p w14:paraId="4E98960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13606681262</w:t>
                  </w:r>
                </w:p>
              </w:tc>
            </w:tr>
            <w:tr w14:paraId="393EF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2AC6C883">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中信银行台州分行</w:t>
                  </w:r>
                </w:p>
              </w:tc>
              <w:tc>
                <w:tcPr>
                  <w:tcW w:w="974" w:type="pct"/>
                  <w:vAlign w:val="center"/>
                </w:tcPr>
                <w:p w14:paraId="6E527B1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4.15%起</w:t>
                  </w:r>
                </w:p>
              </w:tc>
              <w:tc>
                <w:tcPr>
                  <w:tcW w:w="991" w:type="pct"/>
                  <w:vAlign w:val="center"/>
                </w:tcPr>
                <w:p w14:paraId="79FD64C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陈金园</w:t>
                  </w:r>
                </w:p>
              </w:tc>
              <w:tc>
                <w:tcPr>
                  <w:tcW w:w="1249" w:type="pct"/>
                  <w:vAlign w:val="center"/>
                </w:tcPr>
                <w:p w14:paraId="087D1A0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13586052161</w:t>
                  </w:r>
                </w:p>
              </w:tc>
            </w:tr>
            <w:tr w14:paraId="4F8C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0D6876B6">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华夏银行台州分行</w:t>
                  </w:r>
                </w:p>
              </w:tc>
              <w:tc>
                <w:tcPr>
                  <w:tcW w:w="974" w:type="pct"/>
                  <w:vAlign w:val="center"/>
                </w:tcPr>
                <w:p w14:paraId="1625A7C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4.5%起</w:t>
                  </w:r>
                </w:p>
              </w:tc>
              <w:tc>
                <w:tcPr>
                  <w:tcW w:w="991" w:type="pct"/>
                  <w:vAlign w:val="center"/>
                </w:tcPr>
                <w:p w14:paraId="740ADE56">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邱明达</w:t>
                  </w:r>
                </w:p>
              </w:tc>
              <w:tc>
                <w:tcPr>
                  <w:tcW w:w="1249" w:type="pct"/>
                  <w:vAlign w:val="center"/>
                </w:tcPr>
                <w:p w14:paraId="6B910CC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81871518</w:t>
                  </w:r>
                </w:p>
                <w:p w14:paraId="44522A7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13736252233</w:t>
                  </w:r>
                </w:p>
              </w:tc>
            </w:tr>
            <w:tr w14:paraId="216F6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773969C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泰隆银行开发区支行</w:t>
                  </w:r>
                </w:p>
              </w:tc>
              <w:tc>
                <w:tcPr>
                  <w:tcW w:w="974" w:type="pct"/>
                  <w:vAlign w:val="center"/>
                </w:tcPr>
                <w:p w14:paraId="0BF420F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5.6%起</w:t>
                  </w:r>
                </w:p>
              </w:tc>
              <w:tc>
                <w:tcPr>
                  <w:tcW w:w="991" w:type="pct"/>
                  <w:vAlign w:val="center"/>
                </w:tcPr>
                <w:p w14:paraId="40CC09F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梁宛莉</w:t>
                  </w:r>
                </w:p>
              </w:tc>
              <w:tc>
                <w:tcPr>
                  <w:tcW w:w="1249" w:type="pct"/>
                  <w:vAlign w:val="center"/>
                </w:tcPr>
                <w:p w14:paraId="1110F61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13306869100</w:t>
                  </w:r>
                </w:p>
              </w:tc>
            </w:tr>
            <w:tr w14:paraId="7C9E8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73EDF25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民泰银行椒江支行</w:t>
                  </w:r>
                </w:p>
              </w:tc>
              <w:tc>
                <w:tcPr>
                  <w:tcW w:w="974" w:type="pct"/>
                  <w:vAlign w:val="center"/>
                </w:tcPr>
                <w:p w14:paraId="2CDC5F7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5.8%起</w:t>
                  </w:r>
                </w:p>
              </w:tc>
              <w:tc>
                <w:tcPr>
                  <w:tcW w:w="991" w:type="pct"/>
                  <w:vAlign w:val="center"/>
                </w:tcPr>
                <w:p w14:paraId="12893D3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陈慧珠</w:t>
                  </w:r>
                </w:p>
              </w:tc>
              <w:tc>
                <w:tcPr>
                  <w:tcW w:w="1249" w:type="pct"/>
                  <w:vAlign w:val="center"/>
                </w:tcPr>
                <w:p w14:paraId="771D63B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13857699669</w:t>
                  </w:r>
                </w:p>
              </w:tc>
            </w:tr>
            <w:tr w14:paraId="28540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55E93C7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绍兴银行台州分行</w:t>
                  </w:r>
                </w:p>
              </w:tc>
              <w:tc>
                <w:tcPr>
                  <w:tcW w:w="974" w:type="pct"/>
                  <w:vAlign w:val="center"/>
                </w:tcPr>
                <w:p w14:paraId="1C113A4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5.1%起</w:t>
                  </w:r>
                </w:p>
              </w:tc>
              <w:tc>
                <w:tcPr>
                  <w:tcW w:w="991" w:type="pct"/>
                  <w:vAlign w:val="center"/>
                </w:tcPr>
                <w:p w14:paraId="70E7AFD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郭庭斌</w:t>
                  </w:r>
                </w:p>
              </w:tc>
              <w:tc>
                <w:tcPr>
                  <w:tcW w:w="1249" w:type="pct"/>
                  <w:vAlign w:val="center"/>
                </w:tcPr>
                <w:p w14:paraId="3DB0A593">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15958633119</w:t>
                  </w:r>
                </w:p>
              </w:tc>
            </w:tr>
            <w:tr w14:paraId="51CCD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13816066">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温州银行台州分行</w:t>
                  </w:r>
                </w:p>
              </w:tc>
              <w:tc>
                <w:tcPr>
                  <w:tcW w:w="974" w:type="pct"/>
                  <w:vAlign w:val="center"/>
                </w:tcPr>
                <w:p w14:paraId="53319AF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4.55%起</w:t>
                  </w:r>
                </w:p>
              </w:tc>
              <w:tc>
                <w:tcPr>
                  <w:tcW w:w="991" w:type="pct"/>
                  <w:vAlign w:val="center"/>
                </w:tcPr>
                <w:p w14:paraId="13B13F2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王晓波</w:t>
                  </w:r>
                </w:p>
              </w:tc>
              <w:tc>
                <w:tcPr>
                  <w:tcW w:w="1249" w:type="pct"/>
                  <w:vAlign w:val="center"/>
                </w:tcPr>
                <w:p w14:paraId="69EBFB7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15824005475</w:t>
                  </w:r>
                </w:p>
              </w:tc>
            </w:tr>
            <w:tr w14:paraId="44A73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5D0EF30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平安银行台州分行</w:t>
                  </w:r>
                </w:p>
              </w:tc>
              <w:tc>
                <w:tcPr>
                  <w:tcW w:w="974" w:type="pct"/>
                  <w:vAlign w:val="center"/>
                </w:tcPr>
                <w:p w14:paraId="1C48FA0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6.53%起</w:t>
                  </w:r>
                </w:p>
              </w:tc>
              <w:tc>
                <w:tcPr>
                  <w:tcW w:w="991" w:type="pct"/>
                  <w:vAlign w:val="center"/>
                </w:tcPr>
                <w:p w14:paraId="262237F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李俊丽</w:t>
                  </w:r>
                </w:p>
              </w:tc>
              <w:tc>
                <w:tcPr>
                  <w:tcW w:w="1249" w:type="pct"/>
                  <w:vAlign w:val="center"/>
                </w:tcPr>
                <w:p w14:paraId="2D5191D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15906861025</w:t>
                  </w:r>
                </w:p>
              </w:tc>
            </w:tr>
            <w:tr w14:paraId="3B81B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0EC87E2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宁波银行台州分行</w:t>
                  </w:r>
                </w:p>
              </w:tc>
              <w:tc>
                <w:tcPr>
                  <w:tcW w:w="974" w:type="pct"/>
                  <w:vAlign w:val="center"/>
                </w:tcPr>
                <w:p w14:paraId="5BF41BA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4.35%起</w:t>
                  </w:r>
                </w:p>
              </w:tc>
              <w:tc>
                <w:tcPr>
                  <w:tcW w:w="991" w:type="pct"/>
                  <w:vAlign w:val="center"/>
                </w:tcPr>
                <w:p w14:paraId="06E04623">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戴莉丽</w:t>
                  </w:r>
                </w:p>
              </w:tc>
              <w:tc>
                <w:tcPr>
                  <w:tcW w:w="1249" w:type="pct"/>
                  <w:vAlign w:val="center"/>
                </w:tcPr>
                <w:p w14:paraId="3234CD0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13566627207</w:t>
                  </w:r>
                </w:p>
              </w:tc>
            </w:tr>
            <w:tr w14:paraId="1B25A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6F415DD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金华银行台州分行</w:t>
                  </w:r>
                </w:p>
              </w:tc>
              <w:tc>
                <w:tcPr>
                  <w:tcW w:w="974" w:type="pct"/>
                  <w:vAlign w:val="center"/>
                </w:tcPr>
                <w:p w14:paraId="15F51C1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4.05%起</w:t>
                  </w:r>
                </w:p>
              </w:tc>
              <w:tc>
                <w:tcPr>
                  <w:tcW w:w="991" w:type="pct"/>
                  <w:vAlign w:val="center"/>
                </w:tcPr>
                <w:p w14:paraId="1FF63ED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金雪婷</w:t>
                  </w:r>
                </w:p>
              </w:tc>
              <w:tc>
                <w:tcPr>
                  <w:tcW w:w="1249" w:type="pct"/>
                  <w:vAlign w:val="center"/>
                </w:tcPr>
                <w:p w14:paraId="293E4C1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81886670</w:t>
                  </w:r>
                </w:p>
                <w:p w14:paraId="387899C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15968661569</w:t>
                  </w:r>
                </w:p>
              </w:tc>
            </w:tr>
            <w:tr w14:paraId="2396E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1786" w:type="pct"/>
                  <w:vAlign w:val="center"/>
                </w:tcPr>
                <w:p w14:paraId="0A43D1F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台州银行</w:t>
                  </w:r>
                </w:p>
              </w:tc>
              <w:tc>
                <w:tcPr>
                  <w:tcW w:w="974" w:type="pct"/>
                  <w:vAlign w:val="center"/>
                </w:tcPr>
                <w:p w14:paraId="250696B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5.6%起</w:t>
                  </w:r>
                </w:p>
              </w:tc>
              <w:tc>
                <w:tcPr>
                  <w:tcW w:w="991" w:type="pct"/>
                  <w:vAlign w:val="center"/>
                </w:tcPr>
                <w:p w14:paraId="045840C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洪婷</w:t>
                  </w:r>
                </w:p>
              </w:tc>
              <w:tc>
                <w:tcPr>
                  <w:tcW w:w="1249" w:type="pct"/>
                  <w:vAlign w:val="center"/>
                </w:tcPr>
                <w:p w14:paraId="60D951D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15858624999</w:t>
                  </w:r>
                </w:p>
              </w:tc>
            </w:tr>
          </w:tbl>
          <w:p w14:paraId="4F9915BE">
            <w:pPr>
              <w:adjustRightInd w:val="0"/>
              <w:snapToGrid w:val="0"/>
              <w:spacing w:line="480" w:lineRule="exact"/>
              <w:jc w:val="left"/>
              <w:rPr>
                <w:rFonts w:ascii="宋体" w:hAnsi="宋体"/>
                <w:b/>
                <w:color w:val="auto"/>
                <w:sz w:val="24"/>
                <w:highlight w:val="none"/>
              </w:rPr>
            </w:pPr>
          </w:p>
        </w:tc>
      </w:tr>
      <w:tr w14:paraId="2239D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7" w:hRule="atLeast"/>
        </w:trPr>
        <w:tc>
          <w:tcPr>
            <w:tcW w:w="957" w:type="dxa"/>
            <w:tcBorders>
              <w:top w:val="single" w:color="auto" w:sz="4" w:space="0"/>
              <w:left w:val="single" w:color="auto" w:sz="4" w:space="0"/>
              <w:bottom w:val="single" w:color="auto" w:sz="4" w:space="0"/>
              <w:right w:val="single" w:color="auto" w:sz="4" w:space="0"/>
            </w:tcBorders>
            <w:vAlign w:val="center"/>
          </w:tcPr>
          <w:p w14:paraId="2B665821">
            <w:pPr>
              <w:jc w:val="center"/>
              <w:rPr>
                <w:rFonts w:ascii="宋体" w:hAnsi="宋体" w:cs="宋体"/>
                <w:color w:val="auto"/>
                <w:szCs w:val="21"/>
                <w:highlight w:val="none"/>
              </w:rPr>
            </w:pPr>
            <w:r>
              <w:rPr>
                <w:rFonts w:hint="eastAsia" w:ascii="宋体" w:hAnsi="宋体" w:cs="宋体"/>
                <w:color w:val="auto"/>
                <w:szCs w:val="21"/>
                <w:highlight w:val="none"/>
              </w:rPr>
              <w:t>21</w:t>
            </w:r>
          </w:p>
        </w:tc>
        <w:tc>
          <w:tcPr>
            <w:tcW w:w="1760" w:type="dxa"/>
            <w:tcBorders>
              <w:top w:val="single" w:color="auto" w:sz="4" w:space="0"/>
              <w:left w:val="single" w:color="auto" w:sz="4" w:space="0"/>
              <w:bottom w:val="single" w:color="auto" w:sz="4" w:space="0"/>
              <w:right w:val="single" w:color="auto" w:sz="4" w:space="0"/>
            </w:tcBorders>
            <w:vAlign w:val="center"/>
          </w:tcPr>
          <w:p w14:paraId="038A9617">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合同履约保函联系方式</w:t>
            </w:r>
          </w:p>
        </w:tc>
        <w:tc>
          <w:tcPr>
            <w:tcW w:w="6501" w:type="dxa"/>
            <w:tcBorders>
              <w:top w:val="single" w:color="auto" w:sz="4" w:space="0"/>
              <w:left w:val="single" w:color="auto" w:sz="4" w:space="0"/>
              <w:bottom w:val="single" w:color="auto" w:sz="4" w:space="0"/>
              <w:right w:val="single" w:color="auto" w:sz="4" w:space="0"/>
            </w:tcBorders>
            <w:vAlign w:val="center"/>
          </w:tcPr>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43"/>
              <w:gridCol w:w="1643"/>
              <w:gridCol w:w="817"/>
              <w:gridCol w:w="1372"/>
            </w:tblGrid>
            <w:tr w14:paraId="43006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2584" w:type="dxa"/>
                  <w:vAlign w:val="center"/>
                </w:tcPr>
                <w:p w14:paraId="17D457AF">
                  <w:pPr>
                    <w:adjustRightInd w:val="0"/>
                    <w:snapToGrid w:val="0"/>
                    <w:rPr>
                      <w:rFonts w:ascii="Arial" w:hAnsi="Arial"/>
                      <w:color w:val="auto"/>
                      <w:sz w:val="18"/>
                      <w:szCs w:val="18"/>
                      <w:highlight w:val="none"/>
                    </w:rPr>
                  </w:pPr>
                  <w:r>
                    <w:rPr>
                      <w:rFonts w:hint="eastAsia" w:ascii="Arial" w:hAnsi="Arial"/>
                      <w:color w:val="auto"/>
                      <w:sz w:val="18"/>
                      <w:szCs w:val="18"/>
                      <w:highlight w:val="none"/>
                    </w:rPr>
                    <w:t>保险公司名称</w:t>
                  </w:r>
                </w:p>
              </w:tc>
              <w:tc>
                <w:tcPr>
                  <w:tcW w:w="1701" w:type="dxa"/>
                  <w:vAlign w:val="center"/>
                </w:tcPr>
                <w:p w14:paraId="1E4188A4">
                  <w:pPr>
                    <w:adjustRightInd w:val="0"/>
                    <w:snapToGrid w:val="0"/>
                    <w:rPr>
                      <w:rFonts w:ascii="Arial" w:hAnsi="Arial"/>
                      <w:color w:val="auto"/>
                      <w:sz w:val="18"/>
                      <w:szCs w:val="18"/>
                      <w:highlight w:val="none"/>
                    </w:rPr>
                  </w:pPr>
                  <w:r>
                    <w:rPr>
                      <w:rFonts w:hint="eastAsia" w:ascii="Arial" w:hAnsi="Arial"/>
                      <w:color w:val="auto"/>
                      <w:sz w:val="18"/>
                      <w:szCs w:val="18"/>
                      <w:highlight w:val="none"/>
                    </w:rPr>
                    <w:t>保费率</w:t>
                  </w:r>
                </w:p>
              </w:tc>
              <w:tc>
                <w:tcPr>
                  <w:tcW w:w="846" w:type="dxa"/>
                  <w:vAlign w:val="center"/>
                </w:tcPr>
                <w:p w14:paraId="7DEAD0E8">
                  <w:pPr>
                    <w:adjustRightInd w:val="0"/>
                    <w:snapToGrid w:val="0"/>
                    <w:rPr>
                      <w:rFonts w:ascii="Arial" w:hAnsi="Arial"/>
                      <w:color w:val="auto"/>
                      <w:sz w:val="18"/>
                      <w:szCs w:val="18"/>
                      <w:highlight w:val="none"/>
                    </w:rPr>
                  </w:pPr>
                  <w:r>
                    <w:rPr>
                      <w:rFonts w:hint="eastAsia" w:ascii="Arial" w:hAnsi="Arial"/>
                      <w:color w:val="auto"/>
                      <w:sz w:val="18"/>
                      <w:szCs w:val="18"/>
                      <w:highlight w:val="none"/>
                    </w:rPr>
                    <w:t>联系人</w:t>
                  </w:r>
                </w:p>
              </w:tc>
              <w:tc>
                <w:tcPr>
                  <w:tcW w:w="1376" w:type="dxa"/>
                  <w:vAlign w:val="center"/>
                </w:tcPr>
                <w:p w14:paraId="7AB03490">
                  <w:pPr>
                    <w:adjustRightInd w:val="0"/>
                    <w:snapToGrid w:val="0"/>
                    <w:rPr>
                      <w:rFonts w:ascii="Arial" w:hAnsi="Arial"/>
                      <w:color w:val="auto"/>
                      <w:sz w:val="18"/>
                      <w:szCs w:val="18"/>
                      <w:highlight w:val="none"/>
                    </w:rPr>
                  </w:pPr>
                  <w:r>
                    <w:rPr>
                      <w:rFonts w:hint="eastAsia" w:ascii="Arial" w:hAnsi="Arial"/>
                      <w:color w:val="auto"/>
                      <w:sz w:val="18"/>
                      <w:szCs w:val="18"/>
                      <w:highlight w:val="none"/>
                    </w:rPr>
                    <w:t>联系电话</w:t>
                  </w:r>
                </w:p>
              </w:tc>
            </w:tr>
            <w:tr w14:paraId="038E6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198541BE">
                  <w:pPr>
                    <w:adjustRightInd w:val="0"/>
                    <w:snapToGrid w:val="0"/>
                    <w:rPr>
                      <w:rFonts w:ascii="Arial" w:hAnsi="Arial"/>
                      <w:color w:val="auto"/>
                      <w:sz w:val="18"/>
                      <w:szCs w:val="18"/>
                      <w:highlight w:val="none"/>
                    </w:rPr>
                  </w:pPr>
                  <w:r>
                    <w:rPr>
                      <w:rFonts w:hint="eastAsia" w:ascii="Arial" w:hAnsi="Arial"/>
                      <w:color w:val="auto"/>
                      <w:sz w:val="18"/>
                      <w:szCs w:val="18"/>
                      <w:highlight w:val="none"/>
                    </w:rPr>
                    <w:t>中国人寿财产保险股份有限公司台州中心支公司</w:t>
                  </w:r>
                </w:p>
              </w:tc>
              <w:tc>
                <w:tcPr>
                  <w:tcW w:w="1701" w:type="dxa"/>
                </w:tcPr>
                <w:p w14:paraId="583F0666">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年费率1%，最低保费500元</w:t>
                  </w:r>
                </w:p>
              </w:tc>
              <w:tc>
                <w:tcPr>
                  <w:tcW w:w="846" w:type="dxa"/>
                </w:tcPr>
                <w:p w14:paraId="170C6D8E">
                  <w:pPr>
                    <w:adjustRightInd w:val="0"/>
                    <w:snapToGrid w:val="0"/>
                    <w:rPr>
                      <w:rFonts w:ascii="Arial" w:hAnsi="Arial"/>
                      <w:color w:val="auto"/>
                      <w:sz w:val="18"/>
                      <w:szCs w:val="18"/>
                      <w:highlight w:val="none"/>
                    </w:rPr>
                  </w:pPr>
                  <w:r>
                    <w:rPr>
                      <w:rFonts w:hint="eastAsia" w:ascii="Arial" w:hAnsi="Arial"/>
                      <w:color w:val="auto"/>
                      <w:sz w:val="18"/>
                      <w:szCs w:val="18"/>
                      <w:highlight w:val="none"/>
                    </w:rPr>
                    <w:t>徐凌</w:t>
                  </w:r>
                </w:p>
              </w:tc>
              <w:tc>
                <w:tcPr>
                  <w:tcW w:w="1376" w:type="dxa"/>
                </w:tcPr>
                <w:p w14:paraId="63C4877D">
                  <w:pPr>
                    <w:adjustRightInd w:val="0"/>
                    <w:snapToGrid w:val="0"/>
                    <w:rPr>
                      <w:rFonts w:ascii="Arial" w:hAnsi="Arial"/>
                      <w:color w:val="auto"/>
                      <w:sz w:val="18"/>
                      <w:szCs w:val="18"/>
                      <w:highlight w:val="none"/>
                    </w:rPr>
                  </w:pPr>
                  <w:r>
                    <w:rPr>
                      <w:rFonts w:ascii="Arial" w:hAnsi="Arial"/>
                      <w:color w:val="auto"/>
                      <w:sz w:val="18"/>
                      <w:szCs w:val="18"/>
                      <w:highlight w:val="none"/>
                    </w:rPr>
                    <w:t>13905168070</w:t>
                  </w:r>
                </w:p>
              </w:tc>
            </w:tr>
            <w:tr w14:paraId="130DB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2C2B400C">
                  <w:pPr>
                    <w:adjustRightInd w:val="0"/>
                    <w:snapToGrid w:val="0"/>
                    <w:rPr>
                      <w:rFonts w:ascii="Arial" w:hAnsi="Arial"/>
                      <w:color w:val="auto"/>
                      <w:sz w:val="18"/>
                      <w:szCs w:val="18"/>
                      <w:highlight w:val="none"/>
                    </w:rPr>
                  </w:pPr>
                  <w:r>
                    <w:rPr>
                      <w:rFonts w:hint="eastAsia" w:ascii="Arial" w:hAnsi="Arial"/>
                      <w:color w:val="auto"/>
                      <w:sz w:val="18"/>
                      <w:szCs w:val="18"/>
                      <w:highlight w:val="none"/>
                    </w:rPr>
                    <w:t>永诚财产保险股份有限公司台州分公司</w:t>
                  </w:r>
                </w:p>
              </w:tc>
              <w:tc>
                <w:tcPr>
                  <w:tcW w:w="1701" w:type="dxa"/>
                </w:tcPr>
                <w:p w14:paraId="23E2E751">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年费率1%，最低保费1000元</w:t>
                  </w:r>
                </w:p>
              </w:tc>
              <w:tc>
                <w:tcPr>
                  <w:tcW w:w="846" w:type="dxa"/>
                </w:tcPr>
                <w:p w14:paraId="55FDC654">
                  <w:pPr>
                    <w:adjustRightInd w:val="0"/>
                    <w:snapToGrid w:val="0"/>
                    <w:rPr>
                      <w:rFonts w:ascii="Arial" w:hAnsi="Arial"/>
                      <w:color w:val="auto"/>
                      <w:sz w:val="18"/>
                      <w:szCs w:val="18"/>
                      <w:highlight w:val="none"/>
                    </w:rPr>
                  </w:pPr>
                  <w:r>
                    <w:rPr>
                      <w:rFonts w:hint="eastAsia" w:ascii="Arial" w:hAnsi="Arial"/>
                      <w:color w:val="auto"/>
                      <w:sz w:val="18"/>
                      <w:szCs w:val="18"/>
                      <w:highlight w:val="none"/>
                    </w:rPr>
                    <w:t>尹刚强</w:t>
                  </w:r>
                </w:p>
              </w:tc>
              <w:tc>
                <w:tcPr>
                  <w:tcW w:w="1376" w:type="dxa"/>
                </w:tcPr>
                <w:p w14:paraId="39AF5A9E">
                  <w:pPr>
                    <w:adjustRightInd w:val="0"/>
                    <w:snapToGrid w:val="0"/>
                    <w:rPr>
                      <w:rFonts w:ascii="Arial" w:hAnsi="Arial"/>
                      <w:color w:val="auto"/>
                      <w:sz w:val="18"/>
                      <w:szCs w:val="18"/>
                      <w:highlight w:val="none"/>
                    </w:rPr>
                  </w:pPr>
                  <w:r>
                    <w:rPr>
                      <w:rFonts w:ascii="Arial" w:hAnsi="Arial"/>
                      <w:color w:val="auto"/>
                      <w:sz w:val="18"/>
                      <w:szCs w:val="18"/>
                      <w:highlight w:val="none"/>
                    </w:rPr>
                    <w:t>13750668184</w:t>
                  </w:r>
                </w:p>
              </w:tc>
            </w:tr>
            <w:tr w14:paraId="5D55C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7EF1168A">
                  <w:pPr>
                    <w:adjustRightInd w:val="0"/>
                    <w:snapToGrid w:val="0"/>
                    <w:rPr>
                      <w:rFonts w:ascii="Arial" w:hAnsi="Arial"/>
                      <w:color w:val="auto"/>
                      <w:sz w:val="18"/>
                      <w:szCs w:val="18"/>
                      <w:highlight w:val="none"/>
                    </w:rPr>
                  </w:pPr>
                  <w:r>
                    <w:rPr>
                      <w:rFonts w:hint="eastAsia" w:ascii="Arial" w:hAnsi="Arial"/>
                      <w:color w:val="auto"/>
                      <w:sz w:val="18"/>
                      <w:szCs w:val="18"/>
                      <w:highlight w:val="none"/>
                    </w:rPr>
                    <w:t>华泰财产保险有限公司台州中心支公司</w:t>
                  </w:r>
                </w:p>
              </w:tc>
              <w:tc>
                <w:tcPr>
                  <w:tcW w:w="1701" w:type="dxa"/>
                </w:tcPr>
                <w:p w14:paraId="192A9BCC">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年费率0.5%，最低保费1000元</w:t>
                  </w:r>
                </w:p>
              </w:tc>
              <w:tc>
                <w:tcPr>
                  <w:tcW w:w="846" w:type="dxa"/>
                </w:tcPr>
                <w:p w14:paraId="33748096">
                  <w:pPr>
                    <w:adjustRightInd w:val="0"/>
                    <w:snapToGrid w:val="0"/>
                    <w:rPr>
                      <w:rFonts w:ascii="Arial" w:hAnsi="Arial"/>
                      <w:color w:val="auto"/>
                      <w:sz w:val="18"/>
                      <w:szCs w:val="18"/>
                      <w:highlight w:val="none"/>
                    </w:rPr>
                  </w:pPr>
                  <w:r>
                    <w:rPr>
                      <w:rFonts w:hint="eastAsia" w:ascii="Arial" w:hAnsi="Arial"/>
                      <w:color w:val="auto"/>
                      <w:sz w:val="18"/>
                      <w:szCs w:val="18"/>
                      <w:highlight w:val="none"/>
                    </w:rPr>
                    <w:t>王灵芳</w:t>
                  </w:r>
                </w:p>
              </w:tc>
              <w:tc>
                <w:tcPr>
                  <w:tcW w:w="1376" w:type="dxa"/>
                </w:tcPr>
                <w:p w14:paraId="26E530A3">
                  <w:pPr>
                    <w:adjustRightInd w:val="0"/>
                    <w:snapToGrid w:val="0"/>
                    <w:rPr>
                      <w:rFonts w:ascii="Arial" w:hAnsi="Arial"/>
                      <w:color w:val="auto"/>
                      <w:sz w:val="18"/>
                      <w:szCs w:val="18"/>
                      <w:highlight w:val="none"/>
                    </w:rPr>
                  </w:pPr>
                  <w:r>
                    <w:rPr>
                      <w:rFonts w:ascii="Arial" w:hAnsi="Arial"/>
                      <w:color w:val="auto"/>
                      <w:sz w:val="18"/>
                      <w:szCs w:val="18"/>
                      <w:highlight w:val="none"/>
                    </w:rPr>
                    <w:t>88869818 13586123199</w:t>
                  </w:r>
                </w:p>
              </w:tc>
            </w:tr>
            <w:tr w14:paraId="7F9AC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584" w:type="dxa"/>
                </w:tcPr>
                <w:p w14:paraId="4F357061">
                  <w:pPr>
                    <w:adjustRightInd w:val="0"/>
                    <w:snapToGrid w:val="0"/>
                    <w:rPr>
                      <w:rFonts w:ascii="Arial" w:hAnsi="Arial"/>
                      <w:color w:val="auto"/>
                      <w:sz w:val="18"/>
                      <w:szCs w:val="18"/>
                      <w:highlight w:val="none"/>
                    </w:rPr>
                  </w:pPr>
                  <w:r>
                    <w:rPr>
                      <w:rFonts w:hint="eastAsia" w:ascii="Arial" w:hAnsi="Arial"/>
                      <w:color w:val="auto"/>
                      <w:sz w:val="18"/>
                      <w:szCs w:val="18"/>
                      <w:highlight w:val="none"/>
                    </w:rPr>
                    <w:t>中国大地财产保险股份有限公司台州中心支公司</w:t>
                  </w:r>
                </w:p>
              </w:tc>
              <w:tc>
                <w:tcPr>
                  <w:tcW w:w="1701" w:type="dxa"/>
                </w:tcPr>
                <w:p w14:paraId="4B8948CA">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年费率1.5%，最低保费1000元</w:t>
                  </w:r>
                </w:p>
              </w:tc>
              <w:tc>
                <w:tcPr>
                  <w:tcW w:w="846" w:type="dxa"/>
                </w:tcPr>
                <w:p w14:paraId="02C72C75">
                  <w:pPr>
                    <w:adjustRightInd w:val="0"/>
                    <w:snapToGrid w:val="0"/>
                    <w:rPr>
                      <w:rFonts w:ascii="Arial" w:hAnsi="Arial"/>
                      <w:color w:val="auto"/>
                      <w:sz w:val="18"/>
                      <w:szCs w:val="18"/>
                      <w:highlight w:val="none"/>
                    </w:rPr>
                  </w:pPr>
                  <w:r>
                    <w:rPr>
                      <w:rFonts w:hint="eastAsia" w:ascii="Arial" w:hAnsi="Arial"/>
                      <w:color w:val="auto"/>
                      <w:sz w:val="18"/>
                      <w:szCs w:val="18"/>
                      <w:highlight w:val="none"/>
                    </w:rPr>
                    <w:t>徐小明</w:t>
                  </w:r>
                </w:p>
              </w:tc>
              <w:tc>
                <w:tcPr>
                  <w:tcW w:w="1376" w:type="dxa"/>
                </w:tcPr>
                <w:p w14:paraId="7E716EDE">
                  <w:pPr>
                    <w:adjustRightInd w:val="0"/>
                    <w:snapToGrid w:val="0"/>
                    <w:rPr>
                      <w:rFonts w:ascii="Arial" w:hAnsi="Arial"/>
                      <w:color w:val="auto"/>
                      <w:sz w:val="18"/>
                      <w:szCs w:val="18"/>
                      <w:highlight w:val="none"/>
                    </w:rPr>
                  </w:pPr>
                  <w:r>
                    <w:rPr>
                      <w:rFonts w:ascii="Arial" w:hAnsi="Arial"/>
                      <w:color w:val="auto"/>
                      <w:sz w:val="18"/>
                      <w:szCs w:val="18"/>
                      <w:highlight w:val="none"/>
                    </w:rPr>
                    <w:t>88552788      13968603112</w:t>
                  </w:r>
                </w:p>
              </w:tc>
            </w:tr>
            <w:tr w14:paraId="1FC5D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006C42C5">
                  <w:pPr>
                    <w:adjustRightInd w:val="0"/>
                    <w:snapToGrid w:val="0"/>
                    <w:rPr>
                      <w:rFonts w:ascii="Arial" w:hAnsi="Arial"/>
                      <w:color w:val="auto"/>
                      <w:sz w:val="18"/>
                      <w:szCs w:val="18"/>
                      <w:highlight w:val="none"/>
                    </w:rPr>
                  </w:pPr>
                  <w:r>
                    <w:rPr>
                      <w:rFonts w:hint="eastAsia" w:ascii="Arial" w:hAnsi="Arial"/>
                      <w:color w:val="auto"/>
                      <w:sz w:val="18"/>
                      <w:szCs w:val="18"/>
                      <w:highlight w:val="none"/>
                    </w:rPr>
                    <w:t>阳光保险台州中心支公司</w:t>
                  </w:r>
                </w:p>
              </w:tc>
              <w:tc>
                <w:tcPr>
                  <w:tcW w:w="1701" w:type="dxa"/>
                </w:tcPr>
                <w:p w14:paraId="683B7E20">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年费率1%，最低保费500元</w:t>
                  </w:r>
                </w:p>
              </w:tc>
              <w:tc>
                <w:tcPr>
                  <w:tcW w:w="846" w:type="dxa"/>
                </w:tcPr>
                <w:p w14:paraId="3A312FD5">
                  <w:pPr>
                    <w:adjustRightInd w:val="0"/>
                    <w:snapToGrid w:val="0"/>
                    <w:rPr>
                      <w:rFonts w:ascii="Arial" w:hAnsi="Arial"/>
                      <w:color w:val="auto"/>
                      <w:sz w:val="18"/>
                      <w:szCs w:val="18"/>
                      <w:highlight w:val="none"/>
                    </w:rPr>
                  </w:pPr>
                  <w:r>
                    <w:rPr>
                      <w:rFonts w:hint="eastAsia" w:ascii="Arial" w:hAnsi="Arial"/>
                      <w:color w:val="auto"/>
                      <w:sz w:val="18"/>
                      <w:szCs w:val="18"/>
                      <w:highlight w:val="none"/>
                    </w:rPr>
                    <w:t>林高明</w:t>
                  </w:r>
                </w:p>
              </w:tc>
              <w:tc>
                <w:tcPr>
                  <w:tcW w:w="1376" w:type="dxa"/>
                </w:tcPr>
                <w:p w14:paraId="11FA9550">
                  <w:pPr>
                    <w:adjustRightInd w:val="0"/>
                    <w:snapToGrid w:val="0"/>
                    <w:rPr>
                      <w:rFonts w:ascii="Arial" w:hAnsi="Arial"/>
                      <w:color w:val="auto"/>
                      <w:sz w:val="18"/>
                      <w:szCs w:val="18"/>
                      <w:highlight w:val="none"/>
                    </w:rPr>
                  </w:pPr>
                  <w:r>
                    <w:rPr>
                      <w:rFonts w:ascii="Arial" w:hAnsi="Arial"/>
                      <w:color w:val="auto"/>
                      <w:sz w:val="18"/>
                      <w:szCs w:val="18"/>
                      <w:highlight w:val="none"/>
                    </w:rPr>
                    <w:t>15888682693</w:t>
                  </w:r>
                </w:p>
              </w:tc>
            </w:tr>
            <w:tr w14:paraId="1775B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0F4EE708">
                  <w:pPr>
                    <w:adjustRightInd w:val="0"/>
                    <w:snapToGrid w:val="0"/>
                    <w:rPr>
                      <w:rFonts w:ascii="Arial" w:hAnsi="Arial"/>
                      <w:color w:val="auto"/>
                      <w:sz w:val="18"/>
                      <w:szCs w:val="18"/>
                      <w:highlight w:val="none"/>
                    </w:rPr>
                  </w:pPr>
                  <w:r>
                    <w:rPr>
                      <w:rFonts w:hint="eastAsia" w:ascii="Arial" w:hAnsi="Arial"/>
                      <w:color w:val="auto"/>
                      <w:sz w:val="18"/>
                      <w:szCs w:val="18"/>
                      <w:highlight w:val="none"/>
                    </w:rPr>
                    <w:t>中华联合财产保险股份有限公司台州中心支公司</w:t>
                  </w:r>
                </w:p>
              </w:tc>
              <w:tc>
                <w:tcPr>
                  <w:tcW w:w="1701" w:type="dxa"/>
                </w:tcPr>
                <w:p w14:paraId="2CB3A2FC">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年费率2%，最低保费500元</w:t>
                  </w:r>
                </w:p>
              </w:tc>
              <w:tc>
                <w:tcPr>
                  <w:tcW w:w="846" w:type="dxa"/>
                </w:tcPr>
                <w:p w14:paraId="74FF4505">
                  <w:pPr>
                    <w:adjustRightInd w:val="0"/>
                    <w:snapToGrid w:val="0"/>
                    <w:rPr>
                      <w:rFonts w:ascii="Arial" w:hAnsi="Arial"/>
                      <w:color w:val="auto"/>
                      <w:sz w:val="18"/>
                      <w:szCs w:val="18"/>
                      <w:highlight w:val="none"/>
                    </w:rPr>
                  </w:pPr>
                  <w:r>
                    <w:rPr>
                      <w:rFonts w:hint="eastAsia" w:ascii="Arial" w:hAnsi="Arial"/>
                      <w:color w:val="auto"/>
                      <w:sz w:val="18"/>
                      <w:szCs w:val="18"/>
                      <w:highlight w:val="none"/>
                    </w:rPr>
                    <w:t>王仙高</w:t>
                  </w:r>
                </w:p>
              </w:tc>
              <w:tc>
                <w:tcPr>
                  <w:tcW w:w="1376" w:type="dxa"/>
                </w:tcPr>
                <w:p w14:paraId="6F5C0379">
                  <w:pPr>
                    <w:adjustRightInd w:val="0"/>
                    <w:snapToGrid w:val="0"/>
                    <w:rPr>
                      <w:rFonts w:ascii="Arial" w:hAnsi="Arial"/>
                      <w:color w:val="auto"/>
                      <w:sz w:val="18"/>
                      <w:szCs w:val="18"/>
                      <w:highlight w:val="none"/>
                    </w:rPr>
                  </w:pPr>
                  <w:r>
                    <w:rPr>
                      <w:rFonts w:ascii="Arial" w:hAnsi="Arial"/>
                      <w:color w:val="auto"/>
                      <w:sz w:val="18"/>
                      <w:szCs w:val="18"/>
                      <w:highlight w:val="none"/>
                    </w:rPr>
                    <w:t>13858600221</w:t>
                  </w:r>
                </w:p>
              </w:tc>
            </w:tr>
            <w:tr w14:paraId="14A4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679755DB">
                  <w:pPr>
                    <w:adjustRightInd w:val="0"/>
                    <w:snapToGrid w:val="0"/>
                    <w:rPr>
                      <w:rFonts w:ascii="Arial" w:hAnsi="Arial"/>
                      <w:color w:val="auto"/>
                      <w:sz w:val="18"/>
                      <w:szCs w:val="18"/>
                      <w:highlight w:val="none"/>
                    </w:rPr>
                  </w:pPr>
                  <w:r>
                    <w:rPr>
                      <w:rFonts w:hint="eastAsia" w:ascii="Arial" w:hAnsi="Arial"/>
                      <w:color w:val="auto"/>
                      <w:sz w:val="18"/>
                      <w:szCs w:val="18"/>
                      <w:highlight w:val="none"/>
                    </w:rPr>
                    <w:t>中国人民财产保险股份有限公司台州中心支公司</w:t>
                  </w:r>
                </w:p>
              </w:tc>
              <w:tc>
                <w:tcPr>
                  <w:tcW w:w="1701" w:type="dxa"/>
                </w:tcPr>
                <w:p w14:paraId="1A152B9A">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年费率0.3%，最低保费1000元</w:t>
                  </w:r>
                </w:p>
              </w:tc>
              <w:tc>
                <w:tcPr>
                  <w:tcW w:w="846" w:type="dxa"/>
                </w:tcPr>
                <w:p w14:paraId="282C707A">
                  <w:pPr>
                    <w:adjustRightInd w:val="0"/>
                    <w:snapToGrid w:val="0"/>
                    <w:rPr>
                      <w:rFonts w:ascii="Arial" w:hAnsi="Arial"/>
                      <w:color w:val="auto"/>
                      <w:sz w:val="18"/>
                      <w:szCs w:val="18"/>
                      <w:highlight w:val="none"/>
                    </w:rPr>
                  </w:pPr>
                  <w:r>
                    <w:rPr>
                      <w:rFonts w:hint="eastAsia" w:ascii="Arial" w:hAnsi="Arial"/>
                      <w:color w:val="auto"/>
                      <w:sz w:val="18"/>
                      <w:szCs w:val="18"/>
                      <w:highlight w:val="none"/>
                    </w:rPr>
                    <w:t>王仙春</w:t>
                  </w:r>
                </w:p>
              </w:tc>
              <w:tc>
                <w:tcPr>
                  <w:tcW w:w="1376" w:type="dxa"/>
                </w:tcPr>
                <w:p w14:paraId="745B3E6F">
                  <w:pPr>
                    <w:adjustRightInd w:val="0"/>
                    <w:snapToGrid w:val="0"/>
                    <w:rPr>
                      <w:rFonts w:ascii="Arial" w:hAnsi="Arial"/>
                      <w:color w:val="auto"/>
                      <w:sz w:val="18"/>
                      <w:szCs w:val="18"/>
                      <w:highlight w:val="none"/>
                    </w:rPr>
                  </w:pPr>
                  <w:r>
                    <w:rPr>
                      <w:rFonts w:ascii="Arial" w:hAnsi="Arial"/>
                      <w:color w:val="auto"/>
                      <w:sz w:val="18"/>
                      <w:szCs w:val="18"/>
                      <w:highlight w:val="none"/>
                    </w:rPr>
                    <w:t>13515769179</w:t>
                  </w:r>
                </w:p>
              </w:tc>
            </w:tr>
            <w:tr w14:paraId="36728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303977B9">
                  <w:pPr>
                    <w:adjustRightInd w:val="0"/>
                    <w:snapToGrid w:val="0"/>
                    <w:rPr>
                      <w:rFonts w:ascii="Arial" w:hAnsi="Arial"/>
                      <w:color w:val="auto"/>
                      <w:sz w:val="18"/>
                      <w:szCs w:val="18"/>
                      <w:highlight w:val="none"/>
                    </w:rPr>
                  </w:pPr>
                  <w:r>
                    <w:rPr>
                      <w:rFonts w:hint="eastAsia" w:ascii="Arial" w:hAnsi="Arial"/>
                      <w:color w:val="auto"/>
                      <w:sz w:val="18"/>
                      <w:szCs w:val="18"/>
                      <w:highlight w:val="none"/>
                    </w:rPr>
                    <w:t>永安财产保险股份有限公司台州中心支公司</w:t>
                  </w:r>
                </w:p>
              </w:tc>
              <w:tc>
                <w:tcPr>
                  <w:tcW w:w="1701" w:type="dxa"/>
                </w:tcPr>
                <w:p w14:paraId="710B975F">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年费率0.3%，最低保费1000</w:t>
                  </w:r>
                </w:p>
              </w:tc>
              <w:tc>
                <w:tcPr>
                  <w:tcW w:w="846" w:type="dxa"/>
                </w:tcPr>
                <w:p w14:paraId="271BD112">
                  <w:pPr>
                    <w:adjustRightInd w:val="0"/>
                    <w:snapToGrid w:val="0"/>
                    <w:rPr>
                      <w:rFonts w:ascii="Arial" w:hAnsi="Arial"/>
                      <w:color w:val="auto"/>
                      <w:sz w:val="18"/>
                      <w:szCs w:val="18"/>
                      <w:highlight w:val="none"/>
                    </w:rPr>
                  </w:pPr>
                  <w:r>
                    <w:rPr>
                      <w:rFonts w:hint="eastAsia" w:ascii="Arial" w:hAnsi="Arial"/>
                      <w:color w:val="auto"/>
                      <w:sz w:val="18"/>
                      <w:szCs w:val="18"/>
                      <w:highlight w:val="none"/>
                    </w:rPr>
                    <w:t>王春宇</w:t>
                  </w:r>
                </w:p>
              </w:tc>
              <w:tc>
                <w:tcPr>
                  <w:tcW w:w="1376" w:type="dxa"/>
                </w:tcPr>
                <w:p w14:paraId="522F58BC">
                  <w:pPr>
                    <w:adjustRightInd w:val="0"/>
                    <w:snapToGrid w:val="0"/>
                    <w:rPr>
                      <w:rFonts w:ascii="Arial" w:hAnsi="Arial"/>
                      <w:color w:val="auto"/>
                      <w:sz w:val="18"/>
                      <w:szCs w:val="18"/>
                      <w:highlight w:val="none"/>
                    </w:rPr>
                  </w:pPr>
                  <w:r>
                    <w:rPr>
                      <w:rFonts w:ascii="Arial" w:hAnsi="Arial"/>
                      <w:color w:val="auto"/>
                      <w:sz w:val="18"/>
                      <w:szCs w:val="18"/>
                      <w:highlight w:val="none"/>
                    </w:rPr>
                    <w:t>13676675331</w:t>
                  </w:r>
                </w:p>
              </w:tc>
            </w:tr>
          </w:tbl>
          <w:p w14:paraId="3BD60D39">
            <w:pPr>
              <w:adjustRightInd w:val="0"/>
              <w:snapToGrid w:val="0"/>
              <w:jc w:val="center"/>
              <w:rPr>
                <w:color w:val="auto"/>
                <w:sz w:val="18"/>
                <w:szCs w:val="18"/>
                <w:highlight w:val="none"/>
              </w:rPr>
            </w:pPr>
          </w:p>
        </w:tc>
      </w:tr>
      <w:tr w14:paraId="77F4A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0BB8F03D">
            <w:pPr>
              <w:jc w:val="center"/>
              <w:rPr>
                <w:rFonts w:ascii="宋体" w:hAnsi="宋体" w:cs="宋体"/>
                <w:color w:val="auto"/>
                <w:szCs w:val="21"/>
                <w:highlight w:val="none"/>
              </w:rPr>
            </w:pPr>
            <w:r>
              <w:rPr>
                <w:rFonts w:hint="eastAsia" w:ascii="宋体" w:hAnsi="宋体" w:cs="宋体"/>
                <w:color w:val="auto"/>
                <w:szCs w:val="21"/>
                <w:highlight w:val="none"/>
              </w:rPr>
              <w:t>22</w:t>
            </w:r>
          </w:p>
        </w:tc>
        <w:tc>
          <w:tcPr>
            <w:tcW w:w="1760" w:type="dxa"/>
            <w:tcBorders>
              <w:top w:val="single" w:color="auto" w:sz="4" w:space="0"/>
              <w:left w:val="single" w:color="auto" w:sz="4" w:space="0"/>
              <w:bottom w:val="single" w:color="auto" w:sz="4" w:space="0"/>
              <w:right w:val="single" w:color="auto" w:sz="4" w:space="0"/>
            </w:tcBorders>
            <w:vAlign w:val="center"/>
          </w:tcPr>
          <w:p w14:paraId="4D9254CD">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预付款保函联系方式</w:t>
            </w:r>
          </w:p>
        </w:tc>
        <w:tc>
          <w:tcPr>
            <w:tcW w:w="6501" w:type="dxa"/>
            <w:tcBorders>
              <w:top w:val="single" w:color="auto" w:sz="4" w:space="0"/>
              <w:left w:val="single" w:color="auto" w:sz="4" w:space="0"/>
              <w:bottom w:val="single" w:color="auto" w:sz="4" w:space="0"/>
              <w:right w:val="single" w:color="auto" w:sz="4" w:space="0"/>
            </w:tcBorders>
            <w:vAlign w:val="center"/>
          </w:tcPr>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36"/>
              <w:gridCol w:w="1652"/>
              <w:gridCol w:w="817"/>
              <w:gridCol w:w="1370"/>
            </w:tblGrid>
            <w:tr w14:paraId="2E0C5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2584" w:type="dxa"/>
                  <w:vAlign w:val="center"/>
                </w:tcPr>
                <w:p w14:paraId="18D18B0C">
                  <w:pPr>
                    <w:jc w:val="center"/>
                    <w:rPr>
                      <w:rFonts w:ascii="Arial" w:hAnsi="Arial"/>
                      <w:color w:val="auto"/>
                      <w:sz w:val="18"/>
                      <w:szCs w:val="18"/>
                      <w:highlight w:val="none"/>
                    </w:rPr>
                  </w:pPr>
                  <w:r>
                    <w:rPr>
                      <w:rFonts w:hint="eastAsia" w:ascii="Arial" w:hAnsi="Arial"/>
                      <w:color w:val="auto"/>
                      <w:sz w:val="18"/>
                      <w:szCs w:val="18"/>
                      <w:highlight w:val="none"/>
                    </w:rPr>
                    <w:t>保险公司名称</w:t>
                  </w:r>
                </w:p>
              </w:tc>
              <w:tc>
                <w:tcPr>
                  <w:tcW w:w="1701" w:type="dxa"/>
                  <w:vAlign w:val="center"/>
                </w:tcPr>
                <w:p w14:paraId="0928E84A">
                  <w:pPr>
                    <w:jc w:val="center"/>
                    <w:rPr>
                      <w:rFonts w:ascii="Arial" w:hAnsi="Arial"/>
                      <w:color w:val="auto"/>
                      <w:sz w:val="18"/>
                      <w:szCs w:val="18"/>
                      <w:highlight w:val="none"/>
                    </w:rPr>
                  </w:pPr>
                  <w:r>
                    <w:rPr>
                      <w:rFonts w:hint="eastAsia" w:ascii="Arial" w:hAnsi="Arial"/>
                      <w:color w:val="auto"/>
                      <w:sz w:val="18"/>
                      <w:szCs w:val="18"/>
                      <w:highlight w:val="none"/>
                    </w:rPr>
                    <w:t>保费率</w:t>
                  </w:r>
                </w:p>
              </w:tc>
              <w:tc>
                <w:tcPr>
                  <w:tcW w:w="848" w:type="dxa"/>
                  <w:vAlign w:val="center"/>
                </w:tcPr>
                <w:p w14:paraId="17699534">
                  <w:pPr>
                    <w:jc w:val="center"/>
                    <w:rPr>
                      <w:rFonts w:ascii="Arial" w:hAnsi="Arial"/>
                      <w:color w:val="auto"/>
                      <w:sz w:val="18"/>
                      <w:szCs w:val="18"/>
                      <w:highlight w:val="none"/>
                    </w:rPr>
                  </w:pPr>
                  <w:r>
                    <w:rPr>
                      <w:rFonts w:hint="eastAsia" w:ascii="Arial" w:hAnsi="Arial"/>
                      <w:color w:val="auto"/>
                      <w:sz w:val="18"/>
                      <w:szCs w:val="18"/>
                      <w:highlight w:val="none"/>
                    </w:rPr>
                    <w:t>联系人</w:t>
                  </w:r>
                </w:p>
              </w:tc>
              <w:tc>
                <w:tcPr>
                  <w:tcW w:w="1374" w:type="dxa"/>
                  <w:vAlign w:val="center"/>
                </w:tcPr>
                <w:p w14:paraId="52971070">
                  <w:pPr>
                    <w:jc w:val="center"/>
                    <w:rPr>
                      <w:rFonts w:ascii="Arial" w:hAnsi="Arial"/>
                      <w:color w:val="auto"/>
                      <w:sz w:val="18"/>
                      <w:szCs w:val="18"/>
                      <w:highlight w:val="none"/>
                    </w:rPr>
                  </w:pPr>
                  <w:r>
                    <w:rPr>
                      <w:rFonts w:hint="eastAsia" w:ascii="Arial" w:hAnsi="Arial"/>
                      <w:color w:val="auto"/>
                      <w:sz w:val="18"/>
                      <w:szCs w:val="18"/>
                      <w:highlight w:val="none"/>
                    </w:rPr>
                    <w:t>联系电话</w:t>
                  </w:r>
                </w:p>
              </w:tc>
            </w:tr>
            <w:tr w14:paraId="55B30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84" w:type="dxa"/>
                </w:tcPr>
                <w:p w14:paraId="397D30A6">
                  <w:pPr>
                    <w:rPr>
                      <w:rFonts w:ascii="Arial" w:hAnsi="Arial"/>
                      <w:color w:val="auto"/>
                      <w:sz w:val="18"/>
                      <w:szCs w:val="18"/>
                      <w:highlight w:val="none"/>
                    </w:rPr>
                  </w:pPr>
                  <w:r>
                    <w:rPr>
                      <w:rFonts w:hint="eastAsia" w:ascii="Arial" w:hAnsi="Arial"/>
                      <w:color w:val="auto"/>
                      <w:sz w:val="18"/>
                      <w:szCs w:val="18"/>
                      <w:highlight w:val="none"/>
                    </w:rPr>
                    <w:t>中国人寿财产保险股份有限公司台州中心支公司</w:t>
                  </w:r>
                </w:p>
              </w:tc>
              <w:tc>
                <w:tcPr>
                  <w:tcW w:w="1701" w:type="dxa"/>
                </w:tcPr>
                <w:p w14:paraId="29491A60">
                  <w:pPr>
                    <w:rPr>
                      <w:rFonts w:ascii="Arial" w:hAnsi="Arial"/>
                      <w:color w:val="auto"/>
                      <w:sz w:val="18"/>
                      <w:szCs w:val="18"/>
                      <w:highlight w:val="none"/>
                    </w:rPr>
                  </w:pPr>
                  <w:r>
                    <w:rPr>
                      <w:rFonts w:hint="eastAsia" w:ascii="Arial" w:hAnsi="Arial"/>
                      <w:color w:val="auto"/>
                      <w:sz w:val="18"/>
                      <w:szCs w:val="18"/>
                      <w:highlight w:val="none"/>
                    </w:rPr>
                    <w:t>年费率3%，最低保费500元</w:t>
                  </w:r>
                </w:p>
              </w:tc>
              <w:tc>
                <w:tcPr>
                  <w:tcW w:w="848" w:type="dxa"/>
                </w:tcPr>
                <w:p w14:paraId="134F47DC">
                  <w:pPr>
                    <w:rPr>
                      <w:rFonts w:ascii="Arial" w:hAnsi="Arial"/>
                      <w:color w:val="auto"/>
                      <w:sz w:val="18"/>
                      <w:szCs w:val="18"/>
                      <w:highlight w:val="none"/>
                    </w:rPr>
                  </w:pPr>
                  <w:r>
                    <w:rPr>
                      <w:rFonts w:hint="eastAsia" w:ascii="Arial" w:hAnsi="Arial"/>
                      <w:color w:val="auto"/>
                      <w:sz w:val="18"/>
                      <w:szCs w:val="18"/>
                      <w:highlight w:val="none"/>
                    </w:rPr>
                    <w:t>徐凌</w:t>
                  </w:r>
                </w:p>
              </w:tc>
              <w:tc>
                <w:tcPr>
                  <w:tcW w:w="1374" w:type="dxa"/>
                </w:tcPr>
                <w:p w14:paraId="496A85D4">
                  <w:pPr>
                    <w:rPr>
                      <w:rFonts w:ascii="Arial" w:hAnsi="Arial"/>
                      <w:color w:val="auto"/>
                      <w:sz w:val="18"/>
                      <w:szCs w:val="18"/>
                      <w:highlight w:val="none"/>
                    </w:rPr>
                  </w:pPr>
                  <w:r>
                    <w:rPr>
                      <w:rFonts w:ascii="Arial" w:hAnsi="Arial"/>
                      <w:color w:val="auto"/>
                      <w:sz w:val="18"/>
                      <w:szCs w:val="18"/>
                      <w:highlight w:val="none"/>
                    </w:rPr>
                    <w:t>13905168070</w:t>
                  </w:r>
                </w:p>
              </w:tc>
            </w:tr>
            <w:tr w14:paraId="754E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84" w:type="dxa"/>
                </w:tcPr>
                <w:p w14:paraId="7910F9BE">
                  <w:pPr>
                    <w:rPr>
                      <w:rFonts w:ascii="Arial" w:hAnsi="Arial"/>
                      <w:color w:val="auto"/>
                      <w:sz w:val="18"/>
                      <w:szCs w:val="18"/>
                      <w:highlight w:val="none"/>
                    </w:rPr>
                  </w:pPr>
                  <w:r>
                    <w:rPr>
                      <w:rFonts w:hint="eastAsia" w:ascii="Arial" w:hAnsi="Arial"/>
                      <w:color w:val="auto"/>
                      <w:sz w:val="18"/>
                      <w:szCs w:val="18"/>
                      <w:highlight w:val="none"/>
                    </w:rPr>
                    <w:t>阳光保险台州中心支公司</w:t>
                  </w:r>
                </w:p>
              </w:tc>
              <w:tc>
                <w:tcPr>
                  <w:tcW w:w="1701" w:type="dxa"/>
                </w:tcPr>
                <w:p w14:paraId="76D04D24">
                  <w:pPr>
                    <w:rPr>
                      <w:rFonts w:ascii="Arial" w:hAnsi="Arial"/>
                      <w:color w:val="auto"/>
                      <w:sz w:val="18"/>
                      <w:szCs w:val="18"/>
                      <w:highlight w:val="none"/>
                    </w:rPr>
                  </w:pPr>
                  <w:r>
                    <w:rPr>
                      <w:rFonts w:hint="eastAsia" w:ascii="Arial" w:hAnsi="Arial"/>
                      <w:color w:val="auto"/>
                      <w:sz w:val="18"/>
                      <w:szCs w:val="18"/>
                      <w:highlight w:val="none"/>
                    </w:rPr>
                    <w:t>年费率1%，最低保费500元</w:t>
                  </w:r>
                </w:p>
              </w:tc>
              <w:tc>
                <w:tcPr>
                  <w:tcW w:w="848" w:type="dxa"/>
                </w:tcPr>
                <w:p w14:paraId="3FBCB780">
                  <w:pPr>
                    <w:rPr>
                      <w:rFonts w:ascii="Arial" w:hAnsi="Arial"/>
                      <w:color w:val="auto"/>
                      <w:sz w:val="18"/>
                      <w:szCs w:val="18"/>
                      <w:highlight w:val="none"/>
                    </w:rPr>
                  </w:pPr>
                  <w:r>
                    <w:rPr>
                      <w:rFonts w:hint="eastAsia" w:ascii="Arial" w:hAnsi="Arial"/>
                      <w:color w:val="auto"/>
                      <w:sz w:val="18"/>
                      <w:szCs w:val="18"/>
                      <w:highlight w:val="none"/>
                    </w:rPr>
                    <w:t>林高明</w:t>
                  </w:r>
                </w:p>
              </w:tc>
              <w:tc>
                <w:tcPr>
                  <w:tcW w:w="1374" w:type="dxa"/>
                </w:tcPr>
                <w:p w14:paraId="79B8A279">
                  <w:pPr>
                    <w:rPr>
                      <w:rFonts w:ascii="Arial" w:hAnsi="Arial"/>
                      <w:color w:val="auto"/>
                      <w:sz w:val="18"/>
                      <w:szCs w:val="18"/>
                      <w:highlight w:val="none"/>
                    </w:rPr>
                  </w:pPr>
                  <w:r>
                    <w:rPr>
                      <w:rFonts w:ascii="Arial" w:hAnsi="Arial"/>
                      <w:color w:val="auto"/>
                      <w:sz w:val="18"/>
                      <w:szCs w:val="18"/>
                      <w:highlight w:val="none"/>
                    </w:rPr>
                    <w:cr/>
                  </w:r>
                  <w:r>
                    <w:rPr>
                      <w:rFonts w:ascii="Arial" w:hAnsi="Arial"/>
                      <w:color w:val="auto"/>
                      <w:sz w:val="18"/>
                      <w:szCs w:val="18"/>
                      <w:highlight w:val="none"/>
                    </w:rPr>
                    <w:t>5888682693</w:t>
                  </w:r>
                </w:p>
              </w:tc>
            </w:tr>
            <w:tr w14:paraId="268E6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84" w:type="dxa"/>
                </w:tcPr>
                <w:p w14:paraId="0BCDF24C">
                  <w:pPr>
                    <w:rPr>
                      <w:rFonts w:ascii="Arial" w:hAnsi="Arial"/>
                      <w:color w:val="auto"/>
                      <w:sz w:val="18"/>
                      <w:szCs w:val="18"/>
                      <w:highlight w:val="none"/>
                    </w:rPr>
                  </w:pPr>
                  <w:r>
                    <w:rPr>
                      <w:rFonts w:hint="eastAsia" w:ascii="Arial" w:hAnsi="Arial"/>
                      <w:color w:val="auto"/>
                      <w:sz w:val="18"/>
                      <w:szCs w:val="18"/>
                      <w:highlight w:val="none"/>
                    </w:rPr>
                    <w:t>天安财产保险股份有限公司台州中心支公司</w:t>
                  </w:r>
                </w:p>
              </w:tc>
              <w:tc>
                <w:tcPr>
                  <w:tcW w:w="1701" w:type="dxa"/>
                </w:tcPr>
                <w:p w14:paraId="63FF3EFF">
                  <w:pPr>
                    <w:rPr>
                      <w:rFonts w:ascii="Arial" w:hAnsi="Arial"/>
                      <w:color w:val="auto"/>
                      <w:sz w:val="18"/>
                      <w:szCs w:val="18"/>
                      <w:highlight w:val="none"/>
                    </w:rPr>
                  </w:pPr>
                  <w:r>
                    <w:rPr>
                      <w:rFonts w:hint="eastAsia" w:ascii="Arial" w:hAnsi="Arial"/>
                      <w:color w:val="auto"/>
                      <w:sz w:val="18"/>
                      <w:szCs w:val="18"/>
                      <w:highlight w:val="none"/>
                    </w:rPr>
                    <w:t>年费率1%-2%，最低保费500元</w:t>
                  </w:r>
                </w:p>
              </w:tc>
              <w:tc>
                <w:tcPr>
                  <w:tcW w:w="848" w:type="dxa"/>
                </w:tcPr>
                <w:p w14:paraId="2E5E5050">
                  <w:pPr>
                    <w:rPr>
                      <w:rFonts w:ascii="Arial" w:hAnsi="Arial"/>
                      <w:color w:val="auto"/>
                      <w:sz w:val="18"/>
                      <w:szCs w:val="18"/>
                      <w:highlight w:val="none"/>
                    </w:rPr>
                  </w:pPr>
                  <w:r>
                    <w:rPr>
                      <w:rFonts w:hint="eastAsia" w:ascii="Arial" w:hAnsi="Arial"/>
                      <w:color w:val="auto"/>
                      <w:sz w:val="18"/>
                      <w:szCs w:val="18"/>
                      <w:highlight w:val="none"/>
                    </w:rPr>
                    <w:t>罗赛</w:t>
                  </w:r>
                </w:p>
              </w:tc>
              <w:tc>
                <w:tcPr>
                  <w:tcW w:w="1374" w:type="dxa"/>
                </w:tcPr>
                <w:p w14:paraId="59098B83">
                  <w:pPr>
                    <w:rPr>
                      <w:rFonts w:ascii="Arial" w:hAnsi="Arial"/>
                      <w:color w:val="auto"/>
                      <w:sz w:val="18"/>
                      <w:szCs w:val="18"/>
                      <w:highlight w:val="none"/>
                    </w:rPr>
                  </w:pPr>
                  <w:r>
                    <w:rPr>
                      <w:rFonts w:hint="eastAsia" w:ascii="Arial" w:hAnsi="Arial"/>
                      <w:color w:val="auto"/>
                      <w:sz w:val="18"/>
                      <w:szCs w:val="18"/>
                      <w:highlight w:val="none"/>
                    </w:rPr>
                    <w:t>13736605643</w:t>
                  </w:r>
                </w:p>
              </w:tc>
            </w:tr>
          </w:tbl>
          <w:p w14:paraId="593B18A9">
            <w:pPr>
              <w:adjustRightInd w:val="0"/>
              <w:snapToGrid w:val="0"/>
              <w:jc w:val="center"/>
              <w:rPr>
                <w:color w:val="auto"/>
                <w:sz w:val="18"/>
                <w:szCs w:val="18"/>
                <w:highlight w:val="none"/>
              </w:rPr>
            </w:pPr>
          </w:p>
        </w:tc>
      </w:tr>
    </w:tbl>
    <w:p w14:paraId="2ED69B51">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二、说 明</w:t>
      </w:r>
    </w:p>
    <w:p w14:paraId="161D4BD9">
      <w:pPr>
        <w:pStyle w:val="14"/>
        <w:numPr>
          <w:ilvl w:val="0"/>
          <w:numId w:val="5"/>
        </w:numPr>
        <w:spacing w:line="360" w:lineRule="auto"/>
        <w:ind w:left="0" w:leftChars="0"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总则</w:t>
      </w:r>
    </w:p>
    <w:p w14:paraId="75EA3335">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本招标文件依据《中华人民共和国政府采购法》、《中华人民共和国政府采购法实施条例》（国务院令第658号）和《政府采购货物和服务招标投标管理办法》（财政部令第87号）及国家和</w:t>
      </w:r>
      <w:r>
        <w:rPr>
          <w:rFonts w:hint="eastAsia" w:asciiTheme="minorEastAsia" w:hAnsiTheme="minorEastAsia" w:eastAsiaTheme="minorEastAsia"/>
          <w:color w:val="auto"/>
          <w:sz w:val="24"/>
          <w:highlight w:val="none"/>
        </w:rPr>
        <w:t>浙江省</w:t>
      </w:r>
      <w:r>
        <w:rPr>
          <w:rFonts w:asciiTheme="minorEastAsia" w:hAnsiTheme="minorEastAsia" w:eastAsiaTheme="minorEastAsia"/>
          <w:color w:val="auto"/>
          <w:sz w:val="24"/>
          <w:highlight w:val="none"/>
        </w:rPr>
        <w:t>有关法律、法规、规章编制。</w:t>
      </w:r>
    </w:p>
    <w:p w14:paraId="258D181B">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投标供应商应仔细阅读本项目招标公告及招标文件的所有内容（包括变更、补充、澄清以及修改等，且均为招标文件的组成部分），按照招标文件要求以及格式编制投标文件，并保证其真实性，否则</w:t>
      </w:r>
      <w:r>
        <w:rPr>
          <w:rFonts w:hint="eastAsia"/>
          <w:color w:val="auto"/>
          <w:sz w:val="24"/>
          <w:highlight w:val="none"/>
        </w:rPr>
        <w:t>由此引起的一切后果应由</w:t>
      </w:r>
      <w:r>
        <w:rPr>
          <w:rFonts w:asciiTheme="minorEastAsia" w:hAnsiTheme="minorEastAsia" w:eastAsiaTheme="minorEastAsia"/>
          <w:color w:val="auto"/>
          <w:sz w:val="24"/>
          <w:highlight w:val="none"/>
        </w:rPr>
        <w:t>投标供应商</w:t>
      </w:r>
      <w:r>
        <w:rPr>
          <w:rFonts w:hint="eastAsia"/>
          <w:color w:val="auto"/>
          <w:sz w:val="24"/>
          <w:highlight w:val="none"/>
        </w:rPr>
        <w:t>承担。</w:t>
      </w:r>
    </w:p>
    <w:p w14:paraId="5EB32C0C">
      <w:pPr>
        <w:numPr>
          <w:ilvl w:val="0"/>
          <w:numId w:val="5"/>
        </w:numPr>
        <w:snapToGrid w:val="0"/>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适用范围</w:t>
      </w:r>
    </w:p>
    <w:p w14:paraId="23DADF9B">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本招标文件适用于</w:t>
      </w:r>
      <w:r>
        <w:rPr>
          <w:rFonts w:hint="eastAsia" w:asciiTheme="minorEastAsia" w:hAnsiTheme="minorEastAsia" w:eastAsiaTheme="minorEastAsia"/>
          <w:bCs/>
          <w:color w:val="auto"/>
          <w:sz w:val="24"/>
          <w:highlight w:val="none"/>
        </w:rPr>
        <w:t>本次</w:t>
      </w:r>
      <w:r>
        <w:rPr>
          <w:rFonts w:hint="eastAsia" w:asciiTheme="minorEastAsia" w:hAnsiTheme="minorEastAsia" w:eastAsiaTheme="minorEastAsia"/>
          <w:color w:val="auto"/>
          <w:sz w:val="24"/>
          <w:highlight w:val="none"/>
        </w:rPr>
        <w:t>项目的招标、投标、评标、定标、验收、合同履约、付款等行为（法律、法规另有规定的，从其规定）。</w:t>
      </w:r>
    </w:p>
    <w:p w14:paraId="58DCB737">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本招标文件仅适用于本次招标公告中所涉及的项目和内容。</w:t>
      </w:r>
    </w:p>
    <w:p w14:paraId="20398797">
      <w:pPr>
        <w:numPr>
          <w:ilvl w:val="0"/>
          <w:numId w:val="5"/>
        </w:numPr>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当事人</w:t>
      </w:r>
    </w:p>
    <w:p w14:paraId="3D995B63">
      <w:pPr>
        <w:pStyle w:val="6"/>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color w:val="auto"/>
          <w:sz w:val="24"/>
          <w:szCs w:val="24"/>
          <w:highlight w:val="none"/>
        </w:rPr>
      </w:pPr>
      <w:r>
        <w:rPr>
          <w:rFonts w:hint="eastAsia" w:asciiTheme="minorEastAsia" w:hAnsiTheme="minorEastAsia" w:eastAsiaTheme="minorEastAsia"/>
          <w:color w:val="auto"/>
          <w:sz w:val="24"/>
          <w:szCs w:val="24"/>
          <w:highlight w:val="none"/>
        </w:rPr>
        <w:t>1.</w:t>
      </w:r>
      <w:r>
        <w:rPr>
          <w:rFonts w:hint="eastAsia"/>
          <w:bCs w:val="0"/>
          <w:color w:val="auto"/>
          <w:sz w:val="24"/>
          <w:szCs w:val="24"/>
          <w:highlight w:val="none"/>
          <w:lang w:val="zh-CN"/>
        </w:rPr>
        <w:t>采购组织机构：</w:t>
      </w:r>
      <w:r>
        <w:rPr>
          <w:rFonts w:hint="eastAsia" w:asciiTheme="minorEastAsia" w:hAnsiTheme="minorEastAsia" w:eastAsiaTheme="minorEastAsia"/>
          <w:color w:val="auto"/>
          <w:sz w:val="24"/>
          <w:szCs w:val="24"/>
          <w:highlight w:val="none"/>
        </w:rPr>
        <w:t>是</w:t>
      </w:r>
      <w:r>
        <w:rPr>
          <w:rFonts w:hint="eastAsia"/>
          <w:bCs w:val="0"/>
          <w:color w:val="auto"/>
          <w:sz w:val="24"/>
          <w:szCs w:val="24"/>
          <w:highlight w:val="none"/>
          <w:lang w:val="zh-CN"/>
        </w:rPr>
        <w:t>指采购人委托组织招标的集中采购机构</w:t>
      </w:r>
      <w:r>
        <w:rPr>
          <w:rFonts w:hint="eastAsia" w:cs="Arial"/>
          <w:bCs w:val="0"/>
          <w:color w:val="auto"/>
          <w:sz w:val="24"/>
          <w:szCs w:val="24"/>
          <w:highlight w:val="none"/>
        </w:rPr>
        <w:t>或</w:t>
      </w:r>
      <w:r>
        <w:rPr>
          <w:rFonts w:hint="eastAsia"/>
          <w:bCs w:val="0"/>
          <w:color w:val="auto"/>
          <w:sz w:val="24"/>
          <w:szCs w:val="24"/>
          <w:highlight w:val="none"/>
          <w:lang w:val="zh-CN"/>
        </w:rPr>
        <w:t>采购代理机构。</w:t>
      </w:r>
    </w:p>
    <w:p w14:paraId="36016AAF">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2.采购人：是指依法进行政府采购的国家机关、事业单位和团体组织。</w:t>
      </w:r>
    </w:p>
    <w:p w14:paraId="14C8BC16">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投标供应商</w:t>
      </w:r>
      <w:r>
        <w:rPr>
          <w:rFonts w:hint="eastAsia" w:asciiTheme="minorEastAsia" w:hAnsiTheme="minorEastAsia" w:eastAsiaTheme="minorEastAsia"/>
          <w:color w:val="auto"/>
          <w:sz w:val="24"/>
          <w:highlight w:val="none"/>
        </w:rPr>
        <w:t>/供应商：是</w:t>
      </w:r>
      <w:r>
        <w:rPr>
          <w:rFonts w:asciiTheme="minorEastAsia" w:hAnsiTheme="minorEastAsia" w:eastAsiaTheme="minorEastAsia"/>
          <w:color w:val="auto"/>
          <w:sz w:val="24"/>
          <w:highlight w:val="none"/>
        </w:rPr>
        <w:t>指</w:t>
      </w:r>
      <w:r>
        <w:rPr>
          <w:rFonts w:hint="eastAsia" w:asciiTheme="minorEastAsia" w:hAnsiTheme="minorEastAsia" w:eastAsiaTheme="minorEastAsia"/>
          <w:color w:val="auto"/>
          <w:sz w:val="24"/>
          <w:highlight w:val="none"/>
        </w:rPr>
        <w:t>响应招标、参加投标竞争的法人、其他组织或者自然人</w:t>
      </w:r>
      <w:r>
        <w:rPr>
          <w:rFonts w:asciiTheme="minorEastAsia" w:hAnsiTheme="minorEastAsia" w:eastAsiaTheme="minorEastAsia"/>
          <w:color w:val="auto"/>
          <w:sz w:val="24"/>
          <w:highlight w:val="none"/>
        </w:rPr>
        <w:t>。</w:t>
      </w:r>
    </w:p>
    <w:p w14:paraId="51160F60">
      <w:pPr>
        <w:snapToGrid w:val="0"/>
        <w:spacing w:line="360" w:lineRule="auto"/>
        <w:ind w:firstLine="480" w:firstLineChars="200"/>
        <w:rPr>
          <w:rFonts w:ascii="宋体" w:hAnsi="宋体"/>
          <w:color w:val="auto"/>
          <w:sz w:val="24"/>
          <w:highlight w:val="none"/>
          <w:lang w:val="zh-CN"/>
        </w:rPr>
      </w:pPr>
      <w:r>
        <w:rPr>
          <w:rFonts w:hint="eastAsia" w:ascii="宋体" w:hAnsi="宋体"/>
          <w:color w:val="auto"/>
          <w:sz w:val="24"/>
          <w:highlight w:val="none"/>
        </w:rPr>
        <w:t>4.中标供应商</w:t>
      </w:r>
      <w:r>
        <w:rPr>
          <w:rFonts w:hint="eastAsia" w:ascii="宋体" w:hAnsi="宋体"/>
          <w:color w:val="auto"/>
          <w:sz w:val="24"/>
          <w:highlight w:val="none"/>
          <w:lang w:val="zh-CN"/>
        </w:rPr>
        <w:t>：是指经评</w:t>
      </w:r>
      <w:r>
        <w:rPr>
          <w:rFonts w:hint="eastAsia" w:ascii="宋体" w:hAnsi="宋体"/>
          <w:color w:val="auto"/>
          <w:sz w:val="24"/>
          <w:highlight w:val="none"/>
        </w:rPr>
        <w:t>标</w:t>
      </w:r>
      <w:r>
        <w:rPr>
          <w:rFonts w:hint="eastAsia" w:ascii="宋体" w:hAnsi="宋体"/>
          <w:color w:val="auto"/>
          <w:sz w:val="24"/>
          <w:highlight w:val="none"/>
          <w:lang w:val="zh-CN"/>
        </w:rPr>
        <w:t>委员会评审确定的对招标文件</w:t>
      </w:r>
      <w:r>
        <w:rPr>
          <w:rFonts w:hint="eastAsia" w:ascii="宋体" w:hAnsi="宋体"/>
          <w:color w:val="auto"/>
          <w:sz w:val="24"/>
          <w:highlight w:val="none"/>
        </w:rPr>
        <w:t>做出</w:t>
      </w:r>
      <w:r>
        <w:rPr>
          <w:rFonts w:hint="eastAsia" w:ascii="宋体" w:hAnsi="宋体"/>
          <w:color w:val="auto"/>
          <w:sz w:val="24"/>
          <w:highlight w:val="none"/>
          <w:lang w:val="zh-CN"/>
        </w:rPr>
        <w:t>实质性响应，经采购人按照规定在评</w:t>
      </w:r>
      <w:r>
        <w:rPr>
          <w:rFonts w:hint="eastAsia" w:ascii="宋体" w:hAnsi="宋体"/>
          <w:color w:val="auto"/>
          <w:sz w:val="24"/>
          <w:highlight w:val="none"/>
        </w:rPr>
        <w:t>标</w:t>
      </w:r>
      <w:r>
        <w:rPr>
          <w:rFonts w:hint="eastAsia" w:ascii="宋体" w:hAnsi="宋体"/>
          <w:color w:val="auto"/>
          <w:sz w:val="24"/>
          <w:highlight w:val="none"/>
          <w:lang w:val="zh-CN"/>
        </w:rPr>
        <w:t>委员会推荐的中标候选人中确定的或受采购人委托直接确认的，与采购人签订合同资格的投标供应商。</w:t>
      </w:r>
    </w:p>
    <w:p w14:paraId="66316FE4">
      <w:pPr>
        <w:snapToGrid w:val="0"/>
        <w:spacing w:line="360" w:lineRule="auto"/>
        <w:ind w:firstLine="480" w:firstLineChars="200"/>
        <w:rPr>
          <w:color w:val="auto"/>
          <w:sz w:val="24"/>
          <w:highlight w:val="none"/>
        </w:rPr>
      </w:pPr>
      <w:r>
        <w:rPr>
          <w:rFonts w:hint="eastAsia" w:ascii="宋体" w:hAnsi="宋体"/>
          <w:color w:val="auto"/>
          <w:sz w:val="24"/>
          <w:highlight w:val="none"/>
        </w:rPr>
        <w:t>5</w:t>
      </w:r>
      <w:r>
        <w:rPr>
          <w:rFonts w:hint="eastAsia" w:ascii="宋体" w:hAnsi="宋体"/>
          <w:color w:val="auto"/>
          <w:sz w:val="24"/>
          <w:highlight w:val="none"/>
          <w:lang w:val="zh-CN"/>
        </w:rPr>
        <w:t>.</w:t>
      </w:r>
      <w:r>
        <w:rPr>
          <w:rFonts w:hint="eastAsia" w:ascii="宋体" w:hAnsi="宋体"/>
          <w:color w:val="auto"/>
          <w:sz w:val="24"/>
          <w:highlight w:val="none"/>
        </w:rPr>
        <w:t>联合体：</w:t>
      </w:r>
      <w:r>
        <w:rPr>
          <w:rFonts w:hint="eastAsia"/>
          <w:color w:val="auto"/>
          <w:sz w:val="24"/>
          <w:highlight w:val="none"/>
        </w:rPr>
        <w:t>两个或两个以上法人或者其他组织可以组成一个联合体，以一个投标供应商的身份共同投标。</w:t>
      </w:r>
    </w:p>
    <w:p w14:paraId="24F55CF1">
      <w:pPr>
        <w:snapToGrid w:val="0"/>
        <w:spacing w:line="360" w:lineRule="auto"/>
        <w:ind w:firstLine="482" w:firstLineChars="200"/>
        <w:rPr>
          <w:b/>
          <w:bCs/>
          <w:color w:val="auto"/>
          <w:sz w:val="24"/>
          <w:highlight w:val="none"/>
        </w:rPr>
      </w:pPr>
      <w:r>
        <w:rPr>
          <w:rFonts w:hint="eastAsia"/>
          <w:b/>
          <w:bCs/>
          <w:color w:val="auto"/>
          <w:sz w:val="24"/>
          <w:highlight w:val="none"/>
        </w:rPr>
        <w:t>（四）</w:t>
      </w:r>
      <w:r>
        <w:rPr>
          <w:b/>
          <w:bCs/>
          <w:color w:val="auto"/>
          <w:sz w:val="24"/>
          <w:highlight w:val="none"/>
        </w:rPr>
        <w:t xml:space="preserve">以联合体形式投标的，应符合以下规定：（本项目不适用） </w:t>
      </w:r>
    </w:p>
    <w:p w14:paraId="0005F376">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1.联</w:t>
      </w:r>
      <w:r>
        <w:rPr>
          <w:color w:val="auto"/>
          <w:sz w:val="24"/>
          <w:highlight w:val="none"/>
        </w:rPr>
        <w:t>合体各方应签订联合体协议书，明确联合体牵头人和各方权利义务，并作为投标文件组成部分</w:t>
      </w:r>
      <w:r>
        <w:rPr>
          <w:rFonts w:hint="eastAsia"/>
          <w:color w:val="auto"/>
          <w:sz w:val="24"/>
          <w:highlight w:val="none"/>
        </w:rPr>
        <w:t>；</w:t>
      </w:r>
    </w:p>
    <w:p w14:paraId="68991040">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2.联</w:t>
      </w:r>
      <w:r>
        <w:rPr>
          <w:color w:val="auto"/>
          <w:sz w:val="24"/>
          <w:highlight w:val="none"/>
        </w:rPr>
        <w:t>合体各方均应当具备</w:t>
      </w:r>
      <w:r>
        <w:rPr>
          <w:rFonts w:hint="eastAsia" w:ascii="宋体" w:hAnsi="宋体"/>
          <w:color w:val="auto"/>
          <w:sz w:val="24"/>
          <w:highlight w:val="none"/>
          <w:lang w:val="zh-CN"/>
        </w:rPr>
        <w:t>《中华人民共和国政府采购法》</w:t>
      </w:r>
      <w:r>
        <w:rPr>
          <w:color w:val="auto"/>
          <w:sz w:val="24"/>
          <w:highlight w:val="none"/>
        </w:rPr>
        <w:t>第二十二条规定的条件，并在投标文件中提供联合体各方的相关证明材料</w:t>
      </w:r>
      <w:r>
        <w:rPr>
          <w:rFonts w:hint="eastAsia"/>
          <w:color w:val="auto"/>
          <w:sz w:val="24"/>
          <w:highlight w:val="none"/>
        </w:rPr>
        <w:t>；</w:t>
      </w:r>
    </w:p>
    <w:p w14:paraId="3DA4D16B">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3.联合体成员存在不良信用记录的，视同联合体存在不良信用记录；</w:t>
      </w:r>
    </w:p>
    <w:p w14:paraId="35F003EB">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4.联合体各方中至少应当有一方符合采购人规定的资格要求。由同一资质条件的投标供应商组成的联合体，应当按照资质等级较低的投标供应商确定联合体资质等级；</w:t>
      </w:r>
    </w:p>
    <w:p w14:paraId="23B18DBA">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5.联合体各方不得再以自己名义单独在同一合同项中投标，也不得组成新的联合体参加同一项目投标；</w:t>
      </w:r>
    </w:p>
    <w:p w14:paraId="79A44E06">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6.联合体各方应当共同与采购人签订采购合同，就合同约定的事项对采购人承担连带责任；</w:t>
      </w:r>
    </w:p>
    <w:p w14:paraId="4ADBDDBB">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7.投标</w:t>
      </w:r>
      <w:r>
        <w:rPr>
          <w:color w:val="auto"/>
          <w:sz w:val="24"/>
          <w:highlight w:val="none"/>
        </w:rPr>
        <w:t>时，应以联合体协议中确定的主体方名义投标，对联合体各方均具有约束力。</w:t>
      </w:r>
    </w:p>
    <w:p w14:paraId="06035EEE">
      <w:pPr>
        <w:snapToGrid w:val="0"/>
        <w:spacing w:line="360" w:lineRule="auto"/>
        <w:ind w:firstLine="482" w:firstLineChars="200"/>
        <w:rPr>
          <w:b/>
          <w:bCs/>
          <w:color w:val="auto"/>
          <w:sz w:val="24"/>
          <w:highlight w:val="none"/>
        </w:rPr>
      </w:pPr>
      <w:r>
        <w:rPr>
          <w:rFonts w:hint="eastAsia"/>
          <w:b/>
          <w:bCs/>
          <w:color w:val="auto"/>
          <w:sz w:val="24"/>
          <w:highlight w:val="none"/>
        </w:rPr>
        <w:t>（五）</w:t>
      </w:r>
      <w:r>
        <w:rPr>
          <w:b/>
          <w:bCs/>
          <w:color w:val="auto"/>
          <w:sz w:val="24"/>
          <w:highlight w:val="none"/>
        </w:rPr>
        <w:t>语言文字以及度量衡单位</w:t>
      </w:r>
    </w:p>
    <w:p w14:paraId="743B8D9F">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投标文件以及投标供应商与采购代理机构就有关投标事宜的所有来往函电，均应以中文汉语书写，除签字、盖章、专用名称等特殊情形外。投标资料提供外文证书或者外国语视听资料的，应当附有中文译本，由翻译机构盖章或者翻译人员签名。</w:t>
      </w:r>
    </w:p>
    <w:p w14:paraId="240C6CE7">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2.所有计量均采用中国法定的计量单位。</w:t>
      </w:r>
    </w:p>
    <w:p w14:paraId="6EB4944A">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3.所有</w:t>
      </w:r>
      <w:r>
        <w:rPr>
          <w:color w:val="auto"/>
          <w:sz w:val="24"/>
          <w:highlight w:val="none"/>
        </w:rPr>
        <w:t>报价一律使用人民币，货币单位：元。</w:t>
      </w:r>
    </w:p>
    <w:p w14:paraId="0796596D">
      <w:pPr>
        <w:snapToGrid w:val="0"/>
        <w:spacing w:line="360" w:lineRule="auto"/>
        <w:ind w:firstLine="482" w:firstLineChars="200"/>
        <w:rPr>
          <w:b/>
          <w:bCs/>
          <w:color w:val="auto"/>
          <w:sz w:val="24"/>
          <w:highlight w:val="none"/>
        </w:rPr>
      </w:pPr>
      <w:r>
        <w:rPr>
          <w:rFonts w:hint="eastAsia"/>
          <w:b/>
          <w:bCs/>
          <w:color w:val="auto"/>
          <w:sz w:val="24"/>
          <w:highlight w:val="none"/>
        </w:rPr>
        <w:t>（六）</w:t>
      </w:r>
      <w:r>
        <w:rPr>
          <w:b/>
          <w:bCs/>
          <w:color w:val="auto"/>
          <w:sz w:val="24"/>
          <w:highlight w:val="none"/>
        </w:rPr>
        <w:t>现场踏勘</w:t>
      </w:r>
    </w:p>
    <w:p w14:paraId="23653DC5">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1.招标文件规定组织踏勘现场的，采购人按招标文件规定的时间、地点组织投标供应商踏勘项目现场。</w:t>
      </w:r>
    </w:p>
    <w:p w14:paraId="73B4AC5A">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2.投标供应商自行承担踏勘现场发生的责任、风险和自身费用。</w:t>
      </w:r>
    </w:p>
    <w:p w14:paraId="51C0A988">
      <w:pPr>
        <w:pStyle w:val="28"/>
        <w:snapToGrid w:val="0"/>
        <w:spacing w:line="360" w:lineRule="auto"/>
        <w:ind w:firstLine="480"/>
        <w:rPr>
          <w:color w:val="auto"/>
          <w:sz w:val="24"/>
          <w:highlight w:val="none"/>
        </w:rPr>
      </w:pPr>
      <w:r>
        <w:rPr>
          <w:rFonts w:hint="eastAsia" w:asciiTheme="minorEastAsia" w:hAnsiTheme="minorEastAsia" w:eastAsiaTheme="minorEastAsia"/>
          <w:color w:val="auto"/>
          <w:sz w:val="24"/>
          <w:highlight w:val="none"/>
        </w:rPr>
        <w:t>3.采购人</w:t>
      </w:r>
      <w:r>
        <w:rPr>
          <w:color w:val="auto"/>
          <w:sz w:val="24"/>
          <w:highlight w:val="none"/>
        </w:rPr>
        <w:t>在踏勘现场中介绍的资料和数据等，不构成对招标文件的修改或不作为投标供应商编制投标文件的依据。</w:t>
      </w:r>
    </w:p>
    <w:p w14:paraId="2A98C6F7">
      <w:pPr>
        <w:snapToGrid w:val="0"/>
        <w:spacing w:line="360" w:lineRule="auto"/>
        <w:ind w:firstLine="482" w:firstLineChars="200"/>
        <w:rPr>
          <w:b/>
          <w:bCs/>
          <w:color w:val="auto"/>
          <w:sz w:val="24"/>
          <w:highlight w:val="none"/>
        </w:rPr>
      </w:pPr>
      <w:r>
        <w:rPr>
          <w:rFonts w:hint="eastAsia"/>
          <w:b/>
          <w:bCs/>
          <w:color w:val="auto"/>
          <w:sz w:val="24"/>
          <w:highlight w:val="none"/>
        </w:rPr>
        <w:t>（七）特别说明</w:t>
      </w:r>
    </w:p>
    <w:p w14:paraId="271FED3A">
      <w:pPr>
        <w:pStyle w:val="28"/>
        <w:snapToGrid w:val="0"/>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投标供应商投标所使用的资格、信誉、荣誉、业绩与企业认证必须为本法人所拥有</w:t>
      </w:r>
      <w:r>
        <w:rPr>
          <w:rFonts w:hint="eastAsia" w:asciiTheme="minorEastAsia" w:hAnsiTheme="minorEastAsia" w:eastAsiaTheme="minorEastAsia"/>
          <w:color w:val="auto"/>
          <w:sz w:val="24"/>
          <w:highlight w:val="none"/>
        </w:rPr>
        <w:t>且所提供的资料都是真实有效的（投标供应商根据招标文件要求提供相关第三方资料的除外）</w:t>
      </w:r>
      <w:r>
        <w:rPr>
          <w:rFonts w:asciiTheme="minorEastAsia" w:hAnsiTheme="minorEastAsia" w:eastAsiaTheme="minorEastAsia"/>
          <w:color w:val="auto"/>
          <w:sz w:val="24"/>
          <w:highlight w:val="none"/>
        </w:rPr>
        <w:t>。投标供应商投标所使用的采购项目实施人员必须为本法人员工。</w:t>
      </w:r>
      <w:bookmarkStart w:id="52" w:name="OLE_LINK230"/>
      <w:bookmarkStart w:id="53" w:name="OLE_LINK229"/>
      <w:r>
        <w:rPr>
          <w:rFonts w:hint="eastAsia" w:asciiTheme="minorEastAsia" w:hAnsiTheme="minorEastAsia" w:eastAsiaTheme="minorEastAsia"/>
          <w:color w:val="auto"/>
          <w:sz w:val="24"/>
          <w:highlight w:val="none"/>
        </w:rPr>
        <w:t>▲</w:t>
      </w:r>
      <w:bookmarkEnd w:id="52"/>
      <w:bookmarkEnd w:id="53"/>
      <w:r>
        <w:rPr>
          <w:rFonts w:hint="eastAsia" w:asciiTheme="minorEastAsia" w:hAnsiTheme="minorEastAsia" w:eastAsiaTheme="minorEastAsia"/>
          <w:color w:val="auto"/>
          <w:sz w:val="24"/>
          <w:highlight w:val="none"/>
        </w:rPr>
        <w:t>其中涉及资格条件的如非本法人所拥有，则投标无效。</w:t>
      </w:r>
    </w:p>
    <w:p w14:paraId="38A02923">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2.投标供应商所投产品除招标文件中明确规定要求“提供官网截图或相应检测报告的证明材料”以外，所有技术参数描述均以投标文件为准。投标供应商对所投产品技术参数的真实性承担法律责任。项目招标结束后且在质疑期限内，如有投标供应商认为中标供应商所投产品、投标文件技术参数与招标需求存在重大偏离、错误，甚至造假的情况，应提供</w:t>
      </w:r>
      <w:r>
        <w:rPr>
          <w:rFonts w:hint="eastAsia" w:ascii="宋体" w:hAnsi="宋体" w:cs="宋体"/>
          <w:color w:val="auto"/>
          <w:sz w:val="24"/>
          <w:szCs w:val="24"/>
          <w:highlight w:val="none"/>
        </w:rPr>
        <w:t>具体</w:t>
      </w:r>
      <w:r>
        <w:rPr>
          <w:rFonts w:hint="eastAsia" w:asciiTheme="minorEastAsia" w:hAnsiTheme="minorEastAsia" w:eastAsiaTheme="minorEastAsia" w:cstheme="minorBidi"/>
          <w:color w:val="auto"/>
          <w:sz w:val="24"/>
          <w:szCs w:val="24"/>
          <w:highlight w:val="none"/>
        </w:rPr>
        <w:t>有效的证明材料。</w:t>
      </w:r>
    </w:p>
    <w:p w14:paraId="601407A4">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3.投标</w:t>
      </w:r>
      <w:r>
        <w:rPr>
          <w:rFonts w:hint="eastAsia" w:ascii="宋体" w:hAnsi="宋体" w:cs="宋体"/>
          <w:color w:val="auto"/>
          <w:sz w:val="24"/>
          <w:szCs w:val="24"/>
          <w:highlight w:val="none"/>
        </w:rPr>
        <w:t>供应</w:t>
      </w:r>
      <w:r>
        <w:rPr>
          <w:rFonts w:hint="eastAsia" w:asciiTheme="minorEastAsia" w:hAnsiTheme="minorEastAsia" w:eastAsiaTheme="minorEastAsia" w:cstheme="minorBidi"/>
          <w:color w:val="auto"/>
          <w:sz w:val="24"/>
          <w:szCs w:val="24"/>
          <w:highlight w:val="none"/>
        </w:rPr>
        <w:t>商在投标活动中提供任何虚假材料,其投标无效，并报监管部门查处；中标后发现的,根据《中华人民共和国政府采购法》第七十七条第一款第一项之规定，处以采购金额</w:t>
      </w:r>
      <w:r>
        <w:rPr>
          <w:rFonts w:hint="eastAsia" w:ascii="宋体" w:hAnsi="宋体" w:cs="宋体"/>
          <w:color w:val="auto"/>
          <w:sz w:val="24"/>
          <w:szCs w:val="24"/>
          <w:highlight w:val="none"/>
        </w:rPr>
        <w:t>千分之五</w:t>
      </w:r>
      <w:r>
        <w:rPr>
          <w:rFonts w:hint="eastAsia" w:asciiTheme="minorEastAsia" w:hAnsiTheme="minorEastAsia" w:eastAsiaTheme="minorEastAsia" w:cstheme="minorBidi"/>
          <w:color w:val="auto"/>
          <w:sz w:val="24"/>
          <w:szCs w:val="24"/>
          <w:highlight w:val="none"/>
        </w:rPr>
        <w:t>以上千分之十以下的罚款，列入不良行为记录名单，在一至三年内禁止参加政府采购活动，有违法所得的，并处没收违法所得，情节严重的，由工商行政管理机关吊销营业执照；构成犯罪的，依法追究刑事责任。</w:t>
      </w:r>
    </w:p>
    <w:p w14:paraId="7448DCF2">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4.投标供应商不得相互串通投标报价，不得妨碍其他投标供应商的公平竞争，不得损害采购人或其他投标供应商的合法权益，投标供应商不得以向采购人、评标委员会成员行贿或者</w:t>
      </w:r>
      <w:r>
        <w:rPr>
          <w:rFonts w:hint="eastAsia" w:ascii="宋体" w:hAnsi="宋体" w:cs="宋体"/>
          <w:color w:val="auto"/>
          <w:sz w:val="24"/>
          <w:szCs w:val="24"/>
          <w:highlight w:val="none"/>
        </w:rPr>
        <w:t>采取</w:t>
      </w:r>
      <w:r>
        <w:rPr>
          <w:rFonts w:hint="eastAsia" w:asciiTheme="minorEastAsia" w:hAnsiTheme="minorEastAsia" w:eastAsiaTheme="minorEastAsia" w:cstheme="minorBidi"/>
          <w:color w:val="auto"/>
          <w:sz w:val="24"/>
          <w:szCs w:val="24"/>
          <w:highlight w:val="none"/>
        </w:rPr>
        <w:t>其他不正当手段谋取中标。</w:t>
      </w:r>
    </w:p>
    <w:p w14:paraId="6D27A004">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5.单位负责人为同一人或者存在直接控股、管理关系的不同供应商，不得参加同一合同项下的政府采购活动。</w:t>
      </w:r>
    </w:p>
    <w:p w14:paraId="60A99BCD">
      <w:pPr>
        <w:pStyle w:val="28"/>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6.本招标文件中关于电子招投标内容、流程如与政采云系统中最新的内容、操作不一致的，以政采云系统中的要求为准。</w:t>
      </w:r>
    </w:p>
    <w:p w14:paraId="200457CE">
      <w:pPr>
        <w:pStyle w:val="28"/>
        <w:snapToGrid w:val="0"/>
        <w:spacing w:line="360" w:lineRule="auto"/>
        <w:ind w:firstLine="480"/>
        <w:rPr>
          <w:rFonts w:ascii="宋体" w:hAnsi="宋体" w:cs="宋体"/>
          <w:color w:val="auto"/>
          <w:sz w:val="24"/>
          <w:highlight w:val="none"/>
        </w:rPr>
      </w:pP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7</w:t>
      </w:r>
      <w:r>
        <w:rPr>
          <w:rFonts w:ascii="宋体" w:hAnsi="宋体" w:cs="宋体"/>
          <w:color w:val="auto"/>
          <w:sz w:val="24"/>
          <w:highlight w:val="none"/>
        </w:rPr>
        <w:t>.</w:t>
      </w:r>
      <w:r>
        <w:rPr>
          <w:rFonts w:hint="eastAsia" w:ascii="宋体" w:hAnsi="宋体" w:cs="宋体"/>
          <w:color w:val="auto"/>
          <w:sz w:val="24"/>
          <w:highlight w:val="none"/>
        </w:rPr>
        <w:t>供应商在参与政府采购活动中所签署的一切文件，包括但不限于签到表、《政府采购活动现场确认声明书》等文件，特别是有关利害关系应如实填写、如实披露，供应商授权参与政府采购的人员视为应当知道与采购人、代理机构、其他供应商之间的利害关系。如未如实披露，则视为提供虚假材料，由供应商承担不利后果。</w:t>
      </w:r>
    </w:p>
    <w:p w14:paraId="7EB75135">
      <w:pPr>
        <w:pStyle w:val="28"/>
        <w:numPr>
          <w:ilvl w:val="0"/>
          <w:numId w:val="6"/>
        </w:numPr>
        <w:snapToGrid w:val="0"/>
        <w:spacing w:line="360" w:lineRule="auto"/>
        <w:ind w:firstLine="480"/>
        <w:rPr>
          <w:rFonts w:ascii="宋体" w:hAnsi="宋体" w:cs="宋体"/>
          <w:color w:val="auto"/>
          <w:sz w:val="24"/>
          <w:highlight w:val="none"/>
        </w:rPr>
      </w:pPr>
      <w:r>
        <w:rPr>
          <w:rFonts w:hint="eastAsia" w:ascii="宋体" w:hAnsi="宋体" w:cs="宋体"/>
          <w:color w:val="auto"/>
          <w:sz w:val="24"/>
          <w:szCs w:val="24"/>
          <w:highlight w:val="none"/>
        </w:rPr>
        <w:t>根据《浙江省财政厅关于规范政府采购供应商资格设定及资格审查的通知》（浙财采监[2013]24号）第</w:t>
      </w:r>
      <w:r>
        <w:rPr>
          <w:rFonts w:hint="eastAsia" w:ascii="宋体" w:hAnsi="宋体" w:cs="宋体"/>
          <w:color w:val="auto"/>
          <w:sz w:val="24"/>
          <w:highlight w:val="none"/>
        </w:rPr>
        <w:t>六</w:t>
      </w:r>
      <w:r>
        <w:rPr>
          <w:rFonts w:hint="eastAsia" w:ascii="宋体" w:hAnsi="宋体" w:cs="宋体"/>
          <w:color w:val="auto"/>
          <w:sz w:val="24"/>
          <w:szCs w:val="24"/>
          <w:highlight w:val="none"/>
        </w:rPr>
        <w:t>条规定</w:t>
      </w:r>
      <w:r>
        <w:rPr>
          <w:rFonts w:hint="eastAsia" w:ascii="宋体" w:hAnsi="宋体" w:cs="宋体"/>
          <w:color w:val="auto"/>
          <w:sz w:val="24"/>
          <w:highlight w:val="none"/>
        </w:rPr>
        <w:t>，</w:t>
      </w:r>
      <w:r>
        <w:rPr>
          <w:rFonts w:hint="eastAsia" w:ascii="宋体" w:hAnsi="宋体" w:cs="宋体"/>
          <w:color w:val="auto"/>
          <w:sz w:val="24"/>
          <w:szCs w:val="24"/>
          <w:highlight w:val="none"/>
        </w:rPr>
        <w:t>金融、保险、通讯等特定行业的全国性企业所设立的区域性分支机构，且已经依法办理了工商、税务和社保登记手续，并且获得总机构授权或能够提供房产权证或其他有效财产证明材料，证明其具备实际承担责任的能力和法定的缔结合同能力</w:t>
      </w:r>
      <w:r>
        <w:rPr>
          <w:rFonts w:hint="eastAsia" w:ascii="宋体" w:hAnsi="宋体" w:cs="宋体"/>
          <w:color w:val="auto"/>
          <w:sz w:val="24"/>
          <w:highlight w:val="none"/>
        </w:rPr>
        <w:t>，可以允许其独立参加政府采购活动。</w:t>
      </w:r>
    </w:p>
    <w:p w14:paraId="4FB81210">
      <w:pPr>
        <w:pStyle w:val="28"/>
        <w:numPr>
          <w:ilvl w:val="0"/>
          <w:numId w:val="6"/>
        </w:numPr>
        <w:snapToGrid w:val="0"/>
        <w:spacing w:line="360" w:lineRule="auto"/>
        <w:ind w:firstLine="480"/>
        <w:rPr>
          <w:rFonts w:ascii="宋体" w:hAnsi="宋体" w:cs="宋体"/>
          <w:color w:val="auto"/>
          <w:sz w:val="24"/>
          <w:highlight w:val="none"/>
        </w:rPr>
      </w:pP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本项目不允许转包、分包。</w:t>
      </w:r>
    </w:p>
    <w:p w14:paraId="54163626">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三、招标文件</w:t>
      </w:r>
    </w:p>
    <w:p w14:paraId="36E73FAA">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（一）招标文件由招标文件总目录所列内容组成。</w:t>
      </w:r>
    </w:p>
    <w:p w14:paraId="6482C4A5">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（二）投标供应商在规定的时间内未对招标文件提出疑问、质疑或要求澄清的，将视其为无异议。</w:t>
      </w:r>
    </w:p>
    <w:p w14:paraId="71AE24F2">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（三）对招标文件中描述有歧义或前后不一致的地方，评标委员会有权进行评判，但对同一条款的评判应适用于每个投标供应商。</w:t>
      </w:r>
    </w:p>
    <w:p w14:paraId="0D33FF93">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采购组织机构对招标文件进行必要的澄清更正的，澄清或者修改的内容可能影响投标文件编制的，于投标截止时间的15日前在浙江省政府采购网上以更正公告的形式通知各潜在的投标供应商；不足15日的，采购组织机构应当顺延提交投标文件的截止时间。</w:t>
      </w:r>
    </w:p>
    <w:p w14:paraId="15C829A5">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四、投标文件</w:t>
      </w:r>
    </w:p>
    <w:p w14:paraId="467586D2">
      <w:pPr>
        <w:pStyle w:val="9"/>
        <w:spacing w:line="360" w:lineRule="auto"/>
        <w:ind w:firstLine="482" w:firstLineChars="200"/>
        <w:rPr>
          <w:rFonts w:asciiTheme="minorEastAsia" w:hAnsiTheme="minorEastAsia"/>
          <w:b/>
          <w:color w:val="auto"/>
          <w:kern w:val="0"/>
          <w:sz w:val="24"/>
          <w:highlight w:val="none"/>
        </w:rPr>
      </w:pPr>
      <w:r>
        <w:rPr>
          <w:rFonts w:hint="eastAsia" w:asciiTheme="minorEastAsia" w:hAnsiTheme="minorEastAsia" w:eastAsiaTheme="minorEastAsia"/>
          <w:b/>
          <w:color w:val="auto"/>
          <w:kern w:val="0"/>
          <w:sz w:val="24"/>
          <w:highlight w:val="none"/>
        </w:rPr>
        <w:t>（一）投标文件的编制</w:t>
      </w:r>
    </w:p>
    <w:p w14:paraId="1708D69A">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color w:val="auto"/>
          <w:kern w:val="0"/>
          <w:sz w:val="24"/>
          <w:highlight w:val="none"/>
        </w:rPr>
        <w:t xml:space="preserve"> 投标供应商接到招标文件后，按照采购组织机构的要求提供：资格证明文件、商务与技术文件和报价</w:t>
      </w:r>
      <w:r>
        <w:rPr>
          <w:rFonts w:hint="eastAsia" w:asciiTheme="minorEastAsia" w:hAnsiTheme="minorEastAsia" w:eastAsiaTheme="minorEastAsia"/>
          <w:color w:val="auto"/>
          <w:kern w:val="0"/>
          <w:sz w:val="24"/>
          <w:highlight w:val="none"/>
          <w:lang w:val="zh-CN"/>
        </w:rPr>
        <w:t>文件。【特别提示：如在投标时有要求提供资料原件的，将原件扫描放入投标文件。】</w:t>
      </w:r>
    </w:p>
    <w:p w14:paraId="7C7608EA">
      <w:pPr>
        <w:snapToGrid w:val="0"/>
        <w:spacing w:line="360" w:lineRule="auto"/>
        <w:ind w:firstLine="482"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1.资格证明</w:t>
      </w:r>
      <w:r>
        <w:rPr>
          <w:rFonts w:asciiTheme="minorEastAsia" w:hAnsiTheme="minorEastAsia" w:eastAsiaTheme="minorEastAsia"/>
          <w:b/>
          <w:color w:val="auto"/>
          <w:sz w:val="24"/>
          <w:highlight w:val="none"/>
        </w:rPr>
        <w:t>文件</w:t>
      </w:r>
      <w:r>
        <w:rPr>
          <w:rFonts w:hint="eastAsia" w:ascii="宋体" w:hAnsi="宋体"/>
          <w:b/>
          <w:color w:val="auto"/>
          <w:sz w:val="24"/>
          <w:highlight w:val="none"/>
        </w:rPr>
        <w:t>的组成：</w:t>
      </w:r>
    </w:p>
    <w:p w14:paraId="0E763922">
      <w:pPr>
        <w:widowControl/>
        <w:numPr>
          <w:ilvl w:val="0"/>
          <w:numId w:val="7"/>
        </w:numPr>
        <w:spacing w:line="360" w:lineRule="auto"/>
        <w:ind w:right="60" w:firstLine="475" w:firstLineChars="197"/>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投标声明书（</w:t>
      </w:r>
      <w:bookmarkStart w:id="54" w:name="OLE_LINK446"/>
      <w:bookmarkStart w:id="55" w:name="OLE_LINK448"/>
      <w:bookmarkStart w:id="56" w:name="OLE_LINK447"/>
      <w:r>
        <w:rPr>
          <w:rFonts w:hint="eastAsia" w:ascii="宋体" w:hAnsi="宋体" w:cs="宋体"/>
          <w:color w:val="auto"/>
          <w:sz w:val="24"/>
          <w:highlight w:val="none"/>
        </w:rPr>
        <w:t>格式见附件</w:t>
      </w:r>
      <w:bookmarkEnd w:id="54"/>
      <w:bookmarkEnd w:id="55"/>
      <w:bookmarkEnd w:id="56"/>
      <w:r>
        <w:rPr>
          <w:rFonts w:hint="eastAsia" w:ascii="宋体" w:hAnsi="宋体" w:cs="宋体"/>
          <w:color w:val="auto"/>
          <w:sz w:val="24"/>
          <w:highlight w:val="none"/>
        </w:rPr>
        <w:t>）；</w:t>
      </w:r>
    </w:p>
    <w:p w14:paraId="59ADAB3F">
      <w:pPr>
        <w:widowControl/>
        <w:numPr>
          <w:ilvl w:val="0"/>
          <w:numId w:val="7"/>
        </w:numPr>
        <w:spacing w:line="360" w:lineRule="auto"/>
        <w:ind w:right="60" w:firstLine="475" w:firstLineChars="197"/>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授权委托书（格式见附件，法定代表人亲自办理投标事宜的，则仅需提供身份证扫描件或影印件，无需提交本授权书)；</w:t>
      </w:r>
    </w:p>
    <w:p w14:paraId="66A9B3AE">
      <w:pPr>
        <w:widowControl/>
        <w:numPr>
          <w:ilvl w:val="0"/>
          <w:numId w:val="7"/>
        </w:numPr>
        <w:spacing w:line="360" w:lineRule="auto"/>
        <w:ind w:right="60" w:firstLine="475"/>
        <w:jc w:val="left"/>
        <w:outlineLvl w:val="0"/>
        <w:rPr>
          <w:rFonts w:ascii="宋体" w:hAnsi="宋体" w:cs="宋体"/>
          <w:color w:val="auto"/>
          <w:sz w:val="24"/>
          <w:highlight w:val="none"/>
        </w:rPr>
      </w:pPr>
      <w:bookmarkStart w:id="57" w:name="OLE_LINK119"/>
      <w:bookmarkStart w:id="58" w:name="OLE_LINK118"/>
      <w:r>
        <w:rPr>
          <w:rFonts w:hint="eastAsia" w:ascii="宋体" w:hAnsi="宋体" w:cs="宋体"/>
          <w:b/>
          <w:color w:val="auto"/>
          <w:sz w:val="24"/>
          <w:highlight w:val="none"/>
        </w:rPr>
        <w:t>▲</w:t>
      </w:r>
      <w:bookmarkEnd w:id="57"/>
      <w:bookmarkEnd w:id="58"/>
      <w:r>
        <w:rPr>
          <w:rFonts w:hint="eastAsia" w:ascii="宋体" w:hAnsi="宋体" w:cs="宋体"/>
          <w:color w:val="auto"/>
          <w:sz w:val="24"/>
          <w:highlight w:val="none"/>
        </w:rPr>
        <w:t>法人或者其他组织的营业执照等证明文件，符合浙财采监[2013]24号文件规定的分支机构等投标的还须提供总公司（总机构）授权书原件加盖供应商公章或房产权证复印件加盖供应商公章或其他有效财产证明材料复印件加盖供应商公章；</w:t>
      </w:r>
      <w:r>
        <w:rPr>
          <w:rFonts w:ascii="宋体" w:hAnsi="宋体" w:cs="宋体"/>
          <w:color w:val="auto"/>
          <w:sz w:val="24"/>
          <w:highlight w:val="none"/>
        </w:rPr>
        <w:t xml:space="preserve"> </w:t>
      </w:r>
    </w:p>
    <w:p w14:paraId="08B20572">
      <w:pPr>
        <w:widowControl/>
        <w:numPr>
          <w:ilvl w:val="0"/>
          <w:numId w:val="7"/>
        </w:numPr>
        <w:spacing w:line="360" w:lineRule="auto"/>
        <w:ind w:right="60" w:firstLine="475" w:firstLineChars="197"/>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提供关于供应商财务状况和依法缴纳税收及社会保障资金的书面承诺（格式见附件）；</w:t>
      </w:r>
    </w:p>
    <w:p w14:paraId="5AB5F179">
      <w:pPr>
        <w:widowControl/>
        <w:numPr>
          <w:ilvl w:val="0"/>
          <w:numId w:val="7"/>
        </w:numPr>
        <w:spacing w:line="360" w:lineRule="auto"/>
        <w:ind w:right="60" w:firstLine="475" w:firstLineChars="197"/>
        <w:jc w:val="left"/>
        <w:outlineLvl w:val="0"/>
        <w:rPr>
          <w:rFonts w:ascii="宋体" w:hAnsi="宋体" w:cs="宋体"/>
          <w:color w:val="auto"/>
          <w:sz w:val="24"/>
          <w:highlight w:val="none"/>
        </w:rPr>
      </w:pPr>
      <w:bookmarkStart w:id="59" w:name="OLE_LINK104"/>
      <w:bookmarkStart w:id="60" w:name="OLE_LINK103"/>
      <w:r>
        <w:rPr>
          <w:rFonts w:hint="eastAsia" w:ascii="宋体" w:hAnsi="宋体" w:cs="宋体"/>
          <w:b/>
          <w:color w:val="auto"/>
          <w:sz w:val="24"/>
          <w:highlight w:val="none"/>
        </w:rPr>
        <w:t>▲</w:t>
      </w:r>
      <w:bookmarkEnd w:id="59"/>
      <w:bookmarkEnd w:id="60"/>
      <w:r>
        <w:rPr>
          <w:rFonts w:hint="eastAsia" w:ascii="宋体" w:hAnsi="宋体" w:cs="宋体"/>
          <w:color w:val="auto"/>
          <w:sz w:val="24"/>
          <w:highlight w:val="none"/>
        </w:rPr>
        <w:t>具备履行合同所必需的设备和专业技术能力的承诺函(格式见附件)；</w:t>
      </w:r>
    </w:p>
    <w:p w14:paraId="678C530C">
      <w:pPr>
        <w:widowControl/>
        <w:numPr>
          <w:ilvl w:val="0"/>
          <w:numId w:val="7"/>
        </w:numPr>
        <w:spacing w:line="360" w:lineRule="auto"/>
        <w:ind w:right="60" w:firstLine="475" w:firstLineChars="197"/>
        <w:jc w:val="left"/>
        <w:outlineLvl w:val="0"/>
        <w:rPr>
          <w:rFonts w:hint="eastAsia"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符合本项目特定资格要求的证明材料</w:t>
      </w:r>
      <w:r>
        <w:rPr>
          <w:color w:val="auto"/>
          <w:sz w:val="24"/>
          <w:highlight w:val="none"/>
        </w:rPr>
        <w:t>；</w:t>
      </w:r>
    </w:p>
    <w:p w14:paraId="30BBBFBB">
      <w:pPr>
        <w:widowControl/>
        <w:numPr>
          <w:ilvl w:val="0"/>
          <w:numId w:val="7"/>
        </w:numPr>
        <w:spacing w:line="360" w:lineRule="auto"/>
        <w:ind w:right="60" w:firstLine="472" w:firstLineChars="197"/>
        <w:jc w:val="left"/>
        <w:outlineLvl w:val="0"/>
        <w:rPr>
          <w:rFonts w:ascii="宋体" w:hAnsi="宋体" w:cs="宋体"/>
          <w:color w:val="auto"/>
          <w:sz w:val="24"/>
          <w:highlight w:val="none"/>
        </w:rPr>
      </w:pPr>
      <w:r>
        <w:rPr>
          <w:rFonts w:hint="eastAsia" w:ascii="宋体" w:hAnsi="宋体" w:cs="宋体"/>
          <w:color w:val="auto"/>
          <w:sz w:val="24"/>
          <w:highlight w:val="none"/>
        </w:rPr>
        <w:t>需要说明的其他资料（如有）。</w:t>
      </w:r>
    </w:p>
    <w:p w14:paraId="046F555C">
      <w:pPr>
        <w:snapToGrid w:val="0"/>
        <w:spacing w:line="360" w:lineRule="auto"/>
        <w:ind w:left="482"/>
        <w:rPr>
          <w:rFonts w:ascii="宋体" w:hAnsi="宋体"/>
          <w:b/>
          <w:color w:val="auto"/>
          <w:sz w:val="24"/>
          <w:highlight w:val="none"/>
        </w:rPr>
      </w:pPr>
      <w:r>
        <w:rPr>
          <w:rFonts w:hint="eastAsia" w:ascii="宋体" w:hAnsi="宋体"/>
          <w:b/>
          <w:color w:val="auto"/>
          <w:sz w:val="24"/>
          <w:highlight w:val="none"/>
        </w:rPr>
        <w:t>2.商务与技术文件的组成：</w:t>
      </w:r>
    </w:p>
    <w:p w14:paraId="19B2BF1C">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（1）评分索引表（</w:t>
      </w:r>
      <w:r>
        <w:rPr>
          <w:rFonts w:hint="eastAsia" w:ascii="宋体" w:hAnsi="宋体" w:cs="宋体"/>
          <w:color w:val="auto"/>
          <w:sz w:val="24"/>
          <w:highlight w:val="none"/>
        </w:rPr>
        <w:t>格式见附件</w:t>
      </w:r>
      <w:r>
        <w:rPr>
          <w:rFonts w:hint="eastAsia" w:ascii="宋体" w:hAnsi="宋体" w:cs="宋体"/>
          <w:color w:val="auto"/>
          <w:sz w:val="24"/>
          <w:szCs w:val="24"/>
          <w:highlight w:val="none"/>
        </w:rPr>
        <w:t>）</w:t>
      </w:r>
    </w:p>
    <w:p w14:paraId="1F428A24">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（2）投标函（</w:t>
      </w:r>
      <w:r>
        <w:rPr>
          <w:rFonts w:hint="eastAsia" w:ascii="宋体" w:hAnsi="宋体" w:cs="宋体"/>
          <w:color w:val="auto"/>
          <w:sz w:val="24"/>
          <w:highlight w:val="none"/>
        </w:rPr>
        <w:t>格式见附件</w:t>
      </w:r>
      <w:r>
        <w:rPr>
          <w:rFonts w:hint="eastAsia" w:ascii="宋体" w:hAnsi="宋体" w:cs="宋体"/>
          <w:color w:val="auto"/>
          <w:sz w:val="24"/>
          <w:szCs w:val="24"/>
          <w:highlight w:val="none"/>
        </w:rPr>
        <w:t>）</w:t>
      </w:r>
    </w:p>
    <w:p w14:paraId="262806E6">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（3）技术方案描述部分</w:t>
      </w:r>
    </w:p>
    <w:p w14:paraId="1FB74E6A">
      <w:pPr>
        <w:pStyle w:val="9"/>
        <w:widowControl/>
        <w:numPr>
          <w:ilvl w:val="0"/>
          <w:numId w:val="8"/>
        </w:numPr>
        <w:adjustRightInd w:val="0"/>
        <w:snapToGrid w:val="0"/>
        <w:spacing w:line="360" w:lineRule="auto"/>
        <w:ind w:firstLine="640"/>
        <w:rPr>
          <w:color w:val="auto"/>
          <w:sz w:val="24"/>
          <w:highlight w:val="none"/>
        </w:rPr>
      </w:pPr>
      <w:r>
        <w:rPr>
          <w:rFonts w:hint="eastAsia"/>
          <w:color w:val="auto"/>
          <w:sz w:val="24"/>
          <w:highlight w:val="none"/>
        </w:rPr>
        <w:t>技术需求响应表（格式见附件）；</w:t>
      </w:r>
    </w:p>
    <w:p w14:paraId="210CA2C5">
      <w:pPr>
        <w:pStyle w:val="9"/>
        <w:widowControl/>
        <w:numPr>
          <w:ilvl w:val="0"/>
          <w:numId w:val="8"/>
        </w:numPr>
        <w:adjustRightInd w:val="0"/>
        <w:snapToGrid w:val="0"/>
        <w:spacing w:line="360" w:lineRule="auto"/>
        <w:ind w:firstLine="640"/>
        <w:rPr>
          <w:color w:val="auto"/>
          <w:sz w:val="24"/>
          <w:highlight w:val="none"/>
        </w:rPr>
      </w:pPr>
      <w:r>
        <w:rPr>
          <w:rFonts w:hint="eastAsia"/>
          <w:color w:val="auto"/>
          <w:sz w:val="24"/>
          <w:highlight w:val="none"/>
        </w:rPr>
        <w:t>技术参数响应表（</w:t>
      </w:r>
      <w:r>
        <w:rPr>
          <w:rFonts w:hint="eastAsia" w:ascii="宋体" w:hAnsi="宋体" w:cs="宋体"/>
          <w:color w:val="auto"/>
          <w:sz w:val="24"/>
          <w:highlight w:val="none"/>
        </w:rPr>
        <w:t>格式见附件</w:t>
      </w:r>
      <w:r>
        <w:rPr>
          <w:rFonts w:hint="eastAsia"/>
          <w:color w:val="auto"/>
          <w:sz w:val="24"/>
          <w:highlight w:val="none"/>
        </w:rPr>
        <w:t>）；</w:t>
      </w:r>
    </w:p>
    <w:p w14:paraId="4159A833">
      <w:pPr>
        <w:pStyle w:val="9"/>
        <w:widowControl/>
        <w:numPr>
          <w:ilvl w:val="0"/>
          <w:numId w:val="8"/>
        </w:numPr>
        <w:adjustRightInd w:val="0"/>
        <w:snapToGrid w:val="0"/>
        <w:spacing w:line="360" w:lineRule="auto"/>
        <w:ind w:firstLine="640"/>
        <w:rPr>
          <w:rFonts w:ascii="宋体" w:hAnsi="宋体" w:cs="宋体"/>
          <w:color w:val="auto"/>
          <w:sz w:val="24"/>
          <w:szCs w:val="24"/>
          <w:highlight w:val="none"/>
        </w:rPr>
      </w:pPr>
      <w:r>
        <w:rPr>
          <w:rFonts w:hint="eastAsia" w:ascii="宋体" w:hAnsi="宋体"/>
          <w:color w:val="auto"/>
          <w:sz w:val="24"/>
          <w:highlight w:val="none"/>
        </w:rPr>
        <w:t>技术方案及服务承诺（对应“第四章评标”相关评分细则内容分章节编写，格式自拟）</w:t>
      </w:r>
      <w:r>
        <w:rPr>
          <w:rFonts w:ascii="宋体" w:hAnsi="宋体" w:cs="宋体"/>
          <w:color w:val="auto"/>
          <w:sz w:val="24"/>
          <w:szCs w:val="24"/>
          <w:highlight w:val="none"/>
        </w:rPr>
        <w:t>；</w:t>
      </w:r>
    </w:p>
    <w:p w14:paraId="1C605BBA">
      <w:pPr>
        <w:pStyle w:val="9"/>
        <w:widowControl/>
        <w:numPr>
          <w:ilvl w:val="0"/>
          <w:numId w:val="8"/>
        </w:numPr>
        <w:adjustRightInd w:val="0"/>
        <w:snapToGrid w:val="0"/>
        <w:spacing w:line="360" w:lineRule="auto"/>
        <w:ind w:firstLine="640"/>
        <w:rPr>
          <w:rFonts w:ascii="宋体" w:hAnsi="宋体" w:cs="宋体"/>
          <w:color w:val="auto"/>
          <w:sz w:val="24"/>
          <w:highlight w:val="none"/>
        </w:rPr>
      </w:pPr>
      <w:r>
        <w:rPr>
          <w:rFonts w:hint="eastAsia" w:ascii="宋体" w:hAnsi="宋体" w:cs="宋体"/>
          <w:color w:val="auto"/>
          <w:sz w:val="24"/>
          <w:szCs w:val="24"/>
          <w:highlight w:val="none"/>
        </w:rPr>
        <w:t>供应</w:t>
      </w:r>
      <w:r>
        <w:rPr>
          <w:rFonts w:hint="eastAsia" w:ascii="宋体" w:hAnsi="宋体" w:cs="宋体"/>
          <w:color w:val="auto"/>
          <w:sz w:val="24"/>
          <w:highlight w:val="none"/>
        </w:rPr>
        <w:t>商认为需要提供的其他资料（包括可能影响供应商技术内容评分的各类证明材料）。</w:t>
      </w:r>
    </w:p>
    <w:p w14:paraId="1A8624E1">
      <w:pPr>
        <w:pStyle w:val="9"/>
        <w:widowControl/>
        <w:adjustRightInd w:val="0"/>
        <w:snapToGri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（4）</w:t>
      </w:r>
      <w:r>
        <w:rPr>
          <w:rFonts w:hint="eastAsia" w:ascii="宋体" w:hAnsi="宋体" w:cs="宋体"/>
          <w:color w:val="auto"/>
          <w:sz w:val="24"/>
          <w:szCs w:val="24"/>
          <w:highlight w:val="none"/>
        </w:rPr>
        <w:t>商务</w:t>
      </w:r>
      <w:r>
        <w:rPr>
          <w:rFonts w:hint="eastAsia" w:ascii="宋体" w:hAnsi="宋体"/>
          <w:color w:val="auto"/>
          <w:kern w:val="0"/>
          <w:sz w:val="24"/>
          <w:highlight w:val="none"/>
        </w:rPr>
        <w:t>响应及其他部分</w:t>
      </w:r>
    </w:p>
    <w:p w14:paraId="3F8FE7C3">
      <w:pPr>
        <w:pStyle w:val="9"/>
        <w:widowControl/>
        <w:numPr>
          <w:ilvl w:val="0"/>
          <w:numId w:val="9"/>
        </w:numPr>
        <w:adjustRightInd w:val="0"/>
        <w:snapToGrid w:val="0"/>
        <w:spacing w:line="360" w:lineRule="auto"/>
        <w:ind w:firstLine="640"/>
        <w:rPr>
          <w:rFonts w:hint="eastAsia" w:ascii="宋体" w:hAnsi="宋体" w:cs="宋体"/>
          <w:color w:val="auto"/>
          <w:sz w:val="24"/>
          <w:szCs w:val="24"/>
          <w:highlight w:val="none"/>
        </w:rPr>
      </w:pPr>
      <w:r>
        <w:rPr>
          <w:rFonts w:hint="eastAsia"/>
          <w:color w:val="auto"/>
          <w:sz w:val="24"/>
          <w:highlight w:val="none"/>
        </w:rPr>
        <w:t>供应</w:t>
      </w:r>
      <w:r>
        <w:rPr>
          <w:rFonts w:hint="eastAsia" w:ascii="宋体" w:hAnsi="宋体" w:cs="宋体"/>
          <w:color w:val="auto"/>
          <w:sz w:val="24"/>
          <w:szCs w:val="24"/>
          <w:highlight w:val="none"/>
        </w:rPr>
        <w:t>商基本情况表（</w:t>
      </w:r>
      <w:r>
        <w:rPr>
          <w:rFonts w:hint="eastAsia" w:ascii="宋体" w:hAnsi="宋体" w:cs="宋体"/>
          <w:color w:val="auto"/>
          <w:sz w:val="24"/>
          <w:highlight w:val="none"/>
        </w:rPr>
        <w:t>格式见附件</w:t>
      </w:r>
      <w:r>
        <w:rPr>
          <w:rFonts w:hint="eastAsia" w:ascii="宋体" w:hAnsi="宋体" w:cs="宋体"/>
          <w:color w:val="auto"/>
          <w:sz w:val="24"/>
          <w:szCs w:val="24"/>
          <w:highlight w:val="none"/>
        </w:rPr>
        <w:t>）；</w:t>
      </w:r>
    </w:p>
    <w:p w14:paraId="430D996B">
      <w:pPr>
        <w:pStyle w:val="9"/>
        <w:widowControl/>
        <w:numPr>
          <w:ilvl w:val="0"/>
          <w:numId w:val="9"/>
        </w:numPr>
        <w:adjustRightInd w:val="0"/>
        <w:snapToGrid w:val="0"/>
        <w:spacing w:line="360" w:lineRule="auto"/>
        <w:ind w:firstLine="640"/>
        <w:rPr>
          <w:color w:val="auto"/>
          <w:sz w:val="24"/>
          <w:highlight w:val="none"/>
        </w:rPr>
      </w:pPr>
      <w:bookmarkStart w:id="61" w:name="OLE_LINK18"/>
      <w:bookmarkStart w:id="62" w:name="OLE_LINK17"/>
      <w:r>
        <w:rPr>
          <w:rFonts w:hint="eastAsia"/>
          <w:color w:val="auto"/>
          <w:sz w:val="24"/>
          <w:highlight w:val="none"/>
        </w:rPr>
        <w:t>供应商</w:t>
      </w:r>
      <w:r>
        <w:rPr>
          <w:color w:val="auto"/>
          <w:sz w:val="24"/>
          <w:highlight w:val="none"/>
        </w:rPr>
        <w:t>为医疗器械生产企业的：第二类、第三类医疗器械生产企业提供《医疗器械生产许可证》、第一类医疗器械生产企业提供第一类医疗器械生产备案凭证；</w:t>
      </w:r>
      <w:r>
        <w:rPr>
          <w:rFonts w:hint="eastAsia"/>
          <w:color w:val="auto"/>
          <w:sz w:val="24"/>
          <w:highlight w:val="none"/>
        </w:rPr>
        <w:t>供应商</w:t>
      </w:r>
      <w:r>
        <w:rPr>
          <w:color w:val="auto"/>
          <w:sz w:val="24"/>
          <w:highlight w:val="none"/>
        </w:rPr>
        <w:t>为医疗器械经营企业的：第三类医疗器械经营企业提供《医疗器械经营许可证》、第二类医疗器械经营企业提供第二类医疗器械经营备案凭证；</w:t>
      </w:r>
    </w:p>
    <w:bookmarkEnd w:id="61"/>
    <w:bookmarkEnd w:id="62"/>
    <w:p w14:paraId="7932AA7B">
      <w:pPr>
        <w:pStyle w:val="9"/>
        <w:widowControl/>
        <w:numPr>
          <w:ilvl w:val="0"/>
          <w:numId w:val="9"/>
        </w:numPr>
        <w:adjustRightInd w:val="0"/>
        <w:snapToGrid w:val="0"/>
        <w:spacing w:line="360" w:lineRule="auto"/>
        <w:ind w:firstLine="640"/>
        <w:rPr>
          <w:color w:val="auto"/>
          <w:sz w:val="24"/>
          <w:highlight w:val="none"/>
        </w:rPr>
      </w:pPr>
      <w:bookmarkStart w:id="63" w:name="OLE_LINK20"/>
      <w:bookmarkStart w:id="64" w:name="OLE_LINK19"/>
      <w:r>
        <w:rPr>
          <w:color w:val="auto"/>
          <w:sz w:val="24"/>
          <w:highlight w:val="none"/>
        </w:rPr>
        <w:t>食品药品监督管理部门核发的完整有效的医疗器械注册或备案证明；</w:t>
      </w:r>
      <w:bookmarkEnd w:id="63"/>
      <w:bookmarkEnd w:id="64"/>
      <w:r>
        <w:rPr>
          <w:color w:val="auto"/>
          <w:sz w:val="24"/>
          <w:highlight w:val="none"/>
        </w:rPr>
        <w:t xml:space="preserve"> </w:t>
      </w:r>
    </w:p>
    <w:p w14:paraId="1E1968A0">
      <w:pPr>
        <w:pStyle w:val="9"/>
        <w:widowControl/>
        <w:numPr>
          <w:ilvl w:val="0"/>
          <w:numId w:val="9"/>
        </w:numPr>
        <w:adjustRightInd w:val="0"/>
        <w:snapToGrid w:val="0"/>
        <w:spacing w:line="360" w:lineRule="auto"/>
        <w:ind w:firstLine="640"/>
        <w:rPr>
          <w:rFonts w:ascii="宋体" w:hAnsi="宋体"/>
          <w:color w:val="auto"/>
          <w:kern w:val="0"/>
          <w:sz w:val="24"/>
          <w:highlight w:val="none"/>
        </w:rPr>
      </w:pPr>
      <w:r>
        <w:rPr>
          <w:rFonts w:hint="eastAsia" w:ascii="宋体" w:hAnsi="宋体"/>
          <w:color w:val="auto"/>
          <w:kern w:val="0"/>
          <w:sz w:val="24"/>
          <w:highlight w:val="none"/>
        </w:rPr>
        <w:t>质保期承诺函（格式见附件）；</w:t>
      </w:r>
    </w:p>
    <w:p w14:paraId="0BE3B9B3">
      <w:pPr>
        <w:pStyle w:val="9"/>
        <w:widowControl/>
        <w:numPr>
          <w:ilvl w:val="0"/>
          <w:numId w:val="9"/>
        </w:numPr>
        <w:adjustRightInd w:val="0"/>
        <w:snapToGrid w:val="0"/>
        <w:spacing w:line="360" w:lineRule="auto"/>
        <w:ind w:firstLine="640"/>
        <w:rPr>
          <w:rFonts w:ascii="Calibri" w:hAnsi="Calibri" w:cs="Calibri"/>
          <w:color w:val="auto"/>
          <w:sz w:val="24"/>
          <w:highlight w:val="none"/>
        </w:rPr>
      </w:pPr>
      <w:r>
        <w:rPr>
          <w:rFonts w:hint="eastAsia" w:ascii="Calibri" w:hAnsi="Calibri" w:cs="Calibri"/>
          <w:color w:val="auto"/>
          <w:sz w:val="24"/>
          <w:highlight w:val="none"/>
        </w:rPr>
        <w:t>供应商类似项目实施情况一览表（</w:t>
      </w:r>
      <w:r>
        <w:rPr>
          <w:rFonts w:hint="eastAsia" w:ascii="宋体" w:hAnsi="宋体" w:cs="宋体"/>
          <w:color w:val="auto"/>
          <w:sz w:val="24"/>
          <w:highlight w:val="none"/>
        </w:rPr>
        <w:t>格式见附件</w:t>
      </w:r>
      <w:r>
        <w:rPr>
          <w:rFonts w:hint="eastAsia" w:ascii="Calibri" w:hAnsi="Calibri" w:cs="Calibri"/>
          <w:color w:val="auto"/>
          <w:sz w:val="24"/>
          <w:highlight w:val="none"/>
        </w:rPr>
        <w:t>）及相关证明材料；</w:t>
      </w:r>
    </w:p>
    <w:p w14:paraId="5E824713">
      <w:pPr>
        <w:pStyle w:val="9"/>
        <w:widowControl/>
        <w:numPr>
          <w:ilvl w:val="0"/>
          <w:numId w:val="9"/>
        </w:numPr>
        <w:adjustRightInd w:val="0"/>
        <w:snapToGrid w:val="0"/>
        <w:spacing w:line="360" w:lineRule="auto"/>
        <w:ind w:firstLine="640"/>
        <w:rPr>
          <w:color w:val="auto"/>
          <w:sz w:val="24"/>
          <w:highlight w:val="none"/>
        </w:rPr>
      </w:pPr>
      <w:r>
        <w:rPr>
          <w:rFonts w:hint="eastAsia"/>
          <w:color w:val="auto"/>
          <w:sz w:val="24"/>
          <w:highlight w:val="none"/>
        </w:rPr>
        <w:t>商务需求响应表（</w:t>
      </w:r>
      <w:r>
        <w:rPr>
          <w:rFonts w:hint="eastAsia" w:ascii="宋体" w:hAnsi="宋体" w:cs="宋体"/>
          <w:color w:val="auto"/>
          <w:sz w:val="24"/>
          <w:highlight w:val="none"/>
        </w:rPr>
        <w:t>格式见附件</w:t>
      </w:r>
      <w:r>
        <w:rPr>
          <w:rFonts w:hint="eastAsia"/>
          <w:color w:val="auto"/>
          <w:sz w:val="24"/>
          <w:highlight w:val="none"/>
        </w:rPr>
        <w:t>）；</w:t>
      </w:r>
    </w:p>
    <w:p w14:paraId="68F065AD">
      <w:pPr>
        <w:pStyle w:val="9"/>
        <w:widowControl/>
        <w:numPr>
          <w:ilvl w:val="0"/>
          <w:numId w:val="9"/>
        </w:numPr>
        <w:adjustRightInd w:val="0"/>
        <w:snapToGrid w:val="0"/>
        <w:spacing w:line="360" w:lineRule="auto"/>
        <w:ind w:firstLine="640"/>
        <w:rPr>
          <w:color w:val="auto"/>
          <w:sz w:val="24"/>
          <w:highlight w:val="none"/>
        </w:rPr>
      </w:pPr>
      <w:r>
        <w:rPr>
          <w:rFonts w:hint="eastAsia"/>
          <w:color w:val="auto"/>
          <w:sz w:val="24"/>
          <w:highlight w:val="none"/>
        </w:rPr>
        <w:t>供应商认为需要提供的其他资料（包括可能影响供应商商务内容评分的各类证明材料）。</w:t>
      </w:r>
    </w:p>
    <w:p w14:paraId="6D0DD25C">
      <w:pPr>
        <w:autoSpaceDE w:val="0"/>
        <w:autoSpaceDN w:val="0"/>
        <w:adjustRightInd w:val="0"/>
        <w:spacing w:line="360" w:lineRule="auto"/>
        <w:ind w:left="426" w:firstLine="65" w:firstLineChars="27"/>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3.报价内容的组成</w:t>
      </w:r>
    </w:p>
    <w:p w14:paraId="3423F56A">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（1）开标一览表（</w:t>
      </w:r>
      <w:r>
        <w:rPr>
          <w:rFonts w:hint="eastAsia" w:ascii="宋体" w:hAnsi="宋体" w:cs="宋体"/>
          <w:color w:val="auto"/>
          <w:sz w:val="24"/>
          <w:highlight w:val="none"/>
        </w:rPr>
        <w:t>格式见附件</w:t>
      </w:r>
      <w:r>
        <w:rPr>
          <w:rFonts w:hint="eastAsia" w:asciiTheme="minorEastAsia" w:hAnsiTheme="minorEastAsia" w:eastAsiaTheme="minorEastAsia"/>
          <w:color w:val="auto"/>
          <w:kern w:val="0"/>
          <w:sz w:val="24"/>
          <w:highlight w:val="none"/>
        </w:rPr>
        <w:t>）；</w:t>
      </w:r>
    </w:p>
    <w:p w14:paraId="17FCFB69">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（2）报价明细表（</w:t>
      </w:r>
      <w:r>
        <w:rPr>
          <w:rFonts w:hint="eastAsia" w:ascii="宋体" w:hAnsi="宋体" w:cs="宋体"/>
          <w:color w:val="auto"/>
          <w:sz w:val="24"/>
          <w:highlight w:val="none"/>
        </w:rPr>
        <w:t>格式见附件</w:t>
      </w:r>
      <w:r>
        <w:rPr>
          <w:rFonts w:hint="eastAsia" w:asciiTheme="minorEastAsia" w:hAnsiTheme="minorEastAsia" w:eastAsiaTheme="minorEastAsia"/>
          <w:color w:val="auto"/>
          <w:kern w:val="0"/>
          <w:sz w:val="24"/>
          <w:highlight w:val="none"/>
        </w:rPr>
        <w:t>）；</w:t>
      </w:r>
    </w:p>
    <w:p w14:paraId="17DB98B2">
      <w:pPr>
        <w:autoSpaceDE w:val="0"/>
        <w:autoSpaceDN w:val="0"/>
        <w:adjustRightInd w:val="0"/>
        <w:spacing w:line="360" w:lineRule="auto"/>
        <w:ind w:firstLine="480" w:firstLineChars="200"/>
        <w:rPr>
          <w:rFonts w:ascii="宋体" w:hAnsi="宋体" w:cs="宋体"/>
          <w:color w:val="auto"/>
          <w:sz w:val="24"/>
          <w:highlight w:val="none"/>
        </w:rPr>
      </w:pPr>
      <w:r>
        <w:rPr>
          <w:rFonts w:hint="eastAsia" w:asciiTheme="minorEastAsia" w:hAnsiTheme="minorEastAsia" w:eastAsiaTheme="minorEastAsia"/>
          <w:color w:val="auto"/>
          <w:kern w:val="0"/>
          <w:sz w:val="24"/>
          <w:highlight w:val="none"/>
        </w:rPr>
        <w:t>（3） 落实</w:t>
      </w:r>
      <w:r>
        <w:rPr>
          <w:rFonts w:hint="eastAsia" w:ascii="宋体" w:hAnsi="宋体" w:cs="宋体"/>
          <w:color w:val="auto"/>
          <w:sz w:val="24"/>
          <w:highlight w:val="none"/>
        </w:rPr>
        <w:t>政府采购政策需满足资格要求声明函等[提供中小企业声明函（格式见附件）或残疾人福利性单位声明函（格式见附件）或监狱企业证明文件]；</w:t>
      </w:r>
    </w:p>
    <w:p w14:paraId="287F2DB8">
      <w:pPr>
        <w:autoSpaceDE w:val="0"/>
        <w:autoSpaceDN w:val="0"/>
        <w:adjustRightIn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注：供应商应保证其提供的产品均由中小企业制造</w:t>
      </w:r>
      <w:bookmarkStart w:id="65" w:name="OLE_LINK213"/>
      <w:bookmarkStart w:id="66" w:name="OLE_LINK212"/>
      <w:r>
        <w:rPr>
          <w:rFonts w:hint="eastAsia" w:ascii="宋体" w:hAnsi="宋体" w:cs="宋体"/>
          <w:b/>
          <w:color w:val="auto"/>
          <w:sz w:val="24"/>
          <w:highlight w:val="none"/>
        </w:rPr>
        <w:t>（构成货物的原材料及辅助材料除外）</w:t>
      </w:r>
      <w:bookmarkEnd w:id="65"/>
      <w:bookmarkEnd w:id="66"/>
      <w:r>
        <w:rPr>
          <w:rFonts w:hint="eastAsia" w:ascii="宋体" w:hAnsi="宋体" w:cs="宋体"/>
          <w:b/>
          <w:color w:val="auto"/>
          <w:sz w:val="24"/>
          <w:highlight w:val="none"/>
        </w:rPr>
        <w:t>，方可适用扶持政策。供应商应在《中小企业声明函》中明确货物来源企业是否为中小企业。</w:t>
      </w:r>
    </w:p>
    <w:p w14:paraId="02442B85">
      <w:pPr>
        <w:autoSpaceDE w:val="0"/>
        <w:autoSpaceDN w:val="0"/>
        <w:adjustRightInd w:val="0"/>
        <w:spacing w:line="360" w:lineRule="auto"/>
        <w:ind w:firstLine="480"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color w:val="auto"/>
          <w:kern w:val="0"/>
          <w:sz w:val="24"/>
          <w:highlight w:val="none"/>
        </w:rPr>
        <w:t>（4）针对报价投标供应商认为其他需要说明的内容（如有）。</w:t>
      </w:r>
    </w:p>
    <w:p w14:paraId="259BBAD9">
      <w:pPr>
        <w:pStyle w:val="9"/>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（二）投标报价</w:t>
      </w:r>
    </w:p>
    <w:p w14:paraId="369E5FE8">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1.投标供应商应按照招标需求内容、责任范围以及合同条款进行报价。并按“开标一览表”和“报价明细表”规定的格式报出总价和分项价格。投标总价中不得包含招标文件要求以外的内容，否则，在评标时不予核减。</w:t>
      </w:r>
    </w:p>
    <w:p w14:paraId="4EFB041F">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2.投标报价是</w:t>
      </w:r>
      <w:r>
        <w:rPr>
          <w:rFonts w:hint="eastAsia" w:hAnsi="宋体" w:cs="宋体"/>
          <w:color w:val="auto"/>
          <w:kern w:val="0"/>
          <w:sz w:val="24"/>
          <w:szCs w:val="21"/>
          <w:highlight w:val="none"/>
        </w:rPr>
        <w:t>招标文件所确定的招标范围内全部工作内容的价格表现</w:t>
      </w:r>
      <w:r>
        <w:rPr>
          <w:rFonts w:hint="eastAsia" w:hAnsi="宋体"/>
          <w:color w:val="auto"/>
          <w:sz w:val="24"/>
          <w:highlight w:val="none"/>
        </w:rPr>
        <w:t>。</w:t>
      </w:r>
    </w:p>
    <w:p w14:paraId="3C68D8BB">
      <w:pPr>
        <w:pStyle w:val="9"/>
        <w:spacing w:line="360" w:lineRule="auto"/>
        <w:ind w:firstLine="482" w:firstLineChars="200"/>
        <w:rPr>
          <w:rFonts w:asciiTheme="minorEastAsia" w:hAnsiTheme="minorEastAsia" w:eastAsiaTheme="minorEastAsia"/>
          <w:bCs/>
          <w:color w:val="auto"/>
          <w:kern w:val="0"/>
          <w:sz w:val="24"/>
          <w:highlight w:val="none"/>
        </w:rPr>
      </w:pPr>
      <w:r>
        <w:rPr>
          <w:rFonts w:hint="eastAsia" w:hAnsi="宋体" w:cs="宋体"/>
          <w:b/>
          <w:color w:val="auto"/>
          <w:sz w:val="24"/>
          <w:highlight w:val="none"/>
        </w:rPr>
        <w:t>▲</w:t>
      </w:r>
      <w:r>
        <w:rPr>
          <w:rFonts w:hint="eastAsia" w:asciiTheme="minorEastAsia" w:hAnsiTheme="minorEastAsia" w:eastAsiaTheme="minorEastAsia"/>
          <w:bCs/>
          <w:color w:val="auto"/>
          <w:kern w:val="0"/>
          <w:sz w:val="24"/>
          <w:highlight w:val="none"/>
        </w:rPr>
        <w:t>3.投标报价不得为选择性报价和附有条件的报价。</w:t>
      </w:r>
    </w:p>
    <w:p w14:paraId="3EC6DC2A">
      <w:pPr>
        <w:pStyle w:val="9"/>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（三）投标文件的有效期</w:t>
      </w:r>
    </w:p>
    <w:p w14:paraId="5EEDDC07">
      <w:pPr>
        <w:pStyle w:val="9"/>
        <w:spacing w:line="360" w:lineRule="auto"/>
        <w:ind w:firstLine="482" w:firstLineChars="200"/>
        <w:rPr>
          <w:rFonts w:ascii="宋体" w:hAnsi="宋体"/>
          <w:color w:val="auto"/>
          <w:sz w:val="24"/>
          <w:highlight w:val="none"/>
          <w:lang w:val="en-GB"/>
        </w:rPr>
      </w:pPr>
      <w:bookmarkStart w:id="67" w:name="OLE_LINK465"/>
      <w:bookmarkStart w:id="68" w:name="OLE_LINK464"/>
      <w:r>
        <w:rPr>
          <w:rFonts w:hint="eastAsia" w:hAnsi="宋体" w:cs="宋体"/>
          <w:b/>
          <w:color w:val="auto"/>
          <w:sz w:val="24"/>
          <w:highlight w:val="none"/>
        </w:rPr>
        <w:t>▲</w:t>
      </w:r>
      <w:bookmarkEnd w:id="67"/>
      <w:bookmarkEnd w:id="68"/>
      <w:r>
        <w:rPr>
          <w:rFonts w:hint="eastAsia" w:ascii="宋体" w:hAnsi="宋体"/>
          <w:color w:val="auto"/>
          <w:sz w:val="24"/>
          <w:highlight w:val="none"/>
        </w:rPr>
        <w:t>1.投标文件有效期为</w:t>
      </w:r>
      <w:r>
        <w:rPr>
          <w:rFonts w:hint="eastAsia" w:ascii="宋体" w:hAnsi="宋体"/>
          <w:color w:val="auto"/>
          <w:sz w:val="24"/>
          <w:highlight w:val="none"/>
          <w:lang w:val="en-GB"/>
        </w:rPr>
        <w:t>投标截止日起90天。</w:t>
      </w:r>
    </w:p>
    <w:p w14:paraId="28ED8AAF">
      <w:pPr>
        <w:pStyle w:val="9"/>
        <w:spacing w:line="360" w:lineRule="auto"/>
        <w:ind w:firstLine="480" w:firstLineChars="200"/>
        <w:rPr>
          <w:rFonts w:ascii="宋体" w:hAnsi="宋体"/>
          <w:color w:val="auto"/>
          <w:sz w:val="24"/>
          <w:highlight w:val="none"/>
          <w:lang w:val="en-GB"/>
        </w:rPr>
      </w:pPr>
      <w:r>
        <w:rPr>
          <w:rFonts w:hint="eastAsia" w:ascii="宋体" w:hAnsi="宋体"/>
          <w:color w:val="auto"/>
          <w:sz w:val="24"/>
          <w:highlight w:val="none"/>
        </w:rPr>
        <w:t>2.</w:t>
      </w:r>
      <w:r>
        <w:rPr>
          <w:rFonts w:hint="eastAsia" w:ascii="宋体" w:hAnsi="宋体"/>
          <w:color w:val="auto"/>
          <w:sz w:val="24"/>
          <w:highlight w:val="none"/>
          <w:lang w:val="en-GB"/>
        </w:rPr>
        <w:t>在特殊情况下，采购人可与投标供应商协商延长投标文件的有效期，这种要求和答复均以书面形式进行。</w:t>
      </w:r>
    </w:p>
    <w:p w14:paraId="500AFB4F">
      <w:pPr>
        <w:snapToGrid w:val="0"/>
        <w:spacing w:line="360" w:lineRule="auto"/>
        <w:ind w:firstLine="480" w:firstLineChars="200"/>
        <w:rPr>
          <w:rFonts w:asciiTheme="minorEastAsia" w:hAnsiTheme="minorEastAsia" w:eastAsiaTheme="minorEastAsia"/>
          <w:color w:val="auto"/>
          <w:sz w:val="24"/>
          <w:highlight w:val="none"/>
        </w:rPr>
      </w:pPr>
      <w:r>
        <w:rPr>
          <w:rFonts w:hint="eastAsia" w:ascii="宋体" w:hAnsi="宋体"/>
          <w:color w:val="auto"/>
          <w:sz w:val="24"/>
          <w:highlight w:val="none"/>
        </w:rPr>
        <w:t xml:space="preserve">▲3. </w:t>
      </w:r>
      <w:r>
        <w:rPr>
          <w:rFonts w:asciiTheme="minorEastAsia" w:hAnsiTheme="minorEastAsia" w:eastAsiaTheme="minorEastAsia"/>
          <w:color w:val="auto"/>
          <w:sz w:val="24"/>
          <w:highlight w:val="none"/>
        </w:rPr>
        <w:t>中标供应商的</w:t>
      </w:r>
      <w:r>
        <w:rPr>
          <w:rFonts w:hint="eastAsia" w:asciiTheme="minorEastAsia" w:hAnsiTheme="minorEastAsia" w:eastAsiaTheme="minorEastAsia"/>
          <w:color w:val="auto"/>
          <w:sz w:val="24"/>
          <w:highlight w:val="none"/>
        </w:rPr>
        <w:t>电子投标文件</w:t>
      </w:r>
      <w:r>
        <w:rPr>
          <w:rFonts w:asciiTheme="minorEastAsia" w:hAnsiTheme="minorEastAsia" w:eastAsiaTheme="minorEastAsia"/>
          <w:color w:val="auto"/>
          <w:sz w:val="24"/>
          <w:highlight w:val="none"/>
        </w:rPr>
        <w:t>自开标之日起至合同履行完毕均应保持有效。</w:t>
      </w:r>
    </w:p>
    <w:p w14:paraId="56EAF838">
      <w:pPr>
        <w:snapToGri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（四）投标文件的签署</w:t>
      </w:r>
    </w:p>
    <w:p w14:paraId="5844490D">
      <w:pPr>
        <w:pStyle w:val="9"/>
        <w:spacing w:line="360" w:lineRule="auto"/>
        <w:ind w:firstLineChars="200"/>
        <w:rPr>
          <w:rFonts w:asciiTheme="minorEastAsia" w:hAnsiTheme="minorEastAsia" w:eastAsiaTheme="minorEastAsia"/>
          <w:bCs/>
          <w:color w:val="auto"/>
          <w:kern w:val="0"/>
          <w:sz w:val="24"/>
          <w:highlight w:val="none"/>
        </w:rPr>
      </w:pPr>
      <w:r>
        <w:rPr>
          <w:rFonts w:hint="eastAsia" w:ascii="宋体" w:hAnsi="宋体" w:cs="宋体"/>
          <w:bCs/>
          <w:color w:val="auto"/>
          <w:szCs w:val="21"/>
          <w:highlight w:val="none"/>
        </w:rPr>
        <w:t>▲</w:t>
      </w:r>
      <w:r>
        <w:rPr>
          <w:rFonts w:hint="eastAsia" w:asciiTheme="minorEastAsia" w:hAnsiTheme="minorEastAsia" w:eastAsiaTheme="minorEastAsia"/>
          <w:bCs/>
          <w:color w:val="auto"/>
          <w:kern w:val="0"/>
          <w:sz w:val="24"/>
          <w:highlight w:val="none"/>
        </w:rPr>
        <w:t>1.投标文件需由法定代表人或经其正式授权的代表签字或盖章。授权代表须出具书面授权证明，其《法定代表人授权书》应附在投标文件中。</w:t>
      </w:r>
    </w:p>
    <w:p w14:paraId="587931A2">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▲2.投标文件中所有的插字、涂改和增删，必须由法定代表人或经其正式授权的代表在旁边签字或盖章才有效。</w:t>
      </w:r>
    </w:p>
    <w:p w14:paraId="19E63EC1">
      <w:pPr>
        <w:autoSpaceDE w:val="0"/>
        <w:autoSpaceDN w:val="0"/>
        <w:adjustRightInd w:val="0"/>
        <w:spacing w:line="360" w:lineRule="auto"/>
        <w:ind w:firstLine="482" w:firstLineChars="200"/>
        <w:rPr>
          <w:rFonts w:asciiTheme="minorEastAsia" w:hAnsiTheme="minorEastAsia"/>
          <w:b/>
          <w:bCs/>
          <w:color w:val="auto"/>
          <w:sz w:val="24"/>
          <w:highlight w:val="none"/>
        </w:rPr>
      </w:pPr>
      <w:r>
        <w:rPr>
          <w:rFonts w:hint="eastAsia" w:asciiTheme="minorEastAsia" w:hAnsiTheme="minorEastAsia"/>
          <w:b/>
          <w:bCs/>
          <w:color w:val="auto"/>
          <w:sz w:val="24"/>
          <w:highlight w:val="none"/>
        </w:rPr>
        <w:t>（五）</w:t>
      </w:r>
      <w:r>
        <w:rPr>
          <w:rFonts w:hint="eastAsia" w:asciiTheme="minorEastAsia" w:hAnsiTheme="minorEastAsia" w:eastAsiaTheme="minorEastAsia"/>
          <w:b/>
          <w:bCs/>
          <w:color w:val="auto"/>
          <w:sz w:val="24"/>
          <w:highlight w:val="none"/>
        </w:rPr>
        <w:t>投标文件</w:t>
      </w:r>
      <w:r>
        <w:rPr>
          <w:rFonts w:hint="eastAsia" w:asciiTheme="minorEastAsia" w:hAnsiTheme="minorEastAsia"/>
          <w:b/>
          <w:bCs/>
          <w:color w:val="auto"/>
          <w:sz w:val="24"/>
          <w:highlight w:val="none"/>
        </w:rPr>
        <w:t>的递交要求</w:t>
      </w:r>
    </w:p>
    <w:p w14:paraId="4BF304D0">
      <w:pPr>
        <w:pStyle w:val="9"/>
        <w:spacing w:line="360" w:lineRule="auto"/>
        <w:ind w:firstLine="480" w:firstLineChars="200"/>
        <w:rPr>
          <w:rFonts w:asciiTheme="minorEastAsia" w:hAnsiTheme="minorEastAsia" w:eastAsiaTheme="minorEastAsia"/>
          <w:color w:val="auto"/>
          <w:kern w:val="0"/>
          <w:sz w:val="24"/>
          <w:highlight w:val="none"/>
        </w:rPr>
      </w:pPr>
      <w:r>
        <w:rPr>
          <w:rFonts w:hint="eastAsia" w:asciiTheme="majorEastAsia" w:hAnsiTheme="majorEastAsia" w:eastAsiaTheme="majorEastAsia" w:cstheme="majorEastAsia"/>
          <w:color w:val="auto"/>
          <w:sz w:val="24"/>
          <w:highlight w:val="none"/>
        </w:rPr>
        <w:t>按照前附表要求提交，</w:t>
      </w:r>
      <w:r>
        <w:rPr>
          <w:rFonts w:hint="eastAsia" w:asciiTheme="minorEastAsia" w:hAnsiTheme="minorEastAsia" w:eastAsiaTheme="minorEastAsia"/>
          <w:color w:val="auto"/>
          <w:kern w:val="0"/>
          <w:sz w:val="24"/>
          <w:highlight w:val="none"/>
        </w:rPr>
        <w:t>如采购组织机构延长截止时间和开标时间，采购组织机构和投标供应商的权利和义务将受到新的截止时间和开标时间的约束。</w:t>
      </w:r>
    </w:p>
    <w:p w14:paraId="66D67DD0">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五、开标</w:t>
      </w:r>
    </w:p>
    <w:p w14:paraId="64257D6F">
      <w:pPr>
        <w:autoSpaceDE w:val="0"/>
        <w:autoSpaceDN w:val="0"/>
        <w:adjustRightInd w:val="0"/>
        <w:spacing w:line="360" w:lineRule="auto"/>
        <w:ind w:firstLine="482" w:firstLineChars="200"/>
        <w:rPr>
          <w:rFonts w:asciiTheme="minorEastAsia" w:hAnsiTheme="minorEastAsia"/>
          <w:b/>
          <w:bCs/>
          <w:color w:val="auto"/>
          <w:sz w:val="24"/>
          <w:highlight w:val="none"/>
        </w:rPr>
      </w:pPr>
      <w:r>
        <w:rPr>
          <w:rFonts w:asciiTheme="minorEastAsia" w:hAnsiTheme="minorEastAsia"/>
          <w:b/>
          <w:bCs/>
          <w:color w:val="auto"/>
          <w:sz w:val="24"/>
          <w:highlight w:val="none"/>
        </w:rPr>
        <w:t>（一）开</w:t>
      </w:r>
      <w:r>
        <w:rPr>
          <w:rFonts w:hint="eastAsia" w:asciiTheme="minorEastAsia" w:hAnsiTheme="minorEastAsia"/>
          <w:b/>
          <w:bCs/>
          <w:color w:val="auto"/>
          <w:sz w:val="24"/>
          <w:highlight w:val="none"/>
        </w:rPr>
        <w:t>标</w:t>
      </w:r>
      <w:r>
        <w:rPr>
          <w:rFonts w:asciiTheme="minorEastAsia" w:hAnsiTheme="minorEastAsia"/>
          <w:b/>
          <w:bCs/>
          <w:color w:val="auto"/>
          <w:sz w:val="24"/>
          <w:highlight w:val="none"/>
        </w:rPr>
        <w:t>程序</w:t>
      </w:r>
    </w:p>
    <w:p w14:paraId="45169568">
      <w:pPr>
        <w:pStyle w:val="9"/>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1.开标时间到后，主持人准时组织开标；</w:t>
      </w:r>
    </w:p>
    <w:p w14:paraId="3E76E826">
      <w:pPr>
        <w:pStyle w:val="9"/>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2.宣布开标纪律；</w:t>
      </w:r>
    </w:p>
    <w:p w14:paraId="2749D912">
      <w:pPr>
        <w:pStyle w:val="9"/>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3.宣布采购组织机构工作人员；</w:t>
      </w:r>
    </w:p>
    <w:p w14:paraId="40CFD5E0">
      <w:pPr>
        <w:pStyle w:val="9"/>
        <w:spacing w:line="360" w:lineRule="auto"/>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4.投标供应商登录政采云平台，用“项目采购-开标评标”功能对电子投标文件进行在线解密，在线解密时间为开标时间起半个小时内；</w:t>
      </w:r>
    </w:p>
    <w:p w14:paraId="5DEF8A3C">
      <w:pPr>
        <w:pStyle w:val="9"/>
        <w:spacing w:line="360" w:lineRule="auto"/>
        <w:ind w:firstLine="480" w:firstLineChars="200"/>
        <w:rPr>
          <w:color w:val="auto"/>
          <w:sz w:val="24"/>
          <w:szCs w:val="22"/>
          <w:highlight w:val="none"/>
        </w:rPr>
      </w:pPr>
      <w:r>
        <w:rPr>
          <w:rFonts w:hint="eastAsia" w:cs="宋体" w:asciiTheme="minorEastAsia" w:hAnsiTheme="minorEastAsia" w:eastAsiaTheme="minorEastAsia"/>
          <w:color w:val="auto"/>
          <w:sz w:val="24"/>
          <w:szCs w:val="24"/>
          <w:highlight w:val="none"/>
        </w:rPr>
        <w:t>5.</w:t>
      </w:r>
      <w:r>
        <w:rPr>
          <w:rFonts w:hint="eastAsia" w:asciiTheme="minorEastAsia" w:hAnsiTheme="minorEastAsia" w:eastAsiaTheme="minorEastAsia"/>
          <w:color w:val="auto"/>
          <w:sz w:val="24"/>
          <w:szCs w:val="24"/>
          <w:highlight w:val="none"/>
        </w:rPr>
        <w:t>采购组织机构</w:t>
      </w:r>
      <w:r>
        <w:rPr>
          <w:rFonts w:hint="eastAsia"/>
          <w:color w:val="auto"/>
          <w:sz w:val="24"/>
          <w:szCs w:val="22"/>
          <w:highlight w:val="none"/>
        </w:rPr>
        <w:t>工作人员当众宣布投标供应商名称、投标价格和招标文件规定的需要宣布的其他内容；（以开标一览表要求为准）</w:t>
      </w:r>
    </w:p>
    <w:p w14:paraId="02E4615C">
      <w:pPr>
        <w:pStyle w:val="9"/>
        <w:spacing w:line="360" w:lineRule="auto"/>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6.公布开标结果。</w:t>
      </w:r>
    </w:p>
    <w:p w14:paraId="0A7CD618">
      <w:pPr>
        <w:pStyle w:val="9"/>
        <w:spacing w:line="360" w:lineRule="auto"/>
        <w:ind w:firstLine="482" w:firstLineChars="200"/>
        <w:rPr>
          <w:b/>
          <w:bCs/>
          <w:color w:val="auto"/>
          <w:sz w:val="24"/>
          <w:szCs w:val="22"/>
          <w:highlight w:val="none"/>
        </w:rPr>
      </w:pPr>
      <w:r>
        <w:rPr>
          <w:rFonts w:hint="eastAsia"/>
          <w:b/>
          <w:bCs/>
          <w:color w:val="auto"/>
          <w:sz w:val="24"/>
          <w:szCs w:val="22"/>
          <w:highlight w:val="none"/>
        </w:rPr>
        <w:t>（二）开标异议</w:t>
      </w:r>
    </w:p>
    <w:p w14:paraId="6F1EA67F">
      <w:pPr>
        <w:pStyle w:val="9"/>
        <w:spacing w:line="360" w:lineRule="auto"/>
        <w:ind w:firstLine="480" w:firstLineChars="200"/>
        <w:rPr>
          <w:color w:val="auto"/>
          <w:sz w:val="24"/>
          <w:szCs w:val="22"/>
          <w:highlight w:val="none"/>
        </w:rPr>
      </w:pPr>
      <w:r>
        <w:rPr>
          <w:rFonts w:hint="eastAsia"/>
          <w:color w:val="auto"/>
          <w:sz w:val="24"/>
          <w:szCs w:val="22"/>
          <w:highlight w:val="none"/>
        </w:rPr>
        <w:t>投标供应商代表对开标过程和开标记录有疑义，以及认为采购人、采购组织机构相关工作人员有需要回避的情形的，</w:t>
      </w:r>
      <w:r>
        <w:rPr>
          <w:rFonts w:hint="eastAsia"/>
          <w:color w:val="auto"/>
          <w:sz w:val="24"/>
          <w:highlight w:val="none"/>
        </w:rPr>
        <w:t>应在法律法规规定的期限内提出询问或回避申请</w:t>
      </w:r>
      <w:r>
        <w:rPr>
          <w:rFonts w:hint="eastAsia"/>
          <w:color w:val="auto"/>
          <w:sz w:val="24"/>
          <w:szCs w:val="22"/>
          <w:highlight w:val="none"/>
        </w:rPr>
        <w:t>。</w:t>
      </w:r>
    </w:p>
    <w:p w14:paraId="091D0B08">
      <w:pPr>
        <w:pStyle w:val="9"/>
        <w:spacing w:line="360" w:lineRule="auto"/>
        <w:ind w:firstLine="482" w:firstLineChars="200"/>
        <w:rPr>
          <w:color w:val="auto"/>
          <w:sz w:val="24"/>
          <w:szCs w:val="22"/>
          <w:highlight w:val="none"/>
        </w:rPr>
      </w:pPr>
      <w:r>
        <w:rPr>
          <w:rFonts w:hint="eastAsia"/>
          <w:b/>
          <w:bCs/>
          <w:color w:val="auto"/>
          <w:sz w:val="24"/>
          <w:szCs w:val="22"/>
          <w:highlight w:val="none"/>
        </w:rPr>
        <w:t>（三）</w:t>
      </w:r>
      <w:r>
        <w:rPr>
          <w:rFonts w:hint="eastAsia"/>
          <w:color w:val="auto"/>
          <w:sz w:val="24"/>
          <w:szCs w:val="22"/>
          <w:highlight w:val="none"/>
        </w:rPr>
        <w:t>投标供应商不足三家，不得开标。</w:t>
      </w:r>
    </w:p>
    <w:p w14:paraId="04438E07">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六、评标（详见第四章）</w:t>
      </w:r>
    </w:p>
    <w:p w14:paraId="008968DC">
      <w:pPr>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七、定标</w:t>
      </w:r>
    </w:p>
    <w:p w14:paraId="0BC4DD14">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（一）</w:t>
      </w:r>
      <w:r>
        <w:rPr>
          <w:color w:val="auto"/>
          <w:highlight w:val="none"/>
        </w:rPr>
        <w:t>确定中标供应商。</w:t>
      </w:r>
      <w:r>
        <w:rPr>
          <w:rFonts w:asciiTheme="minorEastAsia" w:hAnsiTheme="minorEastAsia" w:eastAsiaTheme="minorEastAsia"/>
          <w:color w:val="auto"/>
          <w:highlight w:val="none"/>
        </w:rPr>
        <w:t>评标委员会根据采购单位的</w:t>
      </w:r>
      <w:r>
        <w:rPr>
          <w:color w:val="auto"/>
          <w:highlight w:val="none"/>
        </w:rPr>
        <w:t>《授权意见确认书》</w:t>
      </w:r>
      <w:r>
        <w:rPr>
          <w:rFonts w:asciiTheme="minorEastAsia" w:hAnsiTheme="minorEastAsia" w:eastAsiaTheme="minorEastAsia"/>
          <w:color w:val="auto"/>
          <w:highlight w:val="none"/>
        </w:rPr>
        <w:t>，推荐中标候选人或确定中标供应商。其中推荐中标候选人的，采购组织机构在评标结束后2个工作日内将评标报告送采购人，采购人自收到评标报告之日起5个工作日内在评标报告推荐的中标候选人中确定中标供应商。</w:t>
      </w:r>
    </w:p>
    <w:p w14:paraId="38E1D86A">
      <w:pPr>
        <w:spacing w:line="360" w:lineRule="auto"/>
        <w:ind w:firstLine="480" w:firstLineChars="200"/>
        <w:rPr>
          <w:rFonts w:ascii="宋体" w:hAnsi="宋体"/>
          <w:color w:val="auto"/>
          <w:kern w:val="0"/>
          <w:sz w:val="24"/>
          <w:highlight w:val="none"/>
        </w:rPr>
      </w:pPr>
      <w:r>
        <w:rPr>
          <w:rFonts w:hint="eastAsia" w:asciiTheme="minorEastAsia" w:hAnsiTheme="minorEastAsia" w:eastAsiaTheme="minorEastAsia"/>
          <w:color w:val="auto"/>
          <w:sz w:val="24"/>
          <w:highlight w:val="none"/>
        </w:rPr>
        <w:t>（二）</w:t>
      </w:r>
      <w:r>
        <w:rPr>
          <w:rFonts w:hint="eastAsia" w:ascii="宋体" w:hAnsi="宋体"/>
          <w:color w:val="auto"/>
          <w:kern w:val="0"/>
          <w:sz w:val="24"/>
          <w:highlight w:val="none"/>
        </w:rPr>
        <w:t>发布</w:t>
      </w:r>
      <w:r>
        <w:rPr>
          <w:color w:val="auto"/>
          <w:sz w:val="24"/>
          <w:highlight w:val="none"/>
        </w:rPr>
        <w:t>中标</w:t>
      </w:r>
      <w:r>
        <w:rPr>
          <w:rFonts w:hint="eastAsia" w:ascii="宋体" w:hAnsi="宋体"/>
          <w:color w:val="auto"/>
          <w:kern w:val="0"/>
          <w:sz w:val="24"/>
          <w:highlight w:val="none"/>
        </w:rPr>
        <w:t>结果公告。采购组织机构自中标供应商</w:t>
      </w:r>
      <w:r>
        <w:rPr>
          <w:rFonts w:ascii="宋体" w:hAnsi="宋体"/>
          <w:color w:val="auto"/>
          <w:kern w:val="0"/>
          <w:sz w:val="24"/>
          <w:highlight w:val="none"/>
        </w:rPr>
        <w:t>确定</w:t>
      </w:r>
      <w:r>
        <w:rPr>
          <w:rFonts w:hint="eastAsia" w:ascii="宋体" w:hAnsi="宋体"/>
          <w:color w:val="auto"/>
          <w:kern w:val="0"/>
          <w:sz w:val="24"/>
          <w:highlight w:val="none"/>
        </w:rPr>
        <w:t>之日起</w:t>
      </w:r>
      <w:r>
        <w:rPr>
          <w:rFonts w:ascii="宋体" w:hAnsi="宋体"/>
          <w:color w:val="auto"/>
          <w:kern w:val="0"/>
          <w:sz w:val="24"/>
          <w:highlight w:val="none"/>
        </w:rPr>
        <w:t>2个工作日内</w:t>
      </w:r>
      <w:r>
        <w:rPr>
          <w:rFonts w:hint="eastAsia" w:ascii="宋体" w:hAnsi="宋体"/>
          <w:color w:val="auto"/>
          <w:kern w:val="0"/>
          <w:sz w:val="24"/>
          <w:highlight w:val="none"/>
        </w:rPr>
        <w:t>，</w:t>
      </w:r>
      <w:r>
        <w:rPr>
          <w:rFonts w:ascii="宋体" w:hAnsi="宋体"/>
          <w:color w:val="auto"/>
          <w:kern w:val="0"/>
          <w:sz w:val="24"/>
          <w:highlight w:val="none"/>
        </w:rPr>
        <w:t>在</w:t>
      </w:r>
      <w:r>
        <w:rPr>
          <w:rFonts w:hint="eastAsia" w:ascii="宋体" w:hAnsi="宋体"/>
          <w:color w:val="auto"/>
          <w:kern w:val="0"/>
          <w:sz w:val="24"/>
          <w:highlight w:val="none"/>
        </w:rPr>
        <w:t>浙江</w:t>
      </w:r>
      <w:r>
        <w:rPr>
          <w:rFonts w:ascii="宋体" w:hAnsi="宋体"/>
          <w:color w:val="auto"/>
          <w:kern w:val="0"/>
          <w:sz w:val="24"/>
          <w:highlight w:val="none"/>
        </w:rPr>
        <w:t>省</w:t>
      </w:r>
      <w:r>
        <w:rPr>
          <w:rFonts w:hint="eastAsia" w:ascii="宋体" w:hAnsi="宋体"/>
          <w:color w:val="auto"/>
          <w:kern w:val="0"/>
          <w:sz w:val="24"/>
          <w:highlight w:val="none"/>
        </w:rPr>
        <w:t>政府采购</w:t>
      </w:r>
      <w:r>
        <w:rPr>
          <w:rFonts w:ascii="宋体" w:hAnsi="宋体"/>
          <w:color w:val="auto"/>
          <w:kern w:val="0"/>
          <w:sz w:val="24"/>
          <w:highlight w:val="none"/>
        </w:rPr>
        <w:t>网</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kern w:val="0"/>
          <w:sz w:val="24"/>
          <w:highlight w:val="none"/>
        </w:rPr>
        <w:t>中标结果，</w:t>
      </w:r>
      <w:r>
        <w:rPr>
          <w:color w:val="auto"/>
          <w:sz w:val="24"/>
          <w:highlight w:val="none"/>
        </w:rPr>
        <w:t>中标结果公告期为 1 个工作日</w:t>
      </w:r>
      <w:r>
        <w:rPr>
          <w:rFonts w:hint="eastAsia" w:ascii="宋体" w:hAnsi="宋体"/>
          <w:color w:val="auto"/>
          <w:kern w:val="0"/>
          <w:sz w:val="24"/>
          <w:highlight w:val="none"/>
        </w:rPr>
        <w:t>。</w:t>
      </w:r>
    </w:p>
    <w:p w14:paraId="6FB7B72E">
      <w:pPr>
        <w:pStyle w:val="10"/>
        <w:spacing w:line="360" w:lineRule="auto"/>
        <w:ind w:firstLine="480" w:firstLineChars="200"/>
        <w:jc w:val="both"/>
        <w:rPr>
          <w:color w:val="auto"/>
          <w:highlight w:val="none"/>
        </w:rPr>
      </w:pPr>
      <w:r>
        <w:rPr>
          <w:rFonts w:hint="eastAsia" w:ascii="宋体" w:hAnsi="宋体"/>
          <w:color w:val="auto"/>
          <w:kern w:val="0"/>
          <w:sz w:val="24"/>
          <w:highlight w:val="none"/>
        </w:rPr>
        <w:t>（三）</w:t>
      </w:r>
      <w:r>
        <w:rPr>
          <w:rFonts w:hint="eastAsia"/>
          <w:color w:val="auto"/>
          <w:sz w:val="24"/>
          <w:highlight w:val="none"/>
        </w:rPr>
        <w:t>发放中标通知书</w:t>
      </w:r>
      <w:r>
        <w:rPr>
          <w:rFonts w:hint="eastAsia" w:ascii="宋体" w:hAnsi="宋体"/>
          <w:color w:val="auto"/>
          <w:kern w:val="0"/>
          <w:sz w:val="24"/>
          <w:highlight w:val="none"/>
        </w:rPr>
        <w:t>。采购组织机构在发布中标结果公告的同时，</w:t>
      </w:r>
      <w:r>
        <w:rPr>
          <w:rFonts w:hint="eastAsia"/>
          <w:color w:val="auto"/>
          <w:sz w:val="24"/>
          <w:highlight w:val="none"/>
        </w:rPr>
        <w:t>通过政采云平台</w:t>
      </w:r>
      <w:r>
        <w:rPr>
          <w:rFonts w:hint="eastAsia" w:ascii="宋体" w:hAnsi="宋体"/>
          <w:color w:val="auto"/>
          <w:kern w:val="0"/>
          <w:sz w:val="24"/>
          <w:highlight w:val="none"/>
        </w:rPr>
        <w:t>向中标供应商发出中标通知书。</w:t>
      </w:r>
    </w:p>
    <w:p w14:paraId="4DD84EDF">
      <w:pPr>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八、</w:t>
      </w:r>
      <w:r>
        <w:rPr>
          <w:rFonts w:hint="eastAsia" w:asciiTheme="minorEastAsia" w:hAnsiTheme="minorEastAsia" w:eastAsiaTheme="minorEastAsia"/>
          <w:b/>
          <w:color w:val="auto"/>
          <w:sz w:val="24"/>
          <w:highlight w:val="none"/>
        </w:rPr>
        <w:t>合同签订及公告</w:t>
      </w:r>
    </w:p>
    <w:p w14:paraId="2A3A7804">
      <w:pPr>
        <w:spacing w:line="360" w:lineRule="auto"/>
        <w:ind w:firstLine="482" w:firstLineChars="200"/>
        <w:rPr>
          <w:rFonts w:ascii="宋体" w:hAnsi="宋体"/>
          <w:b/>
          <w:color w:val="auto"/>
          <w:kern w:val="0"/>
          <w:sz w:val="24"/>
          <w:highlight w:val="none"/>
        </w:rPr>
      </w:pPr>
      <w:r>
        <w:rPr>
          <w:rFonts w:hint="eastAsia" w:ascii="宋体" w:hAnsi="宋体"/>
          <w:b/>
          <w:color w:val="auto"/>
          <w:sz w:val="24"/>
          <w:highlight w:val="none"/>
        </w:rPr>
        <w:t>（一）签订合同</w:t>
      </w:r>
    </w:p>
    <w:p w14:paraId="6078314D">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1.采购人应当自中标通知书发出之日起30日内，按照招标文件和中标供应商投标文件内容要求，与中标供应商签订书面合同或者电子合同。所签订的合同不得对招标文件确定的事项和中标供应商电子投标文件作实质性修改。</w:t>
      </w:r>
    </w:p>
    <w:p w14:paraId="62A93D23">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2.采购人不得向中标供应商提出任何不合理的要求作为签订合同的条件。</w:t>
      </w:r>
    </w:p>
    <w:p w14:paraId="02E48CA5">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3.中标供应商无故拖延、拒签合同的,将取消中标资格。</w:t>
      </w:r>
    </w:p>
    <w:p w14:paraId="39EB21A0">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4.中标供应商拒绝与采购人签订合同的，采购人可以按照评标报告推荐的中标候选人名单排序，确定下一候选人为中标供应商，也可以重新开展政府采购活动。同时，拒绝与采购人签订合同的中标供应商，由同级财政部门依法做出处理。</w:t>
      </w:r>
    </w:p>
    <w:p w14:paraId="23E780DC">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5.询问或者质疑事项可能影响中标结果的，采购人应当暂停签订合同，已经签订合同的，应当中止履行合同。</w:t>
      </w:r>
    </w:p>
    <w:p w14:paraId="716C6DFE">
      <w:pPr>
        <w:pStyle w:val="18"/>
        <w:spacing w:before="0" w:beforeAutospacing="0" w:after="0" w:afterAutospacing="0" w:line="360" w:lineRule="auto"/>
        <w:ind w:firstLine="482" w:firstLineChars="200"/>
        <w:jc w:val="both"/>
        <w:rPr>
          <w:rFonts w:hint="default" w:cs="仿宋_GB2312"/>
          <w:b/>
          <w:color w:val="auto"/>
          <w:highlight w:val="none"/>
        </w:rPr>
      </w:pPr>
      <w:r>
        <w:rPr>
          <w:b/>
          <w:color w:val="auto"/>
          <w:highlight w:val="none"/>
        </w:rPr>
        <w:t>（二）合同公告及备案</w:t>
      </w:r>
    </w:p>
    <w:p w14:paraId="6FAE99ED">
      <w:pPr>
        <w:pStyle w:val="11"/>
        <w:spacing w:after="0"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1.采购人应当自合同签订之日起2个工作日内，</w:t>
      </w:r>
      <w:r>
        <w:rPr>
          <w:rFonts w:ascii="宋体" w:hAnsi="宋体"/>
          <w:color w:val="auto"/>
          <w:kern w:val="0"/>
          <w:sz w:val="24"/>
          <w:highlight w:val="none"/>
        </w:rPr>
        <w:t>在省级以上财政部门指定的</w:t>
      </w:r>
      <w:r>
        <w:rPr>
          <w:rFonts w:hint="eastAsia" w:ascii="宋体" w:hAnsi="宋体"/>
          <w:color w:val="auto"/>
          <w:kern w:val="0"/>
          <w:sz w:val="24"/>
          <w:highlight w:val="none"/>
        </w:rPr>
        <w:t>政府采购信息发布</w:t>
      </w:r>
      <w:r>
        <w:rPr>
          <w:rFonts w:ascii="宋体" w:hAnsi="宋体"/>
          <w:color w:val="auto"/>
          <w:kern w:val="0"/>
          <w:sz w:val="24"/>
          <w:highlight w:val="none"/>
        </w:rPr>
        <w:t>媒体及相关网站</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sz w:val="24"/>
          <w:highlight w:val="none"/>
        </w:rPr>
        <w:t>。</w:t>
      </w:r>
    </w:p>
    <w:p w14:paraId="40696EED">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2.采购人应当自合同签订之日起7个工作日内，</w:t>
      </w:r>
      <w:r>
        <w:rPr>
          <w:rFonts w:hint="eastAsia"/>
          <w:color w:val="auto"/>
          <w:sz w:val="24"/>
          <w:highlight w:val="none"/>
        </w:rPr>
        <w:t>将合同通过政采云平台提交至</w:t>
      </w:r>
      <w:r>
        <w:rPr>
          <w:rFonts w:hint="eastAsia" w:ascii="宋体" w:hAnsi="宋体"/>
          <w:color w:val="auto"/>
          <w:sz w:val="24"/>
          <w:highlight w:val="none"/>
        </w:rPr>
        <w:t>同级人民政府财政部门备案存档。</w:t>
      </w:r>
    </w:p>
    <w:p w14:paraId="4BE1DC59">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九、询问、质疑与投诉</w:t>
      </w:r>
    </w:p>
    <w:p w14:paraId="4998973E">
      <w:pPr>
        <w:pStyle w:val="10"/>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（一）询问</w:t>
      </w:r>
    </w:p>
    <w:p w14:paraId="6B053E90">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投标供应商对政府采购活动事项（招标文件、采购过程和中标结果）有疑问的，可以向采购人或采购组织机构提出询问，采购人或采购组织机构将及时做出答复，但答复的内容不涉及商业秘密。询问可以口头方式提出，也可以书面方式提出。联系方式见第一章“招标公告 ”中“采购人、采购组织机构的名称、地址和联系方式”。</w:t>
      </w:r>
    </w:p>
    <w:p w14:paraId="7682BAED">
      <w:pPr>
        <w:pStyle w:val="10"/>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（二）质疑</w:t>
      </w:r>
    </w:p>
    <w:p w14:paraId="1CDE4D38">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1.报名本项目的投标供应商认为招标文件、采购过程和中标结果使自己的权益受到损害的，以书面形式或政采云平台的质疑系统一次性针对同一环节向采购人或采购组织机构提出质疑：</w:t>
      </w:r>
    </w:p>
    <w:p w14:paraId="238F9D98">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（1）投标供应商认为招标文件的内容损害其权益的，应当自获取招标文件之日起或公告期限届满之日起7个工作日内一次性以书面形式提出质疑；</w:t>
      </w:r>
    </w:p>
    <w:p w14:paraId="5AEB9A94">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（2）投标供应商对采购过程提出质疑的，应当在各采购程序环节结束之日起7个工作日内一次性以书面形式提出质疑；</w:t>
      </w:r>
    </w:p>
    <w:p w14:paraId="4373EFFA">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（3）投标供应商对中标结果提出质疑的，应当在中标结果公告期限届满之日起7个工作日内一次性以书面形式提出质疑；</w:t>
      </w:r>
    </w:p>
    <w:p w14:paraId="34DE67FB">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2.采购人或采购组织机构在收到投标供应商的书面质疑后7个工作日内做出答复，并以书面形式或政采云平台回复质疑投标供应商和其他有关投标供应商，但答复内容不涉及商业秘密。</w:t>
      </w:r>
    </w:p>
    <w:p w14:paraId="339328C4">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投标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5CFAE280">
      <w:pPr>
        <w:pStyle w:val="10"/>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（三）投诉</w:t>
      </w:r>
    </w:p>
    <w:p w14:paraId="4A0E51F4">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投标供应商对采购人或采购组织机构的质疑答复不满意或在规定时间内未得到答复的，可以在答复期满后15个工作日内，向同级政府采购监督管理机构投诉。</w:t>
      </w:r>
    </w:p>
    <w:p w14:paraId="765E3252">
      <w:pPr>
        <w:widowControl/>
        <w:jc w:val="left"/>
        <w:rPr>
          <w:rFonts w:asciiTheme="minorEastAsia" w:hAnsiTheme="minorEastAsia" w:eastAsiaTheme="minorEastAsia"/>
          <w:b/>
          <w:color w:val="auto"/>
          <w:sz w:val="36"/>
          <w:szCs w:val="36"/>
          <w:highlight w:val="none"/>
        </w:rPr>
      </w:pPr>
      <w:bookmarkStart w:id="69" w:name="_Toc13072_WPSOffice_Level1"/>
      <w:r>
        <w:rPr>
          <w:rFonts w:asciiTheme="minorEastAsia" w:hAnsiTheme="minorEastAsia" w:eastAsiaTheme="minorEastAsia"/>
          <w:b/>
          <w:color w:val="auto"/>
          <w:sz w:val="36"/>
          <w:szCs w:val="36"/>
          <w:highlight w:val="none"/>
        </w:rPr>
        <w:br w:type="page"/>
      </w:r>
    </w:p>
    <w:p w14:paraId="499715CB">
      <w:pPr>
        <w:numPr>
          <w:ilvl w:val="0"/>
          <w:numId w:val="4"/>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招标需求</w:t>
      </w:r>
      <w:bookmarkEnd w:id="69"/>
    </w:p>
    <w:p w14:paraId="46A3E2B1">
      <w:pPr>
        <w:tabs>
          <w:tab w:val="left" w:pos="8280"/>
        </w:tabs>
        <w:autoSpaceDE w:val="0"/>
        <w:autoSpaceDN w:val="0"/>
        <w:adjustRightInd w:val="0"/>
        <w:spacing w:line="360" w:lineRule="auto"/>
        <w:ind w:right="25"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一、招标项目一览表</w:t>
      </w:r>
    </w:p>
    <w:p w14:paraId="7DD360C5">
      <w:pPr>
        <w:tabs>
          <w:tab w:val="left" w:pos="8280"/>
        </w:tabs>
        <w:autoSpaceDE w:val="0"/>
        <w:autoSpaceDN w:val="0"/>
        <w:adjustRightInd w:val="0"/>
        <w:spacing w:line="360" w:lineRule="auto"/>
        <w:ind w:right="25"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本次招标共</w:t>
      </w:r>
      <w:r>
        <w:rPr>
          <w:rFonts w:hint="eastAsia" w:asciiTheme="minorEastAsia" w:hAnsiTheme="minorEastAsia" w:eastAsiaTheme="minorEastAsia"/>
          <w:color w:val="auto"/>
          <w:sz w:val="24"/>
          <w:highlight w:val="none"/>
          <w:u w:val="single"/>
        </w:rPr>
        <w:t xml:space="preserve">  一  </w:t>
      </w:r>
      <w:r>
        <w:rPr>
          <w:rFonts w:hint="eastAsia" w:asciiTheme="minorEastAsia" w:hAnsiTheme="minorEastAsia" w:eastAsiaTheme="minorEastAsia"/>
          <w:color w:val="auto"/>
          <w:sz w:val="24"/>
          <w:highlight w:val="none"/>
        </w:rPr>
        <w:t>个标项，具体内容如下表：</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7"/>
        <w:gridCol w:w="1380"/>
        <w:gridCol w:w="1012"/>
        <w:gridCol w:w="541"/>
        <w:gridCol w:w="591"/>
        <w:gridCol w:w="948"/>
        <w:gridCol w:w="1024"/>
        <w:gridCol w:w="1430"/>
        <w:gridCol w:w="1503"/>
      </w:tblGrid>
      <w:tr w14:paraId="2F180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268" w:type="pct"/>
            <w:vAlign w:val="center"/>
          </w:tcPr>
          <w:p w14:paraId="3D1977E4">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标项号</w:t>
            </w:r>
          </w:p>
        </w:tc>
        <w:tc>
          <w:tcPr>
            <w:tcW w:w="775" w:type="pct"/>
            <w:vAlign w:val="center"/>
          </w:tcPr>
          <w:p w14:paraId="79B14EF8">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项目</w:t>
            </w:r>
          </w:p>
          <w:p w14:paraId="40360736">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名称</w:t>
            </w:r>
          </w:p>
        </w:tc>
        <w:tc>
          <w:tcPr>
            <w:tcW w:w="568" w:type="pct"/>
            <w:vAlign w:val="center"/>
          </w:tcPr>
          <w:p w14:paraId="7F37BDD9">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cs="宋体"/>
                <w:b/>
                <w:color w:val="auto"/>
                <w:kern w:val="0"/>
                <w:szCs w:val="21"/>
                <w:highlight w:val="none"/>
              </w:rPr>
              <w:t>简要技术要求</w:t>
            </w:r>
          </w:p>
        </w:tc>
        <w:tc>
          <w:tcPr>
            <w:tcW w:w="304" w:type="pct"/>
            <w:vAlign w:val="center"/>
          </w:tcPr>
          <w:p w14:paraId="4AB6D8E1">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数量</w:t>
            </w:r>
          </w:p>
        </w:tc>
        <w:tc>
          <w:tcPr>
            <w:tcW w:w="332" w:type="pct"/>
            <w:vAlign w:val="center"/>
          </w:tcPr>
          <w:p w14:paraId="59E6F16B">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单位</w:t>
            </w:r>
          </w:p>
        </w:tc>
        <w:tc>
          <w:tcPr>
            <w:tcW w:w="532" w:type="pct"/>
            <w:vAlign w:val="center"/>
          </w:tcPr>
          <w:p w14:paraId="229EF57D">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预算</w:t>
            </w:r>
          </w:p>
          <w:p w14:paraId="610F7DD9">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（万元）</w:t>
            </w:r>
          </w:p>
        </w:tc>
        <w:tc>
          <w:tcPr>
            <w:tcW w:w="575" w:type="pct"/>
            <w:vAlign w:val="center"/>
          </w:tcPr>
          <w:p w14:paraId="13D2FEC5">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最高限价（万元）</w:t>
            </w:r>
          </w:p>
        </w:tc>
        <w:tc>
          <w:tcPr>
            <w:tcW w:w="803" w:type="pct"/>
            <w:vAlign w:val="center"/>
          </w:tcPr>
          <w:p w14:paraId="34F4155E">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交货期</w:t>
            </w:r>
          </w:p>
        </w:tc>
        <w:tc>
          <w:tcPr>
            <w:tcW w:w="843" w:type="pct"/>
            <w:vAlign w:val="center"/>
          </w:tcPr>
          <w:p w14:paraId="0FDE1C9E">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交货地点</w:t>
            </w:r>
          </w:p>
        </w:tc>
      </w:tr>
      <w:tr w14:paraId="0E027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268" w:type="pct"/>
            <w:vAlign w:val="center"/>
          </w:tcPr>
          <w:p w14:paraId="46A70CBA">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一</w:t>
            </w:r>
          </w:p>
        </w:tc>
        <w:tc>
          <w:tcPr>
            <w:tcW w:w="775" w:type="pct"/>
            <w:vAlign w:val="center"/>
          </w:tcPr>
          <w:p w14:paraId="3DC1A0A7">
            <w:pPr>
              <w:tabs>
                <w:tab w:val="left" w:pos="8280"/>
              </w:tabs>
              <w:autoSpaceDE w:val="0"/>
              <w:autoSpaceDN w:val="0"/>
              <w:adjustRightInd w:val="0"/>
              <w:snapToGrid w:val="0"/>
              <w:ind w:left="-105" w:leftChars="-50" w:right="-105" w:rightChars="-50"/>
              <w:jc w:val="center"/>
              <w:rPr>
                <w:rFonts w:ascii="宋体" w:hAnsi="宋体" w:cs="宋体" w:eastAsiaTheme="minorEastAsia"/>
                <w:color w:val="auto"/>
                <w:szCs w:val="21"/>
                <w:highlight w:val="none"/>
              </w:rPr>
            </w:pPr>
            <w:r>
              <w:rPr>
                <w:rFonts w:hint="eastAsia" w:ascii="宋体" w:hAnsi="宋体" w:cs="宋体"/>
                <w:color w:val="auto"/>
                <w:sz w:val="24"/>
                <w:highlight w:val="none"/>
              </w:rPr>
              <w:t>台州市椒江区白云街道社区卫生服务中心CT采购项目</w:t>
            </w:r>
          </w:p>
        </w:tc>
        <w:tc>
          <w:tcPr>
            <w:tcW w:w="568" w:type="pct"/>
            <w:vAlign w:val="center"/>
          </w:tcPr>
          <w:p w14:paraId="633001DC">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详见技术需求</w:t>
            </w:r>
          </w:p>
        </w:tc>
        <w:tc>
          <w:tcPr>
            <w:tcW w:w="304" w:type="pct"/>
            <w:vAlign w:val="center"/>
          </w:tcPr>
          <w:p w14:paraId="53601603">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332" w:type="pct"/>
            <w:vAlign w:val="center"/>
          </w:tcPr>
          <w:p w14:paraId="042D85CF">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项</w:t>
            </w:r>
          </w:p>
        </w:tc>
        <w:tc>
          <w:tcPr>
            <w:tcW w:w="532" w:type="pct"/>
            <w:vAlign w:val="center"/>
          </w:tcPr>
          <w:p w14:paraId="659215D0">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220</w:t>
            </w:r>
          </w:p>
        </w:tc>
        <w:tc>
          <w:tcPr>
            <w:tcW w:w="575" w:type="pct"/>
            <w:vAlign w:val="center"/>
          </w:tcPr>
          <w:p w14:paraId="7C00A96E">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220</w:t>
            </w:r>
          </w:p>
        </w:tc>
        <w:tc>
          <w:tcPr>
            <w:tcW w:w="803" w:type="pct"/>
            <w:shd w:val="clear" w:color="auto" w:fill="auto"/>
            <w:vAlign w:val="center"/>
          </w:tcPr>
          <w:p w14:paraId="4CB6DAB7">
            <w:pPr>
              <w:tabs>
                <w:tab w:val="left" w:pos="8280"/>
              </w:tabs>
              <w:autoSpaceDE w:val="0"/>
              <w:autoSpaceDN w:val="0"/>
              <w:adjustRightInd w:val="0"/>
              <w:snapToGrid w:val="0"/>
              <w:ind w:left="-105" w:leftChars="-50" w:right="-105" w:rightChars="-50"/>
              <w:jc w:val="center"/>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Cs w:val="21"/>
                <w:highlight w:val="none"/>
              </w:rPr>
              <w:t>合同签订之日起30日历天内交货并完成安装调试</w:t>
            </w:r>
          </w:p>
        </w:tc>
        <w:tc>
          <w:tcPr>
            <w:tcW w:w="843" w:type="pct"/>
            <w:shd w:val="clear" w:color="auto" w:fill="auto"/>
            <w:vAlign w:val="center"/>
          </w:tcPr>
          <w:p w14:paraId="70D94148">
            <w:pPr>
              <w:tabs>
                <w:tab w:val="left" w:pos="8280"/>
              </w:tabs>
              <w:autoSpaceDE w:val="0"/>
              <w:autoSpaceDN w:val="0"/>
              <w:adjustRightInd w:val="0"/>
              <w:snapToGrid w:val="0"/>
              <w:ind w:left="-105" w:leftChars="-50" w:right="-105" w:rightChars="-50"/>
              <w:jc w:val="center"/>
              <w:rPr>
                <w:rFonts w:ascii="宋体" w:hAnsi="宋体" w:cs="宋体" w:eastAsiaTheme="minorEastAsia"/>
                <w:b/>
                <w:color w:val="auto"/>
                <w:szCs w:val="21"/>
                <w:highlight w:val="none"/>
              </w:rPr>
            </w:pPr>
            <w:r>
              <w:rPr>
                <w:rFonts w:ascii="宋体" w:hAnsi="宋体" w:cs="宋体" w:eastAsiaTheme="minorEastAsia"/>
                <w:color w:val="auto"/>
                <w:szCs w:val="21"/>
                <w:highlight w:val="none"/>
              </w:rPr>
              <w:t>采购人指定地点</w:t>
            </w:r>
          </w:p>
        </w:tc>
      </w:tr>
    </w:tbl>
    <w:p w14:paraId="0F5D08B5">
      <w:pPr>
        <w:numPr>
          <w:ilvl w:val="0"/>
          <w:numId w:val="10"/>
        </w:numPr>
        <w:tabs>
          <w:tab w:val="left" w:pos="8280"/>
        </w:tabs>
        <w:autoSpaceDE w:val="0"/>
        <w:autoSpaceDN w:val="0"/>
        <w:adjustRightInd w:val="0"/>
        <w:snapToGrid w:val="0"/>
        <w:spacing w:line="360" w:lineRule="auto"/>
        <w:ind w:firstLine="482"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技术需求</w:t>
      </w:r>
    </w:p>
    <w:p w14:paraId="62041857">
      <w:pPr>
        <w:adjustRightInd w:val="0"/>
        <w:snapToGrid w:val="0"/>
        <w:spacing w:line="360" w:lineRule="auto"/>
        <w:ind w:firstLine="482" w:firstLineChars="200"/>
        <w:outlineLvl w:val="0"/>
        <w:rPr>
          <w:rFonts w:ascii="宋体" w:hAnsi="宋体"/>
          <w:b/>
          <w:bCs/>
          <w:color w:val="auto"/>
          <w:kern w:val="0"/>
          <w:sz w:val="24"/>
          <w:szCs w:val="21"/>
          <w:highlight w:val="none"/>
        </w:rPr>
      </w:pPr>
      <w:bookmarkStart w:id="70" w:name="_Toc8780"/>
      <w:bookmarkStart w:id="71" w:name="_Toc442181514"/>
      <w:bookmarkStart w:id="72" w:name="_Toc392754199"/>
      <w:bookmarkStart w:id="73" w:name="_Toc357768544"/>
      <w:bookmarkStart w:id="74" w:name="_Toc157410883"/>
      <w:r>
        <w:rPr>
          <w:rFonts w:hint="eastAsia" w:ascii="宋体" w:hAnsi="宋体"/>
          <w:b/>
          <w:bCs/>
          <w:color w:val="auto"/>
          <w:kern w:val="0"/>
          <w:sz w:val="24"/>
          <w:szCs w:val="21"/>
          <w:highlight w:val="none"/>
        </w:rPr>
        <w:t>（一）总说明</w:t>
      </w:r>
      <w:bookmarkEnd w:id="70"/>
      <w:bookmarkEnd w:id="71"/>
      <w:bookmarkEnd w:id="72"/>
      <w:bookmarkEnd w:id="73"/>
    </w:p>
    <w:bookmarkEnd w:id="74"/>
    <w:p w14:paraId="65055EE3">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1.本技术需求提出的是最低限度的基本技术要求，并未对所有技术细节作出规定，投标供应商应提供符合本技术要求和国家标准、行业标准的优质产品。</w:t>
      </w:r>
    </w:p>
    <w:p w14:paraId="23DEE87E">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2.</w:t>
      </w:r>
      <w:r>
        <w:rPr>
          <w:rFonts w:hint="eastAsia" w:ascii="宋体" w:hAnsi="宋体" w:cs="宋体"/>
          <w:color w:val="auto"/>
          <w:sz w:val="24"/>
          <w:highlight w:val="none"/>
        </w:rPr>
        <w:t>投标供应商</w:t>
      </w:r>
      <w:r>
        <w:rPr>
          <w:rFonts w:hint="eastAsia" w:ascii="宋体"/>
          <w:bCs/>
          <w:color w:val="auto"/>
          <w:sz w:val="24"/>
          <w:highlight w:val="none"/>
        </w:rPr>
        <w:t>产品与本技术要求不一致时，投标供应商应在投标文件中予以说明，并由评标委员会鉴定投标供应商产品能否达到要求。如投标供应商没有在投标文件中提出异议，则视为投标供应商提供的产品完全按照本采购文件要求。</w:t>
      </w:r>
    </w:p>
    <w:p w14:paraId="6E38ED74">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3.</w:t>
      </w:r>
      <w:r>
        <w:rPr>
          <w:rFonts w:hint="eastAsia" w:ascii="宋体" w:hAnsi="宋体" w:cs="宋体"/>
          <w:color w:val="auto"/>
          <w:sz w:val="24"/>
          <w:highlight w:val="none"/>
        </w:rPr>
        <w:t>技术</w:t>
      </w:r>
      <w:r>
        <w:rPr>
          <w:rFonts w:hint="eastAsia" w:ascii="宋体"/>
          <w:bCs/>
          <w:color w:val="auto"/>
          <w:sz w:val="24"/>
          <w:highlight w:val="none"/>
        </w:rPr>
        <w:t>要求及标准的执行，投标供应商提供的产品应标明所执行的质量标准，若同一标准已颁发新标准，则按最新标准执行。若同一产品同时有几个标准（国际标准、国家标准、行业标准、企业标准等），则按最高层次的标准执行。</w:t>
      </w:r>
    </w:p>
    <w:p w14:paraId="420EF7B6">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4.</w:t>
      </w:r>
      <w:r>
        <w:rPr>
          <w:rFonts w:hint="eastAsia" w:ascii="宋体" w:hAnsi="宋体" w:cs="宋体"/>
          <w:color w:val="auto"/>
          <w:sz w:val="24"/>
          <w:highlight w:val="none"/>
        </w:rPr>
        <w:t>投标供应商</w:t>
      </w:r>
      <w:r>
        <w:rPr>
          <w:rFonts w:hint="eastAsia" w:ascii="宋体"/>
          <w:bCs/>
          <w:color w:val="auto"/>
          <w:sz w:val="24"/>
          <w:highlight w:val="none"/>
        </w:rPr>
        <w:t>须按国家有关规定及标准完成本次采购货物的供货、包装、运输、技术培训、检验、通过有关部门验收、维保期服务、货物终身维修等各项工作，并保证货物使用的安全性能与检测结果的可靠性。如中标，中标人及制造商对中标产品使用的安全性能与可靠性负全部责任。中标人须随产品提供使用说明书与维保卡。投标供应商提供相关数据与说明，投标文件须对上述要求作出实质性回应。</w:t>
      </w:r>
    </w:p>
    <w:p w14:paraId="78722AA7">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5.本次采购，投标供应商所投产品如涉及国家规定强制认证的，均视为产品符合国家强制认证规定的，但中标人须在招标人对上述货物验收时提供相关证书证明资料，否则按验收不通过处理，并对中标人处以合同总金额10%的违约金。</w:t>
      </w:r>
    </w:p>
    <w:p w14:paraId="4DE9970F">
      <w:pPr>
        <w:adjustRightInd w:val="0"/>
        <w:snapToGrid w:val="0"/>
        <w:spacing w:line="360" w:lineRule="auto"/>
        <w:ind w:firstLine="482" w:firstLineChars="200"/>
        <w:outlineLvl w:val="0"/>
        <w:rPr>
          <w:rFonts w:ascii="宋体" w:hAnsi="宋体"/>
          <w:b/>
          <w:bCs/>
          <w:color w:val="auto"/>
          <w:kern w:val="0"/>
          <w:sz w:val="24"/>
          <w:szCs w:val="21"/>
          <w:highlight w:val="none"/>
        </w:rPr>
      </w:pPr>
      <w:bookmarkStart w:id="75" w:name="OLE_LINK456"/>
      <w:bookmarkStart w:id="76" w:name="OLE_LINK457"/>
      <w:r>
        <w:rPr>
          <w:rFonts w:hint="eastAsia" w:ascii="宋体" w:hAnsi="宋体"/>
          <w:b/>
          <w:bCs/>
          <w:color w:val="auto"/>
          <w:kern w:val="0"/>
          <w:sz w:val="24"/>
          <w:szCs w:val="21"/>
          <w:highlight w:val="none"/>
        </w:rPr>
        <w:t>（二）采购清单</w:t>
      </w:r>
    </w:p>
    <w:bookmarkEnd w:id="75"/>
    <w:bookmarkEnd w:id="76"/>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3461"/>
        <w:gridCol w:w="1486"/>
        <w:gridCol w:w="1060"/>
        <w:gridCol w:w="1911"/>
      </w:tblGrid>
      <w:tr w14:paraId="009C8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blHeader/>
          <w:jc w:val="center"/>
        </w:trPr>
        <w:tc>
          <w:tcPr>
            <w:tcW w:w="555" w:type="pct"/>
            <w:vAlign w:val="center"/>
          </w:tcPr>
          <w:p w14:paraId="4E8F1CD9">
            <w:pPr>
              <w:adjustRightInd w:val="0"/>
              <w:snapToGrid w:val="0"/>
              <w:jc w:val="center"/>
              <w:rPr>
                <w:b/>
                <w:caps/>
                <w:color w:val="auto"/>
                <w:highlight w:val="none"/>
              </w:rPr>
            </w:pPr>
            <w:r>
              <w:rPr>
                <w:b/>
                <w:caps/>
                <w:color w:val="auto"/>
                <w:highlight w:val="none"/>
              </w:rPr>
              <w:t>序号</w:t>
            </w:r>
          </w:p>
        </w:tc>
        <w:tc>
          <w:tcPr>
            <w:tcW w:w="1943" w:type="pct"/>
            <w:vAlign w:val="center"/>
          </w:tcPr>
          <w:p w14:paraId="64FAC84B">
            <w:pPr>
              <w:adjustRightInd w:val="0"/>
              <w:snapToGrid w:val="0"/>
              <w:jc w:val="center"/>
              <w:rPr>
                <w:b/>
                <w:caps/>
                <w:color w:val="auto"/>
                <w:highlight w:val="none"/>
              </w:rPr>
            </w:pPr>
            <w:r>
              <w:rPr>
                <w:b/>
                <w:caps/>
                <w:color w:val="auto"/>
                <w:highlight w:val="none"/>
              </w:rPr>
              <w:t>货物名称</w:t>
            </w:r>
          </w:p>
        </w:tc>
        <w:tc>
          <w:tcPr>
            <w:tcW w:w="834" w:type="pct"/>
            <w:vAlign w:val="center"/>
          </w:tcPr>
          <w:p w14:paraId="22D2EC94">
            <w:pPr>
              <w:adjustRightInd w:val="0"/>
              <w:snapToGrid w:val="0"/>
              <w:jc w:val="center"/>
              <w:rPr>
                <w:b/>
                <w:caps/>
                <w:color w:val="auto"/>
                <w:highlight w:val="none"/>
              </w:rPr>
            </w:pPr>
            <w:r>
              <w:rPr>
                <w:b/>
                <w:caps/>
                <w:color w:val="auto"/>
                <w:highlight w:val="none"/>
              </w:rPr>
              <w:t>单位</w:t>
            </w:r>
          </w:p>
        </w:tc>
        <w:tc>
          <w:tcPr>
            <w:tcW w:w="595" w:type="pct"/>
            <w:vAlign w:val="center"/>
          </w:tcPr>
          <w:p w14:paraId="002D9657">
            <w:pPr>
              <w:adjustRightInd w:val="0"/>
              <w:snapToGrid w:val="0"/>
              <w:jc w:val="center"/>
              <w:rPr>
                <w:b/>
                <w:caps/>
                <w:color w:val="auto"/>
                <w:highlight w:val="none"/>
              </w:rPr>
            </w:pPr>
            <w:r>
              <w:rPr>
                <w:b/>
                <w:caps/>
                <w:color w:val="auto"/>
                <w:highlight w:val="none"/>
              </w:rPr>
              <w:t>数量</w:t>
            </w:r>
          </w:p>
        </w:tc>
        <w:tc>
          <w:tcPr>
            <w:tcW w:w="1073" w:type="pct"/>
          </w:tcPr>
          <w:p w14:paraId="1D8DF047">
            <w:pPr>
              <w:adjustRightInd w:val="0"/>
              <w:snapToGrid w:val="0"/>
              <w:jc w:val="center"/>
              <w:rPr>
                <w:b/>
                <w:caps/>
                <w:color w:val="auto"/>
                <w:highlight w:val="none"/>
              </w:rPr>
            </w:pPr>
            <w:r>
              <w:rPr>
                <w:b/>
                <w:caps/>
                <w:color w:val="auto"/>
                <w:highlight w:val="none"/>
              </w:rPr>
              <w:t>是否核心产品</w:t>
            </w:r>
          </w:p>
        </w:tc>
      </w:tr>
      <w:tr w14:paraId="23B4D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55" w:type="pct"/>
            <w:vAlign w:val="center"/>
          </w:tcPr>
          <w:p w14:paraId="77A7C620">
            <w:pPr>
              <w:adjustRightInd w:val="0"/>
              <w:snapToGrid w:val="0"/>
              <w:jc w:val="center"/>
              <w:rPr>
                <w:color w:val="auto"/>
                <w:highlight w:val="none"/>
              </w:rPr>
            </w:pPr>
            <w:r>
              <w:rPr>
                <w:rFonts w:hint="eastAsia"/>
                <w:color w:val="auto"/>
                <w:highlight w:val="none"/>
              </w:rPr>
              <w:t>1</w:t>
            </w:r>
          </w:p>
        </w:tc>
        <w:tc>
          <w:tcPr>
            <w:tcW w:w="1943" w:type="pct"/>
            <w:vAlign w:val="center"/>
          </w:tcPr>
          <w:p w14:paraId="45DA8518">
            <w:pPr>
              <w:adjustRightInd w:val="0"/>
              <w:snapToGrid w:val="0"/>
              <w:jc w:val="center"/>
              <w:rPr>
                <w:color w:val="auto"/>
                <w:highlight w:val="none"/>
              </w:rPr>
            </w:pPr>
            <w:bookmarkStart w:id="77" w:name="OLE_LINK91"/>
            <w:bookmarkStart w:id="78" w:name="OLE_LINK90"/>
            <w:r>
              <w:rPr>
                <w:rFonts w:hint="eastAsia"/>
                <w:color w:val="auto"/>
                <w:highlight w:val="none"/>
              </w:rPr>
              <w:t>CT</w:t>
            </w:r>
            <w:bookmarkEnd w:id="77"/>
            <w:bookmarkEnd w:id="78"/>
          </w:p>
        </w:tc>
        <w:tc>
          <w:tcPr>
            <w:tcW w:w="834" w:type="pct"/>
            <w:tcBorders>
              <w:bottom w:val="single" w:color="auto" w:sz="4" w:space="0"/>
            </w:tcBorders>
            <w:vAlign w:val="center"/>
          </w:tcPr>
          <w:p w14:paraId="30B94168">
            <w:pPr>
              <w:adjustRightInd w:val="0"/>
              <w:snapToGrid w:val="0"/>
              <w:jc w:val="center"/>
              <w:rPr>
                <w:color w:val="auto"/>
                <w:highlight w:val="none"/>
              </w:rPr>
            </w:pPr>
            <w:r>
              <w:rPr>
                <w:color w:val="auto"/>
                <w:highlight w:val="none"/>
              </w:rPr>
              <w:t>套</w:t>
            </w:r>
          </w:p>
        </w:tc>
        <w:tc>
          <w:tcPr>
            <w:tcW w:w="595" w:type="pct"/>
            <w:tcBorders>
              <w:bottom w:val="single" w:color="auto" w:sz="4" w:space="0"/>
            </w:tcBorders>
            <w:vAlign w:val="center"/>
          </w:tcPr>
          <w:p w14:paraId="044D2CFC">
            <w:pPr>
              <w:adjustRightInd w:val="0"/>
              <w:snapToGrid w:val="0"/>
              <w:jc w:val="center"/>
              <w:rPr>
                <w:color w:val="auto"/>
                <w:highlight w:val="none"/>
              </w:rPr>
            </w:pPr>
            <w:r>
              <w:rPr>
                <w:rFonts w:hint="eastAsia"/>
                <w:color w:val="auto"/>
                <w:highlight w:val="none"/>
              </w:rPr>
              <w:t>1</w:t>
            </w:r>
          </w:p>
        </w:tc>
        <w:tc>
          <w:tcPr>
            <w:tcW w:w="1073" w:type="pct"/>
          </w:tcPr>
          <w:p w14:paraId="65D15CE7">
            <w:pPr>
              <w:adjustRightInd w:val="0"/>
              <w:snapToGrid w:val="0"/>
              <w:jc w:val="center"/>
              <w:rPr>
                <w:b/>
                <w:color w:val="auto"/>
                <w:highlight w:val="none"/>
              </w:rPr>
            </w:pPr>
            <w:r>
              <w:rPr>
                <w:rFonts w:hint="eastAsia"/>
                <w:b/>
                <w:color w:val="auto"/>
                <w:highlight w:val="none"/>
              </w:rPr>
              <w:t>是</w:t>
            </w:r>
          </w:p>
        </w:tc>
      </w:tr>
      <w:tr w14:paraId="29109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55" w:type="pct"/>
            <w:vAlign w:val="center"/>
          </w:tcPr>
          <w:p w14:paraId="17888114">
            <w:pPr>
              <w:adjustRightInd w:val="0"/>
              <w:snapToGrid w:val="0"/>
              <w:jc w:val="center"/>
              <w:rPr>
                <w:color w:val="auto"/>
                <w:highlight w:val="none"/>
              </w:rPr>
            </w:pPr>
            <w:r>
              <w:rPr>
                <w:rFonts w:hint="eastAsia"/>
                <w:color w:val="auto"/>
                <w:highlight w:val="none"/>
              </w:rPr>
              <w:t>2</w:t>
            </w:r>
          </w:p>
        </w:tc>
        <w:tc>
          <w:tcPr>
            <w:tcW w:w="1943" w:type="pct"/>
            <w:vAlign w:val="center"/>
          </w:tcPr>
          <w:p w14:paraId="1CA96D93">
            <w:pPr>
              <w:adjustRightInd w:val="0"/>
              <w:snapToGrid w:val="0"/>
              <w:jc w:val="center"/>
              <w:rPr>
                <w:color w:val="auto"/>
                <w:szCs w:val="21"/>
                <w:highlight w:val="none"/>
              </w:rPr>
            </w:pPr>
            <w:r>
              <w:rPr>
                <w:color w:val="auto"/>
                <w:highlight w:val="none"/>
              </w:rPr>
              <w:t>技术资料</w:t>
            </w:r>
          </w:p>
        </w:tc>
        <w:tc>
          <w:tcPr>
            <w:tcW w:w="1429" w:type="pct"/>
            <w:gridSpan w:val="2"/>
            <w:vAlign w:val="center"/>
          </w:tcPr>
          <w:p w14:paraId="76723EFA">
            <w:pPr>
              <w:adjustRightInd w:val="0"/>
              <w:snapToGrid w:val="0"/>
              <w:jc w:val="center"/>
              <w:rPr>
                <w:color w:val="auto"/>
                <w:szCs w:val="21"/>
                <w:highlight w:val="none"/>
                <w:lang w:val="en-GB"/>
              </w:rPr>
            </w:pPr>
            <w:r>
              <w:rPr>
                <w:color w:val="auto"/>
                <w:highlight w:val="none"/>
              </w:rPr>
              <w:t>全套</w:t>
            </w:r>
          </w:p>
        </w:tc>
        <w:tc>
          <w:tcPr>
            <w:tcW w:w="1073" w:type="pct"/>
          </w:tcPr>
          <w:p w14:paraId="3BC7CEDB">
            <w:pPr>
              <w:adjustRightInd w:val="0"/>
              <w:snapToGrid w:val="0"/>
              <w:jc w:val="center"/>
              <w:rPr>
                <w:color w:val="auto"/>
                <w:highlight w:val="none"/>
              </w:rPr>
            </w:pPr>
            <w:r>
              <w:rPr>
                <w:rFonts w:hint="eastAsia"/>
                <w:color w:val="auto"/>
                <w:highlight w:val="none"/>
              </w:rPr>
              <w:t>/</w:t>
            </w:r>
          </w:p>
        </w:tc>
      </w:tr>
      <w:tr w14:paraId="35860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55" w:type="pct"/>
            <w:vAlign w:val="center"/>
          </w:tcPr>
          <w:p w14:paraId="415F45CF">
            <w:pPr>
              <w:adjustRightInd w:val="0"/>
              <w:snapToGrid w:val="0"/>
              <w:jc w:val="center"/>
              <w:rPr>
                <w:color w:val="auto"/>
                <w:highlight w:val="none"/>
              </w:rPr>
            </w:pPr>
            <w:r>
              <w:rPr>
                <w:rFonts w:hint="eastAsia"/>
                <w:color w:val="auto"/>
                <w:highlight w:val="none"/>
              </w:rPr>
              <w:t>3</w:t>
            </w:r>
          </w:p>
        </w:tc>
        <w:tc>
          <w:tcPr>
            <w:tcW w:w="3372" w:type="pct"/>
            <w:gridSpan w:val="3"/>
            <w:vAlign w:val="center"/>
          </w:tcPr>
          <w:p w14:paraId="3F0A33D8">
            <w:pPr>
              <w:adjustRightInd w:val="0"/>
              <w:snapToGrid w:val="0"/>
              <w:jc w:val="center"/>
              <w:rPr>
                <w:color w:val="auto"/>
                <w:highlight w:val="none"/>
              </w:rPr>
            </w:pPr>
            <w:r>
              <w:rPr>
                <w:rFonts w:hint="eastAsia"/>
                <w:color w:val="auto"/>
                <w:highlight w:val="none"/>
              </w:rPr>
              <w:t>供应商</w:t>
            </w:r>
            <w:r>
              <w:rPr>
                <w:color w:val="auto"/>
                <w:highlight w:val="none"/>
              </w:rPr>
              <w:t>须提供的其他资料</w:t>
            </w:r>
          </w:p>
        </w:tc>
        <w:tc>
          <w:tcPr>
            <w:tcW w:w="1073" w:type="pct"/>
          </w:tcPr>
          <w:p w14:paraId="6C82B204">
            <w:pPr>
              <w:adjustRightInd w:val="0"/>
              <w:snapToGrid w:val="0"/>
              <w:jc w:val="center"/>
              <w:rPr>
                <w:color w:val="auto"/>
                <w:highlight w:val="none"/>
              </w:rPr>
            </w:pPr>
            <w:r>
              <w:rPr>
                <w:rFonts w:hint="eastAsia"/>
                <w:color w:val="auto"/>
                <w:highlight w:val="none"/>
              </w:rPr>
              <w:t>/</w:t>
            </w:r>
          </w:p>
        </w:tc>
      </w:tr>
    </w:tbl>
    <w:p w14:paraId="228839F3">
      <w:pPr>
        <w:adjustRightInd w:val="0"/>
        <w:snapToGrid w:val="0"/>
        <w:spacing w:before="156" w:beforeLines="50"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（三）技术要求及配置标准</w:t>
      </w:r>
    </w:p>
    <w:tbl>
      <w:tblPr>
        <w:tblStyle w:val="2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89"/>
        <w:gridCol w:w="6190"/>
        <w:gridCol w:w="1427"/>
      </w:tblGrid>
      <w:tr w14:paraId="693C4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724" w:type="pct"/>
            <w:shd w:val="clear" w:color="auto" w:fill="auto"/>
            <w:vAlign w:val="center"/>
          </w:tcPr>
          <w:p w14:paraId="34FA449E">
            <w:pPr>
              <w:widowControl/>
              <w:jc w:val="center"/>
              <w:rPr>
                <w:rFonts w:cs="宋体" w:asciiTheme="minorEastAsia" w:hAnsiTheme="minorEastAsia" w:eastAsiaTheme="minorEastAsia"/>
                <w:b/>
                <w:color w:val="auto"/>
                <w:kern w:val="0"/>
                <w:szCs w:val="21"/>
                <w:highlight w:val="none"/>
              </w:rPr>
            </w:pPr>
            <w:bookmarkStart w:id="79" w:name="_Hlk193814557"/>
            <w:r>
              <w:rPr>
                <w:rFonts w:cs="宋体" w:asciiTheme="minorEastAsia" w:hAnsiTheme="minorEastAsia" w:eastAsiaTheme="minorEastAsia"/>
                <w:b/>
                <w:color w:val="auto"/>
                <w:kern w:val="0"/>
                <w:szCs w:val="21"/>
                <w:highlight w:val="none"/>
              </w:rPr>
              <w:t>序号</w:t>
            </w:r>
          </w:p>
        </w:tc>
        <w:tc>
          <w:tcPr>
            <w:tcW w:w="3475" w:type="pct"/>
            <w:shd w:val="clear" w:color="auto" w:fill="auto"/>
            <w:vAlign w:val="center"/>
          </w:tcPr>
          <w:p w14:paraId="4ABEBF79">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技术参数要求</w:t>
            </w:r>
          </w:p>
        </w:tc>
        <w:tc>
          <w:tcPr>
            <w:tcW w:w="801" w:type="pct"/>
            <w:vAlign w:val="center"/>
          </w:tcPr>
          <w:p w14:paraId="7B073076">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评分分值</w:t>
            </w:r>
          </w:p>
        </w:tc>
      </w:tr>
      <w:bookmarkEnd w:id="79"/>
      <w:tr w14:paraId="42983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307359FE">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1</w:t>
            </w:r>
          </w:p>
        </w:tc>
        <w:tc>
          <w:tcPr>
            <w:tcW w:w="4276" w:type="pct"/>
            <w:gridSpan w:val="2"/>
            <w:shd w:val="clear" w:color="auto" w:fill="auto"/>
            <w:vAlign w:val="center"/>
          </w:tcPr>
          <w:p w14:paraId="3B4164FF">
            <w:pPr>
              <w:widowControl/>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X线及高压发生器系统</w:t>
            </w:r>
          </w:p>
        </w:tc>
      </w:tr>
      <w:tr w14:paraId="1E166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5F801AAB">
            <w:pPr>
              <w:widowControl/>
              <w:jc w:val="center"/>
              <w:rPr>
                <w:rFonts w:cs="宋体" w:asciiTheme="minorEastAsia" w:hAnsiTheme="minorEastAsia" w:eastAsiaTheme="minorEastAsia"/>
                <w:color w:val="auto"/>
                <w:kern w:val="0"/>
                <w:szCs w:val="21"/>
                <w:highlight w:val="none"/>
              </w:rPr>
            </w:pPr>
            <w:bookmarkStart w:id="80" w:name="OLE_LINK120"/>
            <w:r>
              <w:rPr>
                <w:rFonts w:hint="eastAsia" w:cs="宋体" w:asciiTheme="minorEastAsia" w:hAnsiTheme="minorEastAsia" w:eastAsiaTheme="minorEastAsia"/>
                <w:color w:val="auto"/>
                <w:kern w:val="0"/>
                <w:szCs w:val="21"/>
                <w:highlight w:val="none"/>
              </w:rPr>
              <w:t>▲</w:t>
            </w:r>
            <w:bookmarkEnd w:id="80"/>
            <w:r>
              <w:rPr>
                <w:rFonts w:hint="eastAsia" w:cs="宋体" w:asciiTheme="minorEastAsia" w:hAnsiTheme="minorEastAsia" w:eastAsiaTheme="minorEastAsia"/>
                <w:color w:val="auto"/>
                <w:kern w:val="0"/>
                <w:szCs w:val="21"/>
                <w:highlight w:val="none"/>
              </w:rPr>
              <w:t>1.1</w:t>
            </w:r>
          </w:p>
        </w:tc>
        <w:tc>
          <w:tcPr>
            <w:tcW w:w="3475" w:type="pct"/>
            <w:shd w:val="clear" w:color="auto" w:fill="auto"/>
          </w:tcPr>
          <w:p w14:paraId="5A0E2A37">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球管阳极热容量（不含等效概念）：≥3.5MHU</w:t>
            </w:r>
          </w:p>
        </w:tc>
        <w:tc>
          <w:tcPr>
            <w:tcW w:w="801" w:type="pct"/>
            <w:vAlign w:val="center"/>
          </w:tcPr>
          <w:p w14:paraId="47ADBE78">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w:t>
            </w:r>
          </w:p>
        </w:tc>
      </w:tr>
      <w:tr w14:paraId="5B8A0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0446C0C1">
            <w:pPr>
              <w:widowControl/>
              <w:jc w:val="center"/>
              <w:rPr>
                <w:rFonts w:cs="宋体" w:asciiTheme="minorEastAsia" w:hAnsiTheme="minorEastAsia" w:eastAsiaTheme="minorEastAsia"/>
                <w:color w:val="auto"/>
                <w:kern w:val="0"/>
                <w:szCs w:val="21"/>
                <w:highlight w:val="none"/>
              </w:rPr>
            </w:pPr>
            <w:bookmarkStart w:id="81" w:name="_Hlk194074416"/>
            <w:r>
              <w:rPr>
                <w:rFonts w:hint="eastAsia" w:cs="宋体" w:asciiTheme="minorEastAsia" w:hAnsiTheme="minorEastAsia" w:eastAsiaTheme="minorEastAsia"/>
                <w:color w:val="auto"/>
                <w:kern w:val="0"/>
                <w:szCs w:val="21"/>
                <w:highlight w:val="none"/>
              </w:rPr>
              <w:t>1.2</w:t>
            </w:r>
          </w:p>
        </w:tc>
        <w:tc>
          <w:tcPr>
            <w:tcW w:w="3475" w:type="pct"/>
            <w:shd w:val="clear" w:color="auto" w:fill="auto"/>
          </w:tcPr>
          <w:p w14:paraId="7D1F19D0">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阳极最大散热率（不含等效概念）：≥735KHU/min</w:t>
            </w:r>
          </w:p>
        </w:tc>
        <w:tc>
          <w:tcPr>
            <w:tcW w:w="801" w:type="pct"/>
            <w:vAlign w:val="center"/>
          </w:tcPr>
          <w:p w14:paraId="2EF19B7B">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7D807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34D75D2C">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1.3</w:t>
            </w:r>
          </w:p>
        </w:tc>
        <w:tc>
          <w:tcPr>
            <w:tcW w:w="3475" w:type="pct"/>
            <w:shd w:val="clear" w:color="auto" w:fill="auto"/>
          </w:tcPr>
          <w:p w14:paraId="65EDC9CC">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高压发生器功率（不含等效概念）：≥32kW</w:t>
            </w:r>
          </w:p>
        </w:tc>
        <w:tc>
          <w:tcPr>
            <w:tcW w:w="801" w:type="pct"/>
            <w:vAlign w:val="center"/>
          </w:tcPr>
          <w:p w14:paraId="47AAD594">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66FCB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FF5AD5B">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1.4</w:t>
            </w:r>
          </w:p>
        </w:tc>
        <w:tc>
          <w:tcPr>
            <w:tcW w:w="3475" w:type="pct"/>
            <w:shd w:val="clear" w:color="auto" w:fill="auto"/>
          </w:tcPr>
          <w:p w14:paraId="38954971">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最高输出管电流（不含等效概念）：≥350mA</w:t>
            </w:r>
          </w:p>
        </w:tc>
        <w:tc>
          <w:tcPr>
            <w:tcW w:w="801" w:type="pct"/>
            <w:vAlign w:val="center"/>
          </w:tcPr>
          <w:p w14:paraId="5789B915">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430EE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8CF50BE">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1.5</w:t>
            </w:r>
          </w:p>
        </w:tc>
        <w:tc>
          <w:tcPr>
            <w:tcW w:w="3475" w:type="pct"/>
            <w:shd w:val="clear" w:color="auto" w:fill="auto"/>
          </w:tcPr>
          <w:p w14:paraId="24831285">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最低输出管电流：≤10mA</w:t>
            </w:r>
          </w:p>
        </w:tc>
        <w:tc>
          <w:tcPr>
            <w:tcW w:w="801" w:type="pct"/>
            <w:vAlign w:val="center"/>
          </w:tcPr>
          <w:p w14:paraId="27D021B3">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7A859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07704F01">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1.6</w:t>
            </w:r>
          </w:p>
        </w:tc>
        <w:tc>
          <w:tcPr>
            <w:tcW w:w="3475" w:type="pct"/>
            <w:shd w:val="clear" w:color="auto" w:fill="auto"/>
          </w:tcPr>
          <w:p w14:paraId="2DC3AB42">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智能毫安调节：≤1mA</w:t>
            </w:r>
          </w:p>
        </w:tc>
        <w:tc>
          <w:tcPr>
            <w:tcW w:w="801" w:type="pct"/>
            <w:vAlign w:val="center"/>
          </w:tcPr>
          <w:p w14:paraId="093C6D2C">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5BA3F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5F314672">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1.7</w:t>
            </w:r>
          </w:p>
        </w:tc>
        <w:tc>
          <w:tcPr>
            <w:tcW w:w="3475" w:type="pct"/>
            <w:shd w:val="clear" w:color="auto" w:fill="auto"/>
          </w:tcPr>
          <w:p w14:paraId="69614D31">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最大焦点尺寸：≤1.68mm²</w:t>
            </w:r>
          </w:p>
        </w:tc>
        <w:tc>
          <w:tcPr>
            <w:tcW w:w="801" w:type="pct"/>
            <w:vAlign w:val="center"/>
          </w:tcPr>
          <w:p w14:paraId="4BEFEF96">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bookmarkEnd w:id="81"/>
      <w:tr w14:paraId="6D39D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4E3A0BC">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▲1.8</w:t>
            </w:r>
          </w:p>
        </w:tc>
        <w:tc>
          <w:tcPr>
            <w:tcW w:w="3475" w:type="pct"/>
            <w:shd w:val="clear" w:color="auto" w:fill="auto"/>
          </w:tcPr>
          <w:p w14:paraId="571F587C">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最小焦点尺寸：≤0.64mm²</w:t>
            </w:r>
          </w:p>
        </w:tc>
        <w:tc>
          <w:tcPr>
            <w:tcW w:w="801" w:type="pct"/>
            <w:vAlign w:val="center"/>
          </w:tcPr>
          <w:p w14:paraId="00756921">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w:t>
            </w:r>
          </w:p>
        </w:tc>
      </w:tr>
      <w:tr w14:paraId="07F02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4B39A42A">
            <w:pPr>
              <w:widowControl/>
              <w:jc w:val="center"/>
              <w:rPr>
                <w:rFonts w:cs="宋体" w:asciiTheme="minorEastAsia" w:hAnsiTheme="minorEastAsia" w:eastAsiaTheme="minorEastAsia"/>
                <w:color w:val="auto"/>
                <w:kern w:val="0"/>
                <w:szCs w:val="21"/>
                <w:highlight w:val="none"/>
              </w:rPr>
            </w:pPr>
            <w:bookmarkStart w:id="82" w:name="_Hlk194074424"/>
            <w:r>
              <w:rPr>
                <w:rFonts w:hint="eastAsia" w:cs="宋体" w:asciiTheme="minorEastAsia" w:hAnsiTheme="minorEastAsia" w:eastAsiaTheme="minorEastAsia"/>
                <w:color w:val="auto"/>
                <w:kern w:val="0"/>
                <w:szCs w:val="21"/>
                <w:highlight w:val="none"/>
              </w:rPr>
              <w:t>1.9</w:t>
            </w:r>
          </w:p>
        </w:tc>
        <w:tc>
          <w:tcPr>
            <w:tcW w:w="3475" w:type="pct"/>
            <w:shd w:val="clear" w:color="auto" w:fill="auto"/>
          </w:tcPr>
          <w:p w14:paraId="6CAF505F">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最低管电压：≤70kV</w:t>
            </w:r>
          </w:p>
        </w:tc>
        <w:tc>
          <w:tcPr>
            <w:tcW w:w="801" w:type="pct"/>
            <w:vAlign w:val="center"/>
          </w:tcPr>
          <w:p w14:paraId="203C7846">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28AF01D3">
        <w:tblPrEx>
          <w:tblCellMar>
            <w:top w:w="0" w:type="dxa"/>
            <w:left w:w="108" w:type="dxa"/>
            <w:bottom w:w="0" w:type="dxa"/>
            <w:right w:w="108" w:type="dxa"/>
          </w:tblCellMar>
        </w:tblPrEx>
        <w:trPr>
          <w:trHeight w:val="20" w:hRule="atLeast"/>
        </w:trPr>
        <w:tc>
          <w:tcPr>
            <w:tcW w:w="724" w:type="pct"/>
            <w:shd w:val="clear" w:color="auto" w:fill="auto"/>
            <w:vAlign w:val="center"/>
          </w:tcPr>
          <w:p w14:paraId="7DE7C940">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1.10</w:t>
            </w:r>
          </w:p>
        </w:tc>
        <w:tc>
          <w:tcPr>
            <w:tcW w:w="3475" w:type="pct"/>
            <w:shd w:val="clear" w:color="auto" w:fill="auto"/>
          </w:tcPr>
          <w:p w14:paraId="7743E607">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最高管电压：≥140kV</w:t>
            </w:r>
          </w:p>
        </w:tc>
        <w:tc>
          <w:tcPr>
            <w:tcW w:w="801" w:type="pct"/>
            <w:vAlign w:val="center"/>
          </w:tcPr>
          <w:p w14:paraId="6483DE97">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52D0D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3461B4F7">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1.11</w:t>
            </w:r>
          </w:p>
        </w:tc>
        <w:tc>
          <w:tcPr>
            <w:tcW w:w="3475" w:type="pct"/>
            <w:shd w:val="clear" w:color="auto" w:fill="auto"/>
          </w:tcPr>
          <w:p w14:paraId="753AA3EF">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管电压可选择档位：≥5档</w:t>
            </w:r>
          </w:p>
        </w:tc>
        <w:tc>
          <w:tcPr>
            <w:tcW w:w="801" w:type="pct"/>
            <w:vAlign w:val="center"/>
          </w:tcPr>
          <w:p w14:paraId="5588E88D">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bookmarkEnd w:id="82"/>
      <w:tr w14:paraId="15733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685B0E00">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2</w:t>
            </w:r>
          </w:p>
        </w:tc>
        <w:tc>
          <w:tcPr>
            <w:tcW w:w="4276" w:type="pct"/>
            <w:gridSpan w:val="2"/>
            <w:shd w:val="clear" w:color="auto" w:fill="auto"/>
            <w:vAlign w:val="center"/>
          </w:tcPr>
          <w:p w14:paraId="55BD021B">
            <w:pPr>
              <w:widowControl/>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数据采集系统</w:t>
            </w:r>
          </w:p>
        </w:tc>
      </w:tr>
      <w:tr w14:paraId="388A5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4EE96D8D">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2.1</w:t>
            </w:r>
          </w:p>
        </w:tc>
        <w:tc>
          <w:tcPr>
            <w:tcW w:w="3475" w:type="pct"/>
            <w:shd w:val="clear" w:color="auto" w:fill="auto"/>
          </w:tcPr>
          <w:p w14:paraId="7787A451">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探测器材料：固态稀土陶瓷探测器</w:t>
            </w:r>
          </w:p>
        </w:tc>
        <w:tc>
          <w:tcPr>
            <w:tcW w:w="801" w:type="pct"/>
            <w:vAlign w:val="center"/>
          </w:tcPr>
          <w:p w14:paraId="690D2569">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1A865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1BA882F9">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2.2</w:t>
            </w:r>
          </w:p>
        </w:tc>
        <w:tc>
          <w:tcPr>
            <w:tcW w:w="3475" w:type="pct"/>
            <w:shd w:val="clear" w:color="auto" w:fill="auto"/>
          </w:tcPr>
          <w:p w14:paraId="7A617B7A">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探测器Z轴物理排列数：≥16排</w:t>
            </w:r>
          </w:p>
        </w:tc>
        <w:tc>
          <w:tcPr>
            <w:tcW w:w="801" w:type="pct"/>
            <w:vAlign w:val="center"/>
          </w:tcPr>
          <w:p w14:paraId="00388B2E">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68F2C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08016CA8">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2.3</w:t>
            </w:r>
          </w:p>
        </w:tc>
        <w:tc>
          <w:tcPr>
            <w:tcW w:w="3475" w:type="pct"/>
            <w:shd w:val="clear" w:color="auto" w:fill="auto"/>
            <w:vAlign w:val="center"/>
          </w:tcPr>
          <w:p w14:paraId="4F14D897">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轴位扫描成像：≥32层/360°</w:t>
            </w:r>
          </w:p>
        </w:tc>
        <w:tc>
          <w:tcPr>
            <w:tcW w:w="801" w:type="pct"/>
            <w:vAlign w:val="center"/>
          </w:tcPr>
          <w:p w14:paraId="7F1E4EE9">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499A6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1B77827A">
            <w:pPr>
              <w:widowControl/>
              <w:jc w:val="center"/>
              <w:rPr>
                <w:rFonts w:cs="宋体" w:asciiTheme="minorEastAsia" w:hAnsiTheme="minorEastAsia" w:eastAsiaTheme="minorEastAsia"/>
                <w:color w:val="auto"/>
                <w:kern w:val="0"/>
                <w:szCs w:val="21"/>
                <w:highlight w:val="none"/>
              </w:rPr>
            </w:pPr>
            <w:bookmarkStart w:id="83" w:name="OLE_LINK41"/>
            <w:r>
              <w:rPr>
                <w:rFonts w:hint="eastAsia" w:cs="宋体" w:asciiTheme="minorEastAsia" w:hAnsiTheme="minorEastAsia" w:eastAsiaTheme="minorEastAsia"/>
                <w:color w:val="auto"/>
                <w:kern w:val="0"/>
                <w:szCs w:val="21"/>
                <w:highlight w:val="none"/>
              </w:rPr>
              <w:t>▲</w:t>
            </w:r>
            <w:bookmarkEnd w:id="83"/>
            <w:r>
              <w:rPr>
                <w:rFonts w:hint="eastAsia" w:cs="宋体" w:asciiTheme="minorEastAsia" w:hAnsiTheme="minorEastAsia" w:eastAsiaTheme="minorEastAsia"/>
                <w:color w:val="auto"/>
                <w:kern w:val="0"/>
                <w:szCs w:val="21"/>
                <w:highlight w:val="none"/>
              </w:rPr>
              <w:t>2.4</w:t>
            </w:r>
          </w:p>
        </w:tc>
        <w:tc>
          <w:tcPr>
            <w:tcW w:w="3475" w:type="pct"/>
            <w:shd w:val="clear" w:color="auto" w:fill="auto"/>
            <w:vAlign w:val="center"/>
          </w:tcPr>
          <w:p w14:paraId="569B9381">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探测器Z轴等中心有效覆盖宽度：＞20mm（需提供检测报告证明材料）</w:t>
            </w:r>
          </w:p>
        </w:tc>
        <w:tc>
          <w:tcPr>
            <w:tcW w:w="801" w:type="pct"/>
            <w:vAlign w:val="center"/>
          </w:tcPr>
          <w:p w14:paraId="02C5DA2A">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w:t>
            </w:r>
          </w:p>
        </w:tc>
      </w:tr>
      <w:tr w14:paraId="0AE28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60B4DE7D">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★2.5</w:t>
            </w:r>
          </w:p>
        </w:tc>
        <w:tc>
          <w:tcPr>
            <w:tcW w:w="3475" w:type="pct"/>
            <w:shd w:val="clear" w:color="auto" w:fill="auto"/>
          </w:tcPr>
          <w:p w14:paraId="3E0E089E">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每排探测器单元数：≥860个</w:t>
            </w:r>
          </w:p>
        </w:tc>
        <w:tc>
          <w:tcPr>
            <w:tcW w:w="801" w:type="pct"/>
            <w:vAlign w:val="center"/>
          </w:tcPr>
          <w:p w14:paraId="768A61D1">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0B37A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5F193C48">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2.6</w:t>
            </w:r>
          </w:p>
        </w:tc>
        <w:tc>
          <w:tcPr>
            <w:tcW w:w="3475" w:type="pct"/>
            <w:shd w:val="clear" w:color="auto" w:fill="auto"/>
            <w:vAlign w:val="center"/>
          </w:tcPr>
          <w:p w14:paraId="3B8DCF08">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数据采样率：≥4600采样/360°</w:t>
            </w:r>
          </w:p>
        </w:tc>
        <w:tc>
          <w:tcPr>
            <w:tcW w:w="801" w:type="pct"/>
            <w:vAlign w:val="center"/>
          </w:tcPr>
          <w:p w14:paraId="2BB48E4C">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5F9F5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1BF7EC45">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★2.7</w:t>
            </w:r>
          </w:p>
        </w:tc>
        <w:tc>
          <w:tcPr>
            <w:tcW w:w="3475" w:type="pct"/>
            <w:shd w:val="clear" w:color="auto" w:fill="auto"/>
            <w:vAlign w:val="center"/>
          </w:tcPr>
          <w:p w14:paraId="5D13C1F1">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探测器单元Z轴最小尺寸（≤0.6mm）</w:t>
            </w:r>
          </w:p>
        </w:tc>
        <w:tc>
          <w:tcPr>
            <w:tcW w:w="801" w:type="pct"/>
            <w:vAlign w:val="center"/>
          </w:tcPr>
          <w:p w14:paraId="146CD230">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233A4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7446455D">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3</w:t>
            </w:r>
          </w:p>
        </w:tc>
        <w:tc>
          <w:tcPr>
            <w:tcW w:w="4276" w:type="pct"/>
            <w:gridSpan w:val="2"/>
            <w:shd w:val="clear" w:color="auto" w:fill="auto"/>
            <w:vAlign w:val="center"/>
          </w:tcPr>
          <w:p w14:paraId="06545270">
            <w:pPr>
              <w:widowControl/>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扫描机架系统</w:t>
            </w:r>
          </w:p>
        </w:tc>
      </w:tr>
      <w:tr w14:paraId="024C1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2C0B284">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3.1</w:t>
            </w:r>
          </w:p>
        </w:tc>
        <w:tc>
          <w:tcPr>
            <w:tcW w:w="3475" w:type="pct"/>
            <w:shd w:val="clear" w:color="auto" w:fill="auto"/>
            <w:vAlign w:val="center"/>
          </w:tcPr>
          <w:p w14:paraId="0A1487A6">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滑环类型：低压滑环</w:t>
            </w:r>
          </w:p>
        </w:tc>
        <w:tc>
          <w:tcPr>
            <w:tcW w:w="801" w:type="pct"/>
            <w:vAlign w:val="center"/>
          </w:tcPr>
          <w:p w14:paraId="0C0631BA">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53753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C87EC9F">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3.2</w:t>
            </w:r>
          </w:p>
        </w:tc>
        <w:tc>
          <w:tcPr>
            <w:tcW w:w="3475" w:type="pct"/>
            <w:shd w:val="clear" w:color="auto" w:fill="auto"/>
            <w:vAlign w:val="center"/>
          </w:tcPr>
          <w:p w14:paraId="7DECAB83">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内部冷却方式：风冷</w:t>
            </w:r>
          </w:p>
        </w:tc>
        <w:tc>
          <w:tcPr>
            <w:tcW w:w="801" w:type="pct"/>
            <w:vAlign w:val="center"/>
          </w:tcPr>
          <w:p w14:paraId="35213058">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04808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4B47303C">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▲3.3</w:t>
            </w:r>
          </w:p>
        </w:tc>
        <w:tc>
          <w:tcPr>
            <w:tcW w:w="3475" w:type="pct"/>
            <w:shd w:val="clear" w:color="auto" w:fill="auto"/>
          </w:tcPr>
          <w:p w14:paraId="5D6F3B2F">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机架孔径：≤70cm</w:t>
            </w:r>
          </w:p>
        </w:tc>
        <w:tc>
          <w:tcPr>
            <w:tcW w:w="801" w:type="pct"/>
            <w:vAlign w:val="center"/>
          </w:tcPr>
          <w:p w14:paraId="3971E1A2">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w:t>
            </w:r>
          </w:p>
        </w:tc>
      </w:tr>
      <w:tr w14:paraId="0BBA7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08A8460C">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★3.4</w:t>
            </w:r>
          </w:p>
        </w:tc>
        <w:tc>
          <w:tcPr>
            <w:tcW w:w="3475" w:type="pct"/>
            <w:shd w:val="clear" w:color="auto" w:fill="auto"/>
          </w:tcPr>
          <w:p w14:paraId="237CD98D">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机架倾角（推荐机械倾角）：≥±30°</w:t>
            </w:r>
          </w:p>
        </w:tc>
        <w:tc>
          <w:tcPr>
            <w:tcW w:w="801" w:type="pct"/>
            <w:vAlign w:val="center"/>
          </w:tcPr>
          <w:p w14:paraId="73EEBD91">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49DA2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05515053">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★3.5</w:t>
            </w:r>
          </w:p>
        </w:tc>
        <w:tc>
          <w:tcPr>
            <w:tcW w:w="3475" w:type="pct"/>
            <w:shd w:val="clear" w:color="auto" w:fill="auto"/>
            <w:vAlign w:val="center"/>
          </w:tcPr>
          <w:p w14:paraId="57B3C88A">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机架最快旋转速度（360°）：≤0.75s</w:t>
            </w:r>
          </w:p>
        </w:tc>
        <w:tc>
          <w:tcPr>
            <w:tcW w:w="801" w:type="pct"/>
            <w:vAlign w:val="center"/>
          </w:tcPr>
          <w:p w14:paraId="652AFAFD">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6CBEC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A2F8F8A">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3.6</w:t>
            </w:r>
          </w:p>
        </w:tc>
        <w:tc>
          <w:tcPr>
            <w:tcW w:w="3475" w:type="pct"/>
            <w:shd w:val="clear" w:color="auto" w:fill="auto"/>
          </w:tcPr>
          <w:p w14:paraId="33F542AC">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焦点到探测器距离：≥1000mm</w:t>
            </w:r>
          </w:p>
        </w:tc>
        <w:tc>
          <w:tcPr>
            <w:tcW w:w="801" w:type="pct"/>
            <w:vAlign w:val="center"/>
          </w:tcPr>
          <w:p w14:paraId="01CCF26F">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569D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2A43D0AA">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★3.7</w:t>
            </w:r>
          </w:p>
        </w:tc>
        <w:tc>
          <w:tcPr>
            <w:tcW w:w="3475" w:type="pct"/>
            <w:shd w:val="clear" w:color="auto" w:fill="auto"/>
          </w:tcPr>
          <w:p w14:paraId="20387B3F">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焦点到等中心距离：≥540mm（需提供检测报告或技术白皮书等文件证明材料）</w:t>
            </w:r>
          </w:p>
        </w:tc>
        <w:tc>
          <w:tcPr>
            <w:tcW w:w="801" w:type="pct"/>
            <w:vAlign w:val="center"/>
          </w:tcPr>
          <w:p w14:paraId="084FDFE5">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676C5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8768CED">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4</w:t>
            </w:r>
          </w:p>
        </w:tc>
        <w:tc>
          <w:tcPr>
            <w:tcW w:w="4276" w:type="pct"/>
            <w:gridSpan w:val="2"/>
            <w:shd w:val="clear" w:color="auto" w:fill="auto"/>
            <w:vAlign w:val="center"/>
          </w:tcPr>
          <w:p w14:paraId="7FC93DF5">
            <w:pPr>
              <w:widowControl/>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扫描与重建参数</w:t>
            </w:r>
          </w:p>
        </w:tc>
      </w:tr>
      <w:tr w14:paraId="44E32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7F7EB9D">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4.1</w:t>
            </w:r>
          </w:p>
        </w:tc>
        <w:tc>
          <w:tcPr>
            <w:tcW w:w="3475" w:type="pct"/>
            <w:shd w:val="clear" w:color="auto" w:fill="auto"/>
            <w:vAlign w:val="center"/>
          </w:tcPr>
          <w:p w14:paraId="3446E4B6">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最薄扫描层厚：≤0.625mm</w:t>
            </w:r>
          </w:p>
        </w:tc>
        <w:tc>
          <w:tcPr>
            <w:tcW w:w="801" w:type="pct"/>
            <w:vAlign w:val="center"/>
          </w:tcPr>
          <w:p w14:paraId="483B52D6">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18BBC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57F40D9F">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4.2</w:t>
            </w:r>
          </w:p>
        </w:tc>
        <w:tc>
          <w:tcPr>
            <w:tcW w:w="3475" w:type="pct"/>
            <w:shd w:val="clear" w:color="auto" w:fill="auto"/>
            <w:vAlign w:val="center"/>
          </w:tcPr>
          <w:p w14:paraId="42DEF6EF">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重建速度：≥30幅/秒</w:t>
            </w:r>
          </w:p>
        </w:tc>
        <w:tc>
          <w:tcPr>
            <w:tcW w:w="801" w:type="pct"/>
            <w:vAlign w:val="center"/>
          </w:tcPr>
          <w:p w14:paraId="0C2D762D">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134D3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3FBF3C7">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4.3</w:t>
            </w:r>
          </w:p>
        </w:tc>
        <w:tc>
          <w:tcPr>
            <w:tcW w:w="3475" w:type="pct"/>
            <w:shd w:val="clear" w:color="auto" w:fill="auto"/>
            <w:vAlign w:val="center"/>
          </w:tcPr>
          <w:p w14:paraId="69CE5147">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图像重建矩阵：≥512×512</w:t>
            </w:r>
          </w:p>
        </w:tc>
        <w:tc>
          <w:tcPr>
            <w:tcW w:w="801" w:type="pct"/>
            <w:vAlign w:val="center"/>
          </w:tcPr>
          <w:p w14:paraId="34757E0B">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17B7D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786DF4EA">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4.4</w:t>
            </w:r>
          </w:p>
        </w:tc>
        <w:tc>
          <w:tcPr>
            <w:tcW w:w="3475" w:type="pct"/>
            <w:shd w:val="clear" w:color="auto" w:fill="auto"/>
            <w:vAlign w:val="center"/>
          </w:tcPr>
          <w:p w14:paraId="7819E265">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图像显示矩阵：≥512×512</w:t>
            </w:r>
          </w:p>
        </w:tc>
        <w:tc>
          <w:tcPr>
            <w:tcW w:w="801" w:type="pct"/>
            <w:vAlign w:val="center"/>
          </w:tcPr>
          <w:p w14:paraId="36A78BA0">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2EB6D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1E8C2045">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★4.5</w:t>
            </w:r>
          </w:p>
        </w:tc>
        <w:tc>
          <w:tcPr>
            <w:tcW w:w="3475" w:type="pct"/>
            <w:shd w:val="clear" w:color="auto" w:fill="auto"/>
            <w:vAlign w:val="center"/>
          </w:tcPr>
          <w:p w14:paraId="6A23132B">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最长连续扫描时间：≥100s</w:t>
            </w:r>
          </w:p>
        </w:tc>
        <w:tc>
          <w:tcPr>
            <w:tcW w:w="801" w:type="pct"/>
            <w:vAlign w:val="center"/>
          </w:tcPr>
          <w:p w14:paraId="5E1A6539">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77D0C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26AD6260">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4.6</w:t>
            </w:r>
          </w:p>
        </w:tc>
        <w:tc>
          <w:tcPr>
            <w:tcW w:w="3475" w:type="pct"/>
            <w:shd w:val="clear" w:color="auto" w:fill="auto"/>
            <w:vAlign w:val="center"/>
          </w:tcPr>
          <w:p w14:paraId="388D42F7">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最小螺距：≤0.1</w:t>
            </w:r>
          </w:p>
        </w:tc>
        <w:tc>
          <w:tcPr>
            <w:tcW w:w="801" w:type="pct"/>
            <w:vAlign w:val="center"/>
          </w:tcPr>
          <w:p w14:paraId="113F16B9">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7008C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48903E17">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4.7</w:t>
            </w:r>
          </w:p>
        </w:tc>
        <w:tc>
          <w:tcPr>
            <w:tcW w:w="3475" w:type="pct"/>
            <w:shd w:val="clear" w:color="auto" w:fill="auto"/>
            <w:vAlign w:val="center"/>
          </w:tcPr>
          <w:p w14:paraId="5753DE94">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最大螺距：≥1.5</w:t>
            </w:r>
          </w:p>
        </w:tc>
        <w:tc>
          <w:tcPr>
            <w:tcW w:w="801" w:type="pct"/>
            <w:vAlign w:val="center"/>
          </w:tcPr>
          <w:p w14:paraId="22A198D2">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2FF4F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4BFA296E">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★4.9</w:t>
            </w:r>
          </w:p>
        </w:tc>
        <w:tc>
          <w:tcPr>
            <w:tcW w:w="3475" w:type="pct"/>
            <w:shd w:val="clear" w:color="auto" w:fill="auto"/>
            <w:vAlign w:val="center"/>
          </w:tcPr>
          <w:p w14:paraId="0C3736A5">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高对比度分辨率：≥18lp/cm@0%MTF</w:t>
            </w:r>
          </w:p>
        </w:tc>
        <w:tc>
          <w:tcPr>
            <w:tcW w:w="801" w:type="pct"/>
            <w:vAlign w:val="center"/>
          </w:tcPr>
          <w:p w14:paraId="03ABD562">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40D52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5B613ABC">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4.10</w:t>
            </w:r>
          </w:p>
        </w:tc>
        <w:tc>
          <w:tcPr>
            <w:tcW w:w="3475" w:type="pct"/>
            <w:shd w:val="clear" w:color="auto" w:fill="auto"/>
            <w:vAlign w:val="center"/>
          </w:tcPr>
          <w:p w14:paraId="6FBDF977">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低对比度分辨率：≤2mm@0.3％</w:t>
            </w:r>
          </w:p>
        </w:tc>
        <w:tc>
          <w:tcPr>
            <w:tcW w:w="801" w:type="pct"/>
            <w:vAlign w:val="center"/>
          </w:tcPr>
          <w:p w14:paraId="611B3475">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61EE6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68B9594A">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5</w:t>
            </w:r>
          </w:p>
        </w:tc>
        <w:tc>
          <w:tcPr>
            <w:tcW w:w="4276" w:type="pct"/>
            <w:gridSpan w:val="2"/>
            <w:shd w:val="clear" w:color="auto" w:fill="auto"/>
            <w:vAlign w:val="center"/>
          </w:tcPr>
          <w:p w14:paraId="1F7DBB10">
            <w:pPr>
              <w:widowControl/>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检查床系统</w:t>
            </w:r>
          </w:p>
        </w:tc>
      </w:tr>
      <w:tr w14:paraId="28AD5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32A8D5F3">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5.1</w:t>
            </w:r>
          </w:p>
        </w:tc>
        <w:tc>
          <w:tcPr>
            <w:tcW w:w="3475" w:type="pct"/>
            <w:shd w:val="clear" w:color="auto" w:fill="auto"/>
          </w:tcPr>
          <w:p w14:paraId="3462C656">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最长可移动范围：≥1800mm</w:t>
            </w:r>
          </w:p>
        </w:tc>
        <w:tc>
          <w:tcPr>
            <w:tcW w:w="801" w:type="pct"/>
            <w:vAlign w:val="center"/>
          </w:tcPr>
          <w:p w14:paraId="2A84CA00">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34DE7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17E6B856">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★5.2</w:t>
            </w:r>
          </w:p>
        </w:tc>
        <w:tc>
          <w:tcPr>
            <w:tcW w:w="3475" w:type="pct"/>
            <w:shd w:val="clear" w:color="auto" w:fill="auto"/>
          </w:tcPr>
          <w:p w14:paraId="129C5DC7">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水平移动最大速度≥200mm/s，水平移动最小速度：≤2mm/s</w:t>
            </w:r>
          </w:p>
        </w:tc>
        <w:tc>
          <w:tcPr>
            <w:tcW w:w="801" w:type="pct"/>
            <w:vAlign w:val="center"/>
          </w:tcPr>
          <w:p w14:paraId="5BCC999B">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7C0C7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0C57B8AB">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5.3</w:t>
            </w:r>
          </w:p>
        </w:tc>
        <w:tc>
          <w:tcPr>
            <w:tcW w:w="3475" w:type="pct"/>
            <w:shd w:val="clear" w:color="auto" w:fill="auto"/>
          </w:tcPr>
          <w:p w14:paraId="1FAC1FE6">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床面垂直范围：≥460mm</w:t>
            </w:r>
          </w:p>
        </w:tc>
        <w:tc>
          <w:tcPr>
            <w:tcW w:w="801" w:type="pct"/>
            <w:vAlign w:val="center"/>
          </w:tcPr>
          <w:p w14:paraId="0000536B">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70138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trPr>
        <w:tc>
          <w:tcPr>
            <w:tcW w:w="724" w:type="pct"/>
            <w:shd w:val="clear" w:color="auto" w:fill="auto"/>
          </w:tcPr>
          <w:p w14:paraId="65DF65B8">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5.4</w:t>
            </w:r>
          </w:p>
        </w:tc>
        <w:tc>
          <w:tcPr>
            <w:tcW w:w="3475" w:type="pct"/>
            <w:shd w:val="clear" w:color="auto" w:fill="auto"/>
          </w:tcPr>
          <w:p w14:paraId="285FC615">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检查床承重：≥205kg</w:t>
            </w:r>
          </w:p>
        </w:tc>
        <w:tc>
          <w:tcPr>
            <w:tcW w:w="801" w:type="pct"/>
            <w:vAlign w:val="center"/>
          </w:tcPr>
          <w:p w14:paraId="7DB240B0">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3BB1E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12F10332">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6</w:t>
            </w:r>
          </w:p>
        </w:tc>
        <w:tc>
          <w:tcPr>
            <w:tcW w:w="4276" w:type="pct"/>
            <w:gridSpan w:val="2"/>
            <w:shd w:val="clear" w:color="auto" w:fill="auto"/>
            <w:vAlign w:val="center"/>
          </w:tcPr>
          <w:p w14:paraId="6372FEA2">
            <w:pPr>
              <w:widowControl/>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主控台计算机系统</w:t>
            </w:r>
          </w:p>
        </w:tc>
      </w:tr>
      <w:tr w14:paraId="1EB05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6EBDAD18">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6.1</w:t>
            </w:r>
          </w:p>
        </w:tc>
        <w:tc>
          <w:tcPr>
            <w:tcW w:w="3475" w:type="pct"/>
            <w:shd w:val="clear" w:color="auto" w:fill="auto"/>
            <w:vAlign w:val="center"/>
          </w:tcPr>
          <w:p w14:paraId="55782D80">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高性能计算机CPU：≥4核</w:t>
            </w:r>
          </w:p>
        </w:tc>
        <w:tc>
          <w:tcPr>
            <w:tcW w:w="801" w:type="pct"/>
            <w:vAlign w:val="center"/>
          </w:tcPr>
          <w:p w14:paraId="7E23CB8E">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4F569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6431F578">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6.2</w:t>
            </w:r>
          </w:p>
        </w:tc>
        <w:tc>
          <w:tcPr>
            <w:tcW w:w="3475" w:type="pct"/>
            <w:shd w:val="clear" w:color="auto" w:fill="auto"/>
            <w:vAlign w:val="center"/>
          </w:tcPr>
          <w:p w14:paraId="027DD19D">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计算机内存：≥16GB</w:t>
            </w:r>
          </w:p>
        </w:tc>
        <w:tc>
          <w:tcPr>
            <w:tcW w:w="801" w:type="pct"/>
            <w:vAlign w:val="center"/>
          </w:tcPr>
          <w:p w14:paraId="0D3F0252">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44025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25ABF217">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6.3</w:t>
            </w:r>
          </w:p>
        </w:tc>
        <w:tc>
          <w:tcPr>
            <w:tcW w:w="3475" w:type="pct"/>
            <w:shd w:val="clear" w:color="auto" w:fill="auto"/>
            <w:vAlign w:val="center"/>
          </w:tcPr>
          <w:p w14:paraId="012FB36F">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显示器分辨率：≥1920×1200</w:t>
            </w:r>
          </w:p>
        </w:tc>
        <w:tc>
          <w:tcPr>
            <w:tcW w:w="801" w:type="pct"/>
            <w:vAlign w:val="center"/>
          </w:tcPr>
          <w:p w14:paraId="338711EF">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149B2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tcPr>
          <w:p w14:paraId="2A4EE709">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7</w:t>
            </w:r>
          </w:p>
        </w:tc>
        <w:tc>
          <w:tcPr>
            <w:tcW w:w="4276" w:type="pct"/>
            <w:gridSpan w:val="2"/>
            <w:shd w:val="clear" w:color="auto" w:fill="auto"/>
            <w:vAlign w:val="center"/>
          </w:tcPr>
          <w:p w14:paraId="787CE227">
            <w:pPr>
              <w:widowControl/>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临床应用软件</w:t>
            </w:r>
          </w:p>
        </w:tc>
      </w:tr>
      <w:tr w14:paraId="6822E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35E9A491">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7.1</w:t>
            </w:r>
          </w:p>
        </w:tc>
        <w:tc>
          <w:tcPr>
            <w:tcW w:w="3475" w:type="pct"/>
            <w:shd w:val="clear" w:color="auto" w:fill="auto"/>
            <w:vAlign w:val="center"/>
          </w:tcPr>
          <w:p w14:paraId="29CBEF0E">
            <w:pPr>
              <w:widowControl/>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MPR、MPR、CPR、MIP、MinIP、AIP、SSD、VR、对比剂追踪技术、对比剂追踪自动扫描触发功能、模拟手术刀技术、透明显示骨骼功能、肝脏三期扫描技术、CTA血管造影技术、CTU尿路造影技术</w:t>
            </w:r>
          </w:p>
        </w:tc>
        <w:tc>
          <w:tcPr>
            <w:tcW w:w="801" w:type="pct"/>
            <w:vAlign w:val="center"/>
          </w:tcPr>
          <w:p w14:paraId="02A326CA">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r w14:paraId="32790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vAlign w:val="center"/>
          </w:tcPr>
          <w:p w14:paraId="5FE9B458">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★7.2</w:t>
            </w:r>
          </w:p>
        </w:tc>
        <w:tc>
          <w:tcPr>
            <w:tcW w:w="3475" w:type="pct"/>
            <w:shd w:val="clear" w:color="auto" w:fill="auto"/>
            <w:vAlign w:val="center"/>
          </w:tcPr>
          <w:p w14:paraId="74DDCEFC">
            <w:pPr>
              <w:widowControl/>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迭代去伪影技术、肺结节分析软件、肺密度分析软件、提供最新的深度学习AI重建技术：具备AI深度学习CT重建算法</w:t>
            </w:r>
          </w:p>
        </w:tc>
        <w:tc>
          <w:tcPr>
            <w:tcW w:w="801" w:type="pct"/>
            <w:vAlign w:val="center"/>
          </w:tcPr>
          <w:p w14:paraId="454A8212">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w:t>
            </w:r>
          </w:p>
        </w:tc>
      </w:tr>
      <w:tr w14:paraId="23D60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noWrap/>
            <w:vAlign w:val="center"/>
          </w:tcPr>
          <w:p w14:paraId="259BA867">
            <w:pPr>
              <w:widowControl/>
              <w:jc w:val="center"/>
              <w:rPr>
                <w:rFonts w:cs="宋体" w:asciiTheme="minorEastAsia" w:hAnsiTheme="minorEastAsia" w:eastAsiaTheme="minorEastAsia"/>
                <w:b/>
                <w:color w:val="auto"/>
                <w:kern w:val="0"/>
                <w:szCs w:val="21"/>
                <w:highlight w:val="none"/>
              </w:rPr>
            </w:pPr>
            <w:r>
              <w:rPr>
                <w:rFonts w:hint="eastAsia" w:cs="宋体" w:asciiTheme="minorEastAsia" w:hAnsiTheme="minorEastAsia" w:eastAsiaTheme="minorEastAsia"/>
                <w:b/>
                <w:color w:val="auto"/>
                <w:kern w:val="0"/>
                <w:szCs w:val="21"/>
                <w:highlight w:val="none"/>
              </w:rPr>
              <w:t>8</w:t>
            </w:r>
          </w:p>
        </w:tc>
        <w:tc>
          <w:tcPr>
            <w:tcW w:w="4276" w:type="pct"/>
            <w:gridSpan w:val="2"/>
            <w:shd w:val="clear" w:color="auto" w:fill="auto"/>
            <w:noWrap/>
            <w:vAlign w:val="center"/>
          </w:tcPr>
          <w:p w14:paraId="70BC844C">
            <w:pPr>
              <w:widowControl/>
              <w:rPr>
                <w:rFonts w:cs="宋体" w:asciiTheme="minorEastAsia" w:hAnsiTheme="minorEastAsia" w:eastAsiaTheme="minorEastAsia"/>
                <w:b/>
                <w:color w:val="auto"/>
                <w:kern w:val="0"/>
                <w:szCs w:val="21"/>
                <w:highlight w:val="none"/>
              </w:rPr>
            </w:pPr>
            <w:r>
              <w:rPr>
                <w:rFonts w:hint="eastAsia" w:cs="宋体" w:asciiTheme="minorEastAsia" w:hAnsiTheme="minorEastAsia" w:eastAsiaTheme="minorEastAsia"/>
                <w:b/>
                <w:color w:val="auto"/>
                <w:kern w:val="0"/>
                <w:szCs w:val="21"/>
                <w:highlight w:val="none"/>
              </w:rPr>
              <w:t>其他配置</w:t>
            </w:r>
          </w:p>
        </w:tc>
      </w:tr>
      <w:tr w14:paraId="48A8B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24" w:type="pct"/>
            <w:shd w:val="clear" w:color="auto" w:fill="auto"/>
            <w:noWrap/>
            <w:vAlign w:val="center"/>
          </w:tcPr>
          <w:p w14:paraId="20F630EC">
            <w:pPr>
              <w:widowControl/>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8.1</w:t>
            </w:r>
          </w:p>
        </w:tc>
        <w:tc>
          <w:tcPr>
            <w:tcW w:w="3475" w:type="pct"/>
            <w:shd w:val="clear" w:color="auto" w:fill="auto"/>
            <w:noWrap/>
            <w:vAlign w:val="center"/>
          </w:tcPr>
          <w:p w14:paraId="7BF77E98">
            <w:pPr>
              <w:widowControl/>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温度湿度调节器（5匹）</w:t>
            </w:r>
          </w:p>
        </w:tc>
        <w:tc>
          <w:tcPr>
            <w:tcW w:w="801" w:type="pct"/>
            <w:vAlign w:val="center"/>
          </w:tcPr>
          <w:p w14:paraId="76932E6F">
            <w:pPr>
              <w:widowControl/>
              <w:jc w:val="center"/>
              <w:rPr>
                <w:rFonts w:cs="宋体" w:asciiTheme="minorEastAsia" w:hAnsiTheme="minorEastAsia" w:eastAsiaTheme="minorEastAsia"/>
                <w:color w:val="auto"/>
                <w:kern w:val="0"/>
                <w:szCs w:val="21"/>
                <w:highlight w:val="none"/>
              </w:rPr>
            </w:pPr>
            <w:r>
              <w:rPr>
                <w:rFonts w:hint="eastAsia" w:ascii="宋体" w:hAnsi="宋体" w:cs="宋体"/>
                <w:color w:val="auto"/>
                <w:kern w:val="0"/>
                <w:sz w:val="22"/>
                <w:szCs w:val="22"/>
                <w:highlight w:val="none"/>
              </w:rPr>
              <w:t>0.5</w:t>
            </w:r>
          </w:p>
        </w:tc>
      </w:tr>
    </w:tbl>
    <w:p w14:paraId="0F67F3EE">
      <w:pPr>
        <w:adjustRightInd w:val="0"/>
        <w:snapToGrid w:val="0"/>
        <w:spacing w:before="156" w:beforeLines="50"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（四）安装、调试及验收</w:t>
      </w:r>
    </w:p>
    <w:p w14:paraId="6EEBC43A">
      <w:pPr>
        <w:adjustRightInd w:val="0"/>
        <w:snapToGrid w:val="0"/>
        <w:spacing w:line="360" w:lineRule="auto"/>
        <w:ind w:firstLine="480" w:firstLineChars="200"/>
        <w:rPr>
          <w:rFonts w:ascii="宋体" w:hAnsi="宋体" w:cs="宋体"/>
          <w:color w:val="auto"/>
          <w:kern w:val="0"/>
          <w:sz w:val="24"/>
          <w:szCs w:val="21"/>
          <w:highlight w:val="none"/>
        </w:rPr>
      </w:pPr>
      <w:bookmarkStart w:id="84" w:name="OLE_LINK6"/>
      <w:bookmarkStart w:id="85" w:name="OLE_LINK5"/>
      <w:r>
        <w:rPr>
          <w:rFonts w:hint="eastAsia" w:ascii="宋体" w:hAnsi="宋体" w:cs="宋体"/>
          <w:color w:val="auto"/>
          <w:kern w:val="0"/>
          <w:sz w:val="24"/>
          <w:szCs w:val="21"/>
          <w:highlight w:val="none"/>
        </w:rPr>
        <w:t>1.</w:t>
      </w:r>
      <w:r>
        <w:rPr>
          <w:rFonts w:ascii="宋体" w:hAnsi="宋体" w:cs="宋体"/>
          <w:color w:val="auto"/>
          <w:kern w:val="0"/>
          <w:sz w:val="24"/>
          <w:szCs w:val="21"/>
          <w:highlight w:val="none"/>
        </w:rPr>
        <w:t>安装地点：采购人指定地点。</w:t>
      </w:r>
    </w:p>
    <w:p w14:paraId="6558C638">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2.</w:t>
      </w:r>
      <w:r>
        <w:rPr>
          <w:rFonts w:ascii="宋体" w:hAnsi="宋体" w:cs="宋体"/>
          <w:color w:val="auto"/>
          <w:kern w:val="0"/>
          <w:sz w:val="24"/>
          <w:szCs w:val="21"/>
          <w:highlight w:val="none"/>
        </w:rPr>
        <w:t>安装完成时间：</w:t>
      </w:r>
      <w:bookmarkStart w:id="86" w:name="OLE_LINK128"/>
      <w:bookmarkStart w:id="87" w:name="OLE_LINK125"/>
      <w:r>
        <w:rPr>
          <w:rFonts w:ascii="宋体" w:hAnsi="宋体" w:cs="宋体"/>
          <w:color w:val="auto"/>
          <w:kern w:val="0"/>
          <w:sz w:val="24"/>
          <w:szCs w:val="21"/>
          <w:highlight w:val="none"/>
        </w:rPr>
        <w:t>货到安装地点后，供应商应在</w:t>
      </w:r>
      <w:bookmarkEnd w:id="86"/>
      <w:bookmarkEnd w:id="87"/>
      <w:r>
        <w:rPr>
          <w:rFonts w:ascii="宋体" w:hAnsi="宋体" w:cs="宋体"/>
          <w:color w:val="auto"/>
          <w:kern w:val="0"/>
          <w:sz w:val="24"/>
          <w:szCs w:val="21"/>
          <w:highlight w:val="none"/>
        </w:rPr>
        <w:t>接到</w:t>
      </w:r>
      <w:r>
        <w:rPr>
          <w:rFonts w:hint="eastAsia" w:ascii="宋体" w:hAnsi="宋体" w:cs="宋体"/>
          <w:color w:val="auto"/>
          <w:kern w:val="0"/>
          <w:sz w:val="24"/>
          <w:szCs w:val="21"/>
          <w:highlight w:val="none"/>
        </w:rPr>
        <w:t>采购人</w:t>
      </w:r>
      <w:r>
        <w:rPr>
          <w:rFonts w:ascii="宋体" w:hAnsi="宋体" w:cs="宋体"/>
          <w:color w:val="auto"/>
          <w:kern w:val="0"/>
          <w:sz w:val="24"/>
          <w:szCs w:val="21"/>
          <w:highlight w:val="none"/>
        </w:rPr>
        <w:t>通知后</w:t>
      </w:r>
      <w:r>
        <w:rPr>
          <w:rFonts w:hint="eastAsia" w:ascii="宋体" w:hAnsi="宋体" w:cs="宋体"/>
          <w:color w:val="auto"/>
          <w:kern w:val="0"/>
          <w:sz w:val="24"/>
          <w:szCs w:val="21"/>
          <w:highlight w:val="none"/>
        </w:rPr>
        <w:t>5个日历日</w:t>
      </w:r>
      <w:r>
        <w:rPr>
          <w:rFonts w:ascii="宋体" w:hAnsi="宋体" w:cs="宋体"/>
          <w:color w:val="auto"/>
          <w:kern w:val="0"/>
          <w:sz w:val="24"/>
          <w:szCs w:val="21"/>
          <w:highlight w:val="none"/>
        </w:rPr>
        <w:t>内完成安装和调试，如在规定的时间内由于</w:t>
      </w:r>
      <w:r>
        <w:rPr>
          <w:rFonts w:hint="eastAsia" w:ascii="宋体" w:hAnsi="宋体" w:cs="宋体"/>
          <w:color w:val="auto"/>
          <w:kern w:val="0"/>
          <w:sz w:val="24"/>
          <w:szCs w:val="21"/>
          <w:highlight w:val="none"/>
        </w:rPr>
        <w:t>供应商</w:t>
      </w:r>
      <w:r>
        <w:rPr>
          <w:rFonts w:ascii="宋体" w:hAnsi="宋体" w:cs="宋体"/>
          <w:color w:val="auto"/>
          <w:kern w:val="0"/>
          <w:sz w:val="24"/>
          <w:szCs w:val="21"/>
          <w:highlight w:val="none"/>
        </w:rPr>
        <w:t>的原因不能完成安装和调试，</w:t>
      </w:r>
      <w:r>
        <w:rPr>
          <w:rFonts w:hint="eastAsia" w:ascii="宋体" w:hAnsi="宋体" w:cs="宋体"/>
          <w:color w:val="auto"/>
          <w:kern w:val="0"/>
          <w:sz w:val="24"/>
          <w:szCs w:val="21"/>
          <w:highlight w:val="none"/>
        </w:rPr>
        <w:t>供应商</w:t>
      </w:r>
      <w:r>
        <w:rPr>
          <w:rFonts w:ascii="宋体" w:hAnsi="宋体" w:cs="宋体"/>
          <w:color w:val="auto"/>
          <w:kern w:val="0"/>
          <w:sz w:val="24"/>
          <w:szCs w:val="21"/>
          <w:highlight w:val="none"/>
        </w:rPr>
        <w:t>应承担由此给</w:t>
      </w:r>
      <w:r>
        <w:rPr>
          <w:rFonts w:hint="eastAsia" w:ascii="宋体" w:hAnsi="宋体" w:cs="宋体"/>
          <w:color w:val="auto"/>
          <w:kern w:val="0"/>
          <w:sz w:val="24"/>
          <w:szCs w:val="21"/>
          <w:highlight w:val="none"/>
        </w:rPr>
        <w:t>采购人</w:t>
      </w:r>
      <w:r>
        <w:rPr>
          <w:rFonts w:ascii="宋体" w:hAnsi="宋体" w:cs="宋体"/>
          <w:color w:val="auto"/>
          <w:kern w:val="0"/>
          <w:sz w:val="24"/>
          <w:szCs w:val="21"/>
          <w:highlight w:val="none"/>
        </w:rPr>
        <w:t>造成的损失。</w:t>
      </w:r>
    </w:p>
    <w:p w14:paraId="306352CE">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3.</w:t>
      </w:r>
      <w:r>
        <w:rPr>
          <w:rFonts w:ascii="宋体" w:hAnsi="宋体" w:cs="宋体"/>
          <w:color w:val="auto"/>
          <w:kern w:val="0"/>
          <w:sz w:val="24"/>
          <w:szCs w:val="21"/>
          <w:highlight w:val="none"/>
        </w:rPr>
        <w:t>安装标准：符合我国国家有关技术规范要求和技术标准。</w:t>
      </w:r>
    </w:p>
    <w:p w14:paraId="40673B7C">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4.</w:t>
      </w:r>
      <w:r>
        <w:rPr>
          <w:rFonts w:ascii="宋体" w:hAnsi="宋体" w:cs="宋体"/>
          <w:color w:val="auto"/>
          <w:kern w:val="0"/>
          <w:sz w:val="24"/>
          <w:szCs w:val="21"/>
          <w:highlight w:val="none"/>
        </w:rPr>
        <w:t>安装过程中发生的费用已包含在投标报价中。</w:t>
      </w:r>
    </w:p>
    <w:p w14:paraId="7B84596F">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5.投标</w:t>
      </w:r>
      <w:r>
        <w:rPr>
          <w:rFonts w:ascii="宋体" w:hAnsi="宋体" w:cs="宋体"/>
          <w:color w:val="auto"/>
          <w:kern w:val="0"/>
          <w:sz w:val="24"/>
          <w:szCs w:val="21"/>
          <w:highlight w:val="none"/>
        </w:rPr>
        <w:t>供应商应在投标文件中</w:t>
      </w:r>
      <w:r>
        <w:rPr>
          <w:rFonts w:hint="eastAsia" w:ascii="宋体" w:hAnsi="宋体" w:cs="宋体"/>
          <w:color w:val="auto"/>
          <w:kern w:val="0"/>
          <w:sz w:val="24"/>
          <w:szCs w:val="21"/>
          <w:highlight w:val="none"/>
        </w:rPr>
        <w:t>提供</w:t>
      </w:r>
      <w:r>
        <w:rPr>
          <w:rFonts w:ascii="宋体" w:hAnsi="宋体" w:cs="宋体"/>
          <w:color w:val="auto"/>
          <w:kern w:val="0"/>
          <w:sz w:val="24"/>
          <w:szCs w:val="21"/>
          <w:highlight w:val="none"/>
        </w:rPr>
        <w:t>安装调试方案</w:t>
      </w:r>
      <w:r>
        <w:rPr>
          <w:rFonts w:hint="eastAsia" w:ascii="宋体" w:hAnsi="宋体" w:cs="宋体"/>
          <w:color w:val="auto"/>
          <w:kern w:val="0"/>
          <w:sz w:val="24"/>
          <w:szCs w:val="21"/>
          <w:highlight w:val="none"/>
        </w:rPr>
        <w:t>和</w:t>
      </w:r>
      <w:r>
        <w:rPr>
          <w:rFonts w:ascii="宋体" w:hAnsi="宋体" w:cs="宋体"/>
          <w:color w:val="auto"/>
          <w:kern w:val="0"/>
          <w:sz w:val="24"/>
          <w:szCs w:val="21"/>
          <w:highlight w:val="none"/>
        </w:rPr>
        <w:t>安装调试过程中</w:t>
      </w:r>
      <w:r>
        <w:rPr>
          <w:rFonts w:hint="eastAsia" w:ascii="宋体" w:hAnsi="宋体" w:cs="宋体"/>
          <w:color w:val="auto"/>
          <w:kern w:val="0"/>
          <w:sz w:val="24"/>
          <w:szCs w:val="21"/>
          <w:highlight w:val="none"/>
        </w:rPr>
        <w:t>采购人</w:t>
      </w:r>
      <w:r>
        <w:rPr>
          <w:rFonts w:ascii="宋体" w:hAnsi="宋体" w:cs="宋体"/>
          <w:color w:val="auto"/>
          <w:kern w:val="0"/>
          <w:sz w:val="24"/>
          <w:szCs w:val="21"/>
          <w:highlight w:val="none"/>
        </w:rPr>
        <w:t>需配合的内容。</w:t>
      </w:r>
    </w:p>
    <w:p w14:paraId="01D589B8">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6.</w:t>
      </w:r>
      <w:r>
        <w:rPr>
          <w:rFonts w:ascii="宋体" w:hAnsi="宋体" w:cs="宋体"/>
          <w:color w:val="auto"/>
          <w:kern w:val="0"/>
          <w:sz w:val="24"/>
          <w:szCs w:val="21"/>
          <w:highlight w:val="none"/>
        </w:rPr>
        <w:t>随机资料：中标供应商须提供使用操作手册2份，维修手册1份。</w:t>
      </w:r>
    </w:p>
    <w:p w14:paraId="571EDC0E">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7.设备搬运就位及安装过程中可能发生的拆除、开凿洞口、槽、修理、清理、填补、修补工作、清除安装过程中产生的垃圾等工作由中标供应商负责，相关费用包含在投标总价中。</w:t>
      </w:r>
      <w:bookmarkEnd w:id="84"/>
      <w:bookmarkEnd w:id="85"/>
    </w:p>
    <w:p w14:paraId="7DC2429C">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8.</w:t>
      </w:r>
      <w:r>
        <w:rPr>
          <w:rFonts w:ascii="宋体" w:hAnsi="宋体" w:cs="宋体"/>
          <w:color w:val="auto"/>
          <w:kern w:val="0"/>
          <w:sz w:val="24"/>
          <w:szCs w:val="21"/>
          <w:highlight w:val="none"/>
        </w:rPr>
        <w:tab/>
      </w:r>
      <w:r>
        <w:rPr>
          <w:rFonts w:ascii="宋体" w:hAnsi="宋体" w:cs="宋体"/>
          <w:color w:val="auto"/>
          <w:kern w:val="0"/>
          <w:sz w:val="24"/>
          <w:szCs w:val="21"/>
          <w:highlight w:val="none"/>
        </w:rPr>
        <w:t>验收</w:t>
      </w:r>
    </w:p>
    <w:p w14:paraId="19BB7686">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（1）</w:t>
      </w:r>
      <w:r>
        <w:rPr>
          <w:rFonts w:hint="eastAsia" w:ascii="宋体" w:hAnsi="宋体" w:cs="宋体"/>
          <w:color w:val="auto"/>
          <w:kern w:val="0"/>
          <w:sz w:val="24"/>
          <w:szCs w:val="21"/>
          <w:highlight w:val="none"/>
        </w:rPr>
        <w:t>货物交付时中标供应商应提供产品的有效检验文件及供货清单，经采购人认可后，与合同的性能指标一起作为产品验收标准。采购人对产品验收合格后，双方共同签署验收合格证书。如验收中发现产品达不到验收标准或合同约定的性能指标，中标供应商必须更换相关零部件，甚至于更换产品。并且赔偿由此给采购人造成的损失。如中标供应商存在故意以次充好或提供产品实物与投标承诺不符的情形，采购人有权解除合同并扣除全部履约保证金，中标供应商还须赔偿由此给采购人造成的一切损失。</w:t>
      </w:r>
    </w:p>
    <w:p w14:paraId="5C9D69D7">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（2）</w:t>
      </w:r>
      <w:r>
        <w:rPr>
          <w:rFonts w:hint="eastAsia" w:ascii="宋体" w:hAnsi="宋体" w:cs="宋体"/>
          <w:color w:val="auto"/>
          <w:kern w:val="0"/>
          <w:sz w:val="24"/>
          <w:szCs w:val="21"/>
          <w:highlight w:val="none"/>
        </w:rPr>
        <w:t>采购人有权委托具有法定资质的检测单位按投标承诺对交付的产品进行检测鉴定，如检测合格，相关费用由采购人承担；如果检测结果不符合，采购人可视情节严重程度，要求中标供应商换货、整改、重新送检或要求中标供应商退货退款及终止合同，供应商对由此造成的一切损失负全责。</w:t>
      </w:r>
    </w:p>
    <w:p w14:paraId="46175C99">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（3）</w:t>
      </w:r>
      <w:r>
        <w:rPr>
          <w:rFonts w:hint="eastAsia" w:ascii="宋体" w:hAnsi="宋体" w:cs="宋体"/>
          <w:color w:val="auto"/>
          <w:kern w:val="0"/>
          <w:sz w:val="24"/>
          <w:szCs w:val="21"/>
          <w:highlight w:val="none"/>
        </w:rPr>
        <w:t>验收合格条件：</w:t>
      </w:r>
    </w:p>
    <w:p w14:paraId="3F8ECFB7">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①</w:t>
      </w:r>
      <w:r>
        <w:rPr>
          <w:rFonts w:hint="eastAsia" w:ascii="宋体" w:hAnsi="宋体" w:cs="宋体"/>
          <w:color w:val="auto"/>
          <w:kern w:val="0"/>
          <w:sz w:val="24"/>
          <w:szCs w:val="21"/>
          <w:highlight w:val="none"/>
        </w:rPr>
        <w:t>货物使用效果符合采购要求及国家相关标准；</w:t>
      </w:r>
    </w:p>
    <w:p w14:paraId="523107A8">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②</w:t>
      </w:r>
      <w:r>
        <w:rPr>
          <w:rFonts w:hint="eastAsia" w:ascii="宋体" w:hAnsi="宋体" w:cs="宋体"/>
          <w:color w:val="auto"/>
          <w:kern w:val="0"/>
          <w:sz w:val="24"/>
          <w:szCs w:val="21"/>
          <w:highlight w:val="none"/>
        </w:rPr>
        <w:t>在进行测试和试用过程中发生的故障和发现的问题已被排除，并得到采购人的认可；</w:t>
      </w:r>
    </w:p>
    <w:p w14:paraId="5201BE29">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③</w:t>
      </w:r>
      <w:r>
        <w:rPr>
          <w:rFonts w:hint="eastAsia" w:ascii="宋体" w:hAnsi="宋体" w:cs="宋体"/>
          <w:color w:val="auto"/>
          <w:kern w:val="0"/>
          <w:sz w:val="24"/>
          <w:szCs w:val="21"/>
          <w:highlight w:val="none"/>
        </w:rPr>
        <w:t>所有合同中规定的材料、配件和资料都已提交并得到接受。</w:t>
      </w:r>
    </w:p>
    <w:p w14:paraId="1794EC3A">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（4）</w:t>
      </w:r>
      <w:r>
        <w:rPr>
          <w:rFonts w:hint="eastAsia" w:ascii="宋体" w:hAnsi="宋体" w:cs="宋体"/>
          <w:color w:val="auto"/>
          <w:kern w:val="0"/>
          <w:sz w:val="24"/>
          <w:szCs w:val="21"/>
          <w:highlight w:val="none"/>
        </w:rPr>
        <w:t>验收流程要求：</w:t>
      </w:r>
    </w:p>
    <w:p w14:paraId="609BF776">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①</w:t>
      </w:r>
      <w:r>
        <w:rPr>
          <w:rFonts w:hint="eastAsia" w:ascii="宋体" w:hAnsi="宋体" w:cs="宋体"/>
          <w:color w:val="auto"/>
          <w:kern w:val="0"/>
          <w:sz w:val="24"/>
          <w:szCs w:val="21"/>
          <w:highlight w:val="none"/>
        </w:rPr>
        <w:t>初步验收：货物到货时由采购人和中标供应商共同进行初步验收，采购人依据招标文件上的技术规格要求和国家有关质量标准对货物的品牌、外观、规格、参数配置、数量、配件等进行现场验收，符合招标文件及投标文件技术要求的，给予签收，初步验收不合格的不予签收。</w:t>
      </w:r>
    </w:p>
    <w:p w14:paraId="4410DDD5">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②</w:t>
      </w:r>
      <w:r>
        <w:rPr>
          <w:rFonts w:hint="eastAsia" w:ascii="宋体" w:hAnsi="宋体" w:cs="宋体"/>
          <w:color w:val="auto"/>
          <w:kern w:val="0"/>
          <w:sz w:val="24"/>
          <w:szCs w:val="21"/>
          <w:highlight w:val="none"/>
        </w:rPr>
        <w:t>最终验收：货物安装、调试完成后10个工作日内，采购人组织有关人员或专家对货物安装调试后的使用性能、使用状况、技术资料等进行验收，验收前中标供应商须向采购人提供有关全部资料。</w:t>
      </w:r>
    </w:p>
    <w:p w14:paraId="7011A7B5">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③</w:t>
      </w:r>
      <w:r>
        <w:rPr>
          <w:rFonts w:hint="eastAsia" w:ascii="宋体" w:hAnsi="宋体" w:cs="宋体"/>
          <w:color w:val="auto"/>
          <w:kern w:val="0"/>
          <w:sz w:val="24"/>
          <w:szCs w:val="21"/>
          <w:highlight w:val="none"/>
        </w:rPr>
        <w:t>专业验收（如需要）：采购人有权邀请国家认可的第三方检测机构参与初步验收及最终验收，并由其出具验收意见（如检测合格，第三方检测费用由采购人承担；如不合格，本次检测及整改后重新检测直至合格的全部费用均由中标供应商承担）。</w:t>
      </w:r>
    </w:p>
    <w:p w14:paraId="5CC919A8">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注：初步验收、最终验收、专业验收（如需要）可同时或分别进行，中标供应商有权参与全部验收过程。</w:t>
      </w:r>
    </w:p>
    <w:p w14:paraId="4B5424D8">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（5）</w:t>
      </w:r>
      <w:r>
        <w:rPr>
          <w:rFonts w:hint="eastAsia" w:ascii="宋体" w:hAnsi="宋体" w:cs="宋体"/>
          <w:color w:val="auto"/>
          <w:kern w:val="0"/>
          <w:sz w:val="24"/>
          <w:szCs w:val="21"/>
          <w:highlight w:val="none"/>
        </w:rPr>
        <w:t>采购人根据上述规定进行验收，并不能免除中标供应商根据合同质量保证条款规定所应承担的质量保证责任。</w:t>
      </w:r>
    </w:p>
    <w:p w14:paraId="218647C2">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（6）</w:t>
      </w:r>
      <w:r>
        <w:rPr>
          <w:rFonts w:hint="eastAsia" w:ascii="宋体" w:hAnsi="宋体" w:cs="宋体"/>
          <w:color w:val="auto"/>
          <w:kern w:val="0"/>
          <w:sz w:val="24"/>
          <w:szCs w:val="21"/>
          <w:highlight w:val="none"/>
        </w:rPr>
        <w:t>本项目验收需满足招标文件及投标文件要求外还应满足国家有关质量标准或行业规范（有新文件的按新文件执行）。</w:t>
      </w:r>
    </w:p>
    <w:p w14:paraId="6B45E59F">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（7）</w:t>
      </w:r>
      <w:r>
        <w:rPr>
          <w:rFonts w:hint="eastAsia" w:ascii="宋体" w:hAnsi="宋体" w:cs="宋体"/>
          <w:color w:val="auto"/>
          <w:kern w:val="0"/>
          <w:sz w:val="24"/>
          <w:szCs w:val="21"/>
          <w:highlight w:val="none"/>
        </w:rPr>
        <w:t>相关验收费用包含在总报价中</w:t>
      </w:r>
      <w:bookmarkStart w:id="88" w:name="OLE_LINK10"/>
      <w:bookmarkStart w:id="89" w:name="OLE_LINK7"/>
      <w:r>
        <w:rPr>
          <w:rFonts w:hint="eastAsia" w:hAnsi="宋体" w:cs="宋体"/>
          <w:color w:val="auto"/>
          <w:kern w:val="0"/>
          <w:sz w:val="24"/>
          <w:szCs w:val="21"/>
          <w:highlight w:val="none"/>
        </w:rPr>
        <w:t>（如发生专业验收费用按第（4）条第③款规定）</w:t>
      </w:r>
      <w:bookmarkEnd w:id="88"/>
      <w:bookmarkEnd w:id="89"/>
      <w:r>
        <w:rPr>
          <w:rFonts w:hint="eastAsia" w:ascii="宋体" w:hAnsi="宋体" w:cs="宋体"/>
          <w:color w:val="auto"/>
          <w:kern w:val="0"/>
          <w:sz w:val="24"/>
          <w:szCs w:val="21"/>
          <w:highlight w:val="none"/>
        </w:rPr>
        <w:t>，投标供应商在报价时自行考虑。</w:t>
      </w:r>
    </w:p>
    <w:p w14:paraId="50A74C5E">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（五）质量保证及售后服务</w:t>
      </w:r>
    </w:p>
    <w:p w14:paraId="1552EAD9">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1.</w:t>
      </w:r>
      <w:bookmarkStart w:id="90" w:name="OLE_LINK21"/>
      <w:bookmarkStart w:id="91" w:name="OLE_LINK22"/>
      <w:bookmarkStart w:id="92" w:name="OLE_LINK23"/>
      <w:r>
        <w:rPr>
          <w:rFonts w:hint="eastAsia" w:hAnsi="宋体" w:cs="宋体"/>
          <w:color w:val="auto"/>
          <w:kern w:val="0"/>
          <w:sz w:val="24"/>
          <w:szCs w:val="21"/>
          <w:highlight w:val="none"/>
        </w:rPr>
        <w:t>投标供应商</w:t>
      </w:r>
      <w:bookmarkEnd w:id="90"/>
      <w:bookmarkEnd w:id="91"/>
      <w:bookmarkEnd w:id="92"/>
      <w:r>
        <w:rPr>
          <w:rFonts w:hint="eastAsia" w:hAnsi="宋体" w:cs="宋体"/>
          <w:color w:val="auto"/>
          <w:kern w:val="0"/>
          <w:sz w:val="24"/>
          <w:szCs w:val="21"/>
          <w:highlight w:val="none"/>
        </w:rPr>
        <w:t>提供的所有货物必须是全新未使用过的。</w:t>
      </w:r>
    </w:p>
    <w:p w14:paraId="4A789667">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2. 质保期内开机率≥95%，若设备未达到以上开机率保证，则停机每超过一天则延长十天保修时间。质保期内因设备本身缺陷造成各种故障应由中标供应商免费技术服务和维修。质保期内每年对设备维护≥</w:t>
      </w:r>
      <w:r>
        <w:rPr>
          <w:rFonts w:hAnsi="宋体" w:cs="宋体"/>
          <w:color w:val="auto"/>
          <w:kern w:val="0"/>
          <w:sz w:val="24"/>
          <w:szCs w:val="21"/>
          <w:highlight w:val="none"/>
        </w:rPr>
        <w:t>2</w:t>
      </w:r>
      <w:r>
        <w:rPr>
          <w:rFonts w:hint="eastAsia" w:hAnsi="宋体" w:cs="宋体"/>
          <w:color w:val="auto"/>
          <w:kern w:val="0"/>
          <w:sz w:val="24"/>
          <w:szCs w:val="21"/>
          <w:highlight w:val="none"/>
        </w:rPr>
        <w:t>次，每年免费提供设备校准服务不少于</w:t>
      </w:r>
      <w:r>
        <w:rPr>
          <w:rFonts w:hAnsi="宋体" w:cs="宋体"/>
          <w:color w:val="auto"/>
          <w:kern w:val="0"/>
          <w:sz w:val="24"/>
          <w:szCs w:val="21"/>
          <w:highlight w:val="none"/>
        </w:rPr>
        <w:t>1</w:t>
      </w:r>
      <w:r>
        <w:rPr>
          <w:rFonts w:hint="eastAsia" w:hAnsi="宋体" w:cs="宋体"/>
          <w:color w:val="auto"/>
          <w:kern w:val="0"/>
          <w:sz w:val="24"/>
          <w:szCs w:val="21"/>
          <w:highlight w:val="none"/>
        </w:rPr>
        <w:t>次。</w:t>
      </w:r>
    </w:p>
    <w:p w14:paraId="53F8DCA9">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 xml:space="preserve">3. </w:t>
      </w:r>
      <w:bookmarkStart w:id="93" w:name="OLE_LINK25"/>
      <w:bookmarkStart w:id="94" w:name="OLE_LINK24"/>
      <w:bookmarkStart w:id="95" w:name="OLE_LINK26"/>
      <w:r>
        <w:rPr>
          <w:rFonts w:hint="eastAsia" w:hAnsi="宋体" w:cs="宋体"/>
          <w:color w:val="auto"/>
          <w:kern w:val="0"/>
          <w:sz w:val="24"/>
          <w:szCs w:val="21"/>
          <w:highlight w:val="none"/>
        </w:rPr>
        <w:t>投标供应商</w:t>
      </w:r>
      <w:bookmarkEnd w:id="93"/>
      <w:bookmarkEnd w:id="94"/>
      <w:bookmarkEnd w:id="95"/>
      <w:r>
        <w:rPr>
          <w:rFonts w:hint="eastAsia" w:hAnsi="宋体" w:cs="宋体"/>
          <w:color w:val="auto"/>
          <w:kern w:val="0"/>
          <w:sz w:val="24"/>
          <w:szCs w:val="21"/>
          <w:highlight w:val="none"/>
        </w:rPr>
        <w:t>提供</w:t>
      </w:r>
      <w:r>
        <w:rPr>
          <w:rFonts w:hAnsi="宋体" w:cs="宋体"/>
          <w:color w:val="auto"/>
          <w:kern w:val="0"/>
          <w:sz w:val="24"/>
          <w:szCs w:val="21"/>
          <w:highlight w:val="none"/>
        </w:rPr>
        <w:t>24</w:t>
      </w:r>
      <w:r>
        <w:rPr>
          <w:rFonts w:hint="eastAsia" w:hAnsi="宋体" w:cs="宋体"/>
          <w:color w:val="auto"/>
          <w:kern w:val="0"/>
          <w:sz w:val="24"/>
          <w:szCs w:val="21"/>
          <w:highlight w:val="none"/>
        </w:rPr>
        <w:t>小时服务支持，设备出现故障，响应时间应小于</w:t>
      </w:r>
      <w:r>
        <w:rPr>
          <w:rFonts w:hAnsi="宋体" w:cs="宋体"/>
          <w:color w:val="auto"/>
          <w:kern w:val="0"/>
          <w:sz w:val="24"/>
          <w:szCs w:val="21"/>
          <w:highlight w:val="none"/>
        </w:rPr>
        <w:t>1</w:t>
      </w:r>
      <w:r>
        <w:rPr>
          <w:rFonts w:hint="eastAsia" w:hAnsi="宋体" w:cs="宋体"/>
          <w:color w:val="auto"/>
          <w:kern w:val="0"/>
          <w:sz w:val="24"/>
          <w:szCs w:val="21"/>
          <w:highlight w:val="none"/>
        </w:rPr>
        <w:t>小时；维修人员</w:t>
      </w:r>
      <w:r>
        <w:rPr>
          <w:rFonts w:hAnsi="宋体" w:cs="宋体"/>
          <w:color w:val="auto"/>
          <w:kern w:val="0"/>
          <w:sz w:val="24"/>
          <w:szCs w:val="21"/>
          <w:highlight w:val="none"/>
        </w:rPr>
        <w:t>12</w:t>
      </w:r>
      <w:r>
        <w:rPr>
          <w:rFonts w:hint="eastAsia" w:hAnsi="宋体" w:cs="宋体"/>
          <w:color w:val="auto"/>
          <w:kern w:val="0"/>
          <w:sz w:val="24"/>
          <w:szCs w:val="21"/>
          <w:highlight w:val="none"/>
        </w:rPr>
        <w:t>小时内到达现场，需更换的零备件，</w:t>
      </w:r>
      <w:r>
        <w:rPr>
          <w:rFonts w:hAnsi="宋体" w:cs="宋体"/>
          <w:color w:val="auto"/>
          <w:kern w:val="0"/>
          <w:sz w:val="24"/>
          <w:szCs w:val="21"/>
          <w:highlight w:val="none"/>
        </w:rPr>
        <w:t>48</w:t>
      </w:r>
      <w:r>
        <w:rPr>
          <w:rFonts w:hint="eastAsia" w:hAnsi="宋体" w:cs="宋体"/>
          <w:color w:val="auto"/>
          <w:kern w:val="0"/>
          <w:sz w:val="24"/>
          <w:szCs w:val="21"/>
          <w:highlight w:val="none"/>
        </w:rPr>
        <w:t>小时内到达现场；在</w:t>
      </w:r>
      <w:r>
        <w:rPr>
          <w:rFonts w:hAnsi="宋体" w:cs="宋体"/>
          <w:color w:val="auto"/>
          <w:kern w:val="0"/>
          <w:sz w:val="24"/>
          <w:szCs w:val="21"/>
          <w:highlight w:val="none"/>
        </w:rPr>
        <w:t>72</w:t>
      </w:r>
      <w:r>
        <w:rPr>
          <w:rFonts w:hint="eastAsia" w:hAnsi="宋体" w:cs="宋体"/>
          <w:color w:val="auto"/>
          <w:kern w:val="0"/>
          <w:sz w:val="24"/>
          <w:szCs w:val="21"/>
          <w:highlight w:val="none"/>
        </w:rPr>
        <w:t>小时内对设备无法修复的，投标供应商须提供性能相当的产品供用户使用或可操作的应急方案</w:t>
      </w:r>
      <w:bookmarkStart w:id="96" w:name="OLE_LINK123"/>
      <w:bookmarkStart w:id="97" w:name="OLE_LINK124"/>
      <w:r>
        <w:rPr>
          <w:rFonts w:hint="eastAsia" w:hAnsi="宋体" w:cs="宋体"/>
          <w:color w:val="auto"/>
          <w:kern w:val="0"/>
          <w:sz w:val="24"/>
          <w:szCs w:val="21"/>
          <w:highlight w:val="none"/>
        </w:rPr>
        <w:t>（以上时间均自接到采购人通知后起算）</w:t>
      </w:r>
      <w:bookmarkEnd w:id="96"/>
      <w:bookmarkEnd w:id="97"/>
      <w:r>
        <w:rPr>
          <w:rFonts w:hint="eastAsia" w:hAnsi="宋体" w:cs="宋体"/>
          <w:color w:val="auto"/>
          <w:kern w:val="0"/>
          <w:sz w:val="24"/>
          <w:szCs w:val="21"/>
          <w:highlight w:val="none"/>
        </w:rPr>
        <w:t>。</w:t>
      </w:r>
    </w:p>
    <w:p w14:paraId="45E8E13C">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4.质保期内由设备制造商负责技术和保养培训，承担售后服务和年度校准，并出具相关材料。质保期后不收任何维修费、差旅费等，仅收取配件费，终身维护。</w:t>
      </w:r>
    </w:p>
    <w:p w14:paraId="3550C6C6">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 xml:space="preserve">5. </w:t>
      </w:r>
      <w:bookmarkStart w:id="98" w:name="OLE_LINK28"/>
      <w:bookmarkStart w:id="99" w:name="OLE_LINK27"/>
      <w:r>
        <w:rPr>
          <w:rFonts w:hint="eastAsia" w:hAnsi="宋体" w:cs="宋体"/>
          <w:color w:val="auto"/>
          <w:kern w:val="0"/>
          <w:sz w:val="24"/>
          <w:szCs w:val="21"/>
          <w:highlight w:val="none"/>
        </w:rPr>
        <w:t>投标供应商</w:t>
      </w:r>
      <w:bookmarkEnd w:id="98"/>
      <w:bookmarkEnd w:id="99"/>
      <w:r>
        <w:rPr>
          <w:rFonts w:hint="eastAsia" w:hAnsi="宋体" w:cs="宋体"/>
          <w:color w:val="auto"/>
          <w:kern w:val="0"/>
          <w:sz w:val="24"/>
          <w:szCs w:val="21"/>
          <w:highlight w:val="none"/>
        </w:rPr>
        <w:t>须在投标文件中提供</w:t>
      </w:r>
      <w:bookmarkStart w:id="100" w:name="OLE_LINK44"/>
      <w:bookmarkStart w:id="101" w:name="OLE_LINK43"/>
      <w:bookmarkStart w:id="102" w:name="OLE_LINK51"/>
      <w:r>
        <w:rPr>
          <w:rFonts w:hint="eastAsia" w:hAnsi="宋体" w:cs="宋体"/>
          <w:color w:val="auto"/>
          <w:kern w:val="0"/>
          <w:sz w:val="24"/>
          <w:szCs w:val="21"/>
          <w:highlight w:val="none"/>
        </w:rPr>
        <w:t>质保期后的维护方案</w:t>
      </w:r>
      <w:bookmarkEnd w:id="100"/>
      <w:bookmarkEnd w:id="101"/>
      <w:bookmarkEnd w:id="102"/>
      <w:bookmarkStart w:id="103" w:name="OLE_LINK183"/>
      <w:bookmarkStart w:id="104" w:name="OLE_LINK184"/>
      <w:r>
        <w:rPr>
          <w:rFonts w:hint="eastAsia" w:hAnsi="宋体" w:cs="宋体"/>
          <w:color w:val="auto"/>
          <w:kern w:val="0"/>
          <w:sz w:val="24"/>
          <w:szCs w:val="21"/>
          <w:highlight w:val="none"/>
        </w:rPr>
        <w:t>（</w:t>
      </w:r>
      <w:r>
        <w:rPr>
          <w:rFonts w:hint="eastAsia" w:hAnsi="宋体" w:cs="宋体"/>
          <w:b/>
          <w:color w:val="auto"/>
          <w:kern w:val="0"/>
          <w:sz w:val="24"/>
          <w:szCs w:val="21"/>
          <w:highlight w:val="none"/>
        </w:rPr>
        <w:t>含维修价格，该价格不包括在本次投标报价内，作为质保期后收费的依据</w:t>
      </w:r>
      <w:r>
        <w:rPr>
          <w:rFonts w:hint="eastAsia" w:hAnsi="宋体" w:cs="宋体"/>
          <w:color w:val="auto"/>
          <w:kern w:val="0"/>
          <w:sz w:val="24"/>
          <w:szCs w:val="21"/>
          <w:highlight w:val="none"/>
        </w:rPr>
        <w:t>）</w:t>
      </w:r>
      <w:bookmarkEnd w:id="103"/>
      <w:bookmarkEnd w:id="104"/>
      <w:r>
        <w:rPr>
          <w:rFonts w:hint="eastAsia" w:hAnsi="宋体" w:cs="宋体"/>
          <w:color w:val="auto"/>
          <w:kern w:val="0"/>
          <w:sz w:val="24"/>
          <w:szCs w:val="21"/>
          <w:highlight w:val="none"/>
        </w:rPr>
        <w:t>，</w:t>
      </w:r>
      <w:bookmarkStart w:id="105" w:name="OLE_LINK29"/>
      <w:bookmarkStart w:id="106" w:name="OLE_LINK30"/>
      <w:r>
        <w:rPr>
          <w:rFonts w:hint="eastAsia" w:hAnsi="宋体" w:cs="宋体"/>
          <w:color w:val="auto"/>
          <w:kern w:val="0"/>
          <w:sz w:val="24"/>
          <w:szCs w:val="21"/>
          <w:highlight w:val="none"/>
        </w:rPr>
        <w:t>中标供应商</w:t>
      </w:r>
      <w:bookmarkEnd w:id="105"/>
      <w:bookmarkEnd w:id="106"/>
      <w:r>
        <w:rPr>
          <w:rFonts w:hint="eastAsia" w:hAnsi="宋体" w:cs="宋体"/>
          <w:color w:val="auto"/>
          <w:kern w:val="0"/>
          <w:sz w:val="24"/>
          <w:szCs w:val="21"/>
          <w:highlight w:val="none"/>
        </w:rPr>
        <w:t>的维护方案经采购人审核同意后执行。</w:t>
      </w:r>
    </w:p>
    <w:p w14:paraId="276C4904">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6.投标供应商须投标时标明所有的</w:t>
      </w:r>
      <w:bookmarkStart w:id="107" w:name="OLE_LINK46"/>
      <w:bookmarkStart w:id="108" w:name="OLE_LINK45"/>
      <w:r>
        <w:rPr>
          <w:rFonts w:hint="eastAsia" w:hAnsi="宋体" w:cs="宋体"/>
          <w:color w:val="auto"/>
          <w:kern w:val="0"/>
          <w:sz w:val="24"/>
          <w:szCs w:val="21"/>
          <w:highlight w:val="none"/>
        </w:rPr>
        <w:t>易耗品及维修备件的清单和供货价</w:t>
      </w:r>
      <w:bookmarkEnd w:id="107"/>
      <w:bookmarkEnd w:id="108"/>
      <w:r>
        <w:rPr>
          <w:rFonts w:hint="eastAsia" w:hAnsi="宋体" w:cs="宋体"/>
          <w:color w:val="auto"/>
          <w:kern w:val="0"/>
          <w:sz w:val="24"/>
          <w:szCs w:val="21"/>
          <w:highlight w:val="none"/>
        </w:rPr>
        <w:t>（</w:t>
      </w:r>
      <w:r>
        <w:rPr>
          <w:rFonts w:hint="eastAsia" w:hAnsi="宋体" w:cs="宋体"/>
          <w:b/>
          <w:color w:val="auto"/>
          <w:kern w:val="0"/>
          <w:sz w:val="24"/>
          <w:szCs w:val="21"/>
          <w:highlight w:val="none"/>
        </w:rPr>
        <w:t>该价格不包括在本次投标报价内，作为日后日常使用收费的依据</w:t>
      </w:r>
      <w:r>
        <w:rPr>
          <w:rFonts w:hint="eastAsia" w:hAnsi="宋体" w:cs="宋体"/>
          <w:color w:val="auto"/>
          <w:kern w:val="0"/>
          <w:sz w:val="24"/>
          <w:szCs w:val="21"/>
          <w:highlight w:val="none"/>
        </w:rPr>
        <w:t>）。请提供最优惠报价，此项作为评标重要依据。如未列明则默认为</w:t>
      </w:r>
      <w:bookmarkStart w:id="109" w:name="OLE_LINK185"/>
      <w:bookmarkStart w:id="110" w:name="OLE_LINK186"/>
      <w:r>
        <w:rPr>
          <w:rFonts w:hint="eastAsia" w:hAnsi="宋体" w:cs="宋体"/>
          <w:color w:val="auto"/>
          <w:kern w:val="0"/>
          <w:sz w:val="24"/>
          <w:szCs w:val="21"/>
          <w:highlight w:val="none"/>
        </w:rPr>
        <w:t>日后日常使用</w:t>
      </w:r>
      <w:bookmarkEnd w:id="109"/>
      <w:bookmarkEnd w:id="110"/>
      <w:r>
        <w:rPr>
          <w:rFonts w:hint="eastAsia" w:hAnsi="宋体" w:cs="宋体"/>
          <w:color w:val="auto"/>
          <w:kern w:val="0"/>
          <w:sz w:val="24"/>
          <w:szCs w:val="21"/>
          <w:highlight w:val="none"/>
        </w:rPr>
        <w:t>中免费提供。</w:t>
      </w:r>
    </w:p>
    <w:p w14:paraId="1628A5A6">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7.中标供应商</w:t>
      </w:r>
      <w:r>
        <w:rPr>
          <w:rFonts w:hAnsi="宋体" w:cs="宋体"/>
          <w:color w:val="auto"/>
          <w:kern w:val="0"/>
          <w:sz w:val="24"/>
          <w:szCs w:val="21"/>
          <w:highlight w:val="none"/>
        </w:rPr>
        <w:t>须提供免费软件升级服务。</w:t>
      </w:r>
    </w:p>
    <w:p w14:paraId="665C4C35">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8.培训服务</w:t>
      </w:r>
    </w:p>
    <w:p w14:paraId="21DB1BB8">
      <w:pPr>
        <w:adjustRightInd w:val="0"/>
        <w:snapToGrid w:val="0"/>
        <w:spacing w:line="360" w:lineRule="auto"/>
        <w:ind w:firstLine="480" w:firstLineChars="200"/>
        <w:rPr>
          <w:rFonts w:hAnsi="宋体" w:cs="宋体"/>
          <w:color w:val="auto"/>
          <w:kern w:val="0"/>
          <w:sz w:val="24"/>
          <w:szCs w:val="21"/>
          <w:highlight w:val="none"/>
        </w:rPr>
      </w:pPr>
      <w:r>
        <w:rPr>
          <w:rFonts w:hAnsi="宋体" w:cs="宋体"/>
          <w:color w:val="auto"/>
          <w:kern w:val="0"/>
          <w:sz w:val="24"/>
          <w:szCs w:val="21"/>
          <w:highlight w:val="none"/>
        </w:rPr>
        <w:t>（</w:t>
      </w:r>
      <w:r>
        <w:rPr>
          <w:rFonts w:hint="eastAsia" w:hAnsi="宋体" w:cs="宋体"/>
          <w:color w:val="auto"/>
          <w:kern w:val="0"/>
          <w:sz w:val="24"/>
          <w:szCs w:val="21"/>
          <w:highlight w:val="none"/>
        </w:rPr>
        <w:t>1）中标供应商应提供由仪器生产厂家技术人员和临床专家负责的操作和维护技术培训，并提供培训相关材料。</w:t>
      </w:r>
    </w:p>
    <w:p w14:paraId="4E410AA1">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（2）</w:t>
      </w:r>
      <w:bookmarkStart w:id="111" w:name="OLE_LINK160"/>
      <w:bookmarkStart w:id="112" w:name="OLE_LINK161"/>
      <w:r>
        <w:rPr>
          <w:rFonts w:hint="eastAsia" w:hAnsi="宋体" w:cs="宋体"/>
          <w:color w:val="auto"/>
          <w:kern w:val="0"/>
          <w:sz w:val="24"/>
          <w:szCs w:val="21"/>
          <w:highlight w:val="none"/>
        </w:rPr>
        <w:t>操作应用培训：</w:t>
      </w:r>
      <w:bookmarkStart w:id="113" w:name="OLE_LINK176"/>
      <w:bookmarkStart w:id="114" w:name="OLE_LINK174"/>
      <w:bookmarkStart w:id="115" w:name="OLE_LINK175"/>
      <w:r>
        <w:rPr>
          <w:rFonts w:hint="eastAsia" w:hAnsi="宋体" w:cs="宋体"/>
          <w:color w:val="auto"/>
          <w:kern w:val="0"/>
          <w:sz w:val="24"/>
          <w:szCs w:val="21"/>
          <w:highlight w:val="none"/>
        </w:rPr>
        <w:t>中标供应商</w:t>
      </w:r>
      <w:bookmarkEnd w:id="113"/>
      <w:bookmarkEnd w:id="114"/>
      <w:bookmarkEnd w:id="115"/>
      <w:r>
        <w:rPr>
          <w:rFonts w:hint="eastAsia" w:hAnsi="宋体" w:cs="宋体"/>
          <w:color w:val="auto"/>
          <w:kern w:val="0"/>
          <w:sz w:val="24"/>
          <w:szCs w:val="21"/>
          <w:highlight w:val="none"/>
        </w:rPr>
        <w:t>负责在现场提供累计不少于</w:t>
      </w:r>
      <w:r>
        <w:rPr>
          <w:rFonts w:hAnsi="宋体" w:cs="宋体"/>
          <w:color w:val="auto"/>
          <w:kern w:val="0"/>
          <w:sz w:val="24"/>
          <w:szCs w:val="21"/>
          <w:highlight w:val="none"/>
        </w:rPr>
        <w:t>5</w:t>
      </w:r>
      <w:r>
        <w:rPr>
          <w:rFonts w:hint="eastAsia" w:hAnsi="宋体" w:cs="宋体"/>
          <w:color w:val="auto"/>
          <w:kern w:val="0"/>
          <w:sz w:val="24"/>
          <w:szCs w:val="21"/>
          <w:highlight w:val="none"/>
        </w:rPr>
        <w:t>个工作日的操作和临床应用培训，使操作人员熟练掌握设备的操作规程及临床应用，并提供操作教学视频、操作规程、培训记录。操作教学视频应涵盖设备的所有操作及应用，且通俗易懂。所有培训费用已含入总价中。</w:t>
      </w:r>
      <w:bookmarkEnd w:id="111"/>
      <w:bookmarkEnd w:id="112"/>
    </w:p>
    <w:p w14:paraId="134F0B79">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（3）</w:t>
      </w:r>
      <w:bookmarkStart w:id="116" w:name="OLE_LINK163"/>
      <w:bookmarkStart w:id="117" w:name="OLE_LINK162"/>
      <w:r>
        <w:rPr>
          <w:rFonts w:hint="eastAsia" w:hAnsi="宋体" w:cs="宋体"/>
          <w:color w:val="auto"/>
          <w:kern w:val="0"/>
          <w:sz w:val="24"/>
          <w:szCs w:val="21"/>
          <w:highlight w:val="none"/>
        </w:rPr>
        <w:t>维修保养培训：中标供应商负责在现场提供维修人员的培训，使维修工程人员掌握设备参数设置、日常保养、常见故障排除等技能。中标供应商须提供涵盖上述内容的培训资料。所有培训费用已含入总价中。</w:t>
      </w:r>
      <w:bookmarkEnd w:id="116"/>
      <w:bookmarkEnd w:id="117"/>
    </w:p>
    <w:p w14:paraId="2D65AE89">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（4）投标供应商应在投标文件中提供相应的培训方案，包括但不限于</w:t>
      </w:r>
      <w:bookmarkStart w:id="118" w:name="OLE_LINK37"/>
      <w:bookmarkStart w:id="119" w:name="OLE_LINK38"/>
      <w:r>
        <w:rPr>
          <w:rFonts w:hint="eastAsia" w:hAnsi="宋体" w:cs="宋体"/>
          <w:color w:val="auto"/>
          <w:kern w:val="0"/>
          <w:sz w:val="24"/>
          <w:szCs w:val="21"/>
          <w:highlight w:val="none"/>
        </w:rPr>
        <w:t>设备操作、应用培训及维修维护培训，详细说明培训的方式、内容、地点、人数、时间</w:t>
      </w:r>
      <w:bookmarkEnd w:id="118"/>
      <w:bookmarkEnd w:id="119"/>
      <w:r>
        <w:rPr>
          <w:rFonts w:hint="eastAsia" w:hAnsi="宋体" w:cs="宋体"/>
          <w:color w:val="auto"/>
          <w:kern w:val="0"/>
          <w:sz w:val="24"/>
          <w:szCs w:val="21"/>
          <w:highlight w:val="none"/>
        </w:rPr>
        <w:t>等实质性内容。</w:t>
      </w:r>
    </w:p>
    <w:p w14:paraId="2796A5F3">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（六）技术资料</w:t>
      </w:r>
    </w:p>
    <w:p w14:paraId="13608CCD">
      <w:pPr>
        <w:adjustRightInd w:val="0"/>
        <w:snapToGrid w:val="0"/>
        <w:spacing w:line="360" w:lineRule="auto"/>
        <w:ind w:firstLine="480" w:firstLineChars="200"/>
        <w:rPr>
          <w:rFonts w:hAnsi="宋体" w:cs="宋体"/>
          <w:color w:val="auto"/>
          <w:kern w:val="0"/>
          <w:sz w:val="24"/>
          <w:szCs w:val="21"/>
          <w:highlight w:val="none"/>
        </w:rPr>
      </w:pPr>
      <w:bookmarkStart w:id="120" w:name="OLE_LINK64"/>
      <w:bookmarkStart w:id="121" w:name="OLE_LINK65"/>
      <w:r>
        <w:rPr>
          <w:rFonts w:hint="eastAsia" w:hAnsi="宋体" w:cs="宋体"/>
          <w:color w:val="auto"/>
          <w:kern w:val="0"/>
          <w:sz w:val="24"/>
          <w:szCs w:val="21"/>
          <w:highlight w:val="none"/>
        </w:rPr>
        <w:t>1.</w:t>
      </w:r>
      <w:bookmarkStart w:id="122" w:name="OLE_LINK187"/>
      <w:bookmarkStart w:id="123" w:name="OLE_LINK188"/>
      <w:r>
        <w:rPr>
          <w:rFonts w:hint="eastAsia" w:hAnsi="宋体" w:cs="宋体"/>
          <w:color w:val="auto"/>
          <w:kern w:val="0"/>
          <w:sz w:val="24"/>
          <w:szCs w:val="21"/>
          <w:highlight w:val="none"/>
        </w:rPr>
        <w:t>中标供应商</w:t>
      </w:r>
      <w:bookmarkEnd w:id="122"/>
      <w:bookmarkEnd w:id="123"/>
      <w:r>
        <w:rPr>
          <w:rFonts w:hint="eastAsia" w:hAnsi="宋体" w:cs="宋体"/>
          <w:color w:val="auto"/>
          <w:kern w:val="0"/>
          <w:sz w:val="24"/>
          <w:szCs w:val="21"/>
          <w:highlight w:val="none"/>
        </w:rPr>
        <w:t>提供所有软件的备份光盘或其他存储介质、</w:t>
      </w:r>
      <w:r>
        <w:rPr>
          <w:rFonts w:hAnsi="宋体" w:cs="宋体"/>
          <w:color w:val="auto"/>
          <w:kern w:val="0"/>
          <w:sz w:val="24"/>
          <w:szCs w:val="21"/>
          <w:highlight w:val="none"/>
        </w:rPr>
        <w:t>license</w:t>
      </w:r>
      <w:r>
        <w:rPr>
          <w:rFonts w:hint="eastAsia" w:hAnsi="宋体" w:cs="宋体"/>
          <w:color w:val="auto"/>
          <w:kern w:val="0"/>
          <w:sz w:val="24"/>
          <w:szCs w:val="21"/>
          <w:highlight w:val="none"/>
        </w:rPr>
        <w:t>及所有口令信息，同时提供这些软件安装、调试及相关维护所需要的所有硬件和软件工具以及上述光盘或其他存储介质、软件、调试等说明书。不能提供上述内容的，则现场提供所有软件终生免费安装（含硬件更换后软件重新安装调试）、调试、维护服务。</w:t>
      </w:r>
    </w:p>
    <w:p w14:paraId="05782D7C">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2.每台设备中标供应商都应提供完整的中文技术资料，包括操作手册</w:t>
      </w:r>
      <w:r>
        <w:rPr>
          <w:rFonts w:hAnsi="宋体" w:cs="宋体"/>
          <w:color w:val="auto"/>
          <w:kern w:val="0"/>
          <w:sz w:val="24"/>
          <w:szCs w:val="21"/>
          <w:highlight w:val="none"/>
        </w:rPr>
        <w:t>2</w:t>
      </w:r>
      <w:r>
        <w:rPr>
          <w:rFonts w:hint="eastAsia" w:hAnsi="宋体" w:cs="宋体"/>
          <w:color w:val="auto"/>
          <w:kern w:val="0"/>
          <w:sz w:val="24"/>
          <w:szCs w:val="21"/>
          <w:highlight w:val="none"/>
        </w:rPr>
        <w:t>套、维修手册</w:t>
      </w:r>
      <w:r>
        <w:rPr>
          <w:rFonts w:hAnsi="宋体" w:cs="宋体"/>
          <w:color w:val="auto"/>
          <w:kern w:val="0"/>
          <w:sz w:val="24"/>
          <w:szCs w:val="21"/>
          <w:highlight w:val="none"/>
        </w:rPr>
        <w:t>1</w:t>
      </w:r>
      <w:r>
        <w:rPr>
          <w:rFonts w:hint="eastAsia" w:hAnsi="宋体" w:cs="宋体"/>
          <w:color w:val="auto"/>
          <w:kern w:val="0"/>
          <w:sz w:val="24"/>
          <w:szCs w:val="21"/>
          <w:highlight w:val="none"/>
        </w:rPr>
        <w:t>套、软件手册</w:t>
      </w:r>
      <w:r>
        <w:rPr>
          <w:rFonts w:hAnsi="宋体" w:cs="宋体"/>
          <w:color w:val="auto"/>
          <w:kern w:val="0"/>
          <w:sz w:val="24"/>
          <w:szCs w:val="21"/>
          <w:highlight w:val="none"/>
        </w:rPr>
        <w:t>1</w:t>
      </w:r>
      <w:r>
        <w:rPr>
          <w:rFonts w:hint="eastAsia" w:hAnsi="宋体" w:cs="宋体"/>
          <w:color w:val="auto"/>
          <w:kern w:val="0"/>
          <w:sz w:val="24"/>
          <w:szCs w:val="21"/>
          <w:highlight w:val="none"/>
        </w:rPr>
        <w:t>套和附件使用手册</w:t>
      </w:r>
      <w:r>
        <w:rPr>
          <w:rFonts w:hAnsi="宋体" w:cs="宋体"/>
          <w:color w:val="auto"/>
          <w:kern w:val="0"/>
          <w:sz w:val="24"/>
          <w:szCs w:val="21"/>
          <w:highlight w:val="none"/>
        </w:rPr>
        <w:t>1</w:t>
      </w:r>
      <w:r>
        <w:rPr>
          <w:rFonts w:hint="eastAsia" w:hAnsi="宋体" w:cs="宋体"/>
          <w:color w:val="auto"/>
          <w:kern w:val="0"/>
          <w:sz w:val="24"/>
          <w:szCs w:val="21"/>
          <w:highlight w:val="none"/>
        </w:rPr>
        <w:t>套等，同时应提供原厂的出厂配置清单、设备出厂检验报告和质量合格证书等及电子版的操作规程。</w:t>
      </w:r>
      <w:bookmarkEnd w:id="120"/>
      <w:bookmarkEnd w:id="121"/>
    </w:p>
    <w:p w14:paraId="1D951AC4">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三</w:t>
      </w:r>
      <w:r>
        <w:rPr>
          <w:rFonts w:ascii="宋体" w:hAnsi="宋体"/>
          <w:b/>
          <w:bCs/>
          <w:color w:val="auto"/>
          <w:kern w:val="0"/>
          <w:sz w:val="24"/>
          <w:szCs w:val="21"/>
          <w:highlight w:val="none"/>
        </w:rPr>
        <w:t>、</w:t>
      </w:r>
      <w:r>
        <w:rPr>
          <w:rFonts w:hint="eastAsia" w:ascii="宋体" w:hAnsi="宋体"/>
          <w:b/>
          <w:bCs/>
          <w:color w:val="auto"/>
          <w:kern w:val="0"/>
          <w:sz w:val="24"/>
          <w:szCs w:val="21"/>
          <w:highlight w:val="none"/>
        </w:rPr>
        <w:t>商务需求</w:t>
      </w:r>
    </w:p>
    <w:p w14:paraId="495C8795">
      <w:pPr>
        <w:adjustRightInd w:val="0"/>
        <w:snapToGrid w:val="0"/>
        <w:spacing w:line="360" w:lineRule="auto"/>
        <w:ind w:firstLine="482" w:firstLineChars="200"/>
        <w:outlineLvl w:val="0"/>
        <w:rPr>
          <w:rFonts w:ascii="宋体" w:hAnsi="宋体"/>
          <w:b/>
          <w:bCs/>
          <w:color w:val="auto"/>
          <w:kern w:val="0"/>
          <w:sz w:val="24"/>
          <w:szCs w:val="21"/>
          <w:highlight w:val="none"/>
        </w:rPr>
      </w:pPr>
      <w:bookmarkStart w:id="124" w:name="OLE_LINK193"/>
      <w:bookmarkStart w:id="125" w:name="OLE_LINK194"/>
      <w:r>
        <w:rPr>
          <w:rFonts w:hint="eastAsia" w:ascii="宋体" w:hAnsi="宋体"/>
          <w:b/>
          <w:bCs/>
          <w:color w:val="auto"/>
          <w:kern w:val="0"/>
          <w:sz w:val="24"/>
          <w:szCs w:val="21"/>
          <w:highlight w:val="none"/>
        </w:rPr>
        <w:t>▲（一）报价要求：</w:t>
      </w:r>
    </w:p>
    <w:bookmarkEnd w:id="124"/>
    <w:bookmarkEnd w:id="125"/>
    <w:p w14:paraId="1DF7773E">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投标报价应是招标文件所确定的招标范围内全部工作内容的价格表现。其应</w:t>
      </w:r>
      <w:bookmarkStart w:id="126" w:name="OLE_LINK63"/>
      <w:bookmarkStart w:id="127" w:name="OLE_LINK62"/>
      <w:r>
        <w:rPr>
          <w:rFonts w:hint="eastAsia" w:hAnsi="宋体" w:cs="宋体"/>
          <w:color w:val="auto"/>
          <w:kern w:val="0"/>
          <w:sz w:val="24"/>
          <w:szCs w:val="21"/>
          <w:highlight w:val="none"/>
        </w:rPr>
        <w:t>包含设备及包装、运输、装卸、保险、税金、货到就位以及设备安装、调试、维保、保修、培训、合同包含的所有风险责任等各项费用及不可预见费所需的全部费用</w:t>
      </w:r>
      <w:bookmarkEnd w:id="126"/>
      <w:bookmarkEnd w:id="127"/>
      <w:r>
        <w:rPr>
          <w:rFonts w:hint="eastAsia" w:hAnsi="宋体" w:cs="宋体"/>
          <w:color w:val="auto"/>
          <w:kern w:val="0"/>
          <w:sz w:val="24"/>
          <w:szCs w:val="21"/>
          <w:highlight w:val="none"/>
        </w:rPr>
        <w:t>，招标文件未列明而投标供应商认为必需的费用也需列入报价，总报价以人民币元计。</w:t>
      </w:r>
    </w:p>
    <w:p w14:paraId="119C3E52">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（二）证件要求：</w:t>
      </w:r>
    </w:p>
    <w:p w14:paraId="27D2348B">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1.投标供应商为医疗器械生产企业的：第二类、第三类医疗器械生产企业提供《</w:t>
      </w:r>
      <w:bookmarkStart w:id="128" w:name="OLE_LINK1"/>
      <w:bookmarkStart w:id="129" w:name="OLE_LINK2"/>
      <w:bookmarkStart w:id="130" w:name="OLE_LINK201"/>
      <w:r>
        <w:rPr>
          <w:rFonts w:hint="eastAsia" w:hAnsi="宋体" w:cs="宋体"/>
          <w:color w:val="auto"/>
          <w:kern w:val="0"/>
          <w:sz w:val="24"/>
          <w:szCs w:val="21"/>
          <w:highlight w:val="none"/>
        </w:rPr>
        <w:t>医疗器械生产许可证</w:t>
      </w:r>
      <w:bookmarkEnd w:id="128"/>
      <w:bookmarkEnd w:id="129"/>
      <w:bookmarkEnd w:id="130"/>
      <w:r>
        <w:rPr>
          <w:rFonts w:hint="eastAsia" w:hAnsi="宋体" w:cs="宋体"/>
          <w:color w:val="auto"/>
          <w:kern w:val="0"/>
          <w:sz w:val="24"/>
          <w:szCs w:val="21"/>
          <w:highlight w:val="none"/>
        </w:rPr>
        <w:t xml:space="preserve">》、第一类医疗器械生产企业提供第一类医疗器械生产备案凭证；投标供应商为医疗器械经营企业的：第三类医疗器械经营企业提供《医疗器械经营许可证》、第二类医疗器械经营企业提供第二类医疗器械经营备案凭证； </w:t>
      </w:r>
    </w:p>
    <w:p w14:paraId="53C6AFEC">
      <w:pPr>
        <w:adjustRightInd w:val="0"/>
        <w:snapToGrid w:val="0"/>
        <w:spacing w:line="360" w:lineRule="auto"/>
        <w:ind w:firstLine="482" w:firstLineChars="200"/>
        <w:rPr>
          <w:rFonts w:hAnsi="宋体" w:cs="宋体"/>
          <w:color w:val="auto"/>
          <w:kern w:val="0"/>
          <w:sz w:val="24"/>
          <w:szCs w:val="21"/>
          <w:highlight w:val="none"/>
        </w:rPr>
      </w:pPr>
      <w:r>
        <w:rPr>
          <w:rFonts w:hint="eastAsia" w:ascii="宋体" w:hAnsi="宋体"/>
          <w:b/>
          <w:bCs/>
          <w:color w:val="auto"/>
          <w:kern w:val="0"/>
          <w:sz w:val="24"/>
          <w:szCs w:val="21"/>
          <w:highlight w:val="none"/>
        </w:rPr>
        <w:t>▲</w:t>
      </w:r>
      <w:r>
        <w:rPr>
          <w:rFonts w:hint="eastAsia" w:hAnsi="宋体" w:cs="宋体"/>
          <w:color w:val="auto"/>
          <w:kern w:val="0"/>
          <w:sz w:val="24"/>
          <w:szCs w:val="21"/>
          <w:highlight w:val="none"/>
        </w:rPr>
        <w:t>2. 食品药品监督管理部门核发的完整有效的医疗器械注册或备案证明。</w:t>
      </w:r>
    </w:p>
    <w:p w14:paraId="4259FAFF">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（三）交货期、交货方式及交货（安装）地点：</w:t>
      </w:r>
    </w:p>
    <w:p w14:paraId="556AFF3F">
      <w:pPr>
        <w:adjustRightInd w:val="0"/>
        <w:snapToGrid w:val="0"/>
        <w:spacing w:line="360" w:lineRule="auto"/>
        <w:ind w:firstLine="480" w:firstLineChars="200"/>
        <w:rPr>
          <w:rFonts w:hAnsi="宋体" w:cs="宋体"/>
          <w:color w:val="auto"/>
          <w:kern w:val="0"/>
          <w:sz w:val="24"/>
          <w:szCs w:val="21"/>
          <w:highlight w:val="none"/>
        </w:rPr>
      </w:pPr>
      <w:bookmarkStart w:id="131" w:name="OLE_LINK127"/>
      <w:bookmarkStart w:id="132" w:name="OLE_LINK126"/>
      <w:r>
        <w:rPr>
          <w:rFonts w:hint="eastAsia" w:hAnsi="宋体" w:cs="宋体"/>
          <w:color w:val="auto"/>
          <w:kern w:val="0"/>
          <w:sz w:val="24"/>
          <w:szCs w:val="21"/>
          <w:highlight w:val="none"/>
        </w:rPr>
        <w:t>交货期</w:t>
      </w:r>
      <w:bookmarkEnd w:id="131"/>
      <w:bookmarkEnd w:id="132"/>
      <w:r>
        <w:rPr>
          <w:rFonts w:hint="eastAsia" w:hAnsi="宋体" w:cs="宋体"/>
          <w:color w:val="auto"/>
          <w:kern w:val="0"/>
          <w:sz w:val="24"/>
          <w:szCs w:val="21"/>
          <w:highlight w:val="none"/>
        </w:rPr>
        <w:t>：</w:t>
      </w:r>
      <w:bookmarkStart w:id="133" w:name="OLE_LINK71"/>
      <w:bookmarkStart w:id="134" w:name="OLE_LINK70"/>
      <w:r>
        <w:rPr>
          <w:rFonts w:hint="eastAsia" w:hAnsi="宋体" w:cs="宋体"/>
          <w:color w:val="auto"/>
          <w:kern w:val="0"/>
          <w:sz w:val="24"/>
          <w:szCs w:val="21"/>
          <w:highlight w:val="none"/>
        </w:rPr>
        <w:t>合同签订之日起30日历天内交货并完成安装调试。</w:t>
      </w:r>
    </w:p>
    <w:bookmarkEnd w:id="133"/>
    <w:bookmarkEnd w:id="134"/>
    <w:p w14:paraId="2B8A5C30">
      <w:pPr>
        <w:adjustRightInd w:val="0"/>
        <w:snapToGrid w:val="0"/>
        <w:spacing w:line="360" w:lineRule="auto"/>
        <w:ind w:firstLine="480" w:firstLineChars="200"/>
        <w:rPr>
          <w:rFonts w:hAnsi="宋体" w:cs="宋体"/>
          <w:color w:val="auto"/>
          <w:kern w:val="0"/>
          <w:sz w:val="24"/>
          <w:szCs w:val="21"/>
          <w:highlight w:val="none"/>
        </w:rPr>
      </w:pPr>
      <w:r>
        <w:rPr>
          <w:rFonts w:asciiTheme="minorEastAsia" w:hAnsiTheme="minorEastAsia" w:eastAsiaTheme="minorEastAsia" w:cstheme="minorBidi"/>
          <w:bCs/>
          <w:color w:val="auto"/>
          <w:sz w:val="24"/>
          <w:highlight w:val="none"/>
        </w:rPr>
        <w:t>交货方式：中标供应商负责包装、运输至甲方指定地点并安装完成。</w:t>
      </w:r>
    </w:p>
    <w:p w14:paraId="77A477FD">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交货（安装）地点：采购人指定地点。</w:t>
      </w:r>
      <w:r>
        <w:rPr>
          <w:rFonts w:hAnsi="宋体" w:cs="宋体"/>
          <w:color w:val="auto"/>
          <w:kern w:val="0"/>
          <w:sz w:val="24"/>
          <w:szCs w:val="21"/>
          <w:highlight w:val="none"/>
        </w:rPr>
        <w:t xml:space="preserve"> </w:t>
      </w:r>
    </w:p>
    <w:p w14:paraId="612157A5">
      <w:pPr>
        <w:adjustRightInd w:val="0"/>
        <w:snapToGrid w:val="0"/>
        <w:spacing w:line="360" w:lineRule="auto"/>
        <w:ind w:firstLine="482" w:firstLineChars="200"/>
        <w:rPr>
          <w:rFonts w:hAnsi="宋体" w:cs="宋体"/>
          <w:color w:val="auto"/>
          <w:kern w:val="0"/>
          <w:sz w:val="24"/>
          <w:szCs w:val="21"/>
          <w:highlight w:val="none"/>
        </w:rPr>
      </w:pPr>
      <w:r>
        <w:rPr>
          <w:rFonts w:hint="eastAsia" w:ascii="宋体" w:hAnsi="宋体"/>
          <w:b/>
          <w:bCs/>
          <w:color w:val="auto"/>
          <w:kern w:val="0"/>
          <w:sz w:val="24"/>
          <w:szCs w:val="21"/>
          <w:highlight w:val="none"/>
        </w:rPr>
        <w:t>（四）付款条件：</w:t>
      </w:r>
      <w:r>
        <w:rPr>
          <w:rFonts w:hint="eastAsia" w:hAnsi="宋体" w:cs="宋体"/>
          <w:color w:val="auto"/>
          <w:kern w:val="0"/>
          <w:sz w:val="24"/>
          <w:szCs w:val="21"/>
          <w:highlight w:val="none"/>
        </w:rPr>
        <w:t>合同签订后支付合同价款的40%；最终验收通过后支付剩余全部款项。以上付款条件是采购人所在地的财政资金下达并收到中标供应商的正式发票且通过有关部门审核后7个工作日内支付。</w:t>
      </w:r>
    </w:p>
    <w:p w14:paraId="325C97E4">
      <w:pPr>
        <w:adjustRightInd w:val="0"/>
        <w:snapToGrid w:val="0"/>
        <w:spacing w:line="360" w:lineRule="auto"/>
        <w:ind w:firstLine="482" w:firstLineChars="200"/>
        <w:rPr>
          <w:rFonts w:ascii="宋体" w:hAnsi="宋体"/>
          <w:b/>
          <w:bCs/>
          <w:color w:val="auto"/>
          <w:kern w:val="0"/>
          <w:sz w:val="24"/>
          <w:szCs w:val="21"/>
          <w:highlight w:val="none"/>
        </w:rPr>
      </w:pPr>
      <w:r>
        <w:rPr>
          <w:rFonts w:hint="eastAsia" w:ascii="宋体" w:hAnsi="宋体"/>
          <w:b/>
          <w:bCs/>
          <w:color w:val="auto"/>
          <w:kern w:val="0"/>
          <w:sz w:val="24"/>
          <w:szCs w:val="21"/>
          <w:highlight w:val="none"/>
        </w:rPr>
        <w:t>（五）质保期：</w:t>
      </w:r>
    </w:p>
    <w:p w14:paraId="3C1D5A42">
      <w:pPr>
        <w:adjustRightInd w:val="0"/>
        <w:snapToGrid w:val="0"/>
        <w:spacing w:line="360" w:lineRule="auto"/>
        <w:ind w:firstLine="480" w:firstLineChars="200"/>
        <w:rPr>
          <w:rFonts w:hAnsi="宋体" w:cs="宋体"/>
          <w:color w:val="auto"/>
          <w:kern w:val="0"/>
          <w:sz w:val="24"/>
          <w:szCs w:val="21"/>
          <w:highlight w:val="none"/>
        </w:rPr>
      </w:pPr>
      <w:bookmarkStart w:id="135" w:name="OLE_LINK42"/>
      <w:bookmarkStart w:id="136" w:name="OLE_LINK68"/>
      <w:bookmarkStart w:id="137" w:name="OLE_LINK69"/>
      <w:r>
        <w:rPr>
          <w:rFonts w:hint="eastAsia" w:hAnsi="宋体" w:cs="宋体"/>
          <w:color w:val="auto"/>
          <w:kern w:val="0"/>
          <w:sz w:val="24"/>
          <w:szCs w:val="21"/>
          <w:highlight w:val="none"/>
        </w:rPr>
        <w:t>中标供应商自验收合格之日起提供不少于</w:t>
      </w:r>
      <w:r>
        <w:rPr>
          <w:rFonts w:hint="eastAsia" w:hAnsi="宋体" w:cs="宋体"/>
          <w:color w:val="auto"/>
          <w:kern w:val="0"/>
          <w:sz w:val="24"/>
          <w:szCs w:val="21"/>
          <w:highlight w:val="none"/>
          <w:lang w:val="en-US" w:eastAsia="zh-CN"/>
        </w:rPr>
        <w:t>五</w:t>
      </w:r>
      <w:r>
        <w:rPr>
          <w:rFonts w:hint="eastAsia" w:hAnsi="宋体" w:cs="宋体"/>
          <w:color w:val="auto"/>
          <w:kern w:val="0"/>
          <w:sz w:val="24"/>
          <w:szCs w:val="21"/>
          <w:highlight w:val="none"/>
        </w:rPr>
        <w:t>年免费质保服务（</w:t>
      </w:r>
      <w:r>
        <w:rPr>
          <w:rFonts w:hint="eastAsia" w:hAnsi="宋体" w:cs="宋体"/>
          <w:b/>
          <w:color w:val="auto"/>
          <w:kern w:val="0"/>
          <w:sz w:val="24"/>
          <w:szCs w:val="21"/>
          <w:highlight w:val="none"/>
        </w:rPr>
        <w:t>投标供应商可提供更优惠的质保服务</w:t>
      </w:r>
      <w:r>
        <w:rPr>
          <w:rFonts w:hint="eastAsia" w:hAnsi="宋体" w:cs="宋体"/>
          <w:color w:val="auto"/>
          <w:kern w:val="0"/>
          <w:sz w:val="24"/>
          <w:szCs w:val="21"/>
          <w:highlight w:val="none"/>
        </w:rPr>
        <w:t>），对所有设备负责终身维修。在质保期内，应负责对其提供的设备进行现场维修、损坏件更换，不收取额外费用</w:t>
      </w:r>
      <w:bookmarkEnd w:id="135"/>
      <w:bookmarkEnd w:id="136"/>
      <w:bookmarkEnd w:id="137"/>
      <w:r>
        <w:rPr>
          <w:rFonts w:hint="eastAsia" w:hAnsi="宋体" w:cs="宋体"/>
          <w:color w:val="auto"/>
          <w:kern w:val="0"/>
          <w:sz w:val="24"/>
          <w:szCs w:val="21"/>
          <w:highlight w:val="none"/>
        </w:rPr>
        <w:t>。</w:t>
      </w:r>
    </w:p>
    <w:p w14:paraId="3866255A">
      <w:pPr>
        <w:adjustRightInd w:val="0"/>
        <w:snapToGrid w:val="0"/>
        <w:spacing w:line="360" w:lineRule="auto"/>
        <w:ind w:firstLine="482" w:firstLineChars="200"/>
        <w:rPr>
          <w:rFonts w:ascii="宋体" w:hAnsi="宋体"/>
          <w:b/>
          <w:bCs/>
          <w:color w:val="auto"/>
          <w:kern w:val="0"/>
          <w:sz w:val="24"/>
          <w:szCs w:val="21"/>
          <w:highlight w:val="none"/>
        </w:rPr>
      </w:pPr>
      <w:r>
        <w:rPr>
          <w:rFonts w:hint="eastAsia" w:ascii="宋体" w:hAnsi="宋体"/>
          <w:b/>
          <w:bCs/>
          <w:color w:val="auto"/>
          <w:kern w:val="0"/>
          <w:sz w:val="24"/>
          <w:szCs w:val="21"/>
          <w:highlight w:val="none"/>
        </w:rPr>
        <w:t>（六）合同签订：</w:t>
      </w:r>
    </w:p>
    <w:p w14:paraId="6653C3AC">
      <w:pPr>
        <w:adjustRightInd w:val="0"/>
        <w:snapToGrid w:val="0"/>
        <w:spacing w:line="360" w:lineRule="auto"/>
        <w:ind w:firstLine="480" w:firstLineChars="200"/>
        <w:rPr>
          <w:rFonts w:hAnsi="宋体" w:cs="宋体"/>
          <w:color w:val="auto"/>
          <w:kern w:val="0"/>
          <w:sz w:val="24"/>
          <w:szCs w:val="21"/>
          <w:highlight w:val="none"/>
        </w:rPr>
      </w:pPr>
      <w:r>
        <w:rPr>
          <w:rFonts w:hAnsi="宋体" w:cs="宋体"/>
          <w:color w:val="auto"/>
          <w:kern w:val="0"/>
          <w:sz w:val="24"/>
          <w:szCs w:val="21"/>
          <w:highlight w:val="none"/>
        </w:rPr>
        <w:t>采购人应当自中标通知书发出之日起30日内，按照招标文件和中标供应商投标文件内容要求，与中标供应商签订书面合同或者电子合同。所签订的合同不得对招标文件确定的事项和中标供应商投标文件作实质性修改。成交后30天未签订合同的，采购人可以按照评审报告推荐的中标候选供应商名单排序，确定下一候选人为中标</w:t>
      </w:r>
      <w:r>
        <w:rPr>
          <w:rFonts w:hint="eastAsia" w:hAnsi="宋体" w:cs="宋体"/>
          <w:color w:val="auto"/>
          <w:kern w:val="0"/>
          <w:sz w:val="24"/>
          <w:szCs w:val="21"/>
          <w:highlight w:val="none"/>
        </w:rPr>
        <w:t>供应商</w:t>
      </w:r>
      <w:r>
        <w:rPr>
          <w:rFonts w:hAnsi="宋体" w:cs="宋体"/>
          <w:color w:val="auto"/>
          <w:kern w:val="0"/>
          <w:sz w:val="24"/>
          <w:szCs w:val="21"/>
          <w:highlight w:val="none"/>
        </w:rPr>
        <w:t>，也可以重新开展采购活动。</w:t>
      </w:r>
    </w:p>
    <w:p w14:paraId="43CB8091">
      <w:pPr>
        <w:adjustRightInd w:val="0"/>
        <w:snapToGrid w:val="0"/>
        <w:spacing w:line="360" w:lineRule="auto"/>
        <w:ind w:firstLine="482" w:firstLineChars="200"/>
        <w:rPr>
          <w:rFonts w:hAnsi="宋体" w:cs="宋体"/>
          <w:color w:val="auto"/>
          <w:kern w:val="0"/>
          <w:sz w:val="24"/>
          <w:szCs w:val="21"/>
          <w:highlight w:val="none"/>
        </w:rPr>
      </w:pPr>
      <w:r>
        <w:rPr>
          <w:rFonts w:hint="eastAsia" w:ascii="宋体" w:hAnsi="宋体"/>
          <w:b/>
          <w:bCs/>
          <w:color w:val="auto"/>
          <w:kern w:val="0"/>
          <w:sz w:val="24"/>
          <w:szCs w:val="21"/>
          <w:highlight w:val="none"/>
        </w:rPr>
        <w:t>（七）履约保证金：</w:t>
      </w:r>
      <w:bookmarkStart w:id="138" w:name="OLE_LINK231"/>
      <w:bookmarkStart w:id="139" w:name="OLE_LINK228"/>
      <w:r>
        <w:rPr>
          <w:rFonts w:hint="eastAsia" w:hAnsi="宋体" w:cs="宋体"/>
          <w:color w:val="auto"/>
          <w:kern w:val="0"/>
          <w:sz w:val="24"/>
          <w:szCs w:val="21"/>
          <w:highlight w:val="none"/>
        </w:rPr>
        <w:t>中标供应商须在</w:t>
      </w:r>
      <w:bookmarkStart w:id="140" w:name="OLE_LINK66"/>
      <w:bookmarkStart w:id="141" w:name="OLE_LINK67"/>
      <w:r>
        <w:rPr>
          <w:rFonts w:hint="eastAsia" w:hAnsi="宋体" w:cs="宋体"/>
          <w:color w:val="auto"/>
          <w:kern w:val="0"/>
          <w:sz w:val="24"/>
          <w:szCs w:val="21"/>
          <w:highlight w:val="none"/>
        </w:rPr>
        <w:t>中标通知书发出之日</w:t>
      </w:r>
      <w:bookmarkEnd w:id="140"/>
      <w:bookmarkEnd w:id="141"/>
      <w:r>
        <w:rPr>
          <w:rFonts w:hint="eastAsia" w:hAnsi="宋体" w:cs="宋体"/>
          <w:color w:val="auto"/>
          <w:kern w:val="0"/>
          <w:sz w:val="24"/>
          <w:szCs w:val="21"/>
          <w:highlight w:val="none"/>
        </w:rPr>
        <w:t>起</w:t>
      </w:r>
      <w:bookmarkStart w:id="142" w:name="OLE_LINK203"/>
      <w:bookmarkStart w:id="143" w:name="OLE_LINK202"/>
      <w:r>
        <w:rPr>
          <w:rFonts w:hint="eastAsia" w:hAnsi="宋体" w:cs="宋体"/>
          <w:color w:val="auto"/>
          <w:kern w:val="0"/>
          <w:sz w:val="24"/>
          <w:szCs w:val="21"/>
          <w:highlight w:val="none"/>
        </w:rPr>
        <w:t>七个工作日内提交合同总价1%的履约担保</w:t>
      </w:r>
      <w:bookmarkEnd w:id="142"/>
      <w:bookmarkEnd w:id="143"/>
      <w:r>
        <w:rPr>
          <w:rFonts w:hint="eastAsia" w:hAnsi="宋体" w:cs="宋体"/>
          <w:color w:val="auto"/>
          <w:kern w:val="0"/>
          <w:sz w:val="24"/>
          <w:szCs w:val="21"/>
          <w:highlight w:val="none"/>
        </w:rPr>
        <w:t>，以支票、银行汇票、本票或者金融机构出具的保函等非现金形式提交。如为支票、银行汇票、本票形式，在项目最终验收结束后经采购人确认无质量问题且扣除中标供应商应承担的违约金（如有）等费用后无息退还；如以金融机构出具的保函等非现金形式提供的（须为见索即付的独立保函），担保期限为项目最终验收结束后15个工作日。中标供应商因违约或其他原因导致履约金被没收后应在自没收之日起15天内补足。</w:t>
      </w:r>
    </w:p>
    <w:bookmarkEnd w:id="138"/>
    <w:bookmarkEnd w:id="139"/>
    <w:p w14:paraId="64609A66">
      <w:pPr>
        <w:snapToGrid w:val="0"/>
        <w:spacing w:line="360" w:lineRule="auto"/>
        <w:ind w:firstLine="480" w:firstLineChars="200"/>
        <w:rPr>
          <w:rFonts w:asciiTheme="minorEastAsia" w:hAnsiTheme="minorEastAsia" w:eastAsiaTheme="minorEastAsia" w:cstheme="minorEastAsia"/>
          <w:color w:val="auto"/>
          <w:sz w:val="24"/>
          <w:highlight w:val="none"/>
        </w:rPr>
      </w:pPr>
    </w:p>
    <w:p w14:paraId="56F859F9">
      <w:pPr>
        <w:widowControl/>
        <w:jc w:val="left"/>
        <w:rPr>
          <w:rFonts w:asciiTheme="minorEastAsia" w:hAnsiTheme="minorEastAsia" w:eastAsiaTheme="minorEastAsia"/>
          <w:b/>
          <w:color w:val="auto"/>
          <w:sz w:val="36"/>
          <w:szCs w:val="36"/>
          <w:highlight w:val="none"/>
        </w:rPr>
      </w:pPr>
      <w:bookmarkStart w:id="144" w:name="_Toc31173_WPSOffice_Level1"/>
      <w:r>
        <w:rPr>
          <w:rFonts w:asciiTheme="minorEastAsia" w:hAnsiTheme="minorEastAsia" w:eastAsiaTheme="minorEastAsia"/>
          <w:b/>
          <w:color w:val="auto"/>
          <w:sz w:val="36"/>
          <w:szCs w:val="36"/>
          <w:highlight w:val="none"/>
        </w:rPr>
        <w:br w:type="page"/>
      </w:r>
    </w:p>
    <w:p w14:paraId="17EBB632">
      <w:pPr>
        <w:numPr>
          <w:ilvl w:val="0"/>
          <w:numId w:val="4"/>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评标</w:t>
      </w:r>
      <w:bookmarkEnd w:id="144"/>
    </w:p>
    <w:p w14:paraId="1C36BFF5">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一、评标方法</w:t>
      </w:r>
    </w:p>
    <w:p w14:paraId="2C598E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综合评分法,是指投标文件满足招标文件全部实质性要求，且按照评审因素的量化指标评审得分最高的投标供应商为中标候选人的评标方法。</w:t>
      </w:r>
    </w:p>
    <w:p w14:paraId="16907C86">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二、评标原则</w:t>
      </w:r>
    </w:p>
    <w:p w14:paraId="0CD194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（一）评标活动遵循公平、公正、科学和择优的原则，以招标文件和投标文件为评标的基本依据，并按照招标文件规定的评标方法和评标标准进行评标。</w:t>
      </w:r>
    </w:p>
    <w:p w14:paraId="7C1A01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（二）任何单位和个人不得干扰、影响评标的正常进行；评标委员会及有关工作人员应不带任何倾向性和启发性，不得向外界透露任何与评标有关的内容，不得私下与投标供应商接触。</w:t>
      </w:r>
    </w:p>
    <w:p w14:paraId="132DB5D0">
      <w:pPr>
        <w:pStyle w:val="21"/>
        <w:spacing w:after="0" w:line="360" w:lineRule="auto"/>
        <w:ind w:left="0" w:leftChars="0"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三、评标委员会</w:t>
      </w:r>
    </w:p>
    <w:p w14:paraId="7927C070">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（一）本项目评标委员会由采购人代表和评审专家组成，成员人数应当为5人以上单数，其中评审专家不得少于成员总数的三分之二。</w:t>
      </w:r>
    </w:p>
    <w:p w14:paraId="5D423C67">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（二）评标委员会成员与参与投标的供应商有下列情形之一的，应当回避：</w:t>
      </w:r>
    </w:p>
    <w:p w14:paraId="10AB8A5D">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1.参加采购活动前3年内与供应商存在劳动关系；</w:t>
      </w:r>
    </w:p>
    <w:p w14:paraId="4766078D">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2.参加采购活动前3年内担任供应商的董事、监事；</w:t>
      </w:r>
    </w:p>
    <w:p w14:paraId="707636BD">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3.参加采购活动前3年内是供应商的控股股东或者实际控制人；</w:t>
      </w:r>
    </w:p>
    <w:p w14:paraId="194A4A45">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4.与供应商的法定代表人或者负责人有夫妻、直系血亲、三代以内旁系血亲或者近姻亲关系；</w:t>
      </w:r>
    </w:p>
    <w:p w14:paraId="6B493C0A">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5.与供应商有其他可能影响政府采购活动公平、公正进行的关系。</w:t>
      </w:r>
    </w:p>
    <w:p w14:paraId="5B0F1ECA">
      <w:pPr>
        <w:pStyle w:val="9"/>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（三）评标委员会负责具体评标事务，并独立履行下列职责：</w:t>
      </w:r>
    </w:p>
    <w:p w14:paraId="76DDC9DC">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1.审查、评价投标文件是否符合招标文件的商务、技术等实质性要求；</w:t>
      </w:r>
    </w:p>
    <w:p w14:paraId="7A453A1F">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2.要求投标供应商对投标文件有关事项做出澄清或者说明；</w:t>
      </w:r>
    </w:p>
    <w:p w14:paraId="578F3261">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3.对投标文件进行比较和评价；</w:t>
      </w:r>
    </w:p>
    <w:p w14:paraId="78B5565A">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4.确定中标候选人名单，以及根据采购人委托直接确定中标供应商；</w:t>
      </w:r>
    </w:p>
    <w:p w14:paraId="19E79A36">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5.向采购人、采购组织机构或者有关部门报告评标中发现的违法行为；</w:t>
      </w:r>
    </w:p>
    <w:p w14:paraId="31062480">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6.法律法规规定的其他职责。</w:t>
      </w:r>
    </w:p>
    <w:p w14:paraId="60A55007">
      <w:pPr>
        <w:pStyle w:val="18"/>
        <w:spacing w:before="0" w:beforeAutospacing="0" w:after="0" w:afterAutospacing="0" w:line="360" w:lineRule="auto"/>
        <w:ind w:firstLine="480" w:firstLineChars="200"/>
        <w:jc w:val="both"/>
        <w:rPr>
          <w:rFonts w:hint="default" w:asciiTheme="minorEastAsia" w:hAnsiTheme="minorEastAsia" w:eastAsiaTheme="minorEastAsia"/>
          <w:b/>
          <w:color w:val="auto"/>
          <w:highlight w:val="none"/>
        </w:rPr>
      </w:pPr>
      <w:r>
        <w:rPr>
          <w:rFonts w:cs="宋体"/>
          <w:color w:val="auto"/>
          <w:highlight w:val="none"/>
        </w:rPr>
        <w:t>▲</w:t>
      </w:r>
      <w:r>
        <w:rPr>
          <w:rFonts w:asciiTheme="minorEastAsia" w:hAnsiTheme="minorEastAsia" w:eastAsiaTheme="minorEastAsia"/>
          <w:b/>
          <w:color w:val="auto"/>
          <w:highlight w:val="none"/>
        </w:rPr>
        <w:t>四、无效标情形</w:t>
      </w:r>
    </w:p>
    <w:p w14:paraId="6CBE7E45">
      <w:pPr>
        <w:adjustRightInd w:val="0"/>
        <w:snapToGrid w:val="0"/>
        <w:spacing w:line="360" w:lineRule="auto"/>
        <w:ind w:firstLine="480"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kern w:val="0"/>
          <w:sz w:val="24"/>
          <w:highlight w:val="none"/>
        </w:rPr>
        <w:t>（一）在资格证明文件或商务与技术文件中出现投标报价的，或者报价文件中报价的货物跟商务与技术文件中的投标货物出现重大偏差的；</w:t>
      </w:r>
    </w:p>
    <w:p w14:paraId="0F17E70A">
      <w:pPr>
        <w:pStyle w:val="18"/>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（二）不具备招标文件中规定的资格要求的；</w:t>
      </w:r>
      <w:r>
        <w:rPr>
          <w:rFonts w:hint="default" w:asciiTheme="minorEastAsia" w:hAnsiTheme="minorEastAsia" w:eastAsiaTheme="minorEastAsia"/>
          <w:color w:val="auto"/>
          <w:highlight w:val="none"/>
        </w:rPr>
        <w:tab/>
      </w:r>
    </w:p>
    <w:p w14:paraId="6EB8995A">
      <w:pPr>
        <w:pStyle w:val="18"/>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（三）投标文件含有采购人不能接受的附加条件的；</w:t>
      </w:r>
    </w:p>
    <w:p w14:paraId="0FAC9EF4">
      <w:pPr>
        <w:pStyle w:val="18"/>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bCs/>
          <w:color w:val="auto"/>
          <w:highlight w:val="none"/>
        </w:rPr>
      </w:pPr>
      <w:r>
        <w:rPr>
          <w:rFonts w:asciiTheme="minorEastAsia" w:hAnsiTheme="minorEastAsia" w:eastAsiaTheme="minorEastAsia"/>
          <w:color w:val="auto"/>
          <w:highlight w:val="none"/>
        </w:rPr>
        <w:t>（四）评标委员会认为投标供应商的报价明显低于其他通过符合性审查投标供应商的报价，有可能影响产品质量或者不能诚信履约的，投标供应商在限定的时间内不能证明其报价合理性的，评标委员会应当将其作为无效投标处理；</w:t>
      </w:r>
    </w:p>
    <w:p w14:paraId="054FDB1B">
      <w:pPr>
        <w:pStyle w:val="18"/>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xml:space="preserve">（五）报价超过招标文件中规定的预算金额/最高限价或未填写投标报价的； </w:t>
      </w:r>
    </w:p>
    <w:p w14:paraId="7FA986FA">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（六）投标参数未如实填写；</w:t>
      </w:r>
    </w:p>
    <w:p w14:paraId="4F2ADA5E">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 xml:space="preserve">（七）投标文件存在虚假材料的； </w:t>
      </w:r>
    </w:p>
    <w:p w14:paraId="6939D443">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（八）有</w:t>
      </w:r>
      <w:r>
        <w:rPr>
          <w:rFonts w:asciiTheme="minorEastAsia" w:hAnsiTheme="minorEastAsia" w:eastAsiaTheme="minorEastAsia"/>
          <w:color w:val="auto"/>
          <w:kern w:val="0"/>
          <w:sz w:val="24"/>
          <w:highlight w:val="none"/>
        </w:rPr>
        <w:t>中华人民共和国财政部令第87号《政府采购货物和服务招标投标管理办法》第三十七条情形之一的，视为投标供应商串通投标，其投标无效</w:t>
      </w:r>
      <w:r>
        <w:rPr>
          <w:rFonts w:hint="eastAsia" w:asciiTheme="minorEastAsia" w:hAnsiTheme="minorEastAsia" w:eastAsiaTheme="minorEastAsia"/>
          <w:color w:val="auto"/>
          <w:kern w:val="0"/>
          <w:sz w:val="24"/>
          <w:highlight w:val="none"/>
        </w:rPr>
        <w:t>，并移送采购监管部门</w:t>
      </w:r>
      <w:r>
        <w:rPr>
          <w:rFonts w:asciiTheme="minorEastAsia" w:hAnsiTheme="minorEastAsia" w:eastAsiaTheme="minorEastAsia"/>
          <w:color w:val="auto"/>
          <w:kern w:val="0"/>
          <w:sz w:val="24"/>
          <w:highlight w:val="none"/>
        </w:rPr>
        <w:t>：</w:t>
      </w:r>
    </w:p>
    <w:p w14:paraId="2CFDCEB8">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不同投标供应商的投标文件由同一单位或者个人编制；</w:t>
      </w:r>
    </w:p>
    <w:p w14:paraId="3D709C7F">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2.不同投标供应商委托同一单位或者个人办理投标事宜；</w:t>
      </w:r>
    </w:p>
    <w:p w14:paraId="2CB1F4E7">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3.不同投标供应商的投标文件载明的项目管理成员或者联系人员为同一人；</w:t>
      </w:r>
    </w:p>
    <w:p w14:paraId="33ADA41A">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4.不同投标供应商的投标文件异常一致或者投标报价呈规律性差异；</w:t>
      </w:r>
    </w:p>
    <w:p w14:paraId="4A6DB748">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5.不同投标供应商的投标文件相互混装；</w:t>
      </w:r>
    </w:p>
    <w:p w14:paraId="22D800AB">
      <w:pPr>
        <w:pStyle w:val="18"/>
        <w:spacing w:before="0" w:beforeAutospacing="0" w:after="0" w:afterAutospacing="0" w:line="360" w:lineRule="auto"/>
        <w:ind w:firstLine="480" w:firstLineChars="200"/>
        <w:jc w:val="both"/>
        <w:rPr>
          <w:rFonts w:hint="default" w:asciiTheme="minorEastAsia" w:hAnsiTheme="minorEastAsia"/>
          <w:color w:val="auto"/>
          <w:highlight w:val="none"/>
        </w:rPr>
      </w:pPr>
      <w:r>
        <w:rPr>
          <w:rFonts w:asciiTheme="minorEastAsia" w:hAnsiTheme="minorEastAsia" w:eastAsiaTheme="minorEastAsia"/>
          <w:color w:val="auto"/>
          <w:highlight w:val="none"/>
        </w:rPr>
        <w:t>（十）</w:t>
      </w:r>
      <w:r>
        <w:rPr>
          <w:rFonts w:cs="宋体"/>
          <w:color w:val="auto"/>
          <w:highlight w:val="none"/>
        </w:rPr>
        <w:t>实质性要求（招标文件中打“▲”内容）不响应的；</w:t>
      </w:r>
    </w:p>
    <w:p w14:paraId="594465B1">
      <w:pPr>
        <w:pStyle w:val="9"/>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（十一）商务条款不响应的；</w:t>
      </w:r>
    </w:p>
    <w:p w14:paraId="66B152DB">
      <w:pPr>
        <w:pStyle w:val="9"/>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（十二）投标文件有效期不足的；</w:t>
      </w:r>
    </w:p>
    <w:p w14:paraId="318E1248">
      <w:pPr>
        <w:pStyle w:val="9"/>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（十三）逾期或未按要求提交投标文件的；</w:t>
      </w:r>
    </w:p>
    <w:p w14:paraId="3D9332D9">
      <w:pPr>
        <w:pStyle w:val="9"/>
        <w:spacing w:line="360" w:lineRule="auto"/>
        <w:ind w:firstLine="480" w:firstLineChars="200"/>
        <w:rPr>
          <w:rFonts w:asciiTheme="minorEastAsia" w:hAnsi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（十四）其他</w:t>
      </w:r>
      <w:r>
        <w:rPr>
          <w:rFonts w:ascii="宋体" w:hAnsi="宋体" w:cs="宋体"/>
          <w:color w:val="auto"/>
          <w:sz w:val="24"/>
          <w:szCs w:val="24"/>
          <w:highlight w:val="none"/>
        </w:rPr>
        <w:t>不符合法律法规相关规定的</w:t>
      </w:r>
      <w:r>
        <w:rPr>
          <w:rFonts w:hint="eastAsia" w:ascii="宋体" w:hAnsi="宋体" w:cs="宋体"/>
          <w:color w:val="auto"/>
          <w:sz w:val="24"/>
          <w:szCs w:val="24"/>
          <w:highlight w:val="none"/>
        </w:rPr>
        <w:t>。</w:t>
      </w:r>
    </w:p>
    <w:p w14:paraId="3E4F3612">
      <w:pPr>
        <w:autoSpaceDE w:val="0"/>
        <w:autoSpaceDN w:val="0"/>
        <w:adjustRightInd w:val="0"/>
        <w:spacing w:line="360" w:lineRule="auto"/>
        <w:ind w:firstLine="420" w:firstLineChars="200"/>
        <w:rPr>
          <w:rFonts w:ascii="宋体" w:hAnsi="宋体" w:cs="宋体"/>
          <w:color w:val="auto"/>
          <w:kern w:val="0"/>
          <w:sz w:val="24"/>
          <w:highlight w:val="none"/>
        </w:rPr>
      </w:pPr>
      <w:r>
        <w:rPr>
          <w:rFonts w:cs="宋体"/>
          <w:color w:val="auto"/>
          <w:highlight w:val="none"/>
        </w:rPr>
        <w:t>▲</w:t>
      </w:r>
      <w:r>
        <w:rPr>
          <w:rFonts w:hint="eastAsia" w:ascii="宋体" w:hAnsi="宋体" w:cs="宋体"/>
          <w:b/>
          <w:color w:val="auto"/>
          <w:kern w:val="0"/>
          <w:sz w:val="24"/>
          <w:highlight w:val="none"/>
        </w:rPr>
        <w:t>五、废标情形</w:t>
      </w:r>
    </w:p>
    <w:p w14:paraId="27093384">
      <w:pPr>
        <w:pStyle w:val="18"/>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（一）</w:t>
      </w:r>
      <w:r>
        <w:rPr>
          <w:rFonts w:cs="宋体"/>
          <w:color w:val="auto"/>
          <w:highlight w:val="none"/>
        </w:rPr>
        <w:t>出现影响采购公正的违法、违规行为的；</w:t>
      </w:r>
    </w:p>
    <w:p w14:paraId="641C7DAA">
      <w:pPr>
        <w:pStyle w:val="18"/>
        <w:spacing w:before="0" w:beforeAutospacing="0" w:after="0" w:afterAutospacing="0" w:line="360" w:lineRule="auto"/>
        <w:ind w:firstLine="480" w:firstLineChars="200"/>
        <w:jc w:val="both"/>
        <w:rPr>
          <w:rFonts w:hint="default" w:cs="宋体"/>
          <w:b/>
          <w:bCs/>
          <w:color w:val="auto"/>
          <w:highlight w:val="none"/>
        </w:rPr>
      </w:pPr>
      <w:r>
        <w:rPr>
          <w:rFonts w:asciiTheme="minorEastAsia" w:hAnsiTheme="minorEastAsia" w:eastAsiaTheme="minorEastAsia"/>
          <w:color w:val="auto"/>
          <w:highlight w:val="none"/>
        </w:rPr>
        <w:t>（二）</w:t>
      </w:r>
      <w:r>
        <w:rPr>
          <w:rFonts w:cs="宋体"/>
          <w:color w:val="auto"/>
          <w:highlight w:val="none"/>
        </w:rPr>
        <w:t>评标委员会发现招标文件存在歧义、重大缺陷导致评标工作无法进行，或者招标文件内容违反国家有关强制性规定的；</w:t>
      </w:r>
    </w:p>
    <w:p w14:paraId="6F1EA40B">
      <w:pPr>
        <w:pStyle w:val="18"/>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（三）</w:t>
      </w:r>
      <w:r>
        <w:rPr>
          <w:rFonts w:cs="宋体"/>
          <w:color w:val="auto"/>
          <w:highlight w:val="none"/>
        </w:rPr>
        <w:t>因重大变故，采购任务取消的；</w:t>
      </w:r>
    </w:p>
    <w:p w14:paraId="7F492312">
      <w:pPr>
        <w:pStyle w:val="18"/>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（四）</w:t>
      </w:r>
      <w:r>
        <w:rPr>
          <w:rFonts w:cs="宋体"/>
          <w:color w:val="auto"/>
          <w:highlight w:val="none"/>
        </w:rPr>
        <w:t>法律、法规和招标文件规定的其他导致评标结果无效的。</w:t>
      </w:r>
    </w:p>
    <w:p w14:paraId="2827CCF5">
      <w:pPr>
        <w:autoSpaceDE w:val="0"/>
        <w:autoSpaceDN w:val="0"/>
        <w:adjustRightInd w:val="0"/>
        <w:spacing w:line="360" w:lineRule="auto"/>
        <w:ind w:firstLine="482" w:firstLineChars="200"/>
        <w:rPr>
          <w:rFonts w:hAnsi="宋体" w:cs="宋体"/>
          <w:b/>
          <w:color w:val="auto"/>
          <w:sz w:val="24"/>
          <w:highlight w:val="none"/>
        </w:rPr>
      </w:pPr>
      <w:r>
        <w:rPr>
          <w:rFonts w:hint="eastAsia" w:hAnsi="宋体" w:cs="宋体"/>
          <w:b/>
          <w:color w:val="auto"/>
          <w:sz w:val="24"/>
          <w:highlight w:val="none"/>
        </w:rPr>
        <w:t>六、评标过程的监控</w:t>
      </w:r>
    </w:p>
    <w:p w14:paraId="629C6393">
      <w:pPr>
        <w:pStyle w:val="18"/>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本项目评标过程实行全程录音、录像监控，政府采购监管部门视情进行现场监督，投标供应商在评标过程中所进行的试图影响评标结果的不公正活动，可能导致其投标被拒绝。</w:t>
      </w:r>
    </w:p>
    <w:p w14:paraId="24C88466">
      <w:pPr>
        <w:autoSpaceDE w:val="0"/>
        <w:autoSpaceDN w:val="0"/>
        <w:adjustRightInd w:val="0"/>
        <w:spacing w:line="360" w:lineRule="auto"/>
        <w:ind w:firstLine="482" w:firstLineChars="200"/>
        <w:rPr>
          <w:rFonts w:hAnsi="宋体" w:cs="宋体"/>
          <w:b/>
          <w:bCs/>
          <w:color w:val="auto"/>
          <w:sz w:val="24"/>
          <w:highlight w:val="none"/>
        </w:rPr>
      </w:pPr>
      <w:r>
        <w:rPr>
          <w:rFonts w:hint="eastAsia" w:hAnsi="宋体" w:cs="宋体"/>
          <w:b/>
          <w:bCs/>
          <w:color w:val="auto"/>
          <w:sz w:val="24"/>
          <w:highlight w:val="none"/>
        </w:rPr>
        <w:t>七、</w:t>
      </w:r>
      <w:r>
        <w:rPr>
          <w:rFonts w:hint="eastAsia" w:hAnsi="宋体" w:cs="宋体"/>
          <w:b/>
          <w:color w:val="auto"/>
          <w:sz w:val="24"/>
          <w:highlight w:val="none"/>
        </w:rPr>
        <w:t>政府</w:t>
      </w:r>
      <w:r>
        <w:rPr>
          <w:rFonts w:hint="eastAsia" w:hAnsi="宋体" w:cs="宋体"/>
          <w:b/>
          <w:bCs/>
          <w:color w:val="auto"/>
          <w:sz w:val="24"/>
          <w:highlight w:val="none"/>
        </w:rPr>
        <w:t>采购政策落实</w:t>
      </w:r>
    </w:p>
    <w:p w14:paraId="72F20391">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（一）</w:t>
      </w:r>
      <w:r>
        <w:rPr>
          <w:rFonts w:hint="eastAsia" w:ascii="宋体"/>
          <w:color w:val="auto"/>
          <w:sz w:val="24"/>
          <w:highlight w:val="none"/>
          <w:lang w:val="zh-CN"/>
        </w:rPr>
        <w:t>政府采购政策及优惠：</w:t>
      </w:r>
    </w:p>
    <w:p w14:paraId="4AA7BD9B">
      <w:pPr>
        <w:pStyle w:val="10"/>
        <w:spacing w:line="360" w:lineRule="auto"/>
        <w:ind w:firstLine="480" w:firstLineChars="200"/>
        <w:rPr>
          <w:rFonts w:ascii="宋体"/>
          <w:color w:val="auto"/>
          <w:sz w:val="24"/>
          <w:highlight w:val="none"/>
        </w:rPr>
      </w:pPr>
      <w:r>
        <w:rPr>
          <w:rFonts w:hint="eastAsia" w:ascii="宋体"/>
          <w:color w:val="auto"/>
          <w:sz w:val="24"/>
          <w:highlight w:val="none"/>
        </w:rPr>
        <w:t>1.关于小型、微型企业（简称小微企业）投标：小微企业投标是指符合《中小企业划型标准规定》的投标供应商，通过投标提供本企业制造的货物、承担的工程或者服务，或者提供其他小微企业制造的货物。本项所指货物不包括使用大、中型企业注册商标的货物。小微企业投标应提供《中小企业声明函》（见附件），投标供应商未提供以上资料或者经评标委员会核查不符的，将不能享受相应的小微企业优惠政策。</w:t>
      </w:r>
    </w:p>
    <w:p w14:paraId="268EFBF0">
      <w:pPr>
        <w:pStyle w:val="10"/>
        <w:spacing w:line="360" w:lineRule="auto"/>
        <w:ind w:firstLine="480" w:firstLineChars="200"/>
        <w:rPr>
          <w:rFonts w:ascii="宋体"/>
          <w:color w:val="auto"/>
          <w:sz w:val="24"/>
          <w:highlight w:val="none"/>
          <w:lang w:val="zh-CN"/>
        </w:rPr>
      </w:pPr>
      <w:r>
        <w:rPr>
          <w:rFonts w:hint="eastAsia" w:ascii="宋体"/>
          <w:color w:val="auto"/>
          <w:sz w:val="24"/>
          <w:highlight w:val="none"/>
        </w:rPr>
        <w:t>2.监狱企业参加政府采购活动时，应当提供由省级以上监狱管理局、戒毒管理局</w:t>
      </w:r>
      <w:r>
        <w:rPr>
          <w:rFonts w:hint="eastAsia" w:ascii="宋体"/>
          <w:color w:val="auto"/>
          <w:sz w:val="24"/>
          <w:highlight w:val="none"/>
          <w:lang w:val="zh-CN"/>
        </w:rPr>
        <w:t>（含新疆生产建设兵团）出具的属于监狱企业的证明文件，视同小型、微型企业，享受小微企业政府采购优惠政策；</w:t>
      </w:r>
    </w:p>
    <w:p w14:paraId="23AE59D5">
      <w:pPr>
        <w:pStyle w:val="10"/>
        <w:spacing w:line="360" w:lineRule="auto"/>
        <w:ind w:firstLine="480" w:firstLineChars="200"/>
        <w:jc w:val="both"/>
        <w:rPr>
          <w:rFonts w:ascii="宋体"/>
          <w:color w:val="auto"/>
          <w:sz w:val="24"/>
          <w:highlight w:val="none"/>
          <w:lang w:val="zh-CN"/>
        </w:rPr>
      </w:pPr>
      <w:r>
        <w:rPr>
          <w:rFonts w:hint="eastAsia" w:ascii="宋体"/>
          <w:color w:val="auto"/>
          <w:sz w:val="24"/>
          <w:highlight w:val="none"/>
          <w:lang w:val="zh-CN"/>
        </w:rPr>
        <w:t>3.残疾人福利性单位在参加政府采购活动时，应提供《残疾人福利性单位声明函》（见附件），视同小型、微型企业，享受小微企业政府采购优惠政策。</w:t>
      </w:r>
    </w:p>
    <w:p w14:paraId="158D776A">
      <w:pPr>
        <w:autoSpaceDE w:val="0"/>
        <w:autoSpaceDN w:val="0"/>
        <w:adjustRightInd w:val="0"/>
        <w:spacing w:line="360" w:lineRule="auto"/>
        <w:ind w:firstLine="480" w:firstLineChars="200"/>
        <w:rPr>
          <w:color w:val="auto"/>
          <w:highlight w:val="none"/>
          <w:lang w:val="zh-CN"/>
        </w:rPr>
      </w:pPr>
      <w:r>
        <w:rPr>
          <w:rFonts w:hint="eastAsia" w:ascii="宋体"/>
          <w:color w:val="auto"/>
          <w:sz w:val="24"/>
          <w:highlight w:val="none"/>
        </w:rPr>
        <w:t>（二）</w:t>
      </w:r>
      <w:r>
        <w:rPr>
          <w:rFonts w:hint="eastAsia" w:ascii="宋体"/>
          <w:color w:val="auto"/>
          <w:sz w:val="24"/>
          <w:highlight w:val="none"/>
          <w:lang w:val="zh-CN"/>
        </w:rPr>
        <w:t>价格</w:t>
      </w:r>
      <w:r>
        <w:rPr>
          <w:rFonts w:hint="eastAsia" w:ascii="宋体"/>
          <w:color w:val="auto"/>
          <w:sz w:val="24"/>
          <w:highlight w:val="none"/>
        </w:rPr>
        <w:t>扣除相关要求：</w:t>
      </w:r>
    </w:p>
    <w:p w14:paraId="539317BC">
      <w:pPr>
        <w:pStyle w:val="10"/>
        <w:spacing w:line="360" w:lineRule="auto"/>
        <w:ind w:firstLine="480" w:firstLineChars="200"/>
        <w:jc w:val="both"/>
        <w:rPr>
          <w:color w:val="auto"/>
          <w:sz w:val="24"/>
          <w:highlight w:val="none"/>
          <w:lang w:val="zh-CN"/>
        </w:rPr>
      </w:pPr>
      <w:r>
        <w:rPr>
          <w:rFonts w:hint="eastAsia"/>
          <w:color w:val="auto"/>
          <w:sz w:val="24"/>
          <w:highlight w:val="none"/>
          <w:lang w:val="zh-CN"/>
        </w:rPr>
        <w:t>对于非联合体投标，小型微型企业产品的价格给予20%的扣除，用扣除后的价格计算评标基准价和投标报价。同一投标供应商（包括联合体），小微企业、监狱企业、残疾人福利性单位价格扣除优惠只享受一次，不得重复享受。</w:t>
      </w:r>
    </w:p>
    <w:p w14:paraId="08B5B1EF">
      <w:pPr>
        <w:autoSpaceDE w:val="0"/>
        <w:autoSpaceDN w:val="0"/>
        <w:adjustRightIn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bCs/>
          <w:color w:val="auto"/>
          <w:sz w:val="24"/>
          <w:highlight w:val="none"/>
        </w:rPr>
        <w:t>八、</w:t>
      </w:r>
      <w:r>
        <w:rPr>
          <w:rFonts w:hAnsi="宋体" w:cs="宋体"/>
          <w:b/>
          <w:bCs/>
          <w:color w:val="auto"/>
          <w:sz w:val="24"/>
          <w:highlight w:val="none"/>
        </w:rPr>
        <w:t>评标</w:t>
      </w:r>
      <w:r>
        <w:rPr>
          <w:rFonts w:asciiTheme="minorEastAsia" w:hAnsiTheme="minorEastAsia" w:eastAsiaTheme="minorEastAsia"/>
          <w:b/>
          <w:bCs/>
          <w:color w:val="auto"/>
          <w:sz w:val="24"/>
          <w:highlight w:val="none"/>
        </w:rPr>
        <w:t>程序</w:t>
      </w:r>
    </w:p>
    <w:p w14:paraId="686F09EA">
      <w:pPr>
        <w:autoSpaceDE w:val="0"/>
        <w:autoSpaceDN w:val="0"/>
        <w:adjustRightInd w:val="0"/>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（一）资格</w:t>
      </w:r>
      <w:r>
        <w:rPr>
          <w:rFonts w:asciiTheme="minorEastAsia" w:hAnsiTheme="minorEastAsia" w:eastAsiaTheme="minorEastAsia"/>
          <w:b/>
          <w:bCs/>
          <w:color w:val="auto"/>
          <w:sz w:val="24"/>
          <w:highlight w:val="none"/>
        </w:rPr>
        <w:t>审查</w:t>
      </w:r>
    </w:p>
    <w:p w14:paraId="03B0B621">
      <w:pPr>
        <w:pStyle w:val="10"/>
        <w:spacing w:line="360" w:lineRule="auto"/>
        <w:ind w:firstLine="480" w:firstLineChars="200"/>
        <w:jc w:val="both"/>
        <w:rPr>
          <w:rFonts w:asciiTheme="minorEastAsia" w:hAnsiTheme="minorEastAsia" w:eastAsiaTheme="minorEastAsia"/>
          <w:color w:val="auto"/>
          <w:sz w:val="24"/>
          <w:highlight w:val="none"/>
        </w:rPr>
      </w:pPr>
      <w:r>
        <w:rPr>
          <w:rFonts w:hint="eastAsia" w:ascii="宋体" w:hAnsi="宋体" w:cs="宋体"/>
          <w:color w:val="auto"/>
          <w:sz w:val="24"/>
          <w:highlight w:val="none"/>
        </w:rPr>
        <w:t>投标文件解密后</w:t>
      </w:r>
      <w:r>
        <w:rPr>
          <w:rFonts w:asciiTheme="minorEastAsia" w:hAnsiTheme="minorEastAsia" w:eastAsiaTheme="minorEastAsia"/>
          <w:color w:val="auto"/>
          <w:sz w:val="24"/>
          <w:highlight w:val="none"/>
        </w:rPr>
        <w:t>，采购人或采购组织机构依法对投标供应商的资格进行审查，对审查发现无效的进行必要的询标，</w:t>
      </w:r>
      <w:r>
        <w:rPr>
          <w:rFonts w:hint="eastAsia"/>
          <w:color w:val="auto"/>
          <w:sz w:val="24"/>
          <w:highlight w:val="none"/>
        </w:rPr>
        <w:t>在政采云平台公布</w:t>
      </w:r>
      <w:r>
        <w:rPr>
          <w:rFonts w:asciiTheme="minorEastAsia" w:hAnsiTheme="minorEastAsia" w:eastAsiaTheme="minorEastAsia"/>
          <w:color w:val="auto"/>
          <w:sz w:val="24"/>
          <w:highlight w:val="none"/>
        </w:rPr>
        <w:t>无效投标的投标供应商名单、投标无效的原因。</w:t>
      </w:r>
    </w:p>
    <w:tbl>
      <w:tblPr>
        <w:tblStyle w:val="22"/>
        <w:tblW w:w="91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0" w:type="dxa"/>
          <w:bottom w:w="0" w:type="dxa"/>
          <w:right w:w="0" w:type="dxa"/>
        </w:tblCellMar>
      </w:tblPr>
      <w:tblGrid>
        <w:gridCol w:w="1694"/>
        <w:gridCol w:w="7423"/>
      </w:tblGrid>
      <w:tr w14:paraId="01C62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90" w:hRule="atLeast"/>
          <w:jc w:val="center"/>
        </w:trPr>
        <w:tc>
          <w:tcPr>
            <w:tcW w:w="1694" w:type="dxa"/>
            <w:shd w:val="clear" w:color="auto" w:fill="FFFFFF" w:themeFill="background1"/>
            <w:vAlign w:val="center"/>
          </w:tcPr>
          <w:p w14:paraId="6CAF2B0D">
            <w:pPr>
              <w:pStyle w:val="47"/>
              <w:spacing w:before="1" w:line="360" w:lineRule="auto"/>
              <w:ind w:right="146"/>
              <w:jc w:val="center"/>
              <w:rPr>
                <w:color w:val="auto"/>
                <w:szCs w:val="21"/>
                <w:highlight w:val="none"/>
              </w:rPr>
            </w:pPr>
            <w:r>
              <w:rPr>
                <w:rFonts w:hint="eastAsia"/>
                <w:color w:val="auto"/>
                <w:szCs w:val="21"/>
                <w:highlight w:val="none"/>
              </w:rPr>
              <w:t>具有独立承担民事责任的能力</w:t>
            </w:r>
          </w:p>
        </w:tc>
        <w:tc>
          <w:tcPr>
            <w:tcW w:w="7423" w:type="dxa"/>
            <w:shd w:val="clear" w:color="auto" w:fill="FFFFFF" w:themeFill="background1"/>
            <w:vAlign w:val="center"/>
          </w:tcPr>
          <w:p w14:paraId="6F7DBAE6">
            <w:pPr>
              <w:pStyle w:val="47"/>
              <w:spacing w:before="48" w:line="360" w:lineRule="auto"/>
              <w:ind w:right="63" w:firstLine="420" w:firstLineChars="200"/>
              <w:rPr>
                <w:color w:val="auto"/>
                <w:szCs w:val="21"/>
                <w:highlight w:val="none"/>
              </w:rPr>
            </w:pPr>
            <w:r>
              <w:rPr>
                <w:rFonts w:hint="eastAsia"/>
                <w:color w:val="auto"/>
                <w:szCs w:val="21"/>
                <w:highlight w:val="none"/>
              </w:rPr>
              <w:t>在中华人民共和国境内注册的法人或其他组织或自然人，投标时提交有效的营业执照（或事业法人登记证或身份证等相关证明）副本扫描件，符合浙财采监[2013]24号文件规定的分支机构</w:t>
            </w:r>
            <w:r>
              <w:rPr>
                <w:rFonts w:hint="eastAsia"/>
                <w:color w:val="auto"/>
                <w:szCs w:val="21"/>
                <w:highlight w:val="none"/>
                <w:lang w:val="en-US" w:eastAsia="zh-CN"/>
              </w:rPr>
              <w:t>等</w:t>
            </w:r>
            <w:r>
              <w:rPr>
                <w:rFonts w:hint="eastAsia"/>
                <w:color w:val="auto"/>
                <w:szCs w:val="21"/>
                <w:highlight w:val="none"/>
              </w:rPr>
              <w:t>投标的还须提供总公司（总机构）授权书原件加盖供应商公章或房产权证复印件加盖供应商公章或其他有效财产证明材料复印件加盖供应商公章。</w:t>
            </w:r>
          </w:p>
        </w:tc>
      </w:tr>
      <w:tr w14:paraId="7C061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812" w:hRule="atLeast"/>
          <w:jc w:val="center"/>
        </w:trPr>
        <w:tc>
          <w:tcPr>
            <w:tcW w:w="1694" w:type="dxa"/>
            <w:shd w:val="clear" w:color="auto" w:fill="FFFFFF" w:themeFill="background1"/>
            <w:vAlign w:val="center"/>
          </w:tcPr>
          <w:p w14:paraId="14064D12">
            <w:pPr>
              <w:pStyle w:val="47"/>
              <w:spacing w:before="1" w:line="360" w:lineRule="auto"/>
              <w:ind w:right="146"/>
              <w:jc w:val="center"/>
              <w:rPr>
                <w:color w:val="auto"/>
                <w:szCs w:val="21"/>
                <w:highlight w:val="none"/>
              </w:rPr>
            </w:pPr>
            <w:r>
              <w:rPr>
                <w:rFonts w:hint="eastAsia"/>
                <w:color w:val="auto"/>
                <w:szCs w:val="21"/>
                <w:highlight w:val="none"/>
              </w:rPr>
              <w:t>有依法缴纳税收和社会保障资金的良好记录</w:t>
            </w:r>
          </w:p>
        </w:tc>
        <w:tc>
          <w:tcPr>
            <w:tcW w:w="7423" w:type="dxa"/>
            <w:vMerge w:val="restart"/>
            <w:shd w:val="clear" w:color="auto" w:fill="FFFFFF" w:themeFill="background1"/>
            <w:vAlign w:val="center"/>
          </w:tcPr>
          <w:p w14:paraId="10C1839F">
            <w:pPr>
              <w:pStyle w:val="47"/>
              <w:spacing w:before="48" w:line="360" w:lineRule="auto"/>
              <w:ind w:right="63" w:firstLine="420" w:firstLineChars="200"/>
              <w:rPr>
                <w:color w:val="auto"/>
                <w:szCs w:val="21"/>
                <w:highlight w:val="none"/>
              </w:rPr>
            </w:pPr>
            <w:r>
              <w:rPr>
                <w:rFonts w:hint="eastAsia"/>
                <w:color w:val="auto"/>
                <w:szCs w:val="21"/>
                <w:highlight w:val="none"/>
              </w:rPr>
              <w:t>提供关于供应商财务状况和依法缴纳税收及社会保障资金的书面承诺（格式见附件4）</w:t>
            </w:r>
          </w:p>
        </w:tc>
      </w:tr>
      <w:tr w14:paraId="2C6AA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5A9B3E6A">
            <w:pPr>
              <w:pStyle w:val="47"/>
              <w:spacing w:before="1" w:line="360" w:lineRule="auto"/>
              <w:ind w:right="146"/>
              <w:jc w:val="center"/>
              <w:rPr>
                <w:color w:val="auto"/>
                <w:szCs w:val="21"/>
                <w:highlight w:val="none"/>
              </w:rPr>
            </w:pPr>
            <w:r>
              <w:rPr>
                <w:rFonts w:hint="eastAsia"/>
                <w:color w:val="auto"/>
                <w:szCs w:val="21"/>
                <w:highlight w:val="none"/>
              </w:rPr>
              <w:t>具有良好的商业信誉和健全的财务会计制度</w:t>
            </w:r>
          </w:p>
        </w:tc>
        <w:tc>
          <w:tcPr>
            <w:tcW w:w="7423" w:type="dxa"/>
            <w:vMerge w:val="continue"/>
            <w:shd w:val="clear" w:color="auto" w:fill="FFFFFF" w:themeFill="background1"/>
            <w:vAlign w:val="center"/>
          </w:tcPr>
          <w:p w14:paraId="1EC70BDF">
            <w:pPr>
              <w:pStyle w:val="47"/>
              <w:spacing w:before="48" w:line="360" w:lineRule="auto"/>
              <w:ind w:right="63" w:firstLine="420" w:firstLineChars="200"/>
              <w:rPr>
                <w:color w:val="auto"/>
                <w:szCs w:val="21"/>
                <w:highlight w:val="none"/>
              </w:rPr>
            </w:pPr>
          </w:p>
        </w:tc>
      </w:tr>
      <w:tr w14:paraId="16D49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2C0D0696">
            <w:pPr>
              <w:pStyle w:val="47"/>
              <w:spacing w:before="1" w:line="360" w:lineRule="auto"/>
              <w:ind w:right="146"/>
              <w:jc w:val="center"/>
              <w:rPr>
                <w:color w:val="auto"/>
                <w:szCs w:val="21"/>
                <w:highlight w:val="none"/>
              </w:rPr>
            </w:pPr>
            <w:r>
              <w:rPr>
                <w:rFonts w:hint="eastAsia"/>
                <w:color w:val="auto"/>
                <w:szCs w:val="21"/>
                <w:highlight w:val="none"/>
              </w:rPr>
              <w:t>履行合同所必需的设备和专业技术能力</w:t>
            </w:r>
          </w:p>
        </w:tc>
        <w:tc>
          <w:tcPr>
            <w:tcW w:w="7423" w:type="dxa"/>
            <w:shd w:val="clear" w:color="auto" w:fill="FFFFFF" w:themeFill="background1"/>
            <w:vAlign w:val="center"/>
          </w:tcPr>
          <w:p w14:paraId="4DA1B741">
            <w:pPr>
              <w:pStyle w:val="47"/>
              <w:spacing w:before="48" w:line="360" w:lineRule="auto"/>
              <w:ind w:right="63" w:firstLine="420" w:firstLineChars="200"/>
              <w:rPr>
                <w:color w:val="auto"/>
                <w:szCs w:val="21"/>
                <w:highlight w:val="none"/>
              </w:rPr>
            </w:pPr>
            <w:r>
              <w:rPr>
                <w:rFonts w:hint="eastAsia"/>
                <w:color w:val="auto"/>
                <w:szCs w:val="21"/>
                <w:highlight w:val="none"/>
              </w:rPr>
              <w:t>按投标文件格式填报设备及专业技术能力情况。（提供附件5）</w:t>
            </w:r>
          </w:p>
        </w:tc>
      </w:tr>
      <w:tr w14:paraId="6D049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1502" w:hRule="atLeast"/>
          <w:jc w:val="center"/>
        </w:trPr>
        <w:tc>
          <w:tcPr>
            <w:tcW w:w="1694" w:type="dxa"/>
            <w:shd w:val="clear" w:color="auto" w:fill="FFFFFF" w:themeFill="background1"/>
            <w:vAlign w:val="center"/>
          </w:tcPr>
          <w:p w14:paraId="76A5E0FC">
            <w:pPr>
              <w:pStyle w:val="47"/>
              <w:spacing w:line="360" w:lineRule="auto"/>
              <w:ind w:right="146"/>
              <w:jc w:val="center"/>
              <w:rPr>
                <w:color w:val="auto"/>
                <w:szCs w:val="21"/>
                <w:highlight w:val="none"/>
              </w:rPr>
            </w:pPr>
            <w:r>
              <w:rPr>
                <w:rFonts w:hint="eastAsia"/>
                <w:color w:val="auto"/>
                <w:szCs w:val="21"/>
                <w:highlight w:val="none"/>
              </w:rPr>
              <w:t>参加采购活动前3年内，在经营活动中没有重大违法记录</w:t>
            </w:r>
          </w:p>
        </w:tc>
        <w:tc>
          <w:tcPr>
            <w:tcW w:w="7423" w:type="dxa"/>
            <w:shd w:val="clear" w:color="auto" w:fill="FFFFFF" w:themeFill="background1"/>
            <w:vAlign w:val="center"/>
          </w:tcPr>
          <w:p w14:paraId="178D7B1C">
            <w:pPr>
              <w:pStyle w:val="47"/>
              <w:spacing w:before="48" w:line="360" w:lineRule="auto"/>
              <w:ind w:right="63" w:firstLine="420" w:firstLineChars="200"/>
              <w:rPr>
                <w:color w:val="auto"/>
                <w:szCs w:val="21"/>
                <w:highlight w:val="none"/>
              </w:rPr>
            </w:pPr>
            <w:r>
              <w:rPr>
                <w:rFonts w:hint="eastAsia"/>
                <w:color w:val="auto"/>
                <w:szCs w:val="21"/>
                <w:highlight w:val="none"/>
              </w:rPr>
              <w:t>按照投标声明书（附件2）相关承诺内容。重大违法记录，是指投标供应商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w:t>
            </w:r>
          </w:p>
        </w:tc>
      </w:tr>
      <w:tr w14:paraId="66A37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699" w:hRule="atLeast"/>
          <w:jc w:val="center"/>
        </w:trPr>
        <w:tc>
          <w:tcPr>
            <w:tcW w:w="1694" w:type="dxa"/>
            <w:shd w:val="clear" w:color="auto" w:fill="FFFFFF" w:themeFill="background1"/>
            <w:vAlign w:val="center"/>
          </w:tcPr>
          <w:p w14:paraId="7A7955F6">
            <w:pPr>
              <w:pStyle w:val="47"/>
              <w:spacing w:line="360" w:lineRule="auto"/>
              <w:ind w:left="64"/>
              <w:jc w:val="center"/>
              <w:rPr>
                <w:color w:val="auto"/>
                <w:szCs w:val="21"/>
                <w:highlight w:val="none"/>
              </w:rPr>
            </w:pPr>
            <w:r>
              <w:rPr>
                <w:rFonts w:hint="eastAsia"/>
                <w:color w:val="auto"/>
                <w:szCs w:val="21"/>
                <w:highlight w:val="none"/>
              </w:rPr>
              <w:t>信用记录</w:t>
            </w:r>
          </w:p>
        </w:tc>
        <w:tc>
          <w:tcPr>
            <w:tcW w:w="7423" w:type="dxa"/>
            <w:shd w:val="clear" w:color="auto" w:fill="FFFFFF" w:themeFill="background1"/>
            <w:vAlign w:val="center"/>
          </w:tcPr>
          <w:p w14:paraId="6EEB8678">
            <w:pPr>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ascii="宋体" w:hAnsi="宋体" w:cs="宋体"/>
                <w:color w:val="auto"/>
                <w:szCs w:val="21"/>
                <w:highlight w:val="none"/>
              </w:rPr>
              <w:t>截止时点：</w:t>
            </w:r>
            <w:r>
              <w:rPr>
                <w:rFonts w:hint="eastAsia" w:ascii="宋体" w:hAnsi="宋体" w:cs="宋体"/>
                <w:color w:val="auto"/>
                <w:szCs w:val="21"/>
                <w:highlight w:val="none"/>
              </w:rPr>
              <w:t>开标后评标前</w:t>
            </w:r>
            <w:r>
              <w:rPr>
                <w:rFonts w:ascii="宋体" w:hAnsi="宋体" w:cs="宋体"/>
                <w:color w:val="auto"/>
                <w:szCs w:val="21"/>
                <w:highlight w:val="none"/>
              </w:rPr>
              <w:t>。</w:t>
            </w:r>
          </w:p>
          <w:p w14:paraId="4D901D7F">
            <w:pPr>
              <w:pStyle w:val="47"/>
              <w:spacing w:before="48" w:line="360" w:lineRule="auto"/>
              <w:ind w:right="63" w:firstLine="420" w:firstLineChars="200"/>
              <w:rPr>
                <w:color w:val="auto"/>
                <w:szCs w:val="21"/>
                <w:highlight w:val="none"/>
              </w:rPr>
            </w:pPr>
            <w:r>
              <w:rPr>
                <w:rFonts w:hint="eastAsia"/>
                <w:color w:val="auto"/>
                <w:szCs w:val="21"/>
                <w:highlight w:val="none"/>
              </w:rPr>
              <w:t>2.</w:t>
            </w:r>
            <w:r>
              <w:rPr>
                <w:color w:val="auto"/>
                <w:szCs w:val="21"/>
                <w:highlight w:val="none"/>
              </w:rPr>
              <w:t>信用信息查询记录和证据留存的具体方式：由采购组织机构在规定查询时间内打印信用信息查询记录并归入项目档案。</w:t>
            </w:r>
            <w:r>
              <w:rPr>
                <w:color w:val="auto"/>
                <w:szCs w:val="21"/>
                <w:highlight w:val="none"/>
              </w:rPr>
              <w:br w:type="textWrapping"/>
            </w:r>
            <w:r>
              <w:rPr>
                <w:rFonts w:hint="eastAsia"/>
                <w:color w:val="auto"/>
                <w:szCs w:val="21"/>
                <w:highlight w:val="none"/>
              </w:rPr>
              <w:t xml:space="preserve">    3.</w:t>
            </w:r>
            <w:r>
              <w:rPr>
                <w:color w:val="auto"/>
                <w:szCs w:val="21"/>
                <w:highlight w:val="none"/>
              </w:rPr>
              <w:t>使用规则</w:t>
            </w:r>
            <w:r>
              <w:rPr>
                <w:rFonts w:hint="eastAsia"/>
                <w:color w:val="auto"/>
                <w:szCs w:val="21"/>
                <w:highlight w:val="none"/>
              </w:rPr>
              <w:t>：投标供应商</w:t>
            </w:r>
            <w:r>
              <w:rPr>
                <w:color w:val="auto"/>
                <w:szCs w:val="21"/>
                <w:highlight w:val="none"/>
              </w:rPr>
              <w:t>未被“信用中国”（www.creditchina.gov.cn)、中国政府采购网（www.ccgp.gov.cn）列入失信被执行人、重大税收违法失信主体、政府采购严重违法失信行为记录名单。</w:t>
            </w:r>
          </w:p>
          <w:p w14:paraId="66F45D18">
            <w:pPr>
              <w:pStyle w:val="47"/>
              <w:spacing w:before="48" w:line="360" w:lineRule="auto"/>
              <w:ind w:right="63" w:firstLine="422" w:firstLineChars="200"/>
              <w:rPr>
                <w:color w:val="auto"/>
                <w:szCs w:val="21"/>
                <w:highlight w:val="none"/>
              </w:rPr>
            </w:pPr>
            <w:r>
              <w:rPr>
                <w:rFonts w:hint="eastAsia"/>
                <w:b/>
                <w:color w:val="auto"/>
                <w:szCs w:val="21"/>
                <w:highlight w:val="none"/>
              </w:rPr>
              <w:t>注：供应商无须单独提供。</w:t>
            </w:r>
          </w:p>
        </w:tc>
      </w:tr>
      <w:tr w14:paraId="3DA8C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1202" w:hRule="atLeast"/>
          <w:jc w:val="center"/>
        </w:trPr>
        <w:tc>
          <w:tcPr>
            <w:tcW w:w="1694" w:type="dxa"/>
            <w:shd w:val="clear" w:color="auto" w:fill="FFFFFF" w:themeFill="background1"/>
            <w:vAlign w:val="center"/>
          </w:tcPr>
          <w:p w14:paraId="29C4B281">
            <w:pPr>
              <w:pStyle w:val="47"/>
              <w:spacing w:line="360" w:lineRule="auto"/>
              <w:ind w:right="146"/>
              <w:jc w:val="center"/>
              <w:rPr>
                <w:color w:val="auto"/>
                <w:szCs w:val="21"/>
                <w:highlight w:val="none"/>
              </w:rPr>
            </w:pPr>
            <w:r>
              <w:rPr>
                <w:rFonts w:hint="eastAsia"/>
                <w:color w:val="auto"/>
                <w:szCs w:val="21"/>
                <w:highlight w:val="none"/>
              </w:rPr>
              <w:t>必须符合法律、行政法规规定的其他条件</w:t>
            </w:r>
          </w:p>
        </w:tc>
        <w:tc>
          <w:tcPr>
            <w:tcW w:w="7423" w:type="dxa"/>
            <w:shd w:val="clear" w:color="auto" w:fill="FFFFFF" w:themeFill="background1"/>
            <w:vAlign w:val="center"/>
          </w:tcPr>
          <w:p w14:paraId="07D9D700">
            <w:pPr>
              <w:pStyle w:val="47"/>
              <w:spacing w:before="48" w:line="360" w:lineRule="auto"/>
              <w:ind w:right="63" w:firstLine="420" w:firstLineChars="200"/>
              <w:rPr>
                <w:color w:val="auto"/>
                <w:szCs w:val="21"/>
                <w:highlight w:val="none"/>
              </w:rPr>
            </w:pPr>
            <w:r>
              <w:rPr>
                <w:rFonts w:hint="eastAsia"/>
                <w:color w:val="auto"/>
                <w:szCs w:val="21"/>
                <w:highlight w:val="none"/>
              </w:rPr>
              <w:t>▲1.单位负责人为同一人或者存在直接控股、管理关系的不同供应商，不得同时参加本项目投标。</w:t>
            </w:r>
          </w:p>
          <w:p w14:paraId="73275F08">
            <w:pPr>
              <w:pStyle w:val="47"/>
              <w:spacing w:before="48" w:line="360" w:lineRule="auto"/>
              <w:ind w:right="63" w:firstLine="420" w:firstLineChars="200"/>
              <w:rPr>
                <w:color w:val="auto"/>
                <w:szCs w:val="21"/>
                <w:highlight w:val="none"/>
              </w:rPr>
            </w:pPr>
            <w:r>
              <w:rPr>
                <w:rFonts w:hint="eastAsia"/>
                <w:color w:val="auto"/>
                <w:szCs w:val="21"/>
                <w:highlight w:val="none"/>
              </w:rPr>
              <w:t>▲2.为本项目提供整体设计、规范编制或者项目管理、监理、检测等服务的供应商，不得再参与本项目投标。</w:t>
            </w:r>
          </w:p>
          <w:p w14:paraId="483DF3E9">
            <w:pPr>
              <w:pStyle w:val="47"/>
              <w:spacing w:before="48" w:line="360" w:lineRule="auto"/>
              <w:ind w:right="63" w:firstLine="420" w:firstLineChars="200"/>
              <w:rPr>
                <w:color w:val="auto"/>
                <w:szCs w:val="21"/>
                <w:highlight w:val="none"/>
              </w:rPr>
            </w:pPr>
            <w:r>
              <w:rPr>
                <w:rFonts w:hint="eastAsia"/>
                <w:color w:val="auto"/>
                <w:szCs w:val="21"/>
                <w:highlight w:val="none"/>
              </w:rPr>
              <w:t>3.其他相关承诺要求内容（如有）。</w:t>
            </w:r>
          </w:p>
          <w:p w14:paraId="688211C3">
            <w:pPr>
              <w:pStyle w:val="47"/>
              <w:spacing w:before="48" w:line="360" w:lineRule="auto"/>
              <w:ind w:right="63" w:firstLine="422" w:firstLineChars="200"/>
              <w:rPr>
                <w:color w:val="auto"/>
                <w:szCs w:val="21"/>
                <w:highlight w:val="none"/>
              </w:rPr>
            </w:pPr>
            <w:r>
              <w:rPr>
                <w:rFonts w:hint="eastAsia"/>
                <w:b/>
                <w:color w:val="auto"/>
                <w:szCs w:val="21"/>
                <w:highlight w:val="none"/>
              </w:rPr>
              <w:t>注：供应商无须单独提供。</w:t>
            </w:r>
          </w:p>
        </w:tc>
      </w:tr>
      <w:tr w14:paraId="5F5A7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357" w:hRule="atLeast"/>
          <w:jc w:val="center"/>
        </w:trPr>
        <w:tc>
          <w:tcPr>
            <w:tcW w:w="1694" w:type="dxa"/>
            <w:shd w:val="clear" w:color="auto" w:fill="FFFFFF" w:themeFill="background1"/>
            <w:vAlign w:val="center"/>
          </w:tcPr>
          <w:p w14:paraId="613DF16B">
            <w:pPr>
              <w:pStyle w:val="47"/>
              <w:spacing w:before="48" w:line="360" w:lineRule="auto"/>
              <w:ind w:left="64"/>
              <w:jc w:val="center"/>
              <w:rPr>
                <w:color w:val="auto"/>
                <w:szCs w:val="21"/>
                <w:highlight w:val="none"/>
              </w:rPr>
            </w:pPr>
            <w:r>
              <w:rPr>
                <w:rFonts w:hint="eastAsia"/>
                <w:color w:val="auto"/>
                <w:szCs w:val="21"/>
                <w:highlight w:val="none"/>
              </w:rPr>
              <w:t>联合体投标</w:t>
            </w:r>
          </w:p>
        </w:tc>
        <w:tc>
          <w:tcPr>
            <w:tcW w:w="7423" w:type="dxa"/>
            <w:shd w:val="clear" w:color="auto" w:fill="FFFFFF" w:themeFill="background1"/>
            <w:vAlign w:val="center"/>
          </w:tcPr>
          <w:p w14:paraId="0EC1194F">
            <w:pPr>
              <w:pStyle w:val="47"/>
              <w:spacing w:before="48" w:line="360" w:lineRule="auto"/>
              <w:ind w:right="63" w:firstLine="420" w:firstLineChars="200"/>
              <w:rPr>
                <w:color w:val="auto"/>
                <w:szCs w:val="21"/>
                <w:highlight w:val="none"/>
              </w:rPr>
            </w:pPr>
            <w:r>
              <w:rPr>
                <w:rFonts w:hint="eastAsia"/>
                <w:color w:val="auto"/>
                <w:szCs w:val="21"/>
                <w:highlight w:val="none"/>
              </w:rPr>
              <w:t>无</w:t>
            </w:r>
          </w:p>
        </w:tc>
      </w:tr>
      <w:tr w14:paraId="41945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1E4926BF">
            <w:pPr>
              <w:pStyle w:val="47"/>
              <w:spacing w:line="360" w:lineRule="auto"/>
              <w:ind w:right="146"/>
              <w:jc w:val="center"/>
              <w:rPr>
                <w:color w:val="auto"/>
                <w:szCs w:val="21"/>
                <w:highlight w:val="none"/>
              </w:rPr>
            </w:pPr>
            <w:r>
              <w:rPr>
                <w:rFonts w:hint="eastAsia"/>
                <w:color w:val="auto"/>
                <w:szCs w:val="21"/>
                <w:highlight w:val="none"/>
              </w:rPr>
              <w:t>资质</w:t>
            </w:r>
          </w:p>
        </w:tc>
        <w:tc>
          <w:tcPr>
            <w:tcW w:w="7423" w:type="dxa"/>
            <w:shd w:val="clear" w:color="auto" w:fill="FFFFFF" w:themeFill="background1"/>
            <w:vAlign w:val="center"/>
          </w:tcPr>
          <w:p w14:paraId="01FF0CA8">
            <w:pPr>
              <w:pStyle w:val="47"/>
              <w:spacing w:before="48" w:line="360" w:lineRule="auto"/>
              <w:ind w:right="63" w:firstLine="420" w:firstLineChars="200"/>
              <w:rPr>
                <w:color w:val="auto"/>
                <w:szCs w:val="21"/>
                <w:highlight w:val="none"/>
              </w:rPr>
            </w:pPr>
            <w:r>
              <w:rPr>
                <w:rFonts w:hint="eastAsia"/>
                <w:color w:val="auto"/>
                <w:szCs w:val="21"/>
                <w:highlight w:val="none"/>
              </w:rPr>
              <w:t>符合本项目特定资格要求的证明材料</w:t>
            </w:r>
          </w:p>
        </w:tc>
      </w:tr>
      <w:tr w14:paraId="5D2F7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1278D014">
            <w:pPr>
              <w:pStyle w:val="47"/>
              <w:spacing w:line="360" w:lineRule="auto"/>
              <w:ind w:right="146"/>
              <w:jc w:val="center"/>
              <w:rPr>
                <w:color w:val="auto"/>
                <w:szCs w:val="21"/>
                <w:highlight w:val="none"/>
              </w:rPr>
            </w:pPr>
            <w:r>
              <w:rPr>
                <w:rFonts w:hint="eastAsia"/>
                <w:color w:val="auto"/>
                <w:szCs w:val="21"/>
                <w:highlight w:val="none"/>
              </w:rPr>
              <w:t>落实政府采购政策需满足的资格要求</w:t>
            </w:r>
          </w:p>
        </w:tc>
        <w:tc>
          <w:tcPr>
            <w:tcW w:w="7423" w:type="dxa"/>
            <w:shd w:val="clear" w:color="auto" w:fill="FFFFFF" w:themeFill="background1"/>
            <w:vAlign w:val="center"/>
          </w:tcPr>
          <w:p w14:paraId="7D148AD9">
            <w:pPr>
              <w:pStyle w:val="47"/>
              <w:spacing w:before="48" w:line="360" w:lineRule="auto"/>
              <w:ind w:right="63" w:firstLine="420" w:firstLineChars="200"/>
              <w:rPr>
                <w:color w:val="auto"/>
                <w:highlight w:val="none"/>
              </w:rPr>
            </w:pPr>
            <w:r>
              <w:rPr>
                <w:rFonts w:hint="eastAsia"/>
                <w:color w:val="auto"/>
                <w:szCs w:val="21"/>
                <w:highlight w:val="none"/>
              </w:rPr>
              <w:t>无</w:t>
            </w:r>
          </w:p>
        </w:tc>
      </w:tr>
      <w:tr w14:paraId="3E258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5AABD76F">
            <w:pPr>
              <w:pStyle w:val="47"/>
              <w:spacing w:line="360" w:lineRule="auto"/>
              <w:ind w:right="146"/>
              <w:rPr>
                <w:color w:val="auto"/>
                <w:szCs w:val="21"/>
                <w:highlight w:val="none"/>
              </w:rPr>
            </w:pPr>
            <w:r>
              <w:rPr>
                <w:rFonts w:hint="eastAsia"/>
                <w:color w:val="auto"/>
                <w:szCs w:val="21"/>
                <w:highlight w:val="none"/>
              </w:rPr>
              <w:t>法定代表人/负责人资格证明书或法定代表人授权委托书</w:t>
            </w:r>
          </w:p>
        </w:tc>
        <w:tc>
          <w:tcPr>
            <w:tcW w:w="7423" w:type="dxa"/>
            <w:shd w:val="clear" w:color="auto" w:fill="FFFFFF" w:themeFill="background1"/>
            <w:vAlign w:val="center"/>
          </w:tcPr>
          <w:p w14:paraId="541EC673">
            <w:pPr>
              <w:pStyle w:val="47"/>
              <w:spacing w:before="48" w:line="360" w:lineRule="auto"/>
              <w:ind w:right="63" w:firstLine="420" w:firstLineChars="200"/>
              <w:rPr>
                <w:color w:val="auto"/>
                <w:szCs w:val="21"/>
                <w:highlight w:val="none"/>
              </w:rPr>
            </w:pPr>
            <w:r>
              <w:rPr>
                <w:rFonts w:hint="eastAsia"/>
                <w:color w:val="auto"/>
                <w:szCs w:val="21"/>
                <w:highlight w:val="none"/>
              </w:rPr>
              <w:t>法定代表人/负责人资格证明书（身份证）或法定代表人授权委托书，按对应格式文件签署、盖章。</w:t>
            </w:r>
          </w:p>
        </w:tc>
      </w:tr>
    </w:tbl>
    <w:p w14:paraId="49C12168">
      <w:pPr>
        <w:pStyle w:val="10"/>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（二）</w:t>
      </w:r>
      <w:r>
        <w:rPr>
          <w:rFonts w:asciiTheme="minorEastAsia" w:hAnsiTheme="minorEastAsia" w:eastAsiaTheme="minorEastAsia"/>
          <w:b/>
          <w:bCs/>
          <w:color w:val="auto"/>
          <w:sz w:val="24"/>
          <w:highlight w:val="none"/>
        </w:rPr>
        <w:t>符合性审查</w:t>
      </w:r>
    </w:p>
    <w:p w14:paraId="074E0DCD">
      <w:pPr>
        <w:pStyle w:val="1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评标委员会应当对符合资格的投标供应商的投标文件进行符合性审查，以确定其是否满足招标文件的实质性要求，对审查发现无效的进行必要的询标，</w:t>
      </w:r>
      <w:r>
        <w:rPr>
          <w:rFonts w:hint="eastAsia" w:ascii="宋体" w:hAnsi="宋体" w:cs="宋体"/>
          <w:color w:val="auto"/>
          <w:sz w:val="24"/>
          <w:highlight w:val="none"/>
        </w:rPr>
        <w:t>在政采云平台公布无效投标的投标供应商名单、投标无效的原因</w:t>
      </w:r>
      <w:r>
        <w:rPr>
          <w:rFonts w:hint="eastAsia" w:asciiTheme="minorEastAsia" w:hAnsiTheme="minorEastAsia" w:eastAsiaTheme="minorEastAsia"/>
          <w:color w:val="auto"/>
          <w:sz w:val="24"/>
          <w:highlight w:val="none"/>
        </w:rPr>
        <w:t>。</w:t>
      </w:r>
    </w:p>
    <w:tbl>
      <w:tblPr>
        <w:tblStyle w:val="22"/>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04"/>
        <w:gridCol w:w="7374"/>
      </w:tblGrid>
      <w:tr w14:paraId="5A13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804" w:type="dxa"/>
            <w:vAlign w:val="center"/>
          </w:tcPr>
          <w:p w14:paraId="6ECFF138">
            <w:pPr>
              <w:pStyle w:val="47"/>
              <w:spacing w:line="360" w:lineRule="auto"/>
              <w:ind w:right="146"/>
              <w:jc w:val="center"/>
              <w:rPr>
                <w:color w:val="auto"/>
                <w:szCs w:val="21"/>
                <w:highlight w:val="none"/>
              </w:rPr>
            </w:pPr>
            <w:r>
              <w:rPr>
                <w:rFonts w:hint="eastAsia"/>
                <w:color w:val="auto"/>
                <w:szCs w:val="21"/>
                <w:highlight w:val="none"/>
              </w:rPr>
              <w:t>投标文件</w:t>
            </w:r>
          </w:p>
        </w:tc>
        <w:tc>
          <w:tcPr>
            <w:tcW w:w="7374" w:type="dxa"/>
            <w:vAlign w:val="center"/>
          </w:tcPr>
          <w:p w14:paraId="14702D81">
            <w:pPr>
              <w:pStyle w:val="47"/>
              <w:spacing w:before="48" w:line="360" w:lineRule="auto"/>
              <w:rPr>
                <w:color w:val="auto"/>
                <w:szCs w:val="21"/>
                <w:highlight w:val="none"/>
              </w:rPr>
            </w:pPr>
            <w:r>
              <w:rPr>
                <w:rFonts w:hint="eastAsia"/>
                <w:color w:val="auto"/>
                <w:szCs w:val="21"/>
                <w:highlight w:val="none"/>
              </w:rPr>
              <w:t>投标文件无重大错漏，并按要求签署、盖章。</w:t>
            </w:r>
          </w:p>
        </w:tc>
      </w:tr>
      <w:tr w14:paraId="60183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vAlign w:val="center"/>
          </w:tcPr>
          <w:p w14:paraId="10C6FB6F">
            <w:pPr>
              <w:pStyle w:val="47"/>
              <w:spacing w:line="360" w:lineRule="auto"/>
              <w:ind w:right="146"/>
              <w:jc w:val="center"/>
              <w:rPr>
                <w:color w:val="auto"/>
                <w:szCs w:val="21"/>
                <w:highlight w:val="none"/>
              </w:rPr>
            </w:pPr>
            <w:r>
              <w:rPr>
                <w:rFonts w:hint="eastAsia"/>
                <w:color w:val="auto"/>
                <w:szCs w:val="21"/>
                <w:highlight w:val="none"/>
              </w:rPr>
              <w:t>“▲”实质性条款</w:t>
            </w:r>
          </w:p>
        </w:tc>
        <w:tc>
          <w:tcPr>
            <w:tcW w:w="7374" w:type="dxa"/>
            <w:vAlign w:val="center"/>
          </w:tcPr>
          <w:p w14:paraId="2FF1117C">
            <w:pPr>
              <w:pStyle w:val="47"/>
              <w:spacing w:before="48" w:line="360" w:lineRule="auto"/>
              <w:rPr>
                <w:color w:val="auto"/>
                <w:szCs w:val="21"/>
                <w:highlight w:val="none"/>
              </w:rPr>
            </w:pPr>
            <w:r>
              <w:rPr>
                <w:rFonts w:hint="eastAsia"/>
                <w:color w:val="auto"/>
                <w:szCs w:val="21"/>
                <w:highlight w:val="none"/>
              </w:rPr>
              <w:t>“▲”实质性条款必须满足招标文件要求。</w:t>
            </w:r>
          </w:p>
        </w:tc>
      </w:tr>
      <w:tr w14:paraId="63B8C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shd w:val="clear" w:color="auto" w:fill="F6F6F6"/>
            <w:vAlign w:val="center"/>
          </w:tcPr>
          <w:p w14:paraId="7986178F">
            <w:pPr>
              <w:pStyle w:val="47"/>
              <w:spacing w:line="360" w:lineRule="auto"/>
              <w:ind w:right="146"/>
              <w:jc w:val="center"/>
              <w:rPr>
                <w:color w:val="auto"/>
                <w:szCs w:val="21"/>
                <w:highlight w:val="none"/>
              </w:rPr>
            </w:pPr>
            <w:r>
              <w:rPr>
                <w:rFonts w:hint="eastAsia"/>
                <w:color w:val="auto"/>
                <w:szCs w:val="21"/>
                <w:highlight w:val="none"/>
              </w:rPr>
              <w:t>串通投标</w:t>
            </w:r>
          </w:p>
        </w:tc>
        <w:tc>
          <w:tcPr>
            <w:tcW w:w="7374" w:type="dxa"/>
            <w:shd w:val="clear" w:color="auto" w:fill="F6F6F6"/>
            <w:vAlign w:val="center"/>
          </w:tcPr>
          <w:p w14:paraId="5B571E82">
            <w:pPr>
              <w:pStyle w:val="47"/>
              <w:spacing w:before="48" w:line="360" w:lineRule="auto"/>
              <w:rPr>
                <w:color w:val="auto"/>
                <w:szCs w:val="21"/>
                <w:highlight w:val="none"/>
              </w:rPr>
            </w:pPr>
            <w:r>
              <w:rPr>
                <w:rFonts w:hint="eastAsia"/>
                <w:color w:val="auto"/>
                <w:szCs w:val="21"/>
                <w:highlight w:val="none"/>
              </w:rPr>
              <w:t>未出现财政部87号令《政府采购货物和服务招标投标管理办法》第三十七条规定的串通投标情形。</w:t>
            </w:r>
          </w:p>
        </w:tc>
      </w:tr>
      <w:tr w14:paraId="75188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vAlign w:val="center"/>
          </w:tcPr>
          <w:p w14:paraId="4DFEBA0C">
            <w:pPr>
              <w:pStyle w:val="47"/>
              <w:spacing w:line="360" w:lineRule="auto"/>
              <w:ind w:right="146"/>
              <w:jc w:val="center"/>
              <w:rPr>
                <w:color w:val="auto"/>
                <w:szCs w:val="21"/>
                <w:highlight w:val="none"/>
              </w:rPr>
            </w:pPr>
            <w:r>
              <w:rPr>
                <w:rFonts w:hint="eastAsia"/>
                <w:color w:val="auto"/>
                <w:szCs w:val="21"/>
                <w:highlight w:val="none"/>
              </w:rPr>
              <w:t>附加条件</w:t>
            </w:r>
          </w:p>
        </w:tc>
        <w:tc>
          <w:tcPr>
            <w:tcW w:w="7374" w:type="dxa"/>
            <w:vAlign w:val="center"/>
          </w:tcPr>
          <w:p w14:paraId="6F50B104">
            <w:pPr>
              <w:pStyle w:val="47"/>
              <w:spacing w:before="48" w:line="360" w:lineRule="auto"/>
              <w:rPr>
                <w:color w:val="auto"/>
                <w:szCs w:val="21"/>
                <w:highlight w:val="none"/>
              </w:rPr>
            </w:pPr>
            <w:r>
              <w:rPr>
                <w:rFonts w:hint="eastAsia"/>
                <w:color w:val="auto"/>
                <w:szCs w:val="21"/>
                <w:highlight w:val="none"/>
              </w:rPr>
              <w:t>投标文件未含有采购人不可接受的附加条件。</w:t>
            </w:r>
          </w:p>
        </w:tc>
      </w:tr>
      <w:tr w14:paraId="4FC9D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vAlign w:val="center"/>
          </w:tcPr>
          <w:p w14:paraId="03EAF660">
            <w:pPr>
              <w:pStyle w:val="47"/>
              <w:spacing w:line="360" w:lineRule="auto"/>
              <w:ind w:right="146"/>
              <w:jc w:val="center"/>
              <w:rPr>
                <w:color w:val="auto"/>
                <w:szCs w:val="21"/>
                <w:highlight w:val="none"/>
              </w:rPr>
            </w:pPr>
            <w:r>
              <w:rPr>
                <w:rFonts w:hint="eastAsia"/>
                <w:color w:val="auto"/>
                <w:szCs w:val="21"/>
                <w:highlight w:val="none"/>
              </w:rPr>
              <w:t>其他</w:t>
            </w:r>
          </w:p>
        </w:tc>
        <w:tc>
          <w:tcPr>
            <w:tcW w:w="7374" w:type="dxa"/>
            <w:vAlign w:val="center"/>
          </w:tcPr>
          <w:p w14:paraId="0FDC2500">
            <w:pPr>
              <w:pStyle w:val="47"/>
              <w:spacing w:before="48" w:line="360" w:lineRule="auto"/>
              <w:rPr>
                <w:color w:val="auto"/>
                <w:szCs w:val="21"/>
                <w:highlight w:val="none"/>
              </w:rPr>
            </w:pPr>
            <w:r>
              <w:rPr>
                <w:rFonts w:hint="eastAsia"/>
                <w:color w:val="auto"/>
                <w:szCs w:val="21"/>
                <w:highlight w:val="none"/>
              </w:rPr>
              <w:t>投标文件并无其他法定或本文件规定的无效情形。</w:t>
            </w:r>
          </w:p>
        </w:tc>
      </w:tr>
    </w:tbl>
    <w:p w14:paraId="79939424">
      <w:pPr>
        <w:pStyle w:val="18"/>
        <w:spacing w:before="0" w:beforeAutospacing="0" w:after="0" w:afterAutospacing="0" w:line="360" w:lineRule="auto"/>
        <w:ind w:firstLine="482" w:firstLineChars="200"/>
        <w:jc w:val="both"/>
        <w:rPr>
          <w:rFonts w:hint="default" w:asciiTheme="minorEastAsia" w:hAnsiTheme="minorEastAsia" w:eastAsiaTheme="minorEastAsia"/>
          <w:color w:val="auto"/>
          <w:highlight w:val="none"/>
        </w:rPr>
      </w:pPr>
      <w:r>
        <w:rPr>
          <w:rFonts w:asciiTheme="minorEastAsia" w:hAnsiTheme="minorEastAsia" w:eastAsiaTheme="minorEastAsia"/>
          <w:b/>
          <w:bCs/>
          <w:color w:val="auto"/>
          <w:highlight w:val="none"/>
        </w:rPr>
        <w:t>（三）</w:t>
      </w:r>
      <w:r>
        <w:rPr>
          <w:rFonts w:ascii="Arial" w:hAnsi="Arial" w:cs="Arial" w:eastAsiaTheme="minorEastAsia"/>
          <w:b/>
          <w:bCs/>
          <w:color w:val="auto"/>
          <w:highlight w:val="none"/>
        </w:rPr>
        <w:t>商务技术及价格评审</w:t>
      </w:r>
    </w:p>
    <w:p w14:paraId="5CA46193">
      <w:pPr>
        <w:autoSpaceDE w:val="0"/>
        <w:autoSpaceDN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kern w:val="0"/>
          <w:sz w:val="24"/>
          <w:highlight w:val="none"/>
        </w:rPr>
        <w:t>项目评标方法为综合评分法，总计100分，评标按以下标准及要求进行：</w:t>
      </w:r>
    </w:p>
    <w:p w14:paraId="353D0ACA">
      <w:pPr>
        <w:autoSpaceDE w:val="0"/>
        <w:autoSpaceDN w:val="0"/>
        <w:adjustRightInd w:val="0"/>
        <w:spacing w:line="360" w:lineRule="auto"/>
        <w:ind w:right="85"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1.评分标准</w:t>
      </w:r>
    </w:p>
    <w:p w14:paraId="29252748">
      <w:pPr>
        <w:widowControl/>
        <w:jc w:val="left"/>
        <w:rPr>
          <w:rFonts w:ascii="宋体" w:hAnsi="宋体"/>
          <w:b/>
          <w:bCs/>
          <w:color w:val="auto"/>
          <w:kern w:val="0"/>
          <w:sz w:val="24"/>
          <w:szCs w:val="21"/>
          <w:highlight w:val="none"/>
        </w:rPr>
      </w:pPr>
      <w:r>
        <w:rPr>
          <w:rFonts w:ascii="宋体" w:hAnsi="宋体"/>
          <w:b/>
          <w:bCs/>
          <w:color w:val="auto"/>
          <w:kern w:val="0"/>
          <w:sz w:val="24"/>
          <w:szCs w:val="21"/>
          <w:highlight w:val="none"/>
        </w:rPr>
        <w:br w:type="page"/>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6"/>
        <w:gridCol w:w="1005"/>
        <w:gridCol w:w="5969"/>
        <w:gridCol w:w="666"/>
      </w:tblGrid>
      <w:tr w14:paraId="12EF1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711" w:type="pct"/>
            <w:shd w:val="clear" w:color="auto" w:fill="BFBFBF"/>
            <w:vAlign w:val="center"/>
          </w:tcPr>
          <w:p w14:paraId="43C43F44">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分值构成</w:t>
            </w:r>
          </w:p>
        </w:tc>
        <w:tc>
          <w:tcPr>
            <w:tcW w:w="3915" w:type="pct"/>
            <w:gridSpan w:val="2"/>
            <w:shd w:val="clear" w:color="auto" w:fill="BFBFBF"/>
            <w:vAlign w:val="center"/>
          </w:tcPr>
          <w:p w14:paraId="22B32403">
            <w:pPr>
              <w:adjustRightInd w:val="0"/>
              <w:snapToGrid w:val="0"/>
              <w:jc w:val="center"/>
              <w:rPr>
                <w:rFonts w:ascii="宋体" w:hAnsi="宋体"/>
                <w:b/>
                <w:color w:val="auto"/>
                <w:sz w:val="18"/>
                <w:szCs w:val="18"/>
                <w:highlight w:val="none"/>
              </w:rPr>
            </w:pPr>
            <w:r>
              <w:rPr>
                <w:rFonts w:hint="eastAsia" w:cs="Arial" w:asciiTheme="minorEastAsia" w:hAnsiTheme="minorEastAsia" w:eastAsiaTheme="minorEastAsia"/>
                <w:color w:val="auto"/>
                <w:sz w:val="18"/>
                <w:szCs w:val="18"/>
                <w:highlight w:val="none"/>
              </w:rPr>
              <w:t>1.技术部分60分  2.商务部分10分  3.报价得分30分</w:t>
            </w:r>
          </w:p>
        </w:tc>
        <w:tc>
          <w:tcPr>
            <w:tcW w:w="374" w:type="pct"/>
            <w:vMerge w:val="restart"/>
            <w:shd w:val="clear" w:color="auto" w:fill="BFBFBF"/>
            <w:vAlign w:val="center"/>
          </w:tcPr>
          <w:p w14:paraId="166058A5">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w:t>
            </w:r>
          </w:p>
        </w:tc>
      </w:tr>
      <w:tr w14:paraId="65355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711" w:type="pct"/>
            <w:shd w:val="clear" w:color="auto" w:fill="BFBFBF"/>
            <w:vAlign w:val="center"/>
          </w:tcPr>
          <w:p w14:paraId="44DC47BA">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评分项目</w:t>
            </w:r>
          </w:p>
        </w:tc>
        <w:tc>
          <w:tcPr>
            <w:tcW w:w="3915" w:type="pct"/>
            <w:gridSpan w:val="2"/>
            <w:shd w:val="clear" w:color="auto" w:fill="BFBFBF"/>
            <w:vAlign w:val="center"/>
          </w:tcPr>
          <w:p w14:paraId="2069E1BB">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评分细则</w:t>
            </w:r>
          </w:p>
        </w:tc>
        <w:tc>
          <w:tcPr>
            <w:tcW w:w="374" w:type="pct"/>
            <w:vMerge w:val="continue"/>
            <w:shd w:val="clear" w:color="auto" w:fill="BFBFBF"/>
            <w:vAlign w:val="center"/>
          </w:tcPr>
          <w:p w14:paraId="67FFF9E6">
            <w:pPr>
              <w:adjustRightInd w:val="0"/>
              <w:snapToGrid w:val="0"/>
              <w:jc w:val="center"/>
              <w:rPr>
                <w:rFonts w:ascii="宋体" w:hAnsi="宋体"/>
                <w:b/>
                <w:color w:val="auto"/>
                <w:sz w:val="18"/>
                <w:szCs w:val="18"/>
                <w:highlight w:val="none"/>
              </w:rPr>
            </w:pPr>
          </w:p>
        </w:tc>
      </w:tr>
      <w:tr w14:paraId="4B751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restart"/>
            <w:vAlign w:val="center"/>
          </w:tcPr>
          <w:p w14:paraId="75402E95">
            <w:pPr>
              <w:adjustRightInd w:val="0"/>
              <w:snapToGrid w:val="0"/>
              <w:jc w:val="center"/>
              <w:rPr>
                <w:rFonts w:ascii="宋体" w:hAnsi="宋体" w:cs="宋体"/>
                <w:b/>
                <w:bCs/>
                <w:color w:val="auto"/>
                <w:sz w:val="18"/>
                <w:szCs w:val="18"/>
                <w:highlight w:val="none"/>
              </w:rPr>
            </w:pPr>
            <w:r>
              <w:rPr>
                <w:rFonts w:ascii="宋体" w:hAnsi="宋体" w:cs="宋体"/>
                <w:b/>
                <w:bCs/>
                <w:color w:val="auto"/>
                <w:sz w:val="18"/>
                <w:szCs w:val="18"/>
                <w:highlight w:val="none"/>
              </w:rPr>
              <w:t>技术部分</w:t>
            </w:r>
          </w:p>
        </w:tc>
        <w:tc>
          <w:tcPr>
            <w:tcW w:w="564" w:type="pct"/>
            <w:vAlign w:val="center"/>
          </w:tcPr>
          <w:p w14:paraId="78729AD4">
            <w:pPr>
              <w:pStyle w:val="10"/>
              <w:adjustRightInd w:val="0"/>
              <w:snapToGrid w:val="0"/>
              <w:rPr>
                <w:color w:val="auto"/>
                <w:sz w:val="18"/>
                <w:szCs w:val="18"/>
                <w:highlight w:val="none"/>
              </w:rPr>
            </w:pPr>
            <w:r>
              <w:rPr>
                <w:rFonts w:hint="eastAsia"/>
                <w:color w:val="auto"/>
                <w:sz w:val="18"/>
                <w:szCs w:val="18"/>
                <w:highlight w:val="none"/>
              </w:rPr>
              <w:t>技术参数响应</w:t>
            </w:r>
          </w:p>
        </w:tc>
        <w:tc>
          <w:tcPr>
            <w:tcW w:w="3351" w:type="pct"/>
            <w:vAlign w:val="center"/>
          </w:tcPr>
          <w:p w14:paraId="23EB36AD">
            <w:pPr>
              <w:adjustRightInd w:val="0"/>
              <w:snapToGrid w:val="0"/>
              <w:rPr>
                <w:rFonts w:ascii="宋体" w:hAnsi="宋体"/>
                <w:color w:val="auto"/>
                <w:sz w:val="18"/>
                <w:szCs w:val="18"/>
                <w:highlight w:val="none"/>
              </w:rPr>
            </w:pPr>
            <w:r>
              <w:rPr>
                <w:rFonts w:hint="eastAsia" w:ascii="宋体" w:hAnsi="宋体"/>
                <w:b/>
                <w:color w:val="auto"/>
                <w:sz w:val="18"/>
                <w:szCs w:val="18"/>
                <w:highlight w:val="none"/>
              </w:rPr>
              <w:t>客观分：</w:t>
            </w:r>
            <w:r>
              <w:rPr>
                <w:rFonts w:hint="eastAsia" w:ascii="宋体" w:hAnsi="宋体"/>
                <w:color w:val="auto"/>
                <w:sz w:val="18"/>
                <w:szCs w:val="18"/>
                <w:highlight w:val="none"/>
              </w:rPr>
              <w:t xml:space="preserve">根据投标供应商所投产品对招标文件的响应情况，根据招标文件第三章“招标需求”中“二、技术需求”、“（三）技术要求及配置标准”中“技术参数要求”的评议 </w:t>
            </w:r>
            <w:bookmarkStart w:id="145" w:name="OLE_LINK81"/>
            <w:bookmarkStart w:id="146" w:name="OLE_LINK80"/>
            <w:r>
              <w:rPr>
                <w:rFonts w:hint="eastAsia" w:ascii="宋体" w:hAnsi="宋体"/>
                <w:color w:val="auto"/>
                <w:sz w:val="18"/>
                <w:szCs w:val="18"/>
                <w:highlight w:val="none"/>
              </w:rPr>
              <w:t>（共45项，其中实质性条款4项，关键性能参数9项，一般性能参数32项）：产品技术参数和性能要求完全满足的得43分</w:t>
            </w:r>
            <w:r>
              <w:rPr>
                <w:rFonts w:hint="eastAsia" w:ascii="宋体" w:hAnsi="宋体" w:cs="新宋体"/>
                <w:snapToGrid w:val="0"/>
                <w:color w:val="auto"/>
                <w:kern w:val="0"/>
                <w:sz w:val="18"/>
                <w:szCs w:val="18"/>
                <w:highlight w:val="none"/>
              </w:rPr>
              <w:t>。实质性条款（带“▲”的条款）中任一项不响应或负偏离其投标均无效，关键性能参数（带“★”的条款）每负偏离一项扣3分，一般性能参数每负偏离一项扣0.5分</w:t>
            </w:r>
            <w:r>
              <w:rPr>
                <w:rFonts w:hint="eastAsia" w:ascii="宋体" w:hAnsi="宋体" w:cs="新宋体"/>
                <w:b/>
                <w:snapToGrid w:val="0"/>
                <w:color w:val="auto"/>
                <w:kern w:val="0"/>
                <w:sz w:val="18"/>
                <w:szCs w:val="18"/>
                <w:highlight w:val="none"/>
              </w:rPr>
              <w:t>，</w:t>
            </w:r>
            <w:bookmarkEnd w:id="145"/>
            <w:bookmarkEnd w:id="146"/>
            <w:r>
              <w:rPr>
                <w:rFonts w:hint="eastAsia" w:ascii="宋体" w:hAnsi="宋体" w:cs="新宋体"/>
                <w:b/>
                <w:snapToGrid w:val="0"/>
                <w:color w:val="auto"/>
                <w:kern w:val="0"/>
                <w:sz w:val="18"/>
                <w:szCs w:val="18"/>
                <w:highlight w:val="none"/>
              </w:rPr>
              <w:t>扣完43分为止。</w:t>
            </w:r>
            <w:r>
              <w:rPr>
                <w:rFonts w:ascii="宋体" w:hAnsi="宋体" w:cs="新宋体"/>
                <w:snapToGrid w:val="0"/>
                <w:color w:val="auto"/>
                <w:kern w:val="0"/>
                <w:sz w:val="18"/>
                <w:szCs w:val="18"/>
                <w:highlight w:val="none"/>
              </w:rPr>
              <w:t xml:space="preserve"> </w:t>
            </w:r>
          </w:p>
          <w:p w14:paraId="3317834E">
            <w:pPr>
              <w:adjustRightInd w:val="0"/>
              <w:snapToGrid w:val="0"/>
              <w:rPr>
                <w:rFonts w:ascii="宋体" w:hAnsi="宋体"/>
                <w:b/>
                <w:color w:val="auto"/>
                <w:sz w:val="18"/>
                <w:szCs w:val="18"/>
                <w:highlight w:val="none"/>
              </w:rPr>
            </w:pPr>
            <w:r>
              <w:rPr>
                <w:rFonts w:hint="eastAsia" w:ascii="宋体" w:hAnsi="宋体" w:cs="新宋体"/>
                <w:b/>
                <w:snapToGrid w:val="0"/>
                <w:color w:val="auto"/>
                <w:kern w:val="0"/>
                <w:sz w:val="18"/>
                <w:szCs w:val="18"/>
                <w:highlight w:val="none"/>
              </w:rPr>
              <w:t>本项最高得43分，投标供应商需提供技术参数响应表（格式见附件），招标文件中如要求提供证明材料必须提供，否则视为负偏离。</w:t>
            </w:r>
          </w:p>
        </w:tc>
        <w:tc>
          <w:tcPr>
            <w:tcW w:w="374" w:type="pct"/>
            <w:vAlign w:val="center"/>
          </w:tcPr>
          <w:p w14:paraId="6D72D9B6">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0-43</w:t>
            </w:r>
          </w:p>
        </w:tc>
      </w:tr>
      <w:tr w14:paraId="4165A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4B467B42">
            <w:pPr>
              <w:adjustRightInd w:val="0"/>
              <w:snapToGrid w:val="0"/>
              <w:jc w:val="center"/>
              <w:rPr>
                <w:rFonts w:ascii="宋体" w:hAnsi="宋体" w:cs="宋体"/>
                <w:b/>
                <w:bCs/>
                <w:color w:val="auto"/>
                <w:sz w:val="18"/>
                <w:szCs w:val="18"/>
                <w:highlight w:val="none"/>
              </w:rPr>
            </w:pPr>
          </w:p>
        </w:tc>
        <w:tc>
          <w:tcPr>
            <w:tcW w:w="564" w:type="pct"/>
            <w:vAlign w:val="center"/>
          </w:tcPr>
          <w:p w14:paraId="0F01253E">
            <w:pPr>
              <w:pStyle w:val="10"/>
              <w:adjustRightInd w:val="0"/>
              <w:snapToGrid w:val="0"/>
              <w:rPr>
                <w:color w:val="auto"/>
                <w:sz w:val="18"/>
                <w:szCs w:val="18"/>
                <w:highlight w:val="none"/>
              </w:rPr>
            </w:pPr>
            <w:r>
              <w:rPr>
                <w:color w:val="auto"/>
                <w:sz w:val="18"/>
                <w:szCs w:val="18"/>
                <w:highlight w:val="none"/>
              </w:rPr>
              <w:t>设备配置方案</w:t>
            </w:r>
          </w:p>
        </w:tc>
        <w:tc>
          <w:tcPr>
            <w:tcW w:w="3351" w:type="pct"/>
            <w:vAlign w:val="center"/>
          </w:tcPr>
          <w:p w14:paraId="5FC56A9A">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olor w:val="auto"/>
                <w:sz w:val="18"/>
                <w:szCs w:val="18"/>
                <w:highlight w:val="none"/>
              </w:rPr>
              <w:t>根据</w:t>
            </w:r>
            <w:r>
              <w:rPr>
                <w:rFonts w:ascii="宋体" w:hAnsi="宋体"/>
                <w:color w:val="auto"/>
                <w:sz w:val="18"/>
                <w:szCs w:val="18"/>
                <w:highlight w:val="none"/>
              </w:rPr>
              <w:t>投标供应商设备配置方案技术性能先进程度、临床使用效果评分：</w:t>
            </w:r>
          </w:p>
          <w:p w14:paraId="64BB5B73">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（1）技术性能先进充分满足临床要求且优化的得5分； </w:t>
            </w:r>
          </w:p>
          <w:p w14:paraId="1F9B93D1">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（2）技术性能较先进满足临床要求得3分；</w:t>
            </w:r>
          </w:p>
          <w:p w14:paraId="6B0DE754">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（3）技术性能基本满足临床要求的得1分；</w:t>
            </w:r>
          </w:p>
          <w:p w14:paraId="235E262F">
            <w:pPr>
              <w:adjustRightInd w:val="0"/>
              <w:snapToGrid w:val="0"/>
              <w:rPr>
                <w:color w:val="auto"/>
                <w:highlight w:val="none"/>
              </w:rPr>
            </w:pPr>
            <w:r>
              <w:rPr>
                <w:rFonts w:hint="eastAsia" w:ascii="宋体" w:hAnsi="宋体" w:cs="新宋体"/>
                <w:snapToGrid w:val="0"/>
                <w:color w:val="auto"/>
                <w:kern w:val="0"/>
                <w:sz w:val="18"/>
                <w:szCs w:val="18"/>
                <w:highlight w:val="none"/>
              </w:rPr>
              <w:t>（4）未提供方案或方案与存在较大的缺陷、技术性能与临床要求差距较大的不得分；</w:t>
            </w:r>
          </w:p>
        </w:tc>
        <w:tc>
          <w:tcPr>
            <w:tcW w:w="374" w:type="pct"/>
            <w:vAlign w:val="center"/>
          </w:tcPr>
          <w:p w14:paraId="5E18120F">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0-5</w:t>
            </w:r>
          </w:p>
        </w:tc>
      </w:tr>
      <w:tr w14:paraId="4B1E3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20B26EB5">
            <w:pPr>
              <w:adjustRightInd w:val="0"/>
              <w:snapToGrid w:val="0"/>
              <w:jc w:val="center"/>
              <w:rPr>
                <w:rFonts w:ascii="宋体" w:hAnsi="宋体" w:cs="宋体"/>
                <w:b/>
                <w:bCs/>
                <w:color w:val="auto"/>
                <w:sz w:val="18"/>
                <w:szCs w:val="18"/>
                <w:highlight w:val="none"/>
              </w:rPr>
            </w:pPr>
          </w:p>
        </w:tc>
        <w:tc>
          <w:tcPr>
            <w:tcW w:w="564" w:type="pct"/>
            <w:vAlign w:val="center"/>
          </w:tcPr>
          <w:p w14:paraId="1248BD2C">
            <w:pPr>
              <w:pStyle w:val="10"/>
              <w:adjustRightInd w:val="0"/>
              <w:snapToGrid w:val="0"/>
              <w:rPr>
                <w:color w:val="auto"/>
                <w:sz w:val="18"/>
                <w:szCs w:val="18"/>
                <w:highlight w:val="none"/>
              </w:rPr>
            </w:pPr>
            <w:r>
              <w:rPr>
                <w:rFonts w:hint="eastAsia"/>
                <w:color w:val="auto"/>
                <w:sz w:val="18"/>
                <w:szCs w:val="18"/>
                <w:highlight w:val="none"/>
              </w:rPr>
              <w:t>项目实施方案</w:t>
            </w:r>
          </w:p>
        </w:tc>
        <w:tc>
          <w:tcPr>
            <w:tcW w:w="3351" w:type="pct"/>
            <w:vAlign w:val="center"/>
          </w:tcPr>
          <w:p w14:paraId="5BCB75E6">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 xml:space="preserve">投标人针对本项目提供详细的实施方案，包括但不限于①货物产品制造商主要生产质检流程、测试设备状况以及技术力量；②与相关单位协调配合管理预案；③供货方案；④安装、调试进度计划； ⑤安全保障方案；⑥质量保证措施；⑦现场人员配置情况；⑧安装调试及验收方案；⑨售后服务方案，根据方案的完整性、科学性、可操作性综合评分： </w:t>
            </w:r>
          </w:p>
          <w:p w14:paraId="5DC34F6E">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（1）方案完整且优于招标人的需求，整体的实施中具有很好的可操作性，架构合理、逻辑清晰、计划科学、措施恰当的得 5分； </w:t>
            </w:r>
          </w:p>
          <w:p w14:paraId="68771632">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（2）方案完整且基本满足招标人的需求，具有一定的科学性、可执行性的得3分。 </w:t>
            </w:r>
          </w:p>
          <w:p w14:paraId="2F8EBE1D">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（3）方案内容不完整或科学性、可执行性较差的得1分；</w:t>
            </w:r>
          </w:p>
          <w:p w14:paraId="3C603193">
            <w:pPr>
              <w:adjustRightInd w:val="0"/>
              <w:snapToGrid w:val="0"/>
              <w:rPr>
                <w:rFonts w:ascii="宋体" w:hAnsi="宋体" w:cs="宋体"/>
                <w:b/>
                <w:color w:val="auto"/>
                <w:szCs w:val="21"/>
                <w:highlight w:val="none"/>
              </w:rPr>
            </w:pPr>
            <w:r>
              <w:rPr>
                <w:rFonts w:hint="eastAsia" w:ascii="宋体" w:hAnsi="宋体" w:cs="新宋体"/>
                <w:snapToGrid w:val="0"/>
                <w:color w:val="auto"/>
                <w:kern w:val="0"/>
                <w:sz w:val="18"/>
                <w:szCs w:val="18"/>
                <w:highlight w:val="none"/>
              </w:rPr>
              <w:t>（4）未提供方案或方案与实际情况完全不符或方案不具有可执行性的不得分；</w:t>
            </w:r>
          </w:p>
        </w:tc>
        <w:tc>
          <w:tcPr>
            <w:tcW w:w="374" w:type="pct"/>
            <w:vAlign w:val="center"/>
          </w:tcPr>
          <w:p w14:paraId="2555BDF5">
            <w:pPr>
              <w:adjustRightInd w:val="0"/>
              <w:snapToGrid w:val="0"/>
              <w:jc w:val="center"/>
              <w:rPr>
                <w:rFonts w:ascii="宋体" w:hAnsi="宋体" w:cs="宋体"/>
                <w:color w:val="auto"/>
                <w:szCs w:val="21"/>
                <w:highlight w:val="none"/>
              </w:rPr>
            </w:pPr>
            <w:r>
              <w:rPr>
                <w:rFonts w:hint="eastAsia" w:ascii="宋体" w:hAnsi="宋体"/>
                <w:color w:val="auto"/>
                <w:sz w:val="18"/>
                <w:szCs w:val="18"/>
                <w:highlight w:val="none"/>
              </w:rPr>
              <w:t>0-5</w:t>
            </w:r>
          </w:p>
        </w:tc>
      </w:tr>
      <w:tr w14:paraId="6A7C6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7FC61FB4">
            <w:pPr>
              <w:adjustRightInd w:val="0"/>
              <w:snapToGrid w:val="0"/>
              <w:jc w:val="center"/>
              <w:rPr>
                <w:rFonts w:ascii="宋体" w:hAnsi="宋体" w:cs="宋体"/>
                <w:b/>
                <w:bCs/>
                <w:color w:val="auto"/>
                <w:sz w:val="18"/>
                <w:szCs w:val="18"/>
                <w:highlight w:val="none"/>
              </w:rPr>
            </w:pPr>
          </w:p>
        </w:tc>
        <w:tc>
          <w:tcPr>
            <w:tcW w:w="564" w:type="pct"/>
            <w:vAlign w:val="center"/>
          </w:tcPr>
          <w:p w14:paraId="3901ABC5">
            <w:pPr>
              <w:pStyle w:val="10"/>
              <w:adjustRightInd w:val="0"/>
              <w:snapToGrid w:val="0"/>
              <w:rPr>
                <w:color w:val="auto"/>
                <w:sz w:val="18"/>
                <w:szCs w:val="18"/>
                <w:highlight w:val="none"/>
              </w:rPr>
            </w:pPr>
            <w:r>
              <w:rPr>
                <w:color w:val="auto"/>
                <w:sz w:val="18"/>
                <w:szCs w:val="18"/>
                <w:highlight w:val="none"/>
              </w:rPr>
              <w:t>培训方案</w:t>
            </w:r>
          </w:p>
        </w:tc>
        <w:tc>
          <w:tcPr>
            <w:tcW w:w="3351" w:type="pct"/>
            <w:vAlign w:val="center"/>
          </w:tcPr>
          <w:p w14:paraId="5BE584F2">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olor w:val="auto"/>
                <w:sz w:val="18"/>
                <w:szCs w:val="18"/>
                <w:highlight w:val="none"/>
              </w:rPr>
              <w:t>根据</w:t>
            </w:r>
            <w:r>
              <w:rPr>
                <w:rFonts w:ascii="宋体" w:hAnsi="宋体"/>
                <w:color w:val="auto"/>
                <w:sz w:val="18"/>
                <w:szCs w:val="18"/>
                <w:highlight w:val="none"/>
              </w:rPr>
              <w:t>投标供应商提供的培训方案（内容</w:t>
            </w:r>
            <w:r>
              <w:rPr>
                <w:rFonts w:hint="eastAsia" w:ascii="宋体" w:hAnsi="宋体"/>
                <w:color w:val="auto"/>
                <w:sz w:val="18"/>
                <w:szCs w:val="18"/>
                <w:highlight w:val="none"/>
              </w:rPr>
              <w:t>包括但不限于设备操作、应用培训及维修维护培训，详细说明培训的方式、内容、地点、人数、时间等）评分：</w:t>
            </w:r>
            <w:r>
              <w:rPr>
                <w:rFonts w:ascii="宋体" w:hAnsi="宋体" w:cs="新宋体"/>
                <w:snapToGrid w:val="0"/>
                <w:color w:val="auto"/>
                <w:kern w:val="0"/>
                <w:sz w:val="18"/>
                <w:szCs w:val="18"/>
                <w:highlight w:val="none"/>
              </w:rPr>
              <w:t xml:space="preserve"> </w:t>
            </w:r>
          </w:p>
          <w:p w14:paraId="1BC89A47">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w:t>
            </w:r>
            <w:r>
              <w:rPr>
                <w:rFonts w:hint="eastAsia" w:ascii="宋体" w:hAnsi="宋体"/>
                <w:color w:val="auto"/>
                <w:sz w:val="18"/>
                <w:szCs w:val="18"/>
                <w:highlight w:val="none"/>
              </w:rPr>
              <w:t>方案内容完整、考虑充分安排有效的</w:t>
            </w:r>
            <w:r>
              <w:rPr>
                <w:rFonts w:hint="eastAsia" w:ascii="宋体" w:hAnsi="宋体" w:cs="新宋体"/>
                <w:snapToGrid w:val="0"/>
                <w:color w:val="auto"/>
                <w:kern w:val="0"/>
                <w:sz w:val="18"/>
                <w:szCs w:val="18"/>
                <w:highlight w:val="none"/>
              </w:rPr>
              <w:t xml:space="preserve">得2分； </w:t>
            </w:r>
          </w:p>
          <w:p w14:paraId="36B5B404">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w:t>
            </w:r>
            <w:r>
              <w:rPr>
                <w:rFonts w:hint="eastAsia" w:ascii="宋体" w:hAnsi="宋体"/>
                <w:color w:val="auto"/>
                <w:sz w:val="18"/>
                <w:szCs w:val="18"/>
                <w:highlight w:val="none"/>
              </w:rPr>
              <w:t>方案内容有欠缺，安排一般的</w:t>
            </w:r>
            <w:r>
              <w:rPr>
                <w:rFonts w:hint="eastAsia" w:ascii="宋体" w:hAnsi="宋体" w:cs="新宋体"/>
                <w:snapToGrid w:val="0"/>
                <w:color w:val="auto"/>
                <w:kern w:val="0"/>
                <w:sz w:val="18"/>
                <w:szCs w:val="18"/>
                <w:highlight w:val="none"/>
              </w:rPr>
              <w:t>得1分；</w:t>
            </w:r>
          </w:p>
          <w:p w14:paraId="001D767F">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（3）未提供方案或方案与实际不符的不得分；</w:t>
            </w:r>
          </w:p>
        </w:tc>
        <w:tc>
          <w:tcPr>
            <w:tcW w:w="374" w:type="pct"/>
            <w:vAlign w:val="center"/>
          </w:tcPr>
          <w:p w14:paraId="7EA53611">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r>
      <w:tr w14:paraId="6F39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1C4E4C39">
            <w:pPr>
              <w:adjustRightInd w:val="0"/>
              <w:snapToGrid w:val="0"/>
              <w:jc w:val="center"/>
              <w:rPr>
                <w:rFonts w:ascii="宋体" w:hAnsi="宋体" w:cs="Arial"/>
                <w:b/>
                <w:bCs/>
                <w:color w:val="auto"/>
                <w:sz w:val="18"/>
                <w:szCs w:val="18"/>
                <w:highlight w:val="none"/>
              </w:rPr>
            </w:pPr>
          </w:p>
        </w:tc>
        <w:tc>
          <w:tcPr>
            <w:tcW w:w="564" w:type="pct"/>
            <w:vAlign w:val="center"/>
          </w:tcPr>
          <w:p w14:paraId="710A1917">
            <w:pPr>
              <w:adjustRightInd w:val="0"/>
              <w:snapToGrid w:val="0"/>
              <w:jc w:val="left"/>
              <w:rPr>
                <w:rFonts w:ascii="宋体" w:hAnsi="宋体" w:cs="宋体"/>
                <w:color w:val="auto"/>
                <w:sz w:val="18"/>
                <w:szCs w:val="18"/>
                <w:highlight w:val="none"/>
              </w:rPr>
            </w:pPr>
            <w:r>
              <w:rPr>
                <w:color w:val="auto"/>
                <w:sz w:val="18"/>
                <w:szCs w:val="18"/>
                <w:highlight w:val="none"/>
              </w:rPr>
              <w:t>运行成本</w:t>
            </w:r>
          </w:p>
        </w:tc>
        <w:tc>
          <w:tcPr>
            <w:tcW w:w="3351" w:type="pct"/>
            <w:vAlign w:val="center"/>
          </w:tcPr>
          <w:p w14:paraId="7433EBE5">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根据投标供应商提供的易耗品及维修备件的清单和供货价（格式自拟）评分：</w:t>
            </w:r>
          </w:p>
          <w:p w14:paraId="419DB632">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（1）清单详细完整，报价合理运行成本低得2分；</w:t>
            </w:r>
          </w:p>
          <w:p w14:paraId="0167F02E">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（2）清单基本完整，报价和成本较合理得1分；</w:t>
            </w:r>
          </w:p>
          <w:p w14:paraId="6F29C695">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（3）清单有欠缺，报价不合理、运行成本高的得0.5分；</w:t>
            </w:r>
          </w:p>
          <w:p w14:paraId="6D26A7E0">
            <w:pPr>
              <w:adjustRightInd w:val="0"/>
              <w:snapToGrid w:val="0"/>
              <w:jc w:val="left"/>
              <w:rPr>
                <w:color w:val="auto"/>
                <w:highlight w:val="none"/>
              </w:rPr>
            </w:pPr>
            <w:r>
              <w:rPr>
                <w:rFonts w:hint="eastAsia" w:ascii="宋体" w:hAnsi="宋体" w:cs="新宋体"/>
                <w:snapToGrid w:val="0"/>
                <w:color w:val="auto"/>
                <w:kern w:val="0"/>
                <w:sz w:val="18"/>
                <w:szCs w:val="18"/>
                <w:highlight w:val="none"/>
              </w:rPr>
              <w:t>（4）未提供清单及报价的不得分。</w:t>
            </w:r>
          </w:p>
        </w:tc>
        <w:tc>
          <w:tcPr>
            <w:tcW w:w="374" w:type="pct"/>
            <w:vAlign w:val="center"/>
          </w:tcPr>
          <w:p w14:paraId="47499132">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r>
      <w:tr w14:paraId="317D7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6BB1EB16">
            <w:pPr>
              <w:adjustRightInd w:val="0"/>
              <w:snapToGrid w:val="0"/>
              <w:jc w:val="center"/>
              <w:rPr>
                <w:rFonts w:ascii="宋体" w:hAnsi="宋体" w:cs="Arial"/>
                <w:b/>
                <w:bCs/>
                <w:color w:val="auto"/>
                <w:sz w:val="18"/>
                <w:szCs w:val="18"/>
                <w:highlight w:val="none"/>
              </w:rPr>
            </w:pPr>
          </w:p>
        </w:tc>
        <w:tc>
          <w:tcPr>
            <w:tcW w:w="564" w:type="pct"/>
            <w:vAlign w:val="center"/>
          </w:tcPr>
          <w:p w14:paraId="2A597184">
            <w:pPr>
              <w:adjustRightInd w:val="0"/>
              <w:snapToGrid w:val="0"/>
              <w:jc w:val="left"/>
              <w:rPr>
                <w:rFonts w:ascii="宋体" w:hAnsi="宋体" w:cs="宋体"/>
                <w:color w:val="auto"/>
                <w:sz w:val="18"/>
                <w:szCs w:val="18"/>
                <w:highlight w:val="none"/>
              </w:rPr>
            </w:pPr>
            <w:r>
              <w:rPr>
                <w:color w:val="auto"/>
                <w:sz w:val="18"/>
                <w:szCs w:val="18"/>
                <w:highlight w:val="none"/>
              </w:rPr>
              <w:t>维修成本</w:t>
            </w:r>
          </w:p>
        </w:tc>
        <w:tc>
          <w:tcPr>
            <w:tcW w:w="3351" w:type="pct"/>
            <w:vAlign w:val="center"/>
          </w:tcPr>
          <w:p w14:paraId="042BCAB5">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根据投标供应商提供的质保期后的维护方案（格式自拟）评分：</w:t>
            </w:r>
          </w:p>
          <w:p w14:paraId="64862A83">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（1）方案详细完整，报价合理维修成本低得3分；</w:t>
            </w:r>
          </w:p>
          <w:p w14:paraId="4A523320">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（2）方案基本完整，报价和维修成本较合理得2分；</w:t>
            </w:r>
          </w:p>
          <w:p w14:paraId="1BCD5E10">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（3）方案有欠缺，报价不合理、维修成本高的得1分；</w:t>
            </w:r>
          </w:p>
          <w:p w14:paraId="7CB403B1">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（4）未提供方案或方案与实际不符的不得分。</w:t>
            </w:r>
          </w:p>
        </w:tc>
        <w:tc>
          <w:tcPr>
            <w:tcW w:w="374" w:type="pct"/>
            <w:vAlign w:val="center"/>
          </w:tcPr>
          <w:p w14:paraId="14B7F933">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24486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restart"/>
            <w:vAlign w:val="center"/>
          </w:tcPr>
          <w:p w14:paraId="05D0A22E">
            <w:pPr>
              <w:adjustRightInd w:val="0"/>
              <w:snapToGrid w:val="0"/>
              <w:jc w:val="center"/>
              <w:rPr>
                <w:rFonts w:ascii="宋体" w:hAnsi="宋体" w:cs="Arial"/>
                <w:b/>
                <w:bCs/>
                <w:color w:val="auto"/>
                <w:sz w:val="18"/>
                <w:szCs w:val="18"/>
                <w:highlight w:val="none"/>
              </w:rPr>
            </w:pPr>
            <w:r>
              <w:rPr>
                <w:rFonts w:hint="eastAsia" w:ascii="宋体" w:hAnsi="宋体" w:cs="Arial"/>
                <w:b/>
                <w:bCs/>
                <w:color w:val="auto"/>
                <w:sz w:val="18"/>
                <w:szCs w:val="18"/>
                <w:highlight w:val="none"/>
              </w:rPr>
              <w:t>商务部分</w:t>
            </w:r>
          </w:p>
        </w:tc>
        <w:tc>
          <w:tcPr>
            <w:tcW w:w="564" w:type="pct"/>
            <w:vAlign w:val="center"/>
          </w:tcPr>
          <w:p w14:paraId="3A88E79E">
            <w:pPr>
              <w:adjustRightInd w:val="0"/>
              <w:snapToGrid w:val="0"/>
              <w:jc w:val="left"/>
              <w:rPr>
                <w:rFonts w:ascii="宋体" w:hAnsi="宋体" w:cs="宋体"/>
                <w:color w:val="auto"/>
                <w:sz w:val="18"/>
                <w:szCs w:val="18"/>
                <w:highlight w:val="none"/>
              </w:rPr>
            </w:pPr>
            <w:r>
              <w:rPr>
                <w:color w:val="auto"/>
                <w:sz w:val="18"/>
                <w:szCs w:val="18"/>
                <w:highlight w:val="none"/>
              </w:rPr>
              <w:t>质保期</w:t>
            </w:r>
          </w:p>
        </w:tc>
        <w:tc>
          <w:tcPr>
            <w:tcW w:w="3351" w:type="pct"/>
            <w:vAlign w:val="center"/>
          </w:tcPr>
          <w:p w14:paraId="76FA8328">
            <w:pPr>
              <w:adjustRightInd w:val="0"/>
              <w:snapToGrid w:val="0"/>
              <w:rPr>
                <w:rFonts w:ascii="宋体" w:hAnsi="宋体" w:cs="新宋体"/>
                <w:snapToGrid w:val="0"/>
                <w:color w:val="auto"/>
                <w:kern w:val="0"/>
                <w:sz w:val="18"/>
                <w:szCs w:val="18"/>
                <w:highlight w:val="none"/>
              </w:rPr>
            </w:pPr>
            <w:bookmarkStart w:id="147" w:name="OLE_LINK36"/>
            <w:bookmarkStart w:id="148" w:name="OLE_LINK102"/>
            <w:bookmarkStart w:id="149" w:name="OLE_LINK32"/>
            <w:r>
              <w:rPr>
                <w:rFonts w:ascii="宋体" w:hAnsi="宋体" w:cs="新宋体"/>
                <w:b/>
                <w:snapToGrid w:val="0"/>
                <w:color w:val="auto"/>
                <w:kern w:val="0"/>
                <w:sz w:val="18"/>
                <w:szCs w:val="18"/>
                <w:highlight w:val="none"/>
              </w:rPr>
              <w:t>客观分：</w:t>
            </w:r>
            <w:bookmarkEnd w:id="147"/>
            <w:bookmarkEnd w:id="148"/>
            <w:bookmarkEnd w:id="149"/>
            <w:r>
              <w:rPr>
                <w:rFonts w:ascii="宋体" w:hAnsi="宋体" w:cs="新宋体"/>
                <w:snapToGrid w:val="0"/>
                <w:color w:val="auto"/>
                <w:kern w:val="0"/>
                <w:sz w:val="18"/>
                <w:szCs w:val="18"/>
                <w:highlight w:val="none"/>
              </w:rPr>
              <w:t>仅</w:t>
            </w:r>
            <w:r>
              <w:rPr>
                <w:rFonts w:hint="eastAsia" w:ascii="宋体" w:hAnsi="宋体" w:cs="新宋体"/>
                <w:snapToGrid w:val="0"/>
                <w:color w:val="auto"/>
                <w:kern w:val="0"/>
                <w:sz w:val="18"/>
                <w:szCs w:val="18"/>
                <w:highlight w:val="none"/>
              </w:rPr>
              <w:t>满足招标文件要求（</w:t>
            </w:r>
            <w:r>
              <w:rPr>
                <w:rFonts w:hint="eastAsia" w:ascii="宋体" w:hAnsi="宋体" w:cs="新宋体"/>
                <w:snapToGrid w:val="0"/>
                <w:color w:val="auto"/>
                <w:kern w:val="0"/>
                <w:sz w:val="18"/>
                <w:szCs w:val="18"/>
                <w:highlight w:val="none"/>
                <w:lang w:val="en-US" w:eastAsia="zh-CN"/>
              </w:rPr>
              <w:t>5</w:t>
            </w:r>
            <w:r>
              <w:rPr>
                <w:rFonts w:hint="eastAsia" w:ascii="宋体" w:hAnsi="宋体" w:cs="新宋体"/>
                <w:snapToGrid w:val="0"/>
                <w:color w:val="auto"/>
                <w:kern w:val="0"/>
                <w:sz w:val="18"/>
                <w:szCs w:val="18"/>
                <w:highlight w:val="none"/>
              </w:rPr>
              <w:t>年）的不得分，在此基础上每增加1年得1分，最多得3分。</w:t>
            </w:r>
          </w:p>
          <w:p w14:paraId="34FDC0DB">
            <w:pPr>
              <w:adjustRightInd w:val="0"/>
              <w:snapToGrid w:val="0"/>
              <w:jc w:val="left"/>
              <w:rPr>
                <w:color w:val="auto"/>
                <w:highlight w:val="none"/>
              </w:rPr>
            </w:pPr>
            <w:r>
              <w:rPr>
                <w:rFonts w:hint="eastAsia" w:ascii="宋体" w:hAnsi="宋体" w:cs="新宋体"/>
                <w:b/>
                <w:snapToGrid w:val="0"/>
                <w:color w:val="auto"/>
                <w:kern w:val="0"/>
                <w:sz w:val="18"/>
                <w:szCs w:val="18"/>
                <w:highlight w:val="none"/>
              </w:rPr>
              <w:t>需提供承诺函（格式见附件），否则不得分。</w:t>
            </w:r>
          </w:p>
        </w:tc>
        <w:tc>
          <w:tcPr>
            <w:tcW w:w="374" w:type="pct"/>
            <w:vAlign w:val="center"/>
          </w:tcPr>
          <w:p w14:paraId="439900AD">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7E47D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4A5E45E1">
            <w:pPr>
              <w:adjustRightInd w:val="0"/>
              <w:snapToGrid w:val="0"/>
              <w:jc w:val="center"/>
              <w:rPr>
                <w:rFonts w:ascii="宋体" w:hAnsi="宋体" w:cs="Arial"/>
                <w:b/>
                <w:bCs/>
                <w:color w:val="auto"/>
                <w:sz w:val="18"/>
                <w:szCs w:val="18"/>
                <w:highlight w:val="none"/>
              </w:rPr>
            </w:pPr>
          </w:p>
        </w:tc>
        <w:tc>
          <w:tcPr>
            <w:tcW w:w="564" w:type="pct"/>
            <w:vAlign w:val="center"/>
          </w:tcPr>
          <w:p w14:paraId="0AAFBECB">
            <w:pPr>
              <w:adjustRightInd w:val="0"/>
              <w:snapToGrid w:val="0"/>
              <w:jc w:val="left"/>
              <w:rPr>
                <w:color w:val="auto"/>
                <w:sz w:val="18"/>
                <w:szCs w:val="18"/>
                <w:highlight w:val="none"/>
              </w:rPr>
            </w:pPr>
            <w:bookmarkStart w:id="150" w:name="OLE_LINK56"/>
            <w:r>
              <w:rPr>
                <w:color w:val="auto"/>
                <w:sz w:val="18"/>
                <w:szCs w:val="18"/>
                <w:highlight w:val="none"/>
              </w:rPr>
              <w:t>企业认证</w:t>
            </w:r>
            <w:bookmarkEnd w:id="150"/>
          </w:p>
        </w:tc>
        <w:tc>
          <w:tcPr>
            <w:tcW w:w="3351" w:type="pct"/>
            <w:vAlign w:val="center"/>
          </w:tcPr>
          <w:p w14:paraId="5C159CCA">
            <w:pPr>
              <w:adjustRightInd w:val="0"/>
              <w:snapToGrid w:val="0"/>
              <w:rPr>
                <w:rFonts w:asciiTheme="minorEastAsia" w:hAnsiTheme="minorEastAsia" w:eastAsiaTheme="minorEastAsia"/>
                <w:color w:val="auto"/>
                <w:szCs w:val="21"/>
                <w:highlight w:val="none"/>
              </w:rPr>
            </w:pPr>
            <w:bookmarkStart w:id="151" w:name="OLE_LINK60"/>
            <w:bookmarkStart w:id="152" w:name="OLE_LINK57"/>
            <w:r>
              <w:rPr>
                <w:rFonts w:ascii="宋体" w:hAnsi="宋体" w:cs="新宋体"/>
                <w:b/>
                <w:snapToGrid w:val="0"/>
                <w:color w:val="auto"/>
                <w:kern w:val="0"/>
                <w:sz w:val="18"/>
                <w:szCs w:val="18"/>
                <w:highlight w:val="none"/>
              </w:rPr>
              <w:t>客观分：</w:t>
            </w:r>
            <w:r>
              <w:rPr>
                <w:rFonts w:hint="eastAsia" w:ascii="宋体" w:hAnsi="宋体" w:cs="新宋体"/>
                <w:snapToGrid w:val="0"/>
                <w:color w:val="auto"/>
                <w:kern w:val="0"/>
                <w:sz w:val="18"/>
                <w:szCs w:val="18"/>
                <w:highlight w:val="none"/>
              </w:rPr>
              <w:t>投标</w:t>
            </w:r>
            <w:r>
              <w:rPr>
                <w:rFonts w:hint="eastAsia" w:ascii="宋体" w:hAnsi="宋体" w:cs="宋体"/>
                <w:color w:val="auto"/>
                <w:sz w:val="18"/>
                <w:szCs w:val="18"/>
                <w:highlight w:val="none"/>
                <w:lang w:val="zh-CN"/>
              </w:rPr>
              <w:t>供应商或产品制造商具备</w:t>
            </w:r>
            <w:r>
              <w:rPr>
                <w:rFonts w:ascii="宋体" w:hAnsi="宋体" w:cs="宋体"/>
                <w:color w:val="auto"/>
                <w:sz w:val="18"/>
                <w:szCs w:val="18"/>
                <w:highlight w:val="none"/>
                <w:lang w:val="zh-CN"/>
              </w:rPr>
              <w:t>质量管理</w:t>
            </w:r>
            <w:r>
              <w:rPr>
                <w:rFonts w:hint="eastAsia" w:ascii="宋体" w:hAnsi="宋体" w:cs="宋体"/>
                <w:color w:val="auto"/>
                <w:sz w:val="18"/>
                <w:szCs w:val="18"/>
                <w:highlight w:val="none"/>
                <w:lang w:val="zh-CN"/>
              </w:rPr>
              <w:t>体系认证证书、环境管理体系认证证书、职业健康</w:t>
            </w:r>
            <w:r>
              <w:rPr>
                <w:rFonts w:hint="eastAsia" w:ascii="宋体" w:hAnsi="宋体" w:cs="新宋体"/>
                <w:snapToGrid w:val="0"/>
                <w:color w:val="auto"/>
                <w:kern w:val="0"/>
                <w:sz w:val="18"/>
                <w:szCs w:val="18"/>
                <w:highlight w:val="none"/>
              </w:rPr>
              <w:t>安全管理</w:t>
            </w:r>
            <w:r>
              <w:rPr>
                <w:rFonts w:hint="eastAsia" w:ascii="宋体" w:hAnsi="宋体" w:cs="宋体"/>
                <w:color w:val="auto"/>
                <w:sz w:val="18"/>
                <w:szCs w:val="18"/>
                <w:highlight w:val="none"/>
                <w:lang w:val="zh-CN"/>
              </w:rPr>
              <w:t>体系认证证书，每项证书得1分，最高得到3分。</w:t>
            </w:r>
          </w:p>
          <w:p w14:paraId="64361EA5">
            <w:pPr>
              <w:adjustRightInd w:val="0"/>
              <w:snapToGrid w:val="0"/>
              <w:rPr>
                <w:rFonts w:ascii="宋体" w:hAnsi="宋体" w:cs="新宋体"/>
                <w:b/>
                <w:snapToGrid w:val="0"/>
                <w:color w:val="auto"/>
                <w:kern w:val="0"/>
                <w:sz w:val="18"/>
                <w:szCs w:val="18"/>
                <w:highlight w:val="none"/>
              </w:rPr>
            </w:pPr>
            <w:r>
              <w:rPr>
                <w:rFonts w:hint="eastAsia" w:ascii="宋体" w:hAnsi="宋体" w:cs="新宋体"/>
                <w:b/>
                <w:snapToGrid w:val="0"/>
                <w:color w:val="auto"/>
                <w:kern w:val="0"/>
                <w:sz w:val="18"/>
                <w:szCs w:val="18"/>
                <w:highlight w:val="none"/>
              </w:rPr>
              <w:t>投标供应商需提供有效期内的证书原件扫描件及全国认证认可信息公共服务平台查询页面截图，否则不得分。</w:t>
            </w:r>
            <w:bookmarkEnd w:id="151"/>
            <w:bookmarkEnd w:id="152"/>
          </w:p>
        </w:tc>
        <w:tc>
          <w:tcPr>
            <w:tcW w:w="374" w:type="pct"/>
            <w:vAlign w:val="center"/>
          </w:tcPr>
          <w:p w14:paraId="166222F4">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061D3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22F0FD30">
            <w:pPr>
              <w:adjustRightInd w:val="0"/>
              <w:snapToGrid w:val="0"/>
              <w:jc w:val="center"/>
              <w:rPr>
                <w:rFonts w:ascii="宋体" w:hAnsi="宋体" w:cs="Arial"/>
                <w:b/>
                <w:bCs/>
                <w:color w:val="auto"/>
                <w:sz w:val="18"/>
                <w:szCs w:val="18"/>
                <w:highlight w:val="none"/>
              </w:rPr>
            </w:pPr>
          </w:p>
        </w:tc>
        <w:tc>
          <w:tcPr>
            <w:tcW w:w="564" w:type="pct"/>
            <w:vAlign w:val="center"/>
          </w:tcPr>
          <w:p w14:paraId="0C013BA5">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投标供应商业绩</w:t>
            </w:r>
          </w:p>
        </w:tc>
        <w:tc>
          <w:tcPr>
            <w:tcW w:w="3351" w:type="pct"/>
            <w:vAlign w:val="center"/>
          </w:tcPr>
          <w:p w14:paraId="7042C641">
            <w:pPr>
              <w:autoSpaceDE w:val="0"/>
              <w:autoSpaceDN w:val="0"/>
              <w:adjustRightInd w:val="0"/>
              <w:snapToGrid w:val="0"/>
              <w:jc w:val="left"/>
              <w:rPr>
                <w:rFonts w:ascii="宋体" w:hAnsi="宋体" w:cs="宋体"/>
                <w:color w:val="auto"/>
                <w:sz w:val="18"/>
                <w:szCs w:val="18"/>
                <w:highlight w:val="none"/>
                <w:lang w:val="zh-CN"/>
              </w:rPr>
            </w:pPr>
            <w:r>
              <w:rPr>
                <w:rFonts w:ascii="宋体" w:hAnsi="宋体" w:cs="新宋体"/>
                <w:b/>
                <w:snapToGrid w:val="0"/>
                <w:color w:val="auto"/>
                <w:kern w:val="0"/>
                <w:sz w:val="18"/>
                <w:szCs w:val="18"/>
                <w:highlight w:val="none"/>
              </w:rPr>
              <w:t>客观分：</w:t>
            </w:r>
            <w:r>
              <w:rPr>
                <w:rFonts w:hint="eastAsia" w:ascii="宋体" w:hAnsi="宋体" w:cs="宋体"/>
                <w:color w:val="auto"/>
                <w:sz w:val="18"/>
                <w:szCs w:val="18"/>
                <w:highlight w:val="none"/>
                <w:lang w:val="zh-CN"/>
              </w:rPr>
              <w:t>投标供应商具有2022年1月1日至今（以合同签订日期为准）类似类似医疗器械（CT）采购项目业绩，每个得0.5分，与同一采购单位签订的销售合同不重复计分，本项最多得3分。</w:t>
            </w:r>
          </w:p>
          <w:p w14:paraId="1A705D91">
            <w:pPr>
              <w:autoSpaceDE w:val="0"/>
              <w:autoSpaceDN w:val="0"/>
              <w:adjustRightInd w:val="0"/>
              <w:snapToGrid w:val="0"/>
              <w:jc w:val="left"/>
              <w:rPr>
                <w:rFonts w:ascii="宋体" w:hAnsi="宋体" w:cs="宋体"/>
                <w:color w:val="auto"/>
                <w:sz w:val="18"/>
                <w:szCs w:val="18"/>
                <w:highlight w:val="none"/>
              </w:rPr>
            </w:pPr>
            <w:r>
              <w:rPr>
                <w:rFonts w:hint="eastAsia" w:ascii="宋体" w:hAnsi="宋体"/>
                <w:b/>
                <w:color w:val="auto"/>
                <w:sz w:val="18"/>
                <w:szCs w:val="18"/>
                <w:highlight w:val="none"/>
              </w:rPr>
              <w:t>需同时提供合同扫描件（业绩认定时间以合同签订时间为准）及加盖采购单位公章的项目验收材料扫描件，否则不得分。</w:t>
            </w:r>
            <w:r>
              <w:rPr>
                <w:rFonts w:ascii="宋体" w:hAnsi="宋体" w:cs="宋体"/>
                <w:color w:val="auto"/>
                <w:sz w:val="18"/>
                <w:szCs w:val="18"/>
                <w:highlight w:val="none"/>
              </w:rPr>
              <w:t xml:space="preserve"> </w:t>
            </w:r>
          </w:p>
        </w:tc>
        <w:tc>
          <w:tcPr>
            <w:tcW w:w="374" w:type="pct"/>
            <w:vAlign w:val="center"/>
          </w:tcPr>
          <w:p w14:paraId="7AB5369C">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08095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336B51C2">
            <w:pPr>
              <w:adjustRightInd w:val="0"/>
              <w:snapToGrid w:val="0"/>
              <w:jc w:val="center"/>
              <w:rPr>
                <w:rFonts w:ascii="宋体" w:hAnsi="宋体" w:cs="Arial"/>
                <w:b/>
                <w:bCs/>
                <w:color w:val="auto"/>
                <w:sz w:val="18"/>
                <w:szCs w:val="18"/>
                <w:highlight w:val="none"/>
              </w:rPr>
            </w:pPr>
          </w:p>
        </w:tc>
        <w:tc>
          <w:tcPr>
            <w:tcW w:w="564" w:type="pct"/>
            <w:vAlign w:val="center"/>
          </w:tcPr>
          <w:p w14:paraId="543FE2A0">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节能环保</w:t>
            </w:r>
          </w:p>
        </w:tc>
        <w:tc>
          <w:tcPr>
            <w:tcW w:w="3351" w:type="pct"/>
            <w:vAlign w:val="center"/>
          </w:tcPr>
          <w:p w14:paraId="604A8B63">
            <w:pPr>
              <w:adjustRightInd w:val="0"/>
              <w:snapToGrid w:val="0"/>
              <w:jc w:val="left"/>
              <w:rPr>
                <w:rFonts w:ascii="宋体" w:hAnsi="宋体" w:cs="宋体"/>
                <w:color w:val="auto"/>
                <w:sz w:val="18"/>
                <w:szCs w:val="18"/>
                <w:highlight w:val="none"/>
                <w:lang w:val="zh-CN"/>
              </w:rPr>
            </w:pPr>
            <w:r>
              <w:rPr>
                <w:rFonts w:hint="eastAsia" w:ascii="宋体" w:hAnsi="宋体" w:cs="宋体"/>
                <w:b/>
                <w:color w:val="auto"/>
                <w:sz w:val="18"/>
                <w:szCs w:val="18"/>
                <w:highlight w:val="none"/>
              </w:rPr>
              <w:t>客观分：</w:t>
            </w:r>
            <w:r>
              <w:rPr>
                <w:rFonts w:hint="eastAsia" w:ascii="宋体" w:hAnsi="宋体" w:cs="宋体"/>
                <w:color w:val="auto"/>
                <w:sz w:val="18"/>
                <w:szCs w:val="18"/>
                <w:highlight w:val="none"/>
                <w:lang w:val="zh-CN"/>
              </w:rPr>
              <w:t>投标供应商投标产品中有符合 “节能产品政府采购品目清单”或“环境标志产品政府采购品目清单”标准的节能环保产品（财库〔2019〕9号文），每项得0.5分，本项最多得1分。</w:t>
            </w:r>
          </w:p>
          <w:p w14:paraId="011FCD5E">
            <w:pPr>
              <w:adjustRightInd w:val="0"/>
              <w:snapToGrid w:val="0"/>
              <w:jc w:val="left"/>
              <w:rPr>
                <w:rFonts w:ascii="宋体" w:hAnsi="宋体" w:cs="宋体"/>
                <w:b/>
                <w:color w:val="auto"/>
                <w:sz w:val="18"/>
                <w:szCs w:val="18"/>
                <w:highlight w:val="none"/>
              </w:rPr>
            </w:pPr>
            <w:r>
              <w:rPr>
                <w:rFonts w:hint="eastAsia" w:ascii="宋体" w:hAnsi="宋体" w:cs="宋体"/>
                <w:b/>
                <w:color w:val="auto"/>
                <w:sz w:val="18"/>
                <w:szCs w:val="18"/>
                <w:highlight w:val="none"/>
                <w:lang w:val="zh-CN"/>
              </w:rPr>
              <w:t>需提供所投产品由国家确定的认证机关出具的节能产品、环保产品有效认证证书。</w:t>
            </w:r>
          </w:p>
        </w:tc>
        <w:tc>
          <w:tcPr>
            <w:tcW w:w="374" w:type="pct"/>
            <w:vAlign w:val="center"/>
          </w:tcPr>
          <w:p w14:paraId="7395218A">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0-1</w:t>
            </w:r>
          </w:p>
        </w:tc>
      </w:tr>
      <w:tr w14:paraId="1D6F5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Align w:val="center"/>
          </w:tcPr>
          <w:p w14:paraId="5D606D92">
            <w:pPr>
              <w:widowControl/>
              <w:adjustRightInd w:val="0"/>
              <w:snapToGrid w:val="0"/>
              <w:jc w:val="center"/>
              <w:rPr>
                <w:rFonts w:ascii="宋体" w:hAnsi="宋体" w:cs="宋体"/>
                <w:b/>
                <w:bCs/>
                <w:color w:val="auto"/>
                <w:sz w:val="18"/>
                <w:szCs w:val="18"/>
                <w:highlight w:val="none"/>
              </w:rPr>
            </w:pPr>
            <w:r>
              <w:rPr>
                <w:rFonts w:hint="eastAsia" w:ascii="宋体" w:hAnsi="宋体" w:cs="Arial"/>
                <w:color w:val="auto"/>
                <w:sz w:val="18"/>
                <w:szCs w:val="18"/>
                <w:highlight w:val="none"/>
              </w:rPr>
              <w:t>报价得分</w:t>
            </w:r>
          </w:p>
        </w:tc>
        <w:tc>
          <w:tcPr>
            <w:tcW w:w="3915" w:type="pct"/>
            <w:gridSpan w:val="2"/>
            <w:vAlign w:val="center"/>
          </w:tcPr>
          <w:p w14:paraId="2B31FEAF">
            <w:pPr>
              <w:adjustRightInd w:val="0"/>
              <w:snapToGrid w:val="0"/>
              <w:rPr>
                <w:rFonts w:ascii="宋体" w:hAnsi="宋体" w:cs="宋体"/>
                <w:color w:val="auto"/>
                <w:sz w:val="18"/>
                <w:szCs w:val="18"/>
                <w:highlight w:val="none"/>
              </w:rPr>
            </w:pPr>
            <w:r>
              <w:rPr>
                <w:rFonts w:hint="eastAsia" w:ascii="宋体" w:hAnsi="宋体" w:cs="宋体"/>
                <w:color w:val="auto"/>
                <w:sz w:val="18"/>
                <w:szCs w:val="18"/>
                <w:highlight w:val="none"/>
              </w:rPr>
              <w:t>以投标供应商有效投标报价中的最低价为基准价，基准价为30分。投标报价得分＝（评标基准价/投标报价）×</w:t>
            </w:r>
            <w:r>
              <w:rPr>
                <w:rFonts w:hint="eastAsia" w:ascii="宋体" w:hAnsi="宋体" w:cs="宋体"/>
                <w:color w:val="auto"/>
                <w:kern w:val="0"/>
                <w:sz w:val="18"/>
                <w:szCs w:val="18"/>
                <w:highlight w:val="none"/>
              </w:rPr>
              <w:t>30%</w:t>
            </w:r>
            <w:r>
              <w:rPr>
                <w:rFonts w:hint="eastAsia" w:ascii="宋体" w:hAnsi="宋体" w:cs="宋体"/>
                <w:color w:val="auto"/>
                <w:sz w:val="18"/>
                <w:szCs w:val="18"/>
                <w:highlight w:val="none"/>
              </w:rPr>
              <w:t>×</w:t>
            </w:r>
            <w:r>
              <w:rPr>
                <w:rFonts w:hint="eastAsia" w:ascii="宋体" w:hAnsi="宋体" w:cs="宋体"/>
                <w:color w:val="auto"/>
                <w:kern w:val="0"/>
                <w:sz w:val="18"/>
                <w:szCs w:val="18"/>
                <w:highlight w:val="none"/>
              </w:rPr>
              <w:t>100</w:t>
            </w:r>
            <w:r>
              <w:rPr>
                <w:rFonts w:hint="eastAsia" w:ascii="宋体" w:hAnsi="宋体" w:cs="宋体"/>
                <w:color w:val="auto"/>
                <w:sz w:val="18"/>
                <w:szCs w:val="18"/>
                <w:highlight w:val="none"/>
              </w:rPr>
              <w:t>（小数点后保留2位小数）。</w:t>
            </w:r>
            <w:r>
              <w:rPr>
                <w:rFonts w:hint="eastAsia" w:ascii="宋体" w:hAnsi="宋体" w:cs="宋体"/>
                <w:b/>
                <w:color w:val="auto"/>
                <w:sz w:val="18"/>
                <w:szCs w:val="18"/>
                <w:highlight w:val="none"/>
              </w:rPr>
              <w:t>（小微企业投标按招标文件规定享受价格扣除优惠）</w:t>
            </w:r>
          </w:p>
        </w:tc>
        <w:tc>
          <w:tcPr>
            <w:tcW w:w="374" w:type="pct"/>
            <w:vAlign w:val="center"/>
          </w:tcPr>
          <w:p w14:paraId="6BE7ECD9">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30</w:t>
            </w:r>
          </w:p>
        </w:tc>
      </w:tr>
    </w:tbl>
    <w:p w14:paraId="6F62C8B6">
      <w:pPr>
        <w:rPr>
          <w:color w:val="auto"/>
          <w:highlight w:val="none"/>
        </w:rPr>
      </w:pPr>
      <w:r>
        <w:rPr>
          <w:rFonts w:hint="eastAsia"/>
          <w:color w:val="auto"/>
          <w:highlight w:val="none"/>
        </w:rPr>
        <w:t>注：</w:t>
      </w:r>
    </w:p>
    <w:p w14:paraId="1F01FBAD">
      <w:pPr>
        <w:rPr>
          <w:color w:val="auto"/>
          <w:highlight w:val="none"/>
        </w:rPr>
      </w:pPr>
      <w:r>
        <w:rPr>
          <w:rFonts w:hint="eastAsia"/>
          <w:color w:val="auto"/>
          <w:highlight w:val="none"/>
        </w:rPr>
        <w:t>①请扫描上传合同、证书、报告及其他相关证明材料原件至投标文件，并加盖电子印章。②专家评分项小数点后保留1位小数。</w:t>
      </w:r>
    </w:p>
    <w:p w14:paraId="74E52111">
      <w:pPr>
        <w:autoSpaceDE w:val="0"/>
        <w:autoSpaceDN w:val="0"/>
        <w:adjustRightInd w:val="0"/>
        <w:spacing w:line="360" w:lineRule="auto"/>
        <w:ind w:right="85"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2.评审要求</w:t>
      </w:r>
    </w:p>
    <w:p w14:paraId="1A6270B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（1）评标委员会应当按照招标文件中规定的评标方法和标准，对符合性审查合格的投标文件的商务部分和技术部分进行综合比较与评价，其中</w:t>
      </w:r>
      <w:r>
        <w:rPr>
          <w:rFonts w:hint="eastAsia" w:ascii="宋体"/>
          <w:bCs/>
          <w:color w:val="auto"/>
          <w:sz w:val="24"/>
          <w:highlight w:val="none"/>
          <w:lang w:val="zh-CN"/>
        </w:rPr>
        <w:t>客观</w:t>
      </w:r>
      <w:r>
        <w:rPr>
          <w:rFonts w:hint="eastAsia" w:ascii="宋体"/>
          <w:bCs/>
          <w:color w:val="auto"/>
          <w:sz w:val="24"/>
          <w:highlight w:val="none"/>
        </w:rPr>
        <w:t>评分项的分值</w:t>
      </w:r>
      <w:r>
        <w:rPr>
          <w:rFonts w:hint="eastAsia" w:ascii="宋体"/>
          <w:bCs/>
          <w:color w:val="auto"/>
          <w:sz w:val="24"/>
          <w:highlight w:val="none"/>
          <w:lang w:val="zh-CN"/>
        </w:rPr>
        <w:t>应当一致，客观分打分不一致时，采购人及采购代理机构可以提示评审委员会复核或书面说明理由。</w:t>
      </w:r>
    </w:p>
    <w:p w14:paraId="033388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（2）对于投标文件报价出现前后不一致的，除招标文件另有规定外，按照下列规定修正：</w:t>
      </w:r>
    </w:p>
    <w:p w14:paraId="67F5F38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①‘政府采购云平台’上开启的投标报价与电子投标文件中开标一览表（报价表）内容不一致的，以电子投标文件中开标一览表（报价表）为准。</w:t>
      </w:r>
    </w:p>
    <w:p w14:paraId="7C57D7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②投标文件中开标一览表（报价表）内容与投标文件中相应内容不一致的，以开标一览表（报价表）为准；</w:t>
      </w:r>
    </w:p>
    <w:p w14:paraId="072E39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③大写金额和小写金额不一致的，以大写金额为准；</w:t>
      </w:r>
    </w:p>
    <w:p w14:paraId="672E55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④单价金额小数点或者百分比有明显错位的，以开标一览表的总价为准，并修改单价；</w:t>
      </w:r>
    </w:p>
    <w:p w14:paraId="6264ED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5 \* GB3 \* MERGEFORMAT </w:instrText>
      </w:r>
      <w:r>
        <w:rPr>
          <w:rFonts w:hint="eastAsia" w:ascii="宋体" w:hAnsi="宋体" w:cs="宋体"/>
          <w:color w:val="auto"/>
          <w:sz w:val="24"/>
          <w:highlight w:val="none"/>
        </w:rPr>
        <w:fldChar w:fldCharType="separate"/>
      </w:r>
      <w:r>
        <w:rPr>
          <w:rFonts w:ascii="宋体" w:hAnsi="宋体" w:cs="宋体"/>
          <w:color w:val="auto"/>
          <w:sz w:val="24"/>
          <w:highlight w:val="none"/>
        </w:rPr>
        <w:t>⑤</w:t>
      </w:r>
      <w:r>
        <w:rPr>
          <w:rFonts w:hint="eastAsia" w:ascii="宋体" w:hAnsi="宋体" w:cs="宋体"/>
          <w:color w:val="auto"/>
          <w:sz w:val="24"/>
          <w:highlight w:val="none"/>
        </w:rPr>
        <w:fldChar w:fldCharType="end"/>
      </w:r>
      <w:r>
        <w:rPr>
          <w:rFonts w:hint="eastAsia" w:ascii="宋体" w:hAnsi="宋体" w:cs="宋体"/>
          <w:color w:val="auto"/>
          <w:sz w:val="24"/>
          <w:highlight w:val="none"/>
        </w:rPr>
        <w:t>总价金额与按单价汇总金额不一致的，以单价金额计算结果为准。</w:t>
      </w:r>
    </w:p>
    <w:p w14:paraId="16A99B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应当采用电子询标的形式，并加盖公章（电子印章）。▲修正后的报价经投标人确认后产生约束力，投标人不确认或超过规定时间未予有效澄清的，其投标无效。</w:t>
      </w:r>
    </w:p>
    <w:p w14:paraId="65C7A3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（3）对于投标文件中含义不明确、同类问题表述不一致或者有明显文字和计算错误的内容，评标委员会应当要求投标供应商做出必要的澄清、说明或者补正。</w:t>
      </w:r>
    </w:p>
    <w:p w14:paraId="10BAAF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（4）投标供应商的澄清、说明或者补正采用书面形式，并加盖公章（电子印章）或者由法定代表人或授权代表签字，且不得超出投标文件的范围或者改变投标文件的实质性内容。</w:t>
      </w:r>
    </w:p>
    <w:p w14:paraId="579C877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提供相同品牌产品的不同投标供应商参加同一合同项下投标的，按一家供应商认定：使用综合评分法的采购项目，评审后得分最高的同品牌投标供应商获得中标供应商推荐资格；评审得分相同的，由评标委员会集体推荐一个投标供应商作为中标候选人，其他同品牌投标供应商不作为中标候选人。非单一产品采购项目按核心产品品牌判定，多家投标供应商提供的核心产品品牌相同的，按前述规定处理。本项目核心产品详见第三章招标需求“二、技术需求（二）采购清单”。</w:t>
      </w:r>
    </w:p>
    <w:p w14:paraId="017F7DDA">
      <w:pPr>
        <w:spacing w:line="360" w:lineRule="auto"/>
        <w:ind w:firstLine="482" w:firstLineChars="200"/>
        <w:rPr>
          <w:rFonts w:ascii="宋体"/>
          <w:color w:val="auto"/>
          <w:sz w:val="24"/>
          <w:highlight w:val="none"/>
        </w:rPr>
      </w:pPr>
      <w:r>
        <w:rPr>
          <w:rFonts w:hint="eastAsia" w:ascii="宋体" w:hAnsi="宋体" w:cs="宋体"/>
          <w:b/>
          <w:bCs/>
          <w:color w:val="auto"/>
          <w:sz w:val="24"/>
          <w:highlight w:val="none"/>
        </w:rPr>
        <w:t>（四）结果汇总及排序</w:t>
      </w:r>
    </w:p>
    <w:p w14:paraId="5316D4A1">
      <w:pPr>
        <w:spacing w:line="360" w:lineRule="auto"/>
        <w:ind w:firstLine="480" w:firstLineChars="200"/>
        <w:rPr>
          <w:rFonts w:ascii="宋体"/>
          <w:color w:val="auto"/>
          <w:sz w:val="24"/>
          <w:highlight w:val="none"/>
          <w:lang w:val="zh-CN"/>
        </w:rPr>
      </w:pPr>
      <w:r>
        <w:rPr>
          <w:rFonts w:hint="eastAsia" w:ascii="宋体" w:hAnsi="宋体" w:cs="宋体"/>
          <w:color w:val="auto"/>
          <w:sz w:val="24"/>
          <w:highlight w:val="none"/>
        </w:rPr>
        <w:t>评标委员会各成员应当独立对每个投标供应商的投标文件进行评价，并汇总每个投标供应商的得分。评标结果按评审后综合得分由高到低顺序排列，综合得分最高的投标供应商为第一中标候选人，综合得分次高的投标供应商为第二中标候选人。</w:t>
      </w:r>
      <w:r>
        <w:rPr>
          <w:rFonts w:hint="eastAsia" w:ascii="宋体"/>
          <w:color w:val="auto"/>
          <w:sz w:val="24"/>
          <w:highlight w:val="none"/>
          <w:lang w:val="zh-CN"/>
        </w:rPr>
        <w:t>如综合得分相同，投标报价低者为先；如综合得分且投标报价相同的，货物类采购项目以技术部分得分较高者为先，若仍相同则抽签决定。</w:t>
      </w:r>
    </w:p>
    <w:p w14:paraId="6F70DBDD">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（五）评标报告撰写</w:t>
      </w:r>
    </w:p>
    <w:p w14:paraId="6E3A8FC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评标委员会根据全体评标成员签字的原始评标记录和评标结果编写评标报告。</w:t>
      </w:r>
    </w:p>
    <w:p w14:paraId="79EC16AD">
      <w:pPr>
        <w:pStyle w:val="27"/>
        <w:rPr>
          <w:color w:val="auto"/>
          <w:highlight w:val="none"/>
        </w:rPr>
      </w:pPr>
    </w:p>
    <w:p w14:paraId="2122FA2A">
      <w:pPr>
        <w:pStyle w:val="27"/>
        <w:rPr>
          <w:color w:val="auto"/>
          <w:highlight w:val="none"/>
        </w:rPr>
      </w:pPr>
    </w:p>
    <w:p w14:paraId="69EB56F5">
      <w:pPr>
        <w:pStyle w:val="27"/>
        <w:rPr>
          <w:color w:val="auto"/>
          <w:highlight w:val="none"/>
        </w:rPr>
      </w:pPr>
    </w:p>
    <w:p w14:paraId="1FA0B1D4">
      <w:pPr>
        <w:pStyle w:val="27"/>
        <w:rPr>
          <w:color w:val="auto"/>
          <w:highlight w:val="none"/>
        </w:rPr>
      </w:pPr>
    </w:p>
    <w:p w14:paraId="188D3F0C">
      <w:pPr>
        <w:pStyle w:val="27"/>
        <w:rPr>
          <w:color w:val="auto"/>
          <w:highlight w:val="none"/>
        </w:rPr>
      </w:pPr>
    </w:p>
    <w:p w14:paraId="28F65439">
      <w:pPr>
        <w:pStyle w:val="27"/>
        <w:rPr>
          <w:color w:val="auto"/>
          <w:highlight w:val="none"/>
        </w:rPr>
      </w:pPr>
    </w:p>
    <w:p w14:paraId="37698A6F">
      <w:pP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br w:type="page"/>
      </w:r>
    </w:p>
    <w:p w14:paraId="589C36C2">
      <w:pPr>
        <w:spacing w:line="360" w:lineRule="auto"/>
        <w:jc w:val="center"/>
        <w:rPr>
          <w:rFonts w:asciiTheme="minorEastAsia" w:hAnsiTheme="minorEastAsia" w:eastAsiaTheme="minorEastAsia"/>
          <w:b/>
          <w:color w:val="auto"/>
          <w:sz w:val="36"/>
          <w:szCs w:val="36"/>
          <w:highlight w:val="none"/>
        </w:rPr>
      </w:pPr>
      <w:bookmarkStart w:id="153" w:name="_Toc27944_WPSOffice_Level1"/>
      <w:r>
        <w:rPr>
          <w:rFonts w:hint="eastAsia" w:asciiTheme="minorEastAsia" w:hAnsiTheme="minorEastAsia" w:eastAsiaTheme="minorEastAsia"/>
          <w:b/>
          <w:color w:val="auto"/>
          <w:sz w:val="36"/>
          <w:szCs w:val="36"/>
          <w:highlight w:val="none"/>
        </w:rPr>
        <w:t xml:space="preserve">第五章 </w:t>
      </w:r>
      <w:bookmarkEnd w:id="153"/>
      <w:r>
        <w:rPr>
          <w:rFonts w:hint="eastAsia" w:asciiTheme="minorEastAsia" w:hAnsiTheme="minorEastAsia" w:eastAsiaTheme="minorEastAsia"/>
          <w:b/>
          <w:color w:val="auto"/>
          <w:sz w:val="36"/>
          <w:szCs w:val="36"/>
          <w:highlight w:val="none"/>
        </w:rPr>
        <w:t>拟签订的合同文本</w:t>
      </w:r>
    </w:p>
    <w:p w14:paraId="2536BC98">
      <w:pPr>
        <w:snapToGrid w:val="0"/>
        <w:spacing w:before="156" w:beforeLines="50" w:after="156" w:afterLines="50"/>
        <w:jc w:val="center"/>
        <w:rPr>
          <w:rFonts w:ascii="宋体" w:hAnsi="宋体"/>
          <w:b/>
          <w:color w:val="auto"/>
          <w:sz w:val="36"/>
          <w:szCs w:val="36"/>
          <w:highlight w:val="none"/>
        </w:rPr>
      </w:pPr>
      <w:r>
        <w:rPr>
          <w:rFonts w:hint="eastAsia" w:ascii="宋体" w:hAnsi="宋体"/>
          <w:b/>
          <w:color w:val="auto"/>
          <w:sz w:val="36"/>
          <w:szCs w:val="36"/>
          <w:highlight w:val="none"/>
        </w:rPr>
        <w:t>货物类</w:t>
      </w:r>
    </w:p>
    <w:p w14:paraId="46E07D29">
      <w:pPr>
        <w:ind w:firstLine="211" w:firstLineChars="100"/>
        <w:jc w:val="left"/>
        <w:rPr>
          <w:b/>
          <w:color w:val="auto"/>
          <w:szCs w:val="21"/>
          <w:highlight w:val="none"/>
        </w:rPr>
      </w:pPr>
      <w:r>
        <w:rPr>
          <w:rFonts w:hint="eastAsia"/>
          <w:b/>
          <w:color w:val="auto"/>
          <w:szCs w:val="21"/>
          <w:highlight w:val="none"/>
        </w:rPr>
        <w:t>说明：</w:t>
      </w:r>
      <w:r>
        <w:rPr>
          <w:rFonts w:hint="eastAsia"/>
          <w:color w:val="auto"/>
          <w:szCs w:val="21"/>
          <w:highlight w:val="none"/>
        </w:rPr>
        <w:t>本格式条款作为双方签订合同的依据不得修改实质性内容，为阐明各方的权利和义务，可增加新的条款，但不得与招标文件、投标文件的实质性内容相背离。</w:t>
      </w:r>
    </w:p>
    <w:p w14:paraId="5BFBFFF0">
      <w:pPr>
        <w:spacing w:after="120" w:line="360" w:lineRule="auto"/>
        <w:ind w:firstLine="210" w:firstLineChars="100"/>
        <w:jc w:val="left"/>
        <w:rPr>
          <w:color w:val="auto"/>
          <w:szCs w:val="21"/>
          <w:highlight w:val="none"/>
        </w:rPr>
      </w:pPr>
    </w:p>
    <w:p w14:paraId="77FF1CAB">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项目名称：</w:t>
      </w:r>
      <w:r>
        <w:rPr>
          <w:rFonts w:hint="eastAsia" w:asciiTheme="minorEastAsia" w:hAnsiTheme="minorEastAsia" w:eastAsiaTheme="minorEastAsia" w:cstheme="minorBidi"/>
          <w:color w:val="auto"/>
          <w:sz w:val="24"/>
          <w:highlight w:val="none"/>
        </w:rPr>
        <w:t xml:space="preserve"> </w:t>
      </w:r>
    </w:p>
    <w:p w14:paraId="1BD5C61F">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项目编号：</w:t>
      </w:r>
    </w:p>
    <w:p w14:paraId="33520EEE">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甲方</w:t>
      </w:r>
      <w:r>
        <w:rPr>
          <w:rFonts w:hint="eastAsia" w:asciiTheme="minorEastAsia" w:hAnsiTheme="minorEastAsia" w:eastAsiaTheme="minorEastAsia" w:cstheme="minorBidi"/>
          <w:color w:val="auto"/>
          <w:sz w:val="24"/>
          <w:highlight w:val="none"/>
        </w:rPr>
        <w:t>（采购人）</w:t>
      </w:r>
      <w:r>
        <w:rPr>
          <w:rFonts w:asciiTheme="minorEastAsia" w:hAnsiTheme="minorEastAsia" w:eastAsiaTheme="minorEastAsia" w:cstheme="minorBidi"/>
          <w:color w:val="auto"/>
          <w:sz w:val="24"/>
          <w:highlight w:val="none"/>
        </w:rPr>
        <w:t>：</w:t>
      </w:r>
      <w:r>
        <w:rPr>
          <w:rFonts w:hint="eastAsia" w:asciiTheme="minorEastAsia" w:hAnsiTheme="minorEastAsia" w:eastAsiaTheme="minorEastAsia" w:cstheme="minorBidi"/>
          <w:color w:val="auto"/>
          <w:sz w:val="24"/>
          <w:highlight w:val="none"/>
        </w:rPr>
        <w:t xml:space="preserve">                                所在地：</w:t>
      </w:r>
      <w:r>
        <w:rPr>
          <w:rFonts w:asciiTheme="minorEastAsia" w:hAnsiTheme="minorEastAsia" w:eastAsiaTheme="minorEastAsia" w:cstheme="minorBidi"/>
          <w:color w:val="auto"/>
          <w:sz w:val="24"/>
          <w:highlight w:val="none"/>
        </w:rPr>
        <w:t xml:space="preserve"> </w:t>
      </w:r>
    </w:p>
    <w:p w14:paraId="09C96D9A">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乙方（中标供应商）：</w:t>
      </w:r>
      <w:r>
        <w:rPr>
          <w:rFonts w:hint="eastAsia" w:asciiTheme="minorEastAsia" w:hAnsiTheme="minorEastAsia" w:eastAsiaTheme="minorEastAsia" w:cstheme="minorBidi"/>
          <w:color w:val="auto"/>
          <w:sz w:val="24"/>
          <w:highlight w:val="none"/>
        </w:rPr>
        <w:t xml:space="preserve">                            所在地：</w:t>
      </w:r>
      <w:r>
        <w:rPr>
          <w:rFonts w:asciiTheme="minorEastAsia" w:hAnsiTheme="minorEastAsia" w:eastAsiaTheme="minorEastAsia" w:cstheme="minorBidi"/>
          <w:color w:val="auto"/>
          <w:sz w:val="24"/>
          <w:highlight w:val="none"/>
        </w:rPr>
        <w:t xml:space="preserve"> </w:t>
      </w:r>
    </w:p>
    <w:p w14:paraId="68A7F1F1">
      <w:pPr>
        <w:adjustRightInd w:val="0"/>
        <w:snapToGrid w:val="0"/>
        <w:spacing w:line="440" w:lineRule="exact"/>
        <w:ind w:firstLine="480"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color w:val="auto"/>
          <w:sz w:val="24"/>
          <w:highlight w:val="none"/>
        </w:rPr>
        <w:t>甲、乙双方根据</w:t>
      </w:r>
      <w:r>
        <w:rPr>
          <w:rFonts w:hint="eastAsia" w:asciiTheme="minorEastAsia" w:hAnsiTheme="minorEastAsia" w:eastAsiaTheme="minorEastAsia" w:cstheme="minorBidi"/>
          <w:color w:val="auto"/>
          <w:sz w:val="24"/>
          <w:highlight w:val="none"/>
          <w:u w:val="single"/>
        </w:rPr>
        <w:t xml:space="preserve">                          </w:t>
      </w:r>
      <w:r>
        <w:rPr>
          <w:rFonts w:asciiTheme="minorEastAsia" w:hAnsiTheme="minorEastAsia" w:eastAsiaTheme="minorEastAsia" w:cstheme="minorBidi"/>
          <w:color w:val="auto"/>
          <w:sz w:val="24"/>
          <w:highlight w:val="none"/>
        </w:rPr>
        <w:t>公开招标的结果，签署本合同。</w:t>
      </w:r>
    </w:p>
    <w:p w14:paraId="4D3BC401">
      <w:pPr>
        <w:adjustRightInd w:val="0"/>
        <w:snapToGrid w:val="0"/>
        <w:spacing w:line="440" w:lineRule="exact"/>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 xml:space="preserve">一、合同文件： </w:t>
      </w:r>
    </w:p>
    <w:p w14:paraId="3C726BDE">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w:t>
      </w:r>
      <w:r>
        <w:rPr>
          <w:rFonts w:hint="eastAsia" w:asciiTheme="minorEastAsia" w:hAnsiTheme="minorEastAsia" w:eastAsiaTheme="minorEastAsia"/>
          <w:color w:val="auto"/>
          <w:sz w:val="24"/>
          <w:highlight w:val="none"/>
        </w:rPr>
        <w:t>一</w:t>
      </w:r>
      <w:r>
        <w:rPr>
          <w:rFonts w:hint="eastAsia" w:asciiTheme="minorEastAsia" w:hAnsiTheme="minorEastAsia" w:eastAsiaTheme="minorEastAsia"/>
          <w:color w:val="auto"/>
          <w:sz w:val="24"/>
          <w:highlight w:val="none"/>
          <w:lang w:val="zh-CN"/>
        </w:rPr>
        <w:t>）合同条款。</w:t>
      </w:r>
    </w:p>
    <w:p w14:paraId="6B0F64FD">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（二）中标通知书</w:t>
      </w:r>
      <w:r>
        <w:rPr>
          <w:rFonts w:hint="eastAsia" w:asciiTheme="minorEastAsia" w:hAnsiTheme="minorEastAsia" w:eastAsiaTheme="minorEastAsia"/>
          <w:color w:val="auto"/>
          <w:sz w:val="24"/>
          <w:highlight w:val="none"/>
          <w:lang w:val="zh-CN"/>
        </w:rPr>
        <w:t>。</w:t>
      </w:r>
    </w:p>
    <w:p w14:paraId="7249C378">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（三）</w:t>
      </w:r>
      <w:r>
        <w:rPr>
          <w:rFonts w:hint="eastAsia" w:asciiTheme="minorEastAsia" w:hAnsiTheme="minorEastAsia" w:eastAsiaTheme="minorEastAsia"/>
          <w:color w:val="auto"/>
          <w:sz w:val="24"/>
          <w:highlight w:val="none"/>
          <w:lang w:val="zh-CN"/>
        </w:rPr>
        <w:t>更正补充文件。</w:t>
      </w:r>
    </w:p>
    <w:p w14:paraId="2AE15263">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w:t>
      </w:r>
      <w:r>
        <w:rPr>
          <w:rFonts w:hint="eastAsia" w:asciiTheme="minorEastAsia" w:hAnsiTheme="minorEastAsia" w:eastAsiaTheme="minorEastAsia"/>
          <w:color w:val="auto"/>
          <w:sz w:val="24"/>
          <w:highlight w:val="none"/>
        </w:rPr>
        <w:t>四</w:t>
      </w:r>
      <w:r>
        <w:rPr>
          <w:rFonts w:hint="eastAsia" w:asciiTheme="minorEastAsia" w:hAnsiTheme="minorEastAsia" w:eastAsiaTheme="minorEastAsia"/>
          <w:color w:val="auto"/>
          <w:sz w:val="24"/>
          <w:highlight w:val="none"/>
          <w:lang w:val="zh-CN"/>
        </w:rPr>
        <w:t>）招标文件。</w:t>
      </w:r>
    </w:p>
    <w:p w14:paraId="2AC2C923">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（五）</w:t>
      </w:r>
      <w:r>
        <w:rPr>
          <w:rFonts w:hint="eastAsia" w:asciiTheme="minorEastAsia" w:hAnsiTheme="minorEastAsia" w:eastAsiaTheme="minorEastAsia"/>
          <w:color w:val="auto"/>
          <w:sz w:val="24"/>
          <w:highlight w:val="none"/>
          <w:lang w:val="zh-CN"/>
        </w:rPr>
        <w:t>乙方投标文件。</w:t>
      </w:r>
    </w:p>
    <w:p w14:paraId="5CEA9F1A">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w:t>
      </w:r>
      <w:r>
        <w:rPr>
          <w:rFonts w:hint="eastAsia" w:asciiTheme="minorEastAsia" w:hAnsiTheme="minorEastAsia" w:eastAsiaTheme="minorEastAsia"/>
          <w:color w:val="auto"/>
          <w:sz w:val="24"/>
          <w:highlight w:val="none"/>
        </w:rPr>
        <w:t>六</w:t>
      </w:r>
      <w:r>
        <w:rPr>
          <w:rFonts w:hint="eastAsia" w:asciiTheme="minorEastAsia" w:hAnsiTheme="minorEastAsia" w:eastAsiaTheme="minorEastAsia"/>
          <w:color w:val="auto"/>
          <w:sz w:val="24"/>
          <w:highlight w:val="none"/>
          <w:lang w:val="zh-CN"/>
        </w:rPr>
        <w:t>）其他。</w:t>
      </w:r>
    </w:p>
    <w:p w14:paraId="51B609EB">
      <w:pPr>
        <w:adjustRightInd w:val="0"/>
        <w:snapToGrid w:val="0"/>
        <w:spacing w:line="440" w:lineRule="exact"/>
        <w:ind w:firstLine="480" w:firstLineChars="200"/>
        <w:rPr>
          <w:rFonts w:asciiTheme="minorEastAsia" w:hAnsiTheme="minorEastAsia" w:eastAsiaTheme="minorEastAsia" w:cstheme="minorBidi"/>
          <w:color w:val="auto"/>
          <w:sz w:val="24"/>
          <w:highlight w:val="none"/>
          <w:lang w:val="zh-CN"/>
        </w:rPr>
      </w:pPr>
      <w:r>
        <w:rPr>
          <w:rFonts w:hint="eastAsia" w:asciiTheme="minorEastAsia" w:hAnsiTheme="minorEastAsia" w:eastAsiaTheme="minorEastAsia" w:cstheme="minorBidi"/>
          <w:color w:val="auto"/>
          <w:sz w:val="24"/>
          <w:highlight w:val="none"/>
          <w:lang w:val="zh-CN"/>
        </w:rPr>
        <w:t>上述所指合同文件应认为是互相补充和解释的，但是有模棱两可或互相矛盾之处，以其所列内容顺序为准。</w:t>
      </w:r>
    </w:p>
    <w:p w14:paraId="54DD5893">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二</w:t>
      </w:r>
      <w:r>
        <w:rPr>
          <w:rFonts w:asciiTheme="minorEastAsia" w:hAnsiTheme="minorEastAsia" w:eastAsiaTheme="minorEastAsia" w:cstheme="minorBidi"/>
          <w:b/>
          <w:color w:val="auto"/>
          <w:sz w:val="24"/>
          <w:highlight w:val="none"/>
        </w:rPr>
        <w:t>、货物内容</w:t>
      </w:r>
    </w:p>
    <w:p w14:paraId="16C421F7">
      <w:pPr>
        <w:adjustRightInd w:val="0"/>
        <w:snapToGrid w:val="0"/>
        <w:spacing w:line="440" w:lineRule="exact"/>
        <w:ind w:firstLine="480"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color w:val="auto"/>
          <w:sz w:val="24"/>
          <w:highlight w:val="none"/>
        </w:rPr>
        <w:t>详见招标文件技术需求及乙方投标承诺。</w:t>
      </w:r>
    </w:p>
    <w:p w14:paraId="4A9E042C">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三</w:t>
      </w:r>
      <w:r>
        <w:rPr>
          <w:rFonts w:asciiTheme="minorEastAsia" w:hAnsiTheme="minorEastAsia" w:eastAsiaTheme="minorEastAsia" w:cstheme="minorBidi"/>
          <w:b/>
          <w:color w:val="auto"/>
          <w:sz w:val="24"/>
          <w:highlight w:val="none"/>
        </w:rPr>
        <w:t>、合同金额</w:t>
      </w:r>
    </w:p>
    <w:p w14:paraId="7C52CB3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（一）本合同含税金额为（大写）：</w:t>
      </w:r>
      <w:r>
        <w:rPr>
          <w:rFonts w:asciiTheme="minorEastAsia" w:hAnsiTheme="minorEastAsia" w:eastAsiaTheme="minorEastAsia" w:cstheme="minorBidi"/>
          <w:color w:val="auto"/>
          <w:sz w:val="24"/>
          <w:highlight w:val="none"/>
          <w:u w:val="single"/>
        </w:rPr>
        <w:t>_</w:t>
      </w:r>
      <w:r>
        <w:rPr>
          <w:rFonts w:hint="eastAsia" w:asciiTheme="minorEastAsia" w:hAnsiTheme="minorEastAsia" w:eastAsiaTheme="minorEastAsia" w:cstheme="minorBidi"/>
          <w:b/>
          <w:color w:val="auto"/>
          <w:sz w:val="24"/>
          <w:highlight w:val="none"/>
          <w:u w:val="single"/>
        </w:rPr>
        <w:t xml:space="preserve">       </w:t>
      </w:r>
      <w:r>
        <w:rPr>
          <w:rFonts w:asciiTheme="minorEastAsia" w:hAnsiTheme="minorEastAsia" w:eastAsiaTheme="minorEastAsia" w:cstheme="minorBidi"/>
          <w:color w:val="auto"/>
          <w:sz w:val="24"/>
          <w:highlight w:val="none"/>
          <w:u w:val="single"/>
        </w:rPr>
        <w:t xml:space="preserve"> _</w:t>
      </w:r>
      <w:r>
        <w:rPr>
          <w:rFonts w:asciiTheme="minorEastAsia" w:hAnsiTheme="minorEastAsia" w:eastAsiaTheme="minorEastAsia" w:cstheme="minorBidi"/>
          <w:color w:val="auto"/>
          <w:sz w:val="24"/>
          <w:highlight w:val="none"/>
        </w:rPr>
        <w:t>元（¥</w:t>
      </w:r>
      <w:r>
        <w:rPr>
          <w:rFonts w:asciiTheme="minorEastAsia" w:hAnsiTheme="minorEastAsia" w:eastAsiaTheme="minorEastAsia" w:cstheme="minorBidi"/>
          <w:color w:val="auto"/>
          <w:sz w:val="24"/>
          <w:highlight w:val="none"/>
          <w:u w:val="single"/>
        </w:rPr>
        <w:t>_</w:t>
      </w:r>
      <w:r>
        <w:rPr>
          <w:rFonts w:hint="eastAsia" w:asciiTheme="minorEastAsia" w:hAnsiTheme="minorEastAsia" w:eastAsiaTheme="minorEastAsia" w:cstheme="minorBidi"/>
          <w:b/>
          <w:color w:val="auto"/>
          <w:sz w:val="24"/>
          <w:highlight w:val="none"/>
          <w:u w:val="single"/>
        </w:rPr>
        <w:t xml:space="preserve">      </w:t>
      </w:r>
      <w:r>
        <w:rPr>
          <w:rFonts w:asciiTheme="minorEastAsia" w:hAnsiTheme="minorEastAsia" w:eastAsiaTheme="minorEastAsia" w:cstheme="minorBidi"/>
          <w:color w:val="auto"/>
          <w:sz w:val="24"/>
          <w:highlight w:val="none"/>
          <w:u w:val="single"/>
        </w:rPr>
        <w:t>_</w:t>
      </w:r>
      <w:r>
        <w:rPr>
          <w:rFonts w:asciiTheme="minorEastAsia" w:hAnsiTheme="minorEastAsia" w:eastAsiaTheme="minorEastAsia" w:cstheme="minorBidi"/>
          <w:color w:val="auto"/>
          <w:sz w:val="24"/>
          <w:highlight w:val="none"/>
        </w:rPr>
        <w:t>元）人民币。</w:t>
      </w:r>
    </w:p>
    <w:p w14:paraId="430FD9FC">
      <w:pPr>
        <w:adjustRightInd w:val="0"/>
        <w:snapToGrid w:val="0"/>
        <w:spacing w:line="440" w:lineRule="exact"/>
        <w:ind w:firstLine="480" w:firstLineChars="200"/>
        <w:rPr>
          <w:rFonts w:ascii="宋体" w:hAnsi="宋体" w:cstheme="minorBidi"/>
          <w:color w:val="auto"/>
          <w:kern w:val="0"/>
          <w:sz w:val="24"/>
          <w:highlight w:val="none"/>
        </w:rPr>
      </w:pPr>
      <w:r>
        <w:rPr>
          <w:rFonts w:hint="eastAsia" w:asciiTheme="minorEastAsia" w:hAnsiTheme="minorEastAsia" w:eastAsiaTheme="minorEastAsia" w:cstheme="minorBidi"/>
          <w:color w:val="auto"/>
          <w:sz w:val="24"/>
          <w:highlight w:val="none"/>
        </w:rPr>
        <w:t>（二）合同金额为本合同约定范围内全部工作内容的价格表现，</w:t>
      </w:r>
      <w:r>
        <w:rPr>
          <w:rFonts w:hint="eastAsia" w:ascii="宋体" w:hAnsi="宋体" w:cstheme="minorBidi"/>
          <w:color w:val="auto"/>
          <w:kern w:val="0"/>
          <w:sz w:val="24"/>
          <w:highlight w:val="none"/>
        </w:rPr>
        <w:t>包含设备及包装、运输、装卸、保险、税金、货到就位以及设备安装、调试、维保、保修、培训、合同包含的所有风险责任等各项费用及不可预见费所需的全部费用。</w:t>
      </w:r>
    </w:p>
    <w:p w14:paraId="7CB9BFFB">
      <w:pPr>
        <w:adjustRightInd w:val="0"/>
        <w:snapToGrid w:val="0"/>
        <w:spacing w:line="440" w:lineRule="exact"/>
        <w:ind w:firstLine="480" w:firstLineChars="200"/>
        <w:rPr>
          <w:rFonts w:ascii="宋体" w:hAnsi="宋体" w:cstheme="minorBidi"/>
          <w:color w:val="auto"/>
          <w:kern w:val="0"/>
          <w:sz w:val="24"/>
          <w:highlight w:val="none"/>
        </w:rPr>
      </w:pPr>
      <w:r>
        <w:rPr>
          <w:rFonts w:hint="eastAsia" w:ascii="宋体" w:hAnsi="宋体" w:cstheme="minorBidi"/>
          <w:color w:val="auto"/>
          <w:kern w:val="0"/>
          <w:sz w:val="24"/>
          <w:highlight w:val="none"/>
        </w:rPr>
        <w:t>（三）明细价格（详见乙方报价明细清单）。</w:t>
      </w:r>
    </w:p>
    <w:p w14:paraId="01F5CBE0">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四</w:t>
      </w:r>
      <w:r>
        <w:rPr>
          <w:rFonts w:asciiTheme="minorEastAsia" w:hAnsiTheme="minorEastAsia" w:eastAsiaTheme="minorEastAsia" w:cstheme="minorBidi"/>
          <w:b/>
          <w:color w:val="auto"/>
          <w:sz w:val="24"/>
          <w:highlight w:val="none"/>
        </w:rPr>
        <w:t>、技术资料</w:t>
      </w:r>
    </w:p>
    <w:p w14:paraId="5F6FFBA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乙方应按招标文件规定的时间向甲方提供使用货物的有关技术资料。</w:t>
      </w:r>
    </w:p>
    <w:p w14:paraId="6EAB84E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548E3ED">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（三）乙方提供所有软件的备份光盘或其他存储介质、</w:t>
      </w:r>
      <w:r>
        <w:rPr>
          <w:rFonts w:asciiTheme="minorEastAsia" w:hAnsiTheme="minorEastAsia" w:eastAsiaTheme="minorEastAsia" w:cstheme="minorBidi"/>
          <w:color w:val="auto"/>
          <w:sz w:val="24"/>
          <w:highlight w:val="none"/>
        </w:rPr>
        <w:t>license</w:t>
      </w:r>
      <w:r>
        <w:rPr>
          <w:rFonts w:hint="eastAsia" w:asciiTheme="minorEastAsia" w:hAnsiTheme="minorEastAsia" w:eastAsiaTheme="minorEastAsia" w:cstheme="minorBidi"/>
          <w:color w:val="auto"/>
          <w:sz w:val="24"/>
          <w:highlight w:val="none"/>
        </w:rPr>
        <w:t>及所有口令信息，同时提供这些软件安装、调试及相关维护所需要的所有硬件和软件工具以及上述光盘或其他存储介质、软件、调试等说明书。不能提供上述内容的，则现场提供所有软件终生免费安装（含硬件更换后软件重新安装调试）、调试、维护服务。</w:t>
      </w:r>
    </w:p>
    <w:p w14:paraId="44076F5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（四）每台设备乙方都应提供完整的中文技术资料，包括操作手册</w:t>
      </w:r>
      <w:r>
        <w:rPr>
          <w:rFonts w:asciiTheme="minorEastAsia" w:hAnsiTheme="minorEastAsia" w:eastAsiaTheme="minorEastAsia" w:cstheme="minorBidi"/>
          <w:color w:val="auto"/>
          <w:sz w:val="24"/>
          <w:highlight w:val="none"/>
        </w:rPr>
        <w:t>2</w:t>
      </w:r>
      <w:r>
        <w:rPr>
          <w:rFonts w:hint="eastAsia" w:asciiTheme="minorEastAsia" w:hAnsiTheme="minorEastAsia" w:eastAsiaTheme="minorEastAsia" w:cstheme="minorBidi"/>
          <w:color w:val="auto"/>
          <w:sz w:val="24"/>
          <w:highlight w:val="none"/>
        </w:rPr>
        <w:t>套、维修手册</w:t>
      </w:r>
      <w:r>
        <w:rPr>
          <w:rFonts w:asciiTheme="minorEastAsia" w:hAnsiTheme="minorEastAsia" w:eastAsiaTheme="minorEastAsia" w:cstheme="minorBidi"/>
          <w:color w:val="auto"/>
          <w:sz w:val="24"/>
          <w:highlight w:val="none"/>
        </w:rPr>
        <w:t>1</w:t>
      </w:r>
      <w:r>
        <w:rPr>
          <w:rFonts w:hint="eastAsia" w:asciiTheme="minorEastAsia" w:hAnsiTheme="minorEastAsia" w:eastAsiaTheme="minorEastAsia" w:cstheme="minorBidi"/>
          <w:color w:val="auto"/>
          <w:sz w:val="24"/>
          <w:highlight w:val="none"/>
        </w:rPr>
        <w:t>套、软件手册</w:t>
      </w:r>
      <w:r>
        <w:rPr>
          <w:rFonts w:asciiTheme="minorEastAsia" w:hAnsiTheme="minorEastAsia" w:eastAsiaTheme="minorEastAsia" w:cstheme="minorBidi"/>
          <w:color w:val="auto"/>
          <w:sz w:val="24"/>
          <w:highlight w:val="none"/>
        </w:rPr>
        <w:t>1</w:t>
      </w:r>
      <w:r>
        <w:rPr>
          <w:rFonts w:hint="eastAsia" w:asciiTheme="minorEastAsia" w:hAnsiTheme="minorEastAsia" w:eastAsiaTheme="minorEastAsia" w:cstheme="minorBidi"/>
          <w:color w:val="auto"/>
          <w:sz w:val="24"/>
          <w:highlight w:val="none"/>
        </w:rPr>
        <w:t>套和附件使用手册</w:t>
      </w:r>
      <w:r>
        <w:rPr>
          <w:rFonts w:asciiTheme="minorEastAsia" w:hAnsiTheme="minorEastAsia" w:eastAsiaTheme="minorEastAsia" w:cstheme="minorBidi"/>
          <w:color w:val="auto"/>
          <w:sz w:val="24"/>
          <w:highlight w:val="none"/>
        </w:rPr>
        <w:t>1</w:t>
      </w:r>
      <w:r>
        <w:rPr>
          <w:rFonts w:hint="eastAsia" w:asciiTheme="minorEastAsia" w:hAnsiTheme="minorEastAsia" w:eastAsiaTheme="minorEastAsia" w:cstheme="minorBidi"/>
          <w:color w:val="auto"/>
          <w:sz w:val="24"/>
          <w:highlight w:val="none"/>
        </w:rPr>
        <w:t>套等，同时应提供原厂的出厂配置清单、设备出厂检验报告和质量合格证书等及电子版的操作规程。</w:t>
      </w:r>
    </w:p>
    <w:p w14:paraId="67F29398">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五</w:t>
      </w:r>
      <w:r>
        <w:rPr>
          <w:rFonts w:asciiTheme="minorEastAsia" w:hAnsiTheme="minorEastAsia" w:eastAsiaTheme="minorEastAsia" w:cstheme="minorBidi"/>
          <w:b/>
          <w:color w:val="auto"/>
          <w:sz w:val="24"/>
          <w:highlight w:val="none"/>
        </w:rPr>
        <w:t>、知识产权</w:t>
      </w:r>
    </w:p>
    <w:p w14:paraId="09890A5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乙方应保证所提供的货物或其任何一部分均不会侵犯任何第三方的知识产权。</w:t>
      </w:r>
    </w:p>
    <w:p w14:paraId="79A5A31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（二）若侵犯,由乙方赔偿甲方因此遭受的损失（包括但不限于应对及追偿过程中所支付的律师费、差旅费、诉讼费、保全费、鉴定费、评估费等）。</w:t>
      </w:r>
    </w:p>
    <w:p w14:paraId="32B2D68F">
      <w:pPr>
        <w:adjustRightInd w:val="0"/>
        <w:snapToGrid w:val="0"/>
        <w:spacing w:line="440" w:lineRule="exact"/>
        <w:ind w:firstLine="482" w:firstLineChars="200"/>
        <w:rPr>
          <w:rFonts w:asciiTheme="minorEastAsia" w:hAnsiTheme="minorEastAsia" w:eastAsiaTheme="minorEastAsia" w:cstheme="minorBidi"/>
          <w:color w:val="auto"/>
          <w:sz w:val="24"/>
          <w:highlight w:val="none"/>
          <w:u w:val="single"/>
        </w:rPr>
      </w:pPr>
      <w:r>
        <w:rPr>
          <w:rFonts w:hint="eastAsia" w:asciiTheme="minorEastAsia" w:hAnsiTheme="minorEastAsia" w:eastAsiaTheme="minorEastAsia" w:cstheme="minorBidi"/>
          <w:b/>
          <w:color w:val="auto"/>
          <w:sz w:val="24"/>
          <w:highlight w:val="none"/>
        </w:rPr>
        <w:t>六</w:t>
      </w:r>
      <w:r>
        <w:rPr>
          <w:rFonts w:asciiTheme="minorEastAsia" w:hAnsiTheme="minorEastAsia" w:eastAsiaTheme="minorEastAsia" w:cstheme="minorBidi"/>
          <w:b/>
          <w:color w:val="auto"/>
          <w:sz w:val="24"/>
          <w:highlight w:val="none"/>
        </w:rPr>
        <w:t>、产权担保</w:t>
      </w:r>
    </w:p>
    <w:p w14:paraId="1D345757">
      <w:pPr>
        <w:adjustRightInd w:val="0"/>
        <w:snapToGrid w:val="0"/>
        <w:spacing w:line="440" w:lineRule="exact"/>
        <w:ind w:firstLine="480" w:firstLineChars="200"/>
        <w:rPr>
          <w:rFonts w:asciiTheme="minorEastAsia" w:hAnsiTheme="minorEastAsia" w:eastAsiaTheme="minorEastAsia" w:cstheme="minorBidi"/>
          <w:color w:val="auto"/>
          <w:sz w:val="24"/>
          <w:highlight w:val="none"/>
          <w:u w:val="single"/>
        </w:rPr>
      </w:pPr>
      <w:r>
        <w:rPr>
          <w:rFonts w:asciiTheme="minorEastAsia" w:hAnsiTheme="minorEastAsia" w:eastAsiaTheme="minorEastAsia" w:cstheme="minorBidi"/>
          <w:color w:val="auto"/>
          <w:sz w:val="24"/>
          <w:highlight w:val="none"/>
        </w:rPr>
        <w:t>乙方保证所交付的货物的所有权完全属于乙方且无任何抵押、查封等产权瑕疵。</w:t>
      </w:r>
    </w:p>
    <w:p w14:paraId="7CFA4545">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七</w:t>
      </w:r>
      <w:r>
        <w:rPr>
          <w:rFonts w:asciiTheme="minorEastAsia" w:hAnsiTheme="minorEastAsia" w:eastAsiaTheme="minorEastAsia" w:cstheme="minorBidi"/>
          <w:b/>
          <w:color w:val="auto"/>
          <w:sz w:val="24"/>
          <w:highlight w:val="none"/>
        </w:rPr>
        <w:t>、履约保证金</w:t>
      </w:r>
    </w:p>
    <w:p w14:paraId="56FCF64C">
      <w:pPr>
        <w:adjustRightInd w:val="0"/>
        <w:snapToGrid w:val="0"/>
        <w:spacing w:line="440" w:lineRule="exact"/>
        <w:ind w:firstLine="480" w:firstLineChars="200"/>
        <w:rPr>
          <w:rFonts w:hAnsi="宋体"/>
          <w:color w:val="auto"/>
          <w:sz w:val="24"/>
          <w:highlight w:val="none"/>
        </w:rPr>
      </w:pPr>
      <w:r>
        <w:rPr>
          <w:rFonts w:hint="eastAsia" w:ascii="宋体" w:hAnsi="宋体" w:cs="宋体"/>
          <w:color w:val="auto"/>
          <w:kern w:val="0"/>
          <w:sz w:val="24"/>
          <w:szCs w:val="21"/>
          <w:highlight w:val="none"/>
        </w:rPr>
        <w:t>乙方须在中标通知书发出之日七个工作日内提交合同总价1%的履约担保</w:t>
      </w:r>
      <w:r>
        <w:rPr>
          <w:rFonts w:hint="eastAsia" w:hAnsi="宋体"/>
          <w:color w:val="auto"/>
          <w:sz w:val="24"/>
          <w:highlight w:val="none"/>
        </w:rPr>
        <w:t>，</w:t>
      </w:r>
      <w:r>
        <w:rPr>
          <w:rFonts w:hint="eastAsia" w:ascii="宋体" w:hAnsi="宋体" w:cs="宋体"/>
          <w:color w:val="auto"/>
          <w:kern w:val="0"/>
          <w:sz w:val="24"/>
          <w:szCs w:val="21"/>
          <w:highlight w:val="none"/>
        </w:rPr>
        <w:t>以支票、银行汇票、本票或者金融机构的保函等非现金形式提交。如为支票、银行汇票、本票形式，在项目通过</w:t>
      </w:r>
      <w:r>
        <w:rPr>
          <w:rFonts w:hint="eastAsia" w:asciiTheme="minorEastAsia" w:hAnsiTheme="minorEastAsia" w:eastAsiaTheme="minorEastAsia" w:cstheme="minorBidi"/>
          <w:color w:val="auto"/>
          <w:sz w:val="24"/>
          <w:highlight w:val="none"/>
        </w:rPr>
        <w:t>最终</w:t>
      </w:r>
      <w:r>
        <w:rPr>
          <w:rFonts w:hint="eastAsia" w:ascii="宋体" w:hAnsi="宋体" w:cs="宋体"/>
          <w:color w:val="auto"/>
          <w:kern w:val="0"/>
          <w:sz w:val="24"/>
          <w:szCs w:val="21"/>
          <w:highlight w:val="none"/>
        </w:rPr>
        <w:t>验收且扣除乙方应承担的</w:t>
      </w:r>
      <w:r>
        <w:rPr>
          <w:rFonts w:hint="eastAsia" w:asciiTheme="minorEastAsia" w:hAnsiTheme="minorEastAsia" w:eastAsiaTheme="minorEastAsia" w:cstheme="minorBidi"/>
          <w:color w:val="auto"/>
          <w:sz w:val="24"/>
          <w:highlight w:val="none"/>
        </w:rPr>
        <w:t>违约金</w:t>
      </w:r>
      <w:r>
        <w:rPr>
          <w:rFonts w:hint="eastAsia" w:ascii="宋体" w:hAnsi="宋体" w:cs="宋体"/>
          <w:color w:val="auto"/>
          <w:kern w:val="0"/>
          <w:sz w:val="24"/>
          <w:szCs w:val="21"/>
          <w:highlight w:val="none"/>
        </w:rPr>
        <w:t>（如有）等费用后无息退还；以金融机构出具的保函等非现金形式提供（须为见索即付的独立保函），担保期限从合同生效之日起至项目通过最终验收后15个工作日。乙方因违约或其他原因导致履约金被没收后应在自没收之日起15天内补足。</w:t>
      </w:r>
    </w:p>
    <w:p w14:paraId="6313E68D">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八、转包或分包</w:t>
      </w:r>
    </w:p>
    <w:p w14:paraId="2AC0D321">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（一）本合同范围的货物，应由</w:t>
      </w:r>
      <w:r>
        <w:rPr>
          <w:rFonts w:asciiTheme="minorEastAsia" w:hAnsiTheme="minorEastAsia" w:eastAsiaTheme="minorEastAsia"/>
          <w:color w:val="auto"/>
          <w:sz w:val="24"/>
          <w:highlight w:val="none"/>
        </w:rPr>
        <w:t>乙</w:t>
      </w:r>
      <w:r>
        <w:rPr>
          <w:rFonts w:hint="eastAsia" w:asciiTheme="minorEastAsia" w:hAnsiTheme="minorEastAsia" w:eastAsiaTheme="minorEastAsia"/>
          <w:color w:val="auto"/>
          <w:sz w:val="24"/>
          <w:highlight w:val="none"/>
        </w:rPr>
        <w:t>方直接供应，不得转让他人供应。</w:t>
      </w:r>
    </w:p>
    <w:p w14:paraId="57E7E02E">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（二）</w:t>
      </w:r>
      <w:r>
        <w:rPr>
          <w:rFonts w:asciiTheme="minorEastAsia" w:hAnsiTheme="minorEastAsia" w:eastAsiaTheme="minorEastAsia"/>
          <w:color w:val="auto"/>
          <w:sz w:val="24"/>
          <w:highlight w:val="none"/>
        </w:rPr>
        <w:t>乙</w:t>
      </w:r>
      <w:r>
        <w:rPr>
          <w:rFonts w:hint="eastAsia" w:asciiTheme="minorEastAsia" w:hAnsiTheme="minorEastAsia" w:eastAsiaTheme="minorEastAsia"/>
          <w:color w:val="auto"/>
          <w:sz w:val="24"/>
          <w:highlight w:val="none"/>
        </w:rPr>
        <w:t>方不得将本合同范围的货物全部或部分分包给他人供应。</w:t>
      </w:r>
    </w:p>
    <w:p w14:paraId="16013504">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（三） 如有转让和分包行为，甲方将按本合同第十六条第二款处理。</w:t>
      </w:r>
    </w:p>
    <w:p w14:paraId="19F8EB1B">
      <w:pPr>
        <w:adjustRightInd w:val="0"/>
        <w:snapToGrid w:val="0"/>
        <w:spacing w:line="440" w:lineRule="exact"/>
        <w:ind w:firstLine="482"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b/>
          <w:color w:val="auto"/>
          <w:sz w:val="24"/>
          <w:highlight w:val="none"/>
        </w:rPr>
        <w:t>九</w:t>
      </w:r>
      <w:r>
        <w:rPr>
          <w:rFonts w:asciiTheme="minorEastAsia" w:hAnsiTheme="minorEastAsia" w:eastAsiaTheme="minorEastAsia" w:cstheme="minorBidi"/>
          <w:b/>
          <w:color w:val="auto"/>
          <w:sz w:val="24"/>
          <w:highlight w:val="none"/>
        </w:rPr>
        <w:t>、质保期（以乙方投标承诺为准）</w:t>
      </w:r>
    </w:p>
    <w:p w14:paraId="513A065A">
      <w:pPr>
        <w:adjustRightInd w:val="0"/>
        <w:snapToGrid w:val="0"/>
        <w:spacing w:line="440" w:lineRule="exact"/>
        <w:ind w:firstLine="482"/>
        <w:rPr>
          <w:rFonts w:asciiTheme="minorEastAsia" w:hAnsiTheme="minorEastAsia" w:eastAsiaTheme="minorEastAsia"/>
          <w:color w:val="auto"/>
          <w:sz w:val="24"/>
          <w:highlight w:val="none"/>
        </w:rPr>
      </w:pPr>
      <w:r>
        <w:rPr>
          <w:rFonts w:hint="eastAsia" w:hAnsi="宋体" w:cs="宋体"/>
          <w:color w:val="auto"/>
          <w:kern w:val="0"/>
          <w:sz w:val="24"/>
          <w:szCs w:val="21"/>
          <w:highlight w:val="none"/>
        </w:rPr>
        <w:t>乙方自验收合格之日起提供不</w:t>
      </w:r>
      <w:r>
        <w:rPr>
          <w:rFonts w:hint="eastAsia" w:hAnsi="宋体" w:cs="宋体"/>
          <w:color w:val="auto"/>
          <w:kern w:val="0"/>
          <w:sz w:val="24"/>
          <w:szCs w:val="21"/>
          <w:highlight w:val="none"/>
          <w:u w:val="single"/>
        </w:rPr>
        <w:t xml:space="preserve">     </w:t>
      </w:r>
      <w:r>
        <w:rPr>
          <w:rFonts w:hint="eastAsia" w:hAnsi="宋体" w:cs="宋体"/>
          <w:color w:val="auto"/>
          <w:kern w:val="0"/>
          <w:sz w:val="24"/>
          <w:szCs w:val="21"/>
          <w:highlight w:val="none"/>
        </w:rPr>
        <w:t>年免费质保服务，对所有设备负责终身维修。在质保期内，应负责对其提供的设备进行现场维修、损坏件更换，不收取额外费用</w:t>
      </w:r>
      <w:r>
        <w:rPr>
          <w:rFonts w:hint="eastAsia" w:asciiTheme="minorEastAsia" w:hAnsiTheme="minorEastAsia" w:eastAsiaTheme="minorEastAsia"/>
          <w:color w:val="auto"/>
          <w:sz w:val="24"/>
          <w:highlight w:val="none"/>
        </w:rPr>
        <w:t>。</w:t>
      </w:r>
    </w:p>
    <w:p w14:paraId="33F39B14">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十</w:t>
      </w:r>
      <w:r>
        <w:rPr>
          <w:rFonts w:asciiTheme="minorEastAsia" w:hAnsiTheme="minorEastAsia" w:eastAsiaTheme="minorEastAsia" w:cstheme="minorBidi"/>
          <w:b/>
          <w:color w:val="auto"/>
          <w:sz w:val="24"/>
          <w:highlight w:val="none"/>
        </w:rPr>
        <w:t>、交货期、交货方式及交货地点</w:t>
      </w:r>
    </w:p>
    <w:p w14:paraId="305BDDCE">
      <w:pPr>
        <w:adjustRightInd w:val="0"/>
        <w:snapToGrid w:val="0"/>
        <w:spacing w:line="440" w:lineRule="exact"/>
        <w:ind w:firstLine="480" w:firstLineChars="200"/>
        <w:rPr>
          <w:rFonts w:asciiTheme="minorEastAsia" w:hAnsiTheme="minorEastAsia" w:eastAsiaTheme="minorEastAsia" w:cstheme="minorBidi"/>
          <w:bCs/>
          <w:color w:val="auto"/>
          <w:sz w:val="24"/>
          <w:highlight w:val="none"/>
        </w:rPr>
      </w:pPr>
      <w:r>
        <w:rPr>
          <w:rFonts w:hint="eastAsia" w:asciiTheme="minorEastAsia" w:hAnsiTheme="minorEastAsia" w:eastAsiaTheme="minorEastAsia" w:cstheme="minorBidi"/>
          <w:bCs/>
          <w:color w:val="auto"/>
          <w:sz w:val="24"/>
          <w:highlight w:val="none"/>
        </w:rPr>
        <w:t>（一）</w:t>
      </w:r>
      <w:r>
        <w:rPr>
          <w:rFonts w:asciiTheme="minorEastAsia" w:hAnsiTheme="minorEastAsia" w:eastAsiaTheme="minorEastAsia" w:cstheme="minorBidi"/>
          <w:bCs/>
          <w:color w:val="auto"/>
          <w:sz w:val="24"/>
          <w:highlight w:val="none"/>
        </w:rPr>
        <w:t>交货期：</w:t>
      </w:r>
      <w:r>
        <w:rPr>
          <w:rFonts w:hint="eastAsia" w:asciiTheme="minorEastAsia" w:hAnsiTheme="minorEastAsia" w:eastAsiaTheme="minorEastAsia" w:cstheme="minorBidi"/>
          <w:bCs/>
          <w:color w:val="auto"/>
          <w:sz w:val="24"/>
          <w:highlight w:val="none"/>
        </w:rPr>
        <w:t>合同签订之日起30日历天内交货并完成安装调试。</w:t>
      </w:r>
    </w:p>
    <w:p w14:paraId="4E0E8708">
      <w:pPr>
        <w:adjustRightInd w:val="0"/>
        <w:snapToGrid w:val="0"/>
        <w:spacing w:line="440" w:lineRule="exact"/>
        <w:ind w:firstLine="480" w:firstLineChars="200"/>
        <w:rPr>
          <w:rFonts w:asciiTheme="minorEastAsia" w:hAnsiTheme="minorEastAsia" w:eastAsiaTheme="minorEastAsia" w:cstheme="minorBidi"/>
          <w:bCs/>
          <w:color w:val="auto"/>
          <w:sz w:val="24"/>
          <w:highlight w:val="none"/>
        </w:rPr>
      </w:pPr>
      <w:r>
        <w:rPr>
          <w:rFonts w:hint="eastAsia" w:asciiTheme="minorEastAsia" w:hAnsiTheme="minorEastAsia" w:eastAsiaTheme="minorEastAsia" w:cstheme="minorBidi"/>
          <w:bCs/>
          <w:color w:val="auto"/>
          <w:sz w:val="24"/>
          <w:highlight w:val="none"/>
        </w:rPr>
        <w:t>（二）</w:t>
      </w:r>
      <w:bookmarkStart w:id="154" w:name="OLE_LINK75"/>
      <w:bookmarkStart w:id="155" w:name="OLE_LINK74"/>
      <w:r>
        <w:rPr>
          <w:rFonts w:asciiTheme="minorEastAsia" w:hAnsiTheme="minorEastAsia" w:eastAsiaTheme="minorEastAsia" w:cstheme="minorBidi"/>
          <w:bCs/>
          <w:color w:val="auto"/>
          <w:sz w:val="24"/>
          <w:highlight w:val="none"/>
        </w:rPr>
        <w:t>交货方式：乙方负责包装、运输至甲方指定地点并安装完成。</w:t>
      </w:r>
      <w:bookmarkEnd w:id="154"/>
      <w:bookmarkEnd w:id="155"/>
    </w:p>
    <w:p w14:paraId="6DE9D9C3">
      <w:pPr>
        <w:adjustRightInd w:val="0"/>
        <w:snapToGrid w:val="0"/>
        <w:spacing w:line="440" w:lineRule="exact"/>
        <w:ind w:firstLine="480"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Cs/>
          <w:color w:val="auto"/>
          <w:sz w:val="24"/>
          <w:highlight w:val="none"/>
        </w:rPr>
        <w:t>（三）</w:t>
      </w:r>
      <w:r>
        <w:rPr>
          <w:rFonts w:asciiTheme="minorEastAsia" w:hAnsiTheme="minorEastAsia" w:eastAsiaTheme="minorEastAsia" w:cstheme="minorBidi"/>
          <w:bCs/>
          <w:color w:val="auto"/>
          <w:sz w:val="24"/>
          <w:highlight w:val="none"/>
        </w:rPr>
        <w:t>交货地点：</w:t>
      </w:r>
      <w:r>
        <w:rPr>
          <w:rFonts w:hint="eastAsia" w:asciiTheme="minorEastAsia" w:hAnsiTheme="minorEastAsia" w:eastAsiaTheme="minorEastAsia" w:cstheme="minorBidi"/>
          <w:bCs/>
          <w:color w:val="auto"/>
          <w:sz w:val="24"/>
          <w:highlight w:val="none"/>
        </w:rPr>
        <w:t>甲方指定地点</w:t>
      </w:r>
    </w:p>
    <w:p w14:paraId="2E11E81F">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一</w:t>
      </w:r>
      <w:r>
        <w:rPr>
          <w:rFonts w:asciiTheme="minorEastAsia" w:hAnsiTheme="minorEastAsia" w:eastAsiaTheme="minorEastAsia" w:cstheme="minorBidi"/>
          <w:b/>
          <w:color w:val="auto"/>
          <w:sz w:val="24"/>
          <w:highlight w:val="none"/>
        </w:rPr>
        <w:t>、货款支付</w:t>
      </w:r>
    </w:p>
    <w:p w14:paraId="7F8FAFB1">
      <w:pPr>
        <w:adjustRightInd w:val="0"/>
        <w:snapToGrid w:val="0"/>
        <w:spacing w:line="440" w:lineRule="exact"/>
        <w:ind w:firstLine="480" w:firstLineChars="200"/>
        <w:rPr>
          <w:rFonts w:asciiTheme="minorEastAsia" w:hAnsiTheme="minorEastAsia" w:eastAsiaTheme="minorEastAsia" w:cstheme="minorBidi"/>
          <w:bCs/>
          <w:color w:val="auto"/>
          <w:sz w:val="24"/>
          <w:highlight w:val="none"/>
        </w:rPr>
      </w:pPr>
      <w:r>
        <w:rPr>
          <w:rFonts w:hint="eastAsia" w:asciiTheme="minorEastAsia" w:hAnsiTheme="minorEastAsia" w:eastAsiaTheme="minorEastAsia" w:cstheme="minorBidi"/>
          <w:bCs/>
          <w:color w:val="auto"/>
          <w:sz w:val="24"/>
          <w:highlight w:val="none"/>
        </w:rPr>
        <w:t>合同签订后支付合同价款的40%；货物到货、安装调试完成并经最终验收通过后支付剩余全部款项。以上付款条件是甲方所在地的财政资金下达并收到乙方的正式发票且通过有关部门审核后7个工作日内支付。</w:t>
      </w:r>
    </w:p>
    <w:p w14:paraId="04C45A11">
      <w:pPr>
        <w:adjustRightInd w:val="0"/>
        <w:snapToGrid w:val="0"/>
        <w:spacing w:line="440" w:lineRule="exact"/>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十二、税费</w:t>
      </w:r>
    </w:p>
    <w:p w14:paraId="27A80563">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本合同执行中相关的一切税费均由</w:t>
      </w:r>
      <w:r>
        <w:rPr>
          <w:rFonts w:asciiTheme="minorEastAsia" w:hAnsiTheme="minorEastAsia" w:eastAsiaTheme="minorEastAsia"/>
          <w:color w:val="auto"/>
          <w:sz w:val="24"/>
          <w:highlight w:val="none"/>
        </w:rPr>
        <w:t>乙</w:t>
      </w:r>
      <w:r>
        <w:rPr>
          <w:rFonts w:hint="eastAsia" w:asciiTheme="minorEastAsia" w:hAnsiTheme="minorEastAsia" w:eastAsiaTheme="minorEastAsia"/>
          <w:color w:val="auto"/>
          <w:sz w:val="24"/>
          <w:highlight w:val="none"/>
        </w:rPr>
        <w:t>方负担。</w:t>
      </w:r>
    </w:p>
    <w:p w14:paraId="40B2D18D">
      <w:pPr>
        <w:adjustRightInd w:val="0"/>
        <w:snapToGrid w:val="0"/>
        <w:spacing w:line="440" w:lineRule="exact"/>
        <w:ind w:firstLine="482" w:firstLineChars="20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三</w:t>
      </w:r>
      <w:r>
        <w:rPr>
          <w:rFonts w:asciiTheme="minorEastAsia" w:hAnsiTheme="minorEastAsia" w:eastAsiaTheme="minorEastAsia" w:cstheme="minorBidi"/>
          <w:b/>
          <w:color w:val="auto"/>
          <w:sz w:val="24"/>
          <w:highlight w:val="none"/>
        </w:rPr>
        <w:t>、质量保证及售后服务</w:t>
      </w:r>
    </w:p>
    <w:p w14:paraId="3EAADEC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乙方应按招标文件规定的货物性能、技术要求、质量标准向甲方提供未经使用的全新产品。</w:t>
      </w:r>
    </w:p>
    <w:p w14:paraId="62A2B06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乙方提供的货物在质</w:t>
      </w:r>
      <w:r>
        <w:rPr>
          <w:rFonts w:hint="eastAsia" w:asciiTheme="minorEastAsia" w:hAnsiTheme="minorEastAsia" w:eastAsiaTheme="minorEastAsia" w:cstheme="minorBidi"/>
          <w:color w:val="auto"/>
          <w:sz w:val="24"/>
          <w:highlight w:val="none"/>
        </w:rPr>
        <w:t>保</w:t>
      </w:r>
      <w:r>
        <w:rPr>
          <w:rFonts w:asciiTheme="minorEastAsia" w:hAnsiTheme="minorEastAsia" w:eastAsiaTheme="minorEastAsia" w:cstheme="minorBidi"/>
          <w:color w:val="auto"/>
          <w:sz w:val="24"/>
          <w:highlight w:val="none"/>
        </w:rPr>
        <w:t>期内因货物本身的质量问题发生故障，乙方应负责免费更换。对达不到技术要求者，根据实际情况，经双方协商，可按以下办法处理：</w:t>
      </w:r>
    </w:p>
    <w:p w14:paraId="0A8749ED">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w:t>
      </w:r>
      <w:r>
        <w:rPr>
          <w:rFonts w:asciiTheme="minorEastAsia" w:hAnsiTheme="minorEastAsia" w:eastAsiaTheme="minorEastAsia" w:cstheme="minorBidi"/>
          <w:color w:val="auto"/>
          <w:sz w:val="24"/>
          <w:highlight w:val="none"/>
        </w:rPr>
        <w:t>更换：由乙方承担所发生的全部费用。</w:t>
      </w:r>
    </w:p>
    <w:p w14:paraId="29F50D32">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w:t>
      </w:r>
      <w:r>
        <w:rPr>
          <w:rFonts w:asciiTheme="minorEastAsia" w:hAnsiTheme="minorEastAsia" w:eastAsiaTheme="minorEastAsia" w:cstheme="minorBidi"/>
          <w:color w:val="auto"/>
          <w:sz w:val="24"/>
          <w:highlight w:val="none"/>
        </w:rPr>
        <w:t>贬值处理：由甲乙双方合议定价。</w:t>
      </w:r>
    </w:p>
    <w:p w14:paraId="57A6D09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w:t>
      </w:r>
      <w:r>
        <w:rPr>
          <w:rFonts w:asciiTheme="minorEastAsia" w:hAnsiTheme="minorEastAsia" w:eastAsiaTheme="minorEastAsia" w:cstheme="minorBidi"/>
          <w:color w:val="auto"/>
          <w:sz w:val="24"/>
          <w:highlight w:val="none"/>
        </w:rPr>
        <w:t>退货处理：乙方应退还甲方支付的合同款，同时应承担该货物的直接费用（运输、保险、检验、货款利息及银行手续费等）。</w:t>
      </w:r>
    </w:p>
    <w:p w14:paraId="38B45673">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上述三种方式如协商不成，甲方有权直接自行选择上述三项处理方式任一项进行处理，乙方不得异议。</w:t>
      </w:r>
    </w:p>
    <w:p w14:paraId="027B1E86">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质保期内开机率≥95%，若设备未达到以上开机率保证，则停机每超过一天则延长十天保修时间。质保期内因设备本身缺陷造成各种故障应由乙方免费技术服务和维修。质保期内每年对设备维护≥2次，每年免费提供设备校准服务不少于1次。</w:t>
      </w:r>
    </w:p>
    <w:p w14:paraId="307AAC1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（四）乙方提供24小时服务支持，设备出现故障，</w:t>
      </w:r>
      <w:bookmarkStart w:id="156" w:name="OLE_LINK122"/>
      <w:bookmarkStart w:id="157" w:name="OLE_LINK121"/>
      <w:r>
        <w:rPr>
          <w:rFonts w:hint="eastAsia" w:asciiTheme="minorEastAsia" w:hAnsiTheme="minorEastAsia" w:eastAsiaTheme="minorEastAsia" w:cstheme="minorBidi"/>
          <w:color w:val="auto"/>
          <w:sz w:val="24"/>
          <w:highlight w:val="none"/>
        </w:rPr>
        <w:t>响应时间应小于1小时</w:t>
      </w:r>
      <w:bookmarkEnd w:id="156"/>
      <w:bookmarkEnd w:id="157"/>
      <w:r>
        <w:rPr>
          <w:rFonts w:hint="eastAsia" w:asciiTheme="minorEastAsia" w:hAnsiTheme="minorEastAsia" w:eastAsiaTheme="minorEastAsia" w:cstheme="minorBidi"/>
          <w:color w:val="auto"/>
          <w:sz w:val="24"/>
          <w:highlight w:val="none"/>
        </w:rPr>
        <w:t>；维修人员12小时内到达现场，需更换的零备件，48小时内到达现场；在72小时内对设备无法修复的，乙方须提供性能相当的产品供用户使用或可操作的应急方案</w:t>
      </w:r>
      <w:r>
        <w:rPr>
          <w:rFonts w:hint="eastAsia" w:hAnsi="宋体" w:cs="宋体"/>
          <w:color w:val="auto"/>
          <w:kern w:val="0"/>
          <w:sz w:val="24"/>
          <w:szCs w:val="21"/>
          <w:highlight w:val="none"/>
        </w:rPr>
        <w:t>（以上时间均自接到甲方通知后起算）</w:t>
      </w:r>
      <w:r>
        <w:rPr>
          <w:rFonts w:hint="eastAsia" w:asciiTheme="minorEastAsia" w:hAnsiTheme="minorEastAsia" w:eastAsiaTheme="minorEastAsia" w:cstheme="minorBidi"/>
          <w:color w:val="auto"/>
          <w:sz w:val="24"/>
          <w:highlight w:val="none"/>
        </w:rPr>
        <w:t>。</w:t>
      </w:r>
    </w:p>
    <w:p w14:paraId="1211D88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（五）质保期内由设备制造商负责技术和保养培训，承担售后服务和年度校准，并出具相关材料。质保期后不收任何维修费、差旅费等，仅收取配件费，终身维护。</w:t>
      </w:r>
    </w:p>
    <w:p w14:paraId="2418897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（六）乙方的维护方案（含维修价格）经采购人审核同意后执行。</w:t>
      </w:r>
    </w:p>
    <w:p w14:paraId="26EF6B5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（七）乙提供的所有的易耗品及维修备件的清单和供货价作为日后日常使用收费的依据，如未列明则默认为日后日常使用中免费提供。</w:t>
      </w:r>
    </w:p>
    <w:p w14:paraId="1B316F4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（八）乙方须提供免费软件升级服务。</w:t>
      </w:r>
    </w:p>
    <w:p w14:paraId="3493198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（九）培训服务</w:t>
      </w:r>
    </w:p>
    <w:p w14:paraId="0E96E3A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（1）乙方应提供由仪器生产厂家技术人员和临床专家负责的操作和维护技术培训，并提供培训相关材料。</w:t>
      </w:r>
    </w:p>
    <w:p w14:paraId="3CFF86A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操作应用培训：乙方负责在现场提供累计不少于5个工作日的操作和临床应用培训，使操作人员熟练掌握设备的操作规程及临床应用，并提供操作教学视频、操作规程、培训记录。操作教学视频应涵盖设备的所有操作及应用，且通俗易懂。所有培训费用已含入总价中。</w:t>
      </w:r>
    </w:p>
    <w:p w14:paraId="23BAAB4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（3）维修保养培训：乙方负责在现场提供维修人员的培训，使维修工程人员掌握设备参数设置、日常保养、常见故障排除等技能。乙方须提供涵盖上述内容的培训资料。所有培训费用已含入总价中。</w:t>
      </w:r>
    </w:p>
    <w:p w14:paraId="3B6F727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（4）乙方提供相应的培训方案（内容包括但不限于设备操作、应用培训及维修维护培训，详细说明培训的方式、内容、地点、人数、时间等）经甲方审核同意后实施。</w:t>
      </w:r>
    </w:p>
    <w:p w14:paraId="76245AC2">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（十）乙方违反上述质量保证及售后服务约定的，甲方有权按第十六条第二款、第三款处理。</w:t>
      </w:r>
    </w:p>
    <w:p w14:paraId="4689EC77">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四</w:t>
      </w:r>
      <w:r>
        <w:rPr>
          <w:rFonts w:asciiTheme="minorEastAsia" w:hAnsiTheme="minorEastAsia" w:eastAsiaTheme="minorEastAsia" w:cstheme="minorBidi"/>
          <w:b/>
          <w:color w:val="auto"/>
          <w:sz w:val="24"/>
          <w:highlight w:val="none"/>
        </w:rPr>
        <w:t>、安装、调试及验收</w:t>
      </w:r>
    </w:p>
    <w:p w14:paraId="673D0C5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（一）安装地点：甲方指定地点。</w:t>
      </w:r>
    </w:p>
    <w:p w14:paraId="056E2AB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（二）安装完成时间：</w:t>
      </w:r>
      <w:r>
        <w:rPr>
          <w:rFonts w:ascii="宋体" w:hAnsi="宋体" w:cs="宋体"/>
          <w:color w:val="auto"/>
          <w:kern w:val="0"/>
          <w:sz w:val="24"/>
          <w:szCs w:val="21"/>
          <w:highlight w:val="none"/>
        </w:rPr>
        <w:t>货到安装地点后，乙方应在</w:t>
      </w:r>
      <w:r>
        <w:rPr>
          <w:rFonts w:hint="eastAsia" w:asciiTheme="minorEastAsia" w:hAnsiTheme="minorEastAsia" w:eastAsiaTheme="minorEastAsia" w:cstheme="minorBidi"/>
          <w:color w:val="auto"/>
          <w:sz w:val="24"/>
          <w:highlight w:val="none"/>
        </w:rPr>
        <w:t>接到甲方通知后5个日历日内完成安装和调试，如在规定的时间内由于乙方的原因不能完成安装和调试，乙方应承担由此给甲方造成的损失。</w:t>
      </w:r>
    </w:p>
    <w:p w14:paraId="434D7B82">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（三）安装标准：符合我国国家有关技术规范要求和技术标准。</w:t>
      </w:r>
    </w:p>
    <w:p w14:paraId="7FC7EF4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（四）安装过程中发生的费用已包含在合同总价中。</w:t>
      </w:r>
    </w:p>
    <w:p w14:paraId="2E7AC3AC">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（五）乙方应发货前与甲方确认安装调试方案和安装调试过程中甲方需配合的内容。</w:t>
      </w:r>
    </w:p>
    <w:p w14:paraId="48FA4EF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（六）随机资料：乙方须提供使用操作手册2份，维修手册1份。</w:t>
      </w:r>
    </w:p>
    <w:p w14:paraId="25A2EE3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（七）设备搬运就位及安装过程中可能发生的拆除、开凿洞口、槽、修理、清理、填补、修补工作、清除安装过程中产生的垃圾等工作由乙方负责，相关费用包含在合同总价中。</w:t>
      </w:r>
    </w:p>
    <w:p w14:paraId="4A7EEAC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（八）验收</w:t>
      </w:r>
    </w:p>
    <w:p w14:paraId="675FA836">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货物交付时乙方应提供产品的有效检验文件及供货清单，经甲方认可后，与合同的性能指标一起作为产品验收标准。甲方对产品验收合格后，双方共同签署验收合格证书。如验收中发现产品达不到验收标准或合同约定的性能指标，乙方必须更换相关零部件，甚至于更换产品。并且赔偿由此给甲方造成的损失。如乙方存在故意以次充好或提供产品实物与投标承诺不符的情形，甲方有权按第十六条第二款、第三款处理。</w:t>
      </w:r>
    </w:p>
    <w:p w14:paraId="3E56B76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甲方有权委托具有法定资质的检测单位按投标承诺对交付的产品进行检测鉴定，如检测合格，相关费用由甲方承担；如果检测结果不符合，甲方可视情节严重程度，要求乙方换货、整改、重新送检或要求乙方退货退款及终止合同，乙方所发生的损失由其自负，甲方有权按第十六条第二款、第三款处理。</w:t>
      </w:r>
    </w:p>
    <w:p w14:paraId="6EACAB39">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3.验收合格条件：</w:t>
      </w:r>
    </w:p>
    <w:p w14:paraId="11273C3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（1）货物使用效果符合采购要求及国家相关标准；</w:t>
      </w:r>
    </w:p>
    <w:p w14:paraId="426D680C">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（2）在进行测试和试用过程中发生的故障和发现的问题已被排除，并得到甲方的认可；</w:t>
      </w:r>
    </w:p>
    <w:p w14:paraId="62FA18C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（3）所有合同中规定的材料、配件和资料都已提交并得到接受。</w:t>
      </w:r>
    </w:p>
    <w:p w14:paraId="5202317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4.</w:t>
      </w:r>
      <w:r>
        <w:rPr>
          <w:rFonts w:asciiTheme="minorEastAsia" w:hAnsiTheme="minorEastAsia" w:eastAsiaTheme="minorEastAsia" w:cstheme="minorBidi"/>
          <w:color w:val="auto"/>
          <w:sz w:val="24"/>
          <w:highlight w:val="none"/>
        </w:rPr>
        <w:t>验收</w:t>
      </w:r>
      <w:r>
        <w:rPr>
          <w:rFonts w:hint="eastAsia" w:asciiTheme="minorEastAsia" w:hAnsiTheme="minorEastAsia" w:eastAsiaTheme="minorEastAsia" w:cstheme="minorBidi"/>
          <w:color w:val="auto"/>
          <w:sz w:val="24"/>
          <w:highlight w:val="none"/>
        </w:rPr>
        <w:t>流程要求：</w:t>
      </w:r>
    </w:p>
    <w:p w14:paraId="7A0356B8">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初步验收：货物到货时由甲乙双方共同进行初步验收，甲方依据招标文件上的技术规格要求和国家有关质量标准对货物的品牌、外观、规格、参数配置、数量、配件等进行现场验收，符合招标文件及投标文件技术要求的，给予签收，初步验收不合格的不予签收。</w:t>
      </w:r>
    </w:p>
    <w:p w14:paraId="6D9A5D08">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（2）最终验收：设备安装、调试完成后10个工作日内，甲方组织有关人员或专家对货物安装调试后的使用性能、使用状况、技术资料等进行验收，验收前乙方须向甲方提供有关全部资料。</w:t>
      </w:r>
    </w:p>
    <w:p w14:paraId="321C41F8">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专业验收（如需要）：甲方有权邀请国家认可的第三方检测机构参与初步验收及最终验收，并由其出具验收意见（如检测合格，第三方检测费用由甲方承担；如不合格，本次检测及整改后重新检测直至合格的全部费用均由乙方承担）。</w:t>
      </w:r>
    </w:p>
    <w:p w14:paraId="0815304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注：初步验收、最终验收、专业验收（如需要）可同时或分别进行，乙方有权参与全部验收过程。</w:t>
      </w:r>
    </w:p>
    <w:p w14:paraId="565BF03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5.甲方根据上述规定进行验收，并不能免除乙方根据合同质量保证条款规定所应承担的质量保证责任。</w:t>
      </w:r>
    </w:p>
    <w:p w14:paraId="4B8A059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6.本项目验收需满足招标文件及投标文件要求外还应满足国家有关质量标准或行业规范（有新文件的按新文件执行）。</w:t>
      </w:r>
    </w:p>
    <w:p w14:paraId="751DD2F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7.</w:t>
      </w:r>
      <w:r>
        <w:rPr>
          <w:rFonts w:hint="eastAsia" w:ascii="宋体" w:hAnsi="宋体" w:cs="宋体"/>
          <w:color w:val="auto"/>
          <w:kern w:val="0"/>
          <w:sz w:val="24"/>
          <w:szCs w:val="21"/>
          <w:highlight w:val="none"/>
        </w:rPr>
        <w:t>相关验收费用包含在合同总价中</w:t>
      </w:r>
      <w:r>
        <w:rPr>
          <w:rFonts w:hint="eastAsia" w:hAnsi="宋体" w:cs="宋体"/>
          <w:color w:val="auto"/>
          <w:kern w:val="0"/>
          <w:sz w:val="24"/>
          <w:szCs w:val="21"/>
          <w:highlight w:val="none"/>
        </w:rPr>
        <w:t>（如发生专业验收费用按第4条第（3）款规定）</w:t>
      </w:r>
      <w:r>
        <w:rPr>
          <w:rFonts w:hint="eastAsia" w:ascii="宋体" w:hAnsi="宋体" w:cs="宋体"/>
          <w:color w:val="auto"/>
          <w:kern w:val="0"/>
          <w:sz w:val="24"/>
          <w:szCs w:val="21"/>
          <w:highlight w:val="none"/>
        </w:rPr>
        <w:t>，甲方不再另行支付。</w:t>
      </w:r>
    </w:p>
    <w:p w14:paraId="4C61950A">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五</w:t>
      </w:r>
      <w:r>
        <w:rPr>
          <w:rFonts w:asciiTheme="minorEastAsia" w:hAnsiTheme="minorEastAsia" w:eastAsiaTheme="minorEastAsia" w:cstheme="minorBidi"/>
          <w:b/>
          <w:color w:val="auto"/>
          <w:sz w:val="24"/>
          <w:highlight w:val="none"/>
        </w:rPr>
        <w:t>、货物包装、发运及运输</w:t>
      </w:r>
    </w:p>
    <w:p w14:paraId="4C17F8E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乙方应在货物发运前对其进行满足运输距离、防潮、防震、防锈和防破损装卸等要求包装，以保证货物安全运达甲方指定地点。</w:t>
      </w:r>
    </w:p>
    <w:p w14:paraId="6CE33699">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使用说明书、质量检验证明书、随配附件和工具以及清单一并附于货物内。</w:t>
      </w:r>
    </w:p>
    <w:p w14:paraId="709131FC">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w:t>
      </w:r>
      <w:r>
        <w:rPr>
          <w:rFonts w:asciiTheme="minorEastAsia" w:hAnsiTheme="minorEastAsia" w:eastAsiaTheme="minorEastAsia" w:cstheme="minorBidi"/>
          <w:color w:val="auto"/>
          <w:sz w:val="24"/>
          <w:highlight w:val="none"/>
        </w:rPr>
        <w:t>乙方在货物发运手续办理完毕后24小时内或货到甲方48小时前通知甲方，以准备接货。</w:t>
      </w:r>
    </w:p>
    <w:p w14:paraId="06123676">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w:t>
      </w:r>
      <w:r>
        <w:rPr>
          <w:rFonts w:asciiTheme="minorEastAsia" w:hAnsiTheme="minorEastAsia" w:eastAsiaTheme="minorEastAsia" w:cstheme="minorBidi"/>
          <w:color w:val="auto"/>
          <w:sz w:val="24"/>
          <w:highlight w:val="none"/>
        </w:rPr>
        <w:t>货物在交付甲方前发生的风险均由乙方负责。</w:t>
      </w:r>
    </w:p>
    <w:p w14:paraId="63257879">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w:t>
      </w:r>
      <w:r>
        <w:rPr>
          <w:rFonts w:asciiTheme="minorEastAsia" w:hAnsiTheme="minorEastAsia" w:eastAsiaTheme="minorEastAsia" w:cstheme="minorBidi"/>
          <w:color w:val="auto"/>
          <w:sz w:val="24"/>
          <w:highlight w:val="none"/>
        </w:rPr>
        <w:t>货物在规定的交付期限内由乙方送达甲方指定的地点视为交付，乙方同时需通知甲方货物已送达。</w:t>
      </w:r>
    </w:p>
    <w:p w14:paraId="3DE4AAC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（六）乙方运送的货物涉及商品包装和快递包装的，参考《商品包装政府采购需求标准（试行）》、《快递包装政府采购需求标准（试行）》（财办库［2020］123号）。</w:t>
      </w:r>
    </w:p>
    <w:p w14:paraId="498A105C">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六</w:t>
      </w:r>
      <w:r>
        <w:rPr>
          <w:rFonts w:asciiTheme="minorEastAsia" w:hAnsiTheme="minorEastAsia" w:eastAsiaTheme="minorEastAsia" w:cstheme="minorBidi"/>
          <w:b/>
          <w:color w:val="auto"/>
          <w:sz w:val="24"/>
          <w:highlight w:val="none"/>
        </w:rPr>
        <w:t>、违约责任</w:t>
      </w:r>
    </w:p>
    <w:p w14:paraId="0F88D4A0">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甲方无正当理由拒收货物的，甲方向乙方偿付拒收货款总值的</w:t>
      </w:r>
      <w:r>
        <w:rPr>
          <w:rFonts w:asciiTheme="minorEastAsia" w:hAnsiTheme="minorEastAsia" w:eastAsiaTheme="minorEastAsia" w:cstheme="minorBidi"/>
          <w:color w:val="auto"/>
          <w:sz w:val="24"/>
          <w:highlight w:val="none"/>
          <w:u w:val="single"/>
        </w:rPr>
        <w:t>百分之五</w:t>
      </w:r>
      <w:r>
        <w:rPr>
          <w:rFonts w:asciiTheme="minorEastAsia" w:hAnsiTheme="minorEastAsia" w:eastAsiaTheme="minorEastAsia" w:cstheme="minorBidi"/>
          <w:color w:val="auto"/>
          <w:sz w:val="24"/>
          <w:highlight w:val="none"/>
        </w:rPr>
        <w:t>违约金。</w:t>
      </w:r>
    </w:p>
    <w:p w14:paraId="151CC509">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乙方逾期交付货物的，乙方应按逾期交货总额每日</w:t>
      </w:r>
      <w:r>
        <w:rPr>
          <w:rFonts w:asciiTheme="minorEastAsia" w:hAnsiTheme="minorEastAsia" w:eastAsiaTheme="minorEastAsia" w:cstheme="minorBidi"/>
          <w:color w:val="auto"/>
          <w:sz w:val="24"/>
          <w:highlight w:val="none"/>
          <w:u w:val="single"/>
        </w:rPr>
        <w:t>千分之六</w:t>
      </w:r>
      <w:r>
        <w:rPr>
          <w:rFonts w:asciiTheme="minorEastAsia" w:hAnsiTheme="minorEastAsia" w:eastAsiaTheme="minorEastAsia" w:cstheme="minorBidi"/>
          <w:color w:val="auto"/>
          <w:sz w:val="24"/>
          <w:highlight w:val="none"/>
        </w:rPr>
        <w:t>向甲方支付违约金，由甲方从待付货款中扣除。逾期超过约定日期</w:t>
      </w:r>
      <w:r>
        <w:rPr>
          <w:rFonts w:asciiTheme="minorEastAsia" w:hAnsiTheme="minorEastAsia" w:eastAsiaTheme="minorEastAsia" w:cstheme="minorBidi"/>
          <w:color w:val="auto"/>
          <w:sz w:val="24"/>
          <w:highlight w:val="none"/>
          <w:u w:val="single"/>
        </w:rPr>
        <w:t>10</w:t>
      </w:r>
      <w:r>
        <w:rPr>
          <w:rFonts w:asciiTheme="minorEastAsia" w:hAnsiTheme="minorEastAsia" w:eastAsiaTheme="minorEastAsia" w:cstheme="minorBidi"/>
          <w:color w:val="auto"/>
          <w:sz w:val="24"/>
          <w:highlight w:val="none"/>
        </w:rPr>
        <w:t>个工作日不能交货的，甲方可解除本合同。乙方因逾期交货或未按投标承诺提供质保、售后等服务或因其他违约行为导致甲方解除合同的，乙方应退回甲方已支付的全部货款并向甲方支付合同总值</w:t>
      </w:r>
      <w:r>
        <w:rPr>
          <w:rFonts w:asciiTheme="minorEastAsia" w:hAnsiTheme="minorEastAsia" w:eastAsiaTheme="minorEastAsia" w:cstheme="minorBidi"/>
          <w:color w:val="auto"/>
          <w:sz w:val="24"/>
          <w:highlight w:val="none"/>
          <w:u w:val="single"/>
        </w:rPr>
        <w:t>5%</w:t>
      </w:r>
      <w:r>
        <w:rPr>
          <w:rFonts w:asciiTheme="minorEastAsia" w:hAnsiTheme="minorEastAsia" w:eastAsiaTheme="minorEastAsia" w:cstheme="minorBidi"/>
          <w:color w:val="auto"/>
          <w:sz w:val="24"/>
          <w:highlight w:val="none"/>
        </w:rPr>
        <w:t xml:space="preserve">的违约金，如造成甲方损失超过违约金的，超出部分由乙方继续承担赔偿责任。 </w:t>
      </w:r>
    </w:p>
    <w:p w14:paraId="14FAF3F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w:t>
      </w:r>
      <w:r>
        <w:rPr>
          <w:rFonts w:asciiTheme="minorEastAsia" w:hAnsiTheme="minorEastAsia" w:eastAsiaTheme="minorEastAsia" w:cstheme="minorBidi"/>
          <w:color w:val="auto"/>
          <w:sz w:val="24"/>
          <w:highlight w:val="none"/>
        </w:rPr>
        <w:t>乙方所交的货物品种、型号、规格、技术参数、质量不符合合同约定及招标文件规定标准的，甲方有权拒收该货物，乙方愿意更换货物但逾期交货的，按乙方逾期交货处理。乙方拒绝更换货物的，甲方有权解除合同</w:t>
      </w:r>
      <w:r>
        <w:rPr>
          <w:rFonts w:hint="eastAsia" w:asciiTheme="minorEastAsia" w:hAnsiTheme="minorEastAsia" w:eastAsiaTheme="minorEastAsia" w:cstheme="minorBidi"/>
          <w:color w:val="auto"/>
          <w:sz w:val="24"/>
          <w:highlight w:val="none"/>
        </w:rPr>
        <w:t>并按照第二款追究乙方违约责任。</w:t>
      </w:r>
    </w:p>
    <w:p w14:paraId="3382B229">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（四）若发生纠纷，由违约方赔偿守约方因纠纷所支付的费用（包括但不限于律师费、差旅费、诉讼费、保全费、鉴定费、评估费等）。</w:t>
      </w:r>
    </w:p>
    <w:p w14:paraId="569F6AD6">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（五）乙方提供产品如涉及国家规定强制认证的，须在甲方对上述货物验收时提供相关证书证明资料，否则按验收不通过处理，并对乙方处以合同总金额10%的违约金。</w:t>
      </w:r>
    </w:p>
    <w:p w14:paraId="4719DC6A">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七</w:t>
      </w:r>
      <w:r>
        <w:rPr>
          <w:rFonts w:asciiTheme="minorEastAsia" w:hAnsiTheme="minorEastAsia" w:eastAsiaTheme="minorEastAsia" w:cstheme="minorBidi"/>
          <w:b/>
          <w:color w:val="auto"/>
          <w:sz w:val="24"/>
          <w:highlight w:val="none"/>
        </w:rPr>
        <w:t>、不可抗力事件处理</w:t>
      </w:r>
    </w:p>
    <w:p w14:paraId="1C210A36">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在合同有效期内，任何一方因不可抗力事件导致不能履行合同，则合同履行期可延长，其延长期与不可抗力影响期相同。</w:t>
      </w:r>
    </w:p>
    <w:p w14:paraId="2C87367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不可抗力事件发生后，应立即通知对方，并寄送有关权威机构出具的证明。</w:t>
      </w:r>
    </w:p>
    <w:p w14:paraId="03B9BFEF">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w:t>
      </w:r>
      <w:r>
        <w:rPr>
          <w:rFonts w:asciiTheme="minorEastAsia" w:hAnsiTheme="minorEastAsia" w:eastAsiaTheme="minorEastAsia" w:cstheme="minorBidi"/>
          <w:color w:val="auto"/>
          <w:sz w:val="24"/>
          <w:highlight w:val="none"/>
        </w:rPr>
        <w:t>不可抗力事件延续120天以上，双方应通过友好协商，确定是否继续履行合同。</w:t>
      </w:r>
    </w:p>
    <w:p w14:paraId="17CE962E">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八</w:t>
      </w:r>
      <w:r>
        <w:rPr>
          <w:rFonts w:asciiTheme="minorEastAsia" w:hAnsiTheme="minorEastAsia" w:eastAsiaTheme="minorEastAsia" w:cstheme="minorBidi"/>
          <w:b/>
          <w:color w:val="auto"/>
          <w:sz w:val="24"/>
          <w:highlight w:val="none"/>
        </w:rPr>
        <w:t>、</w:t>
      </w:r>
      <w:r>
        <w:rPr>
          <w:rFonts w:hint="eastAsia" w:asciiTheme="minorEastAsia" w:hAnsiTheme="minorEastAsia" w:eastAsiaTheme="minorEastAsia" w:cstheme="minorBidi"/>
          <w:b/>
          <w:color w:val="auto"/>
          <w:sz w:val="24"/>
          <w:highlight w:val="none"/>
        </w:rPr>
        <w:t>解决争议的方法</w:t>
      </w:r>
    </w:p>
    <w:p w14:paraId="61C9812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如双方在履行合同时发生纠纷，应协商解决；协商不成时，可提请政府采购管理部门调解；调解不成的通过</w:t>
      </w:r>
      <w:r>
        <w:rPr>
          <w:rFonts w:hint="eastAsia" w:asciiTheme="minorEastAsia" w:hAnsiTheme="minorEastAsia" w:eastAsiaTheme="minorEastAsia" w:cstheme="minorBidi"/>
          <w:color w:val="auto"/>
          <w:sz w:val="24"/>
          <w:highlight w:val="none"/>
        </w:rPr>
        <w:t>通过以下第</w:t>
      </w:r>
      <w:r>
        <w:rPr>
          <w:rFonts w:hint="eastAsia" w:asciiTheme="minorEastAsia" w:hAnsiTheme="minorEastAsia" w:eastAsiaTheme="minorEastAsia" w:cstheme="minorBidi"/>
          <w:color w:val="auto"/>
          <w:sz w:val="24"/>
          <w:highlight w:val="none"/>
          <w:u w:val="single"/>
        </w:rPr>
        <w:t>（ 二 ）</w:t>
      </w:r>
      <w:r>
        <w:rPr>
          <w:rFonts w:hint="eastAsia" w:asciiTheme="minorEastAsia" w:hAnsiTheme="minorEastAsia" w:eastAsiaTheme="minorEastAsia" w:cstheme="minorBidi"/>
          <w:color w:val="auto"/>
          <w:sz w:val="24"/>
          <w:highlight w:val="none"/>
        </w:rPr>
        <w:t>方式解决</w:t>
      </w:r>
      <w:r>
        <w:rPr>
          <w:rFonts w:asciiTheme="minorEastAsia" w:hAnsiTheme="minorEastAsia" w:eastAsiaTheme="minorEastAsia" w:cstheme="minorBidi"/>
          <w:color w:val="auto"/>
          <w:sz w:val="24"/>
          <w:highlight w:val="none"/>
        </w:rPr>
        <w:t>：</w:t>
      </w:r>
    </w:p>
    <w:p w14:paraId="2805C3C0">
      <w:pPr>
        <w:widowControl/>
        <w:adjustRightInd w:val="0"/>
        <w:snapToGrid w:val="0"/>
        <w:spacing w:line="440" w:lineRule="exact"/>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（一）</w:t>
      </w:r>
      <w:r>
        <w:rPr>
          <w:rFonts w:cs="宋体" w:asciiTheme="minorEastAsia" w:hAnsiTheme="minorEastAsia" w:eastAsiaTheme="minorEastAsia"/>
          <w:color w:val="auto"/>
          <w:kern w:val="0"/>
          <w:sz w:val="24"/>
          <w:highlight w:val="none"/>
        </w:rPr>
        <w:t>提交</w:t>
      </w:r>
      <w:r>
        <w:rPr>
          <w:rFonts w:asciiTheme="minorEastAsia" w:hAnsiTheme="minorEastAsia" w:eastAsiaTheme="minorEastAsia"/>
          <w:color w:val="auto"/>
          <w:sz w:val="24"/>
          <w:highlight w:val="none"/>
          <w:u w:val="single"/>
        </w:rPr>
        <w:t>台州</w:t>
      </w:r>
      <w:r>
        <w:rPr>
          <w:rFonts w:cs="宋体" w:asciiTheme="minorEastAsia" w:hAnsiTheme="minorEastAsia" w:eastAsiaTheme="minorEastAsia"/>
          <w:color w:val="auto"/>
          <w:kern w:val="0"/>
          <w:sz w:val="24"/>
          <w:highlight w:val="none"/>
        </w:rPr>
        <w:t>仲裁委员会仲裁。</w:t>
      </w:r>
    </w:p>
    <w:p w14:paraId="6335078B">
      <w:pPr>
        <w:widowControl/>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（二）</w:t>
      </w:r>
      <w:r>
        <w:rPr>
          <w:rFonts w:cs="宋体" w:asciiTheme="minorEastAsia" w:hAnsiTheme="minorEastAsia" w:eastAsiaTheme="minorEastAsia"/>
          <w:color w:val="auto"/>
          <w:kern w:val="0"/>
          <w:sz w:val="24"/>
          <w:highlight w:val="none"/>
        </w:rPr>
        <w:t>依法向</w:t>
      </w:r>
      <w:r>
        <w:rPr>
          <w:rFonts w:cs="宋体" w:asciiTheme="minorEastAsia" w:hAnsiTheme="minorEastAsia" w:eastAsiaTheme="minorEastAsia"/>
          <w:color w:val="auto"/>
          <w:kern w:val="0"/>
          <w:sz w:val="24"/>
          <w:highlight w:val="none"/>
          <w:u w:val="single"/>
        </w:rPr>
        <w:t>甲方所在地</w:t>
      </w:r>
      <w:r>
        <w:rPr>
          <w:rFonts w:cs="宋体" w:asciiTheme="minorEastAsia" w:hAnsiTheme="minorEastAsia" w:eastAsiaTheme="minorEastAsia"/>
          <w:color w:val="auto"/>
          <w:kern w:val="0"/>
          <w:sz w:val="24"/>
          <w:highlight w:val="none"/>
        </w:rPr>
        <w:t xml:space="preserve">人民法院提起诉讼。 </w:t>
      </w:r>
    </w:p>
    <w:p w14:paraId="2B8724AF">
      <w:pPr>
        <w:tabs>
          <w:tab w:val="left" w:pos="5790"/>
        </w:tabs>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九</w:t>
      </w:r>
      <w:r>
        <w:rPr>
          <w:rFonts w:asciiTheme="minorEastAsia" w:hAnsiTheme="minorEastAsia" w:eastAsiaTheme="minorEastAsia" w:cstheme="minorBidi"/>
          <w:b/>
          <w:color w:val="auto"/>
          <w:sz w:val="24"/>
          <w:highlight w:val="none"/>
        </w:rPr>
        <w:t>、合同生效及其它</w:t>
      </w:r>
      <w:r>
        <w:rPr>
          <w:rFonts w:asciiTheme="minorEastAsia" w:hAnsiTheme="minorEastAsia" w:eastAsiaTheme="minorEastAsia" w:cstheme="minorBidi"/>
          <w:b/>
          <w:color w:val="auto"/>
          <w:sz w:val="24"/>
          <w:highlight w:val="none"/>
        </w:rPr>
        <w:tab/>
      </w:r>
    </w:p>
    <w:p w14:paraId="6E47A29E">
      <w:pPr>
        <w:widowControl/>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合同经双方法定代表人或授权代表</w:t>
      </w:r>
      <w:r>
        <w:rPr>
          <w:rFonts w:hint="eastAsia" w:asciiTheme="minorEastAsia" w:hAnsiTheme="minorEastAsia" w:eastAsiaTheme="minorEastAsia" w:cstheme="minorBidi"/>
          <w:color w:val="auto"/>
          <w:sz w:val="24"/>
          <w:highlight w:val="none"/>
        </w:rPr>
        <w:t>签字</w:t>
      </w:r>
      <w:r>
        <w:rPr>
          <w:rFonts w:asciiTheme="minorEastAsia" w:hAnsiTheme="minorEastAsia" w:eastAsiaTheme="minorEastAsia" w:cstheme="minorBidi"/>
          <w:color w:val="auto"/>
          <w:sz w:val="24"/>
          <w:highlight w:val="none"/>
        </w:rPr>
        <w:t>并加盖单位公章、骑缝章后生效。</w:t>
      </w:r>
    </w:p>
    <w:p w14:paraId="0B127EE5">
      <w:pPr>
        <w:widowControl/>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本合同未尽事宜，遵照《</w:t>
      </w:r>
      <w:r>
        <w:rPr>
          <w:rFonts w:hint="eastAsia" w:asciiTheme="minorEastAsia" w:hAnsiTheme="minorEastAsia" w:eastAsiaTheme="minorEastAsia" w:cstheme="minorBidi"/>
          <w:color w:val="auto"/>
          <w:sz w:val="24"/>
          <w:highlight w:val="none"/>
        </w:rPr>
        <w:t>中华人民共和国民法典</w:t>
      </w:r>
      <w:r>
        <w:rPr>
          <w:rFonts w:asciiTheme="minorEastAsia" w:hAnsiTheme="minorEastAsia" w:eastAsiaTheme="minorEastAsia" w:cstheme="minorBidi"/>
          <w:color w:val="auto"/>
          <w:sz w:val="24"/>
          <w:highlight w:val="none"/>
        </w:rPr>
        <w:t>》有关条文执行。</w:t>
      </w:r>
    </w:p>
    <w:p w14:paraId="20CEAB11">
      <w:pPr>
        <w:widowControl/>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（三）本合同一式陆份，甲、乙双方各执叁份。本项目未尽事宜以招标文件、投标文件及澄清文件等为准。</w:t>
      </w:r>
    </w:p>
    <w:p w14:paraId="7D7B9552">
      <w:pPr>
        <w:widowControl/>
        <w:jc w:val="left"/>
        <w:rPr>
          <w:rFonts w:asciiTheme="minorEastAsia" w:hAnsiTheme="minorEastAsia" w:eastAsiaTheme="minorEastAsia"/>
          <w:color w:val="auto"/>
          <w:sz w:val="24"/>
          <w:highlight w:val="none"/>
        </w:rPr>
      </w:pPr>
    </w:p>
    <w:p w14:paraId="20981E65">
      <w:pPr>
        <w:adjustRightInd w:val="0"/>
        <w:snapToGrid w:val="0"/>
        <w:spacing w:before="156" w:beforeLines="50"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甲方（公章）                                     乙方（公章）</w:t>
      </w:r>
    </w:p>
    <w:p w14:paraId="627D5841">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法定代表人：                                     法定代表人：</w:t>
      </w:r>
    </w:p>
    <w:p w14:paraId="36F626DD">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委托代理人：                                     委托代理人：</w:t>
      </w:r>
    </w:p>
    <w:p w14:paraId="75EFBCAD">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联系电话：                                       联系电话：</w:t>
      </w:r>
    </w:p>
    <w:p w14:paraId="1AF3A742">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开户银行：                                       开户银行：</w:t>
      </w:r>
    </w:p>
    <w:p w14:paraId="7B0E9F39">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账号：                                           账号：</w:t>
      </w:r>
    </w:p>
    <w:p w14:paraId="0CC4D5BC">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地址及邮编：                                     地址及邮编：</w:t>
      </w:r>
    </w:p>
    <w:p w14:paraId="78EDA415">
      <w:pPr>
        <w:adjustRightInd w:val="0"/>
        <w:snapToGrid w:val="0"/>
        <w:spacing w:line="440" w:lineRule="exact"/>
        <w:jc w:val="right"/>
        <w:rPr>
          <w:rFonts w:asciiTheme="minorEastAsia" w:hAnsiTheme="minorEastAsia" w:eastAsiaTheme="minorEastAsia"/>
          <w:color w:val="auto"/>
          <w:sz w:val="24"/>
          <w:highlight w:val="none"/>
        </w:rPr>
      </w:pPr>
    </w:p>
    <w:p w14:paraId="09ED3960">
      <w:pPr>
        <w:widowControl/>
        <w:jc w:val="left"/>
        <w:rPr>
          <w:rFonts w:asciiTheme="majorEastAsia" w:hAnsiTheme="majorEastAsia" w:eastAsiaTheme="majorEastAsia"/>
          <w:b/>
          <w:color w:val="auto"/>
          <w:sz w:val="36"/>
          <w:highlight w:val="none"/>
        </w:rPr>
      </w:pPr>
      <w:r>
        <w:rPr>
          <w:rFonts w:hint="eastAsia" w:asciiTheme="minorEastAsia" w:hAnsiTheme="minorEastAsia" w:eastAsiaTheme="minorEastAsia"/>
          <w:color w:val="auto"/>
          <w:sz w:val="24"/>
          <w:highlight w:val="none"/>
        </w:rPr>
        <w:t>签订时间：    年   月    日</w:t>
      </w:r>
      <w:r>
        <w:rPr>
          <w:rFonts w:asciiTheme="majorEastAsia" w:hAnsiTheme="majorEastAsia" w:eastAsiaTheme="majorEastAsia"/>
          <w:b/>
          <w:color w:val="auto"/>
          <w:sz w:val="36"/>
          <w:highlight w:val="none"/>
        </w:rPr>
        <w:br w:type="page"/>
      </w:r>
    </w:p>
    <w:p w14:paraId="228DCE9F">
      <w:pPr>
        <w:spacing w:line="360" w:lineRule="auto"/>
        <w:jc w:val="center"/>
        <w:rPr>
          <w:rFonts w:asciiTheme="minorEastAsia" w:hAnsiTheme="minorEastAsia" w:eastAsiaTheme="minorEastAsia"/>
          <w:b/>
          <w:color w:val="auto"/>
          <w:sz w:val="36"/>
          <w:szCs w:val="36"/>
          <w:highlight w:val="none"/>
        </w:rPr>
      </w:pPr>
      <w:bookmarkStart w:id="158" w:name="_Toc5481_WPSOffice_Level1"/>
      <w:r>
        <w:rPr>
          <w:rFonts w:hint="eastAsia" w:asciiTheme="minorEastAsia" w:hAnsiTheme="minorEastAsia" w:eastAsiaTheme="minorEastAsia"/>
          <w:b/>
          <w:color w:val="auto"/>
          <w:sz w:val="36"/>
          <w:szCs w:val="36"/>
          <w:highlight w:val="none"/>
        </w:rPr>
        <w:t>第六章 投标文件格式</w:t>
      </w:r>
      <w:bookmarkEnd w:id="158"/>
    </w:p>
    <w:p w14:paraId="76CD305D">
      <w:pPr>
        <w:rPr>
          <w:rFonts w:ascii="宋体" w:hAnsi="宋体"/>
          <w:b/>
          <w:color w:val="auto"/>
          <w:kern w:val="0"/>
          <w:sz w:val="28"/>
          <w:szCs w:val="28"/>
          <w:highlight w:val="none"/>
        </w:rPr>
      </w:pPr>
      <w:r>
        <w:rPr>
          <w:rFonts w:hint="eastAsia" w:ascii="宋体" w:hAnsi="宋体"/>
          <w:b/>
          <w:color w:val="auto"/>
          <w:kern w:val="0"/>
          <w:sz w:val="28"/>
          <w:szCs w:val="28"/>
          <w:highlight w:val="none"/>
        </w:rPr>
        <w:t>附件1</w:t>
      </w:r>
      <w:r>
        <w:rPr>
          <w:rFonts w:hint="eastAsia" w:ascii="宋体" w:hAnsi="宋体"/>
          <w:color w:val="auto"/>
          <w:sz w:val="30"/>
          <w:szCs w:val="30"/>
          <w:highlight w:val="none"/>
        </w:rPr>
        <w:t xml:space="preserve"> 　　　</w:t>
      </w:r>
    </w:p>
    <w:p w14:paraId="10E47CD5">
      <w:pPr>
        <w:spacing w:line="360" w:lineRule="auto"/>
        <w:rPr>
          <w:rFonts w:asciiTheme="minorEastAsia" w:hAnsiTheme="minorEastAsia" w:eastAsiaTheme="minorEastAsia"/>
          <w:b/>
          <w:color w:val="auto"/>
          <w:sz w:val="30"/>
          <w:szCs w:val="30"/>
          <w:highlight w:val="none"/>
        </w:rPr>
      </w:pPr>
    </w:p>
    <w:p w14:paraId="1C9FCA91">
      <w:pPr>
        <w:jc w:val="center"/>
        <w:rPr>
          <w:color w:val="auto"/>
          <w:sz w:val="52"/>
          <w:szCs w:val="52"/>
          <w:highlight w:val="none"/>
        </w:rPr>
      </w:pPr>
      <w:bookmarkStart w:id="159" w:name="_Toc32372_WPSOffice_Level1"/>
      <w:bookmarkStart w:id="160" w:name="_Toc4956_WPSOffice_Level1"/>
      <w:bookmarkStart w:id="161" w:name="_Toc19093_WPSOffice_Level1"/>
      <w:r>
        <w:rPr>
          <w:rFonts w:hint="eastAsia"/>
          <w:color w:val="auto"/>
          <w:sz w:val="52"/>
          <w:szCs w:val="52"/>
          <w:highlight w:val="none"/>
        </w:rPr>
        <w:t>项目名称</w:t>
      </w:r>
      <w:bookmarkEnd w:id="159"/>
      <w:bookmarkEnd w:id="160"/>
      <w:bookmarkEnd w:id="161"/>
    </w:p>
    <w:p w14:paraId="6D3504A2">
      <w:pPr>
        <w:spacing w:before="312"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w:t>
      </w:r>
      <w:bookmarkStart w:id="162" w:name="OLE_LINK110"/>
      <w:bookmarkStart w:id="163" w:name="OLE_LINK111"/>
      <w:r>
        <w:rPr>
          <w:rFonts w:hint="eastAsia" w:ascii="宋体" w:hAnsi="宋体"/>
          <w:color w:val="auto"/>
          <w:sz w:val="36"/>
          <w:szCs w:val="36"/>
          <w:highlight w:val="none"/>
        </w:rPr>
        <w:t>（标项</w:t>
      </w:r>
      <w:r>
        <w:rPr>
          <w:rFonts w:hint="eastAsia" w:ascii="宋体" w:hAnsi="宋体"/>
          <w:color w:val="auto"/>
          <w:sz w:val="36"/>
          <w:szCs w:val="36"/>
          <w:highlight w:val="none"/>
          <w:u w:val="single"/>
        </w:rPr>
        <w:t xml:space="preserve">    </w:t>
      </w:r>
      <w:r>
        <w:rPr>
          <w:rFonts w:hint="eastAsia" w:ascii="宋体" w:hAnsi="宋体"/>
          <w:color w:val="auto"/>
          <w:sz w:val="36"/>
          <w:szCs w:val="36"/>
          <w:highlight w:val="none"/>
        </w:rPr>
        <w:t>）</w:t>
      </w:r>
      <w:bookmarkEnd w:id="162"/>
      <w:bookmarkEnd w:id="163"/>
    </w:p>
    <w:p w14:paraId="4FF74B80">
      <w:pPr>
        <w:pStyle w:val="21"/>
        <w:rPr>
          <w:color w:val="auto"/>
          <w:highlight w:val="none"/>
        </w:rPr>
      </w:pPr>
    </w:p>
    <w:p w14:paraId="124223EC">
      <w:pPr>
        <w:jc w:val="center"/>
        <w:rPr>
          <w:color w:val="auto"/>
          <w:sz w:val="84"/>
          <w:szCs w:val="84"/>
          <w:highlight w:val="none"/>
          <w:lang w:val="zh-CN"/>
        </w:rPr>
      </w:pPr>
      <w:r>
        <w:rPr>
          <w:rFonts w:hint="eastAsia"/>
          <w:color w:val="auto"/>
          <w:sz w:val="84"/>
          <w:szCs w:val="84"/>
          <w:highlight w:val="none"/>
          <w:lang w:val="zh-CN"/>
        </w:rPr>
        <w:t>投</w:t>
      </w:r>
    </w:p>
    <w:p w14:paraId="3CBB67A7">
      <w:pPr>
        <w:jc w:val="center"/>
        <w:rPr>
          <w:color w:val="auto"/>
          <w:sz w:val="84"/>
          <w:szCs w:val="84"/>
          <w:highlight w:val="none"/>
          <w:lang w:val="zh-CN"/>
        </w:rPr>
      </w:pPr>
      <w:r>
        <w:rPr>
          <w:rFonts w:hint="eastAsia"/>
          <w:color w:val="auto"/>
          <w:sz w:val="84"/>
          <w:szCs w:val="84"/>
          <w:highlight w:val="none"/>
          <w:lang w:val="zh-CN"/>
        </w:rPr>
        <w:t>标</w:t>
      </w:r>
    </w:p>
    <w:p w14:paraId="59C055F7">
      <w:pPr>
        <w:jc w:val="center"/>
        <w:rPr>
          <w:color w:val="auto"/>
          <w:sz w:val="84"/>
          <w:szCs w:val="84"/>
          <w:highlight w:val="none"/>
        </w:rPr>
      </w:pPr>
      <w:r>
        <w:rPr>
          <w:rFonts w:hint="eastAsia"/>
          <w:color w:val="auto"/>
          <w:sz w:val="84"/>
          <w:szCs w:val="84"/>
          <w:highlight w:val="none"/>
          <w:lang w:val="zh-CN"/>
        </w:rPr>
        <w:t>文</w:t>
      </w:r>
    </w:p>
    <w:p w14:paraId="0A7E776E">
      <w:pPr>
        <w:jc w:val="center"/>
        <w:rPr>
          <w:color w:val="auto"/>
          <w:sz w:val="84"/>
          <w:szCs w:val="84"/>
          <w:highlight w:val="none"/>
          <w:lang w:val="zh-CN"/>
        </w:rPr>
      </w:pPr>
      <w:r>
        <w:rPr>
          <w:rFonts w:hint="eastAsia"/>
          <w:color w:val="auto"/>
          <w:sz w:val="84"/>
          <w:szCs w:val="84"/>
          <w:highlight w:val="none"/>
          <w:lang w:val="zh-CN"/>
        </w:rPr>
        <w:t>件</w:t>
      </w:r>
    </w:p>
    <w:p w14:paraId="5E4F5FFD">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
          <w:color w:val="auto"/>
          <w:sz w:val="28"/>
          <w:szCs w:val="28"/>
          <w:highlight w:val="none"/>
        </w:rPr>
        <w:t>资格证明文件）</w:t>
      </w:r>
    </w:p>
    <w:p w14:paraId="4ACE5AB5">
      <w:pPr>
        <w:pStyle w:val="21"/>
        <w:rPr>
          <w:color w:val="auto"/>
          <w:highlight w:val="none"/>
        </w:rPr>
      </w:pPr>
    </w:p>
    <w:p w14:paraId="7D9B78D0">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投标供应商全称（电子印章）：</w:t>
      </w:r>
    </w:p>
    <w:p w14:paraId="79B9EDD7">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14:paraId="7CA490DC">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14:paraId="65A4744A">
      <w:pPr>
        <w:pStyle w:val="9"/>
        <w:rPr>
          <w:rFonts w:asciiTheme="minorEastAsia" w:hAnsiTheme="minorEastAsia" w:eastAsiaTheme="minorEastAsia"/>
          <w:color w:val="auto"/>
          <w:sz w:val="28"/>
          <w:szCs w:val="28"/>
          <w:highlight w:val="none"/>
        </w:rPr>
      </w:pPr>
    </w:p>
    <w:p w14:paraId="3FD73179">
      <w:pPr>
        <w:pStyle w:val="9"/>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注：中标供应商提交纸质投标文件时须提供封面，供应商提交电子投标文件时可不提供封面。</w:t>
      </w:r>
    </w:p>
    <w:p w14:paraId="0B916D16">
      <w:pPr>
        <w:spacing w:line="360" w:lineRule="auto"/>
        <w:jc w:val="center"/>
        <w:rPr>
          <w:b/>
          <w:bCs/>
          <w:color w:val="auto"/>
          <w:sz w:val="32"/>
          <w:szCs w:val="40"/>
          <w:highlight w:val="none"/>
        </w:rPr>
      </w:pPr>
    </w:p>
    <w:p w14:paraId="2FF09B84">
      <w:pPr>
        <w:spacing w:line="360" w:lineRule="auto"/>
        <w:jc w:val="center"/>
        <w:rPr>
          <w:b/>
          <w:bCs/>
          <w:color w:val="auto"/>
          <w:sz w:val="32"/>
          <w:szCs w:val="40"/>
          <w:highlight w:val="none"/>
        </w:rPr>
      </w:pPr>
      <w:r>
        <w:rPr>
          <w:rFonts w:hint="eastAsia"/>
          <w:b/>
          <w:bCs/>
          <w:color w:val="auto"/>
          <w:sz w:val="32"/>
          <w:szCs w:val="40"/>
          <w:highlight w:val="none"/>
        </w:rPr>
        <w:t>资格证明文件目录</w:t>
      </w:r>
    </w:p>
    <w:p w14:paraId="3DD9491C">
      <w:pPr>
        <w:spacing w:line="360" w:lineRule="auto"/>
        <w:ind w:firstLine="420" w:firstLineChars="200"/>
        <w:rPr>
          <w:color w:val="auto"/>
          <w:highlight w:val="none"/>
        </w:rPr>
      </w:pPr>
    </w:p>
    <w:p w14:paraId="3E6581EC">
      <w:pPr>
        <w:spacing w:line="360" w:lineRule="auto"/>
        <w:ind w:firstLine="480" w:firstLineChars="200"/>
        <w:rPr>
          <w:rFonts w:asciiTheme="minorEastAsia" w:hAnsiTheme="minorEastAsia" w:eastAsiaTheme="minorEastAsia"/>
          <w:color w:val="auto"/>
          <w:sz w:val="24"/>
          <w:highlight w:val="none"/>
        </w:rPr>
      </w:pPr>
      <w:bookmarkStart w:id="164" w:name="_Toc12587_WPSOffice_Level1"/>
      <w:bookmarkStart w:id="165" w:name="_Toc27049_WPSOffice_Level1"/>
      <w:r>
        <w:rPr>
          <w:rFonts w:hint="eastAsia" w:asciiTheme="minorEastAsia" w:hAnsiTheme="minorEastAsia" w:eastAsiaTheme="minorEastAsia"/>
          <w:color w:val="auto"/>
          <w:sz w:val="24"/>
          <w:highlight w:val="none"/>
        </w:rPr>
        <w:t>1.投标声明书；</w:t>
      </w:r>
      <w:bookmarkEnd w:id="164"/>
      <w:bookmarkEnd w:id="165"/>
    </w:p>
    <w:p w14:paraId="0A72D1B9">
      <w:pPr>
        <w:spacing w:line="360" w:lineRule="auto"/>
        <w:ind w:firstLine="480" w:firstLineChars="200"/>
        <w:rPr>
          <w:rFonts w:asciiTheme="minorEastAsia" w:hAnsiTheme="minorEastAsia" w:eastAsiaTheme="minorEastAsia"/>
          <w:color w:val="auto"/>
          <w:sz w:val="24"/>
          <w:highlight w:val="none"/>
        </w:rPr>
      </w:pPr>
      <w:bookmarkStart w:id="166" w:name="_Toc25574_WPSOffice_Level1"/>
      <w:bookmarkStart w:id="167" w:name="_Toc28306_WPSOffice_Level1"/>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授权</w:t>
      </w:r>
      <w:r>
        <w:rPr>
          <w:rFonts w:hint="eastAsia" w:asciiTheme="minorEastAsia" w:hAnsiTheme="minorEastAsia" w:eastAsiaTheme="minorEastAsia"/>
          <w:color w:val="auto"/>
          <w:sz w:val="24"/>
          <w:highlight w:val="none"/>
        </w:rPr>
        <w:t>委托</w:t>
      </w:r>
      <w:r>
        <w:rPr>
          <w:rFonts w:asciiTheme="minorEastAsia" w:hAnsiTheme="minorEastAsia" w:eastAsiaTheme="minorEastAsia"/>
          <w:color w:val="auto"/>
          <w:sz w:val="24"/>
          <w:highlight w:val="none"/>
        </w:rPr>
        <w:t>书</w:t>
      </w:r>
      <w:r>
        <w:rPr>
          <w:rFonts w:hint="eastAsia" w:asciiTheme="minorEastAsia" w:hAnsiTheme="minorEastAsia" w:eastAsiaTheme="minorEastAsia"/>
          <w:color w:val="auto"/>
          <w:sz w:val="24"/>
          <w:highlight w:val="none"/>
        </w:rPr>
        <w:t>（法定代表人办理投标事宜的，则仅需提供身份证扫描件或影印件，无需提交本授权书)；</w:t>
      </w:r>
      <w:bookmarkEnd w:id="166"/>
      <w:bookmarkEnd w:id="167"/>
    </w:p>
    <w:p w14:paraId="10DCD679">
      <w:pPr>
        <w:spacing w:line="360" w:lineRule="auto"/>
        <w:ind w:firstLine="480" w:firstLineChars="200"/>
        <w:rPr>
          <w:rFonts w:asciiTheme="minorEastAsia" w:hAnsiTheme="minorEastAsia" w:eastAsiaTheme="minorEastAsia"/>
          <w:color w:val="auto"/>
          <w:sz w:val="24"/>
          <w:highlight w:val="none"/>
        </w:rPr>
      </w:pPr>
      <w:bookmarkStart w:id="168" w:name="_Toc29616_WPSOffice_Level1"/>
      <w:bookmarkStart w:id="169" w:name="_Toc32100_WPSOffice_Level1"/>
      <w:r>
        <w:rPr>
          <w:rFonts w:hint="eastAsia" w:asciiTheme="minorEastAsia" w:hAnsiTheme="minorEastAsia" w:eastAsiaTheme="minorEastAsia"/>
          <w:color w:val="auto"/>
          <w:sz w:val="24"/>
          <w:highlight w:val="none"/>
        </w:rPr>
        <w:t>3.</w:t>
      </w:r>
      <w:bookmarkEnd w:id="168"/>
      <w:bookmarkEnd w:id="169"/>
      <w:bookmarkStart w:id="170" w:name="_Toc25807_WPSOffice_Level1"/>
      <w:bookmarkStart w:id="171" w:name="_Toc9981_WPSOffice_Level1"/>
      <w:r>
        <w:rPr>
          <w:rFonts w:hint="eastAsia" w:cs="宋体"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法人或者其他组织的营业执照等证明文件，符合浙财采监[2013]24号文件规定的分支机构投标的还须提供总公司（总机构）授权书原件加盖供应商公章或房产权证复印件加盖供应商公章或其他有效财产证明材料复印件加盖供应商公章；</w:t>
      </w:r>
    </w:p>
    <w:bookmarkEnd w:id="170"/>
    <w:bookmarkEnd w:id="171"/>
    <w:p w14:paraId="55FCD77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4.供应商财务状况和依法缴纳税收及社会保障资金的书面承诺；</w:t>
      </w:r>
    </w:p>
    <w:p w14:paraId="19BBDB88">
      <w:pPr>
        <w:spacing w:line="360" w:lineRule="auto"/>
        <w:ind w:firstLine="480" w:firstLineChars="200"/>
        <w:rPr>
          <w:rFonts w:asciiTheme="minorEastAsia" w:hAnsiTheme="minorEastAsia" w:eastAsiaTheme="minorEastAsia"/>
          <w:color w:val="auto"/>
          <w:sz w:val="24"/>
          <w:highlight w:val="none"/>
        </w:rPr>
      </w:pPr>
      <w:bookmarkStart w:id="172" w:name="_Toc2696_WPSOffice_Level1"/>
      <w:bookmarkStart w:id="173" w:name="_Toc30751_WPSOffice_Level1"/>
      <w:r>
        <w:rPr>
          <w:rFonts w:hint="eastAsia" w:asciiTheme="minorEastAsia" w:hAnsiTheme="minorEastAsia" w:eastAsiaTheme="minorEastAsia"/>
          <w:color w:val="auto"/>
          <w:sz w:val="24"/>
          <w:highlight w:val="none"/>
        </w:rPr>
        <w:t>5.</w:t>
      </w:r>
      <w:r>
        <w:rPr>
          <w:rFonts w:asciiTheme="minorEastAsia" w:hAnsiTheme="minorEastAsia" w:eastAsiaTheme="minorEastAsia"/>
          <w:color w:val="auto"/>
          <w:sz w:val="24"/>
          <w:highlight w:val="none"/>
        </w:rPr>
        <w:t>具备履行合同所必需的设备和专业技术能力的</w:t>
      </w:r>
      <w:bookmarkEnd w:id="172"/>
      <w:bookmarkEnd w:id="173"/>
      <w:r>
        <w:rPr>
          <w:rFonts w:hint="eastAsia" w:asciiTheme="minorEastAsia" w:hAnsiTheme="minorEastAsia" w:eastAsiaTheme="minorEastAsia"/>
          <w:color w:val="auto"/>
          <w:sz w:val="24"/>
          <w:highlight w:val="none"/>
        </w:rPr>
        <w:t>承诺函</w:t>
      </w:r>
      <w:r>
        <w:rPr>
          <w:rFonts w:asciiTheme="minorEastAsia" w:hAnsiTheme="minorEastAsia" w:eastAsiaTheme="minorEastAsia"/>
          <w:color w:val="auto"/>
          <w:sz w:val="24"/>
          <w:highlight w:val="none"/>
        </w:rPr>
        <w:t>；</w:t>
      </w:r>
    </w:p>
    <w:p w14:paraId="79BAE371">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6.符合本项目特定资格要求的证明材料</w:t>
      </w:r>
      <w:r>
        <w:rPr>
          <w:rFonts w:hint="eastAsia" w:asciiTheme="minorEastAsia" w:hAnsiTheme="minorEastAsia" w:eastAsiaTheme="minorEastAsia"/>
          <w:color w:val="auto"/>
          <w:sz w:val="24"/>
          <w:highlight w:val="none"/>
          <w:lang w:eastAsia="zh-CN"/>
        </w:rPr>
        <w:t>；</w:t>
      </w:r>
    </w:p>
    <w:p w14:paraId="748270A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hint="eastAsia" w:asciiTheme="minorEastAsia" w:hAnsiTheme="minorEastAsia" w:eastAsiaTheme="minorEastAsia"/>
          <w:color w:val="auto"/>
          <w:sz w:val="24"/>
          <w:highlight w:val="none"/>
        </w:rPr>
        <w:t>需要说明的其他资料（如有）。</w:t>
      </w:r>
    </w:p>
    <w:p w14:paraId="58E6F56C">
      <w:pPr>
        <w:spacing w:line="360" w:lineRule="auto"/>
        <w:rPr>
          <w:rFonts w:ascii="宋体" w:hAnsi="宋体"/>
          <w:b/>
          <w:color w:val="auto"/>
          <w:sz w:val="28"/>
          <w:highlight w:val="none"/>
        </w:rPr>
      </w:pPr>
    </w:p>
    <w:p w14:paraId="74E45824">
      <w:pPr>
        <w:spacing w:line="360" w:lineRule="auto"/>
        <w:ind w:left="420"/>
        <w:rPr>
          <w:rFonts w:ascii="宋体" w:hAnsi="宋体"/>
          <w:b/>
          <w:color w:val="auto"/>
          <w:sz w:val="28"/>
          <w:highlight w:val="none"/>
        </w:rPr>
      </w:pPr>
    </w:p>
    <w:p w14:paraId="3BFAA17F">
      <w:pPr>
        <w:pStyle w:val="27"/>
        <w:rPr>
          <w:rFonts w:ascii="宋体" w:hAnsi="宋体"/>
          <w:b/>
          <w:color w:val="auto"/>
          <w:sz w:val="28"/>
          <w:highlight w:val="none"/>
        </w:rPr>
      </w:pPr>
    </w:p>
    <w:p w14:paraId="4D058A67">
      <w:pPr>
        <w:pStyle w:val="27"/>
        <w:rPr>
          <w:rFonts w:ascii="宋体" w:hAnsi="宋体"/>
          <w:b/>
          <w:color w:val="auto"/>
          <w:sz w:val="28"/>
          <w:highlight w:val="none"/>
        </w:rPr>
      </w:pPr>
    </w:p>
    <w:p w14:paraId="2C0769EE">
      <w:pPr>
        <w:pStyle w:val="9"/>
        <w:rPr>
          <w:b/>
          <w:color w:val="auto"/>
          <w:sz w:val="24"/>
          <w:szCs w:val="24"/>
          <w:highlight w:val="none"/>
        </w:rPr>
      </w:pPr>
      <w:r>
        <w:rPr>
          <w:b/>
          <w:color w:val="auto"/>
          <w:sz w:val="24"/>
          <w:szCs w:val="24"/>
          <w:highlight w:val="none"/>
        </w:rPr>
        <w:t>注：目录内容以投标供应商实际提供材料为准。</w:t>
      </w:r>
    </w:p>
    <w:p w14:paraId="3924BF71">
      <w:pPr>
        <w:spacing w:line="360" w:lineRule="auto"/>
        <w:ind w:left="420"/>
        <w:rPr>
          <w:rFonts w:ascii="宋体" w:hAnsi="宋体"/>
          <w:b/>
          <w:color w:val="auto"/>
          <w:sz w:val="28"/>
          <w:highlight w:val="none"/>
        </w:rPr>
      </w:pPr>
    </w:p>
    <w:p w14:paraId="274088D1">
      <w:pPr>
        <w:spacing w:line="360" w:lineRule="auto"/>
        <w:ind w:left="420"/>
        <w:rPr>
          <w:rFonts w:ascii="宋体" w:hAnsi="宋体"/>
          <w:b/>
          <w:color w:val="auto"/>
          <w:sz w:val="28"/>
          <w:highlight w:val="none"/>
        </w:rPr>
      </w:pPr>
    </w:p>
    <w:p w14:paraId="660D5081">
      <w:pPr>
        <w:spacing w:line="360" w:lineRule="auto"/>
        <w:ind w:left="420"/>
        <w:rPr>
          <w:rFonts w:ascii="宋体" w:hAnsi="宋体"/>
          <w:b/>
          <w:color w:val="auto"/>
          <w:sz w:val="28"/>
          <w:highlight w:val="none"/>
        </w:rPr>
      </w:pPr>
    </w:p>
    <w:p w14:paraId="30821688">
      <w:pPr>
        <w:spacing w:line="360" w:lineRule="auto"/>
        <w:ind w:left="420"/>
        <w:rPr>
          <w:rFonts w:ascii="宋体" w:hAnsi="宋体"/>
          <w:b/>
          <w:color w:val="auto"/>
          <w:sz w:val="28"/>
          <w:highlight w:val="none"/>
        </w:rPr>
      </w:pPr>
    </w:p>
    <w:p w14:paraId="6BAFD619">
      <w:pPr>
        <w:spacing w:line="360" w:lineRule="auto"/>
        <w:rPr>
          <w:rFonts w:ascii="宋体" w:hAnsi="宋体"/>
          <w:b/>
          <w:color w:val="auto"/>
          <w:sz w:val="28"/>
          <w:highlight w:val="none"/>
        </w:rPr>
      </w:pPr>
    </w:p>
    <w:p w14:paraId="29973AD1">
      <w:pPr>
        <w:widowControl/>
        <w:jc w:val="left"/>
        <w:rPr>
          <w:rFonts w:ascii="宋体" w:hAnsi="宋体"/>
          <w:b/>
          <w:color w:val="auto"/>
          <w:sz w:val="28"/>
          <w:highlight w:val="none"/>
        </w:rPr>
      </w:pPr>
      <w:r>
        <w:rPr>
          <w:rFonts w:ascii="宋体" w:hAnsi="宋体"/>
          <w:b/>
          <w:color w:val="auto"/>
          <w:sz w:val="28"/>
          <w:highlight w:val="none"/>
        </w:rPr>
        <w:br w:type="page"/>
      </w:r>
    </w:p>
    <w:p w14:paraId="62DF473F">
      <w:pPr>
        <w:spacing w:line="312" w:lineRule="auto"/>
        <w:rPr>
          <w:rFonts w:ascii="宋体" w:hAnsi="宋体"/>
          <w:b/>
          <w:color w:val="auto"/>
          <w:sz w:val="28"/>
          <w:highlight w:val="none"/>
        </w:rPr>
      </w:pPr>
      <w:r>
        <w:rPr>
          <w:rFonts w:hint="eastAsia" w:ascii="宋体" w:hAnsi="宋体"/>
          <w:b/>
          <w:color w:val="auto"/>
          <w:sz w:val="28"/>
          <w:highlight w:val="none"/>
        </w:rPr>
        <w:t>附件2</w:t>
      </w:r>
    </w:p>
    <w:p w14:paraId="22027D92">
      <w:pPr>
        <w:adjustRightInd w:val="0"/>
        <w:snapToGrid w:val="0"/>
        <w:ind w:right="482"/>
        <w:jc w:val="center"/>
        <w:rPr>
          <w:rFonts w:ascii="宋体" w:hAnsi="宋体"/>
          <w:b/>
          <w:color w:val="auto"/>
          <w:kern w:val="0"/>
          <w:sz w:val="32"/>
          <w:szCs w:val="32"/>
          <w:highlight w:val="none"/>
          <w:lang w:val="zh-CN"/>
        </w:rPr>
      </w:pPr>
      <w:bookmarkStart w:id="174" w:name="_Toc30723_WPSOffice_Level1"/>
      <w:bookmarkStart w:id="175" w:name="_Toc31708_WPSOffice_Level1"/>
      <w:r>
        <w:rPr>
          <w:rFonts w:hint="eastAsia" w:ascii="宋体" w:hAnsi="宋体"/>
          <w:b/>
          <w:color w:val="auto"/>
          <w:kern w:val="0"/>
          <w:sz w:val="32"/>
          <w:szCs w:val="32"/>
          <w:highlight w:val="none"/>
          <w:lang w:val="zh-CN"/>
        </w:rPr>
        <w:t>投标声明书</w:t>
      </w:r>
      <w:bookmarkEnd w:id="174"/>
      <w:bookmarkEnd w:id="175"/>
    </w:p>
    <w:p w14:paraId="50F3C534">
      <w:pPr>
        <w:snapToGrid w:val="0"/>
        <w:spacing w:before="156" w:beforeLines="50" w:after="50" w:line="440" w:lineRule="exact"/>
        <w:rPr>
          <w:rFonts w:ascii="宋体" w:hAnsi="宋体" w:cs="宋体"/>
          <w:color w:val="auto"/>
          <w:kern w:val="0"/>
          <w:sz w:val="24"/>
          <w:highlight w:val="none"/>
        </w:rPr>
      </w:pPr>
      <w:r>
        <w:rPr>
          <w:rFonts w:hint="eastAsia" w:ascii="宋体" w:hAnsi="宋体" w:cs="宋体"/>
          <w:color w:val="auto"/>
          <w:kern w:val="0"/>
          <w:sz w:val="24"/>
          <w:highlight w:val="none"/>
          <w:u w:val="single"/>
        </w:rPr>
        <w:t>浙江中永工程咨询有限公司</w:t>
      </w:r>
      <w:r>
        <w:rPr>
          <w:rFonts w:hint="eastAsia" w:ascii="宋体" w:hAnsi="宋体" w:cs="宋体"/>
          <w:color w:val="auto"/>
          <w:kern w:val="0"/>
          <w:sz w:val="24"/>
          <w:highlight w:val="none"/>
        </w:rPr>
        <w:t>（</w:t>
      </w:r>
      <w:r>
        <w:rPr>
          <w:rFonts w:hint="eastAsia" w:asciiTheme="minorEastAsia" w:hAnsiTheme="minorEastAsia" w:eastAsiaTheme="minorEastAsia"/>
          <w:color w:val="auto"/>
          <w:sz w:val="24"/>
          <w:highlight w:val="none"/>
        </w:rPr>
        <w:t>采购组织机构名称</w:t>
      </w:r>
      <w:r>
        <w:rPr>
          <w:rFonts w:hint="eastAsia" w:ascii="宋体" w:hAnsi="宋体" w:cs="宋体"/>
          <w:color w:val="auto"/>
          <w:kern w:val="0"/>
          <w:sz w:val="24"/>
          <w:highlight w:val="none"/>
        </w:rPr>
        <w:t>）：</w:t>
      </w:r>
    </w:p>
    <w:p w14:paraId="008577FB">
      <w:pPr>
        <w:snapToGrid w:val="0"/>
        <w:spacing w:line="44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u w:val="single"/>
        </w:rPr>
        <w:t>（投标供应商名称）</w:t>
      </w:r>
      <w:r>
        <w:rPr>
          <w:rFonts w:hint="eastAsia" w:ascii="宋体" w:hAnsi="宋体" w:cs="宋体"/>
          <w:color w:val="auto"/>
          <w:kern w:val="0"/>
          <w:sz w:val="24"/>
          <w:highlight w:val="none"/>
        </w:rPr>
        <w:t>系中华人民共和国合法企业，经营地址</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069F3A2">
      <w:pPr>
        <w:snapToGrid w:val="0"/>
        <w:spacing w:line="44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投标供应商名称 </w:t>
      </w:r>
      <w:r>
        <w:rPr>
          <w:rFonts w:hint="eastAsia" w:ascii="宋体" w:hAnsi="宋体" w:cs="宋体"/>
          <w:color w:val="auto"/>
          <w:kern w:val="0"/>
          <w:sz w:val="24"/>
          <w:highlight w:val="none"/>
        </w:rPr>
        <w:t>）的法定代表人，我公司自愿参加贵方组织的</w:t>
      </w:r>
      <w:r>
        <w:rPr>
          <w:rFonts w:hint="eastAsia" w:ascii="宋体" w:hAnsi="宋体" w:cs="宋体"/>
          <w:color w:val="auto"/>
          <w:kern w:val="0"/>
          <w:sz w:val="24"/>
          <w:highlight w:val="none"/>
          <w:u w:val="single"/>
        </w:rPr>
        <w:t>台州市椒江区白云街道社区卫生服务中心CT采购项目</w:t>
      </w:r>
      <w:r>
        <w:rPr>
          <w:rFonts w:hint="eastAsia" w:ascii="宋体" w:hAnsi="宋体" w:cs="宋体"/>
          <w:color w:val="auto"/>
          <w:kern w:val="0"/>
          <w:sz w:val="24"/>
          <w:highlight w:val="none"/>
        </w:rPr>
        <w:t>（编号为</w:t>
      </w:r>
      <w:r>
        <w:rPr>
          <w:rFonts w:ascii="宋体" w:hAnsi="宋体" w:cs="宋体"/>
          <w:color w:val="auto"/>
          <w:kern w:val="0"/>
          <w:sz w:val="24"/>
          <w:highlight w:val="none"/>
          <w:u w:val="single"/>
        </w:rPr>
        <w:t>ZYZFCG〔2025〕008</w:t>
      </w:r>
      <w:r>
        <w:rPr>
          <w:rFonts w:hint="eastAsia" w:ascii="宋体" w:hAnsi="宋体" w:cs="宋体"/>
          <w:color w:val="auto"/>
          <w:kern w:val="0"/>
          <w:sz w:val="24"/>
          <w:highlight w:val="none"/>
        </w:rPr>
        <w:t>）的投标，为此，我公司就本次投标有关事项郑重声明如下：</w:t>
      </w:r>
    </w:p>
    <w:p w14:paraId="32A73F5E">
      <w:pPr>
        <w:numPr>
          <w:ilvl w:val="0"/>
          <w:numId w:val="11"/>
        </w:num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我公司声明截止投标时间近三年以来：</w:t>
      </w:r>
      <w:r>
        <w:rPr>
          <w:rFonts w:hint="eastAsia" w:ascii="宋体" w:hAnsi="宋体" w:cs="宋体"/>
          <w:color w:val="auto"/>
          <w:sz w:val="24"/>
          <w:highlight w:val="none"/>
        </w:rPr>
        <w:t>未被“信用中国”（www.creditchina.gov.cn)、</w:t>
      </w:r>
      <w:r>
        <w:rPr>
          <w:rFonts w:hint="eastAsia" w:ascii="宋体" w:hAnsi="宋体" w:cs="宋体"/>
          <w:color w:val="auto"/>
          <w:kern w:val="0"/>
          <w:sz w:val="24"/>
          <w:highlight w:val="none"/>
        </w:rPr>
        <w:t>中国政府</w:t>
      </w:r>
      <w:r>
        <w:rPr>
          <w:rFonts w:hint="eastAsia" w:ascii="宋体" w:hAnsi="宋体" w:cs="宋体"/>
          <w:color w:val="auto"/>
          <w:sz w:val="24"/>
          <w:highlight w:val="none"/>
        </w:rPr>
        <w:t>采购网（www.ccgp.gov.cn）列入失信被执行人、重大税收违法失信主体、政府采购严重违法失信行为记录名单</w:t>
      </w:r>
      <w:r>
        <w:rPr>
          <w:rFonts w:hint="eastAsia" w:ascii="宋体" w:hAnsi="宋体" w:cs="宋体"/>
          <w:color w:val="auto"/>
          <w:kern w:val="0"/>
          <w:sz w:val="24"/>
          <w:highlight w:val="none"/>
        </w:rPr>
        <w:t>，以及不存在其他不符合《中华人民共和国政府采购法》第二十二条规定的条件。【说明：投标供应商在截止投标时间近三年以来，如有上述所列情形，但限制期届满的，可按实陈述，并提供相应证明文件。】</w:t>
      </w:r>
    </w:p>
    <w:p w14:paraId="3EF3701D">
      <w:pPr>
        <w:numPr>
          <w:ilvl w:val="0"/>
          <w:numId w:val="11"/>
        </w:num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我公司在参与投标前已详细审查了招标文件和所有相关资料，我方完全知悉并认为此招标文件没有倾向性，也没有存在排斥潜在投标供应商的内容，我方对招标文件的所有内容没有任何异议，不申请澄清和质疑。</w:t>
      </w:r>
    </w:p>
    <w:p w14:paraId="224BD0F1">
      <w:pPr>
        <w:numPr>
          <w:ilvl w:val="0"/>
          <w:numId w:val="11"/>
        </w:numPr>
        <w:snapToGrid w:val="0"/>
        <w:spacing w:line="440" w:lineRule="exact"/>
        <w:rPr>
          <w:rFonts w:ascii="宋体" w:hAnsi="宋体"/>
          <w:color w:val="auto"/>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rPr>
        <w:t>不是采购人的附属机构；</w:t>
      </w:r>
      <w:r>
        <w:rPr>
          <w:rFonts w:hint="eastAsia" w:ascii="宋体" w:hAnsi="宋体"/>
          <w:color w:val="auto"/>
          <w:sz w:val="24"/>
          <w:highlight w:val="none"/>
        </w:rPr>
        <w:t>在获知本项目采购信息后，与采购人聘请的为此项目提供咨询服务的公司及其附属机构没有任何联系。</w:t>
      </w:r>
    </w:p>
    <w:p w14:paraId="2B5E4478">
      <w:pPr>
        <w:pStyle w:val="28"/>
        <w:numPr>
          <w:ilvl w:val="0"/>
          <w:numId w:val="11"/>
        </w:numPr>
        <w:snapToGrid w:val="0"/>
        <w:spacing w:line="440" w:lineRule="exact"/>
        <w:ind w:firstLineChars="0"/>
        <w:rPr>
          <w:rFonts w:ascii="宋体" w:hAnsi="宋体"/>
          <w:color w:val="auto"/>
          <w:kern w:val="0"/>
          <w:sz w:val="24"/>
          <w:highlight w:val="none"/>
          <w:lang w:val="af-ZA"/>
        </w:rPr>
      </w:pP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投标报价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14:paraId="18AD85E1">
      <w:pPr>
        <w:pStyle w:val="28"/>
        <w:numPr>
          <w:ilvl w:val="0"/>
          <w:numId w:val="11"/>
        </w:numPr>
        <w:snapToGrid w:val="0"/>
        <w:spacing w:line="440" w:lineRule="exact"/>
        <w:ind w:firstLineChars="0"/>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30957A65">
      <w:pPr>
        <w:pStyle w:val="28"/>
        <w:numPr>
          <w:ilvl w:val="0"/>
          <w:numId w:val="11"/>
        </w:numPr>
        <w:snapToGrid w:val="0"/>
        <w:spacing w:line="440" w:lineRule="exact"/>
        <w:ind w:firstLineChars="0"/>
        <w:rPr>
          <w:rFonts w:ascii="宋体" w:hAnsi="宋体"/>
          <w:color w:val="auto"/>
          <w:sz w:val="24"/>
          <w:highlight w:val="none"/>
        </w:rPr>
      </w:pPr>
      <w:r>
        <w:rPr>
          <w:rFonts w:hint="eastAsia" w:ascii="宋体" w:hAnsi="宋体"/>
          <w:color w:val="auto"/>
          <w:sz w:val="24"/>
          <w:highlight w:val="none"/>
        </w:rPr>
        <w:t>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14:paraId="70A862D7">
      <w:pPr>
        <w:adjustRightInd w:val="0"/>
        <w:snapToGrid w:val="0"/>
        <w:spacing w:line="440" w:lineRule="exact"/>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投标供应商名称(电子印章)：</w:t>
      </w:r>
    </w:p>
    <w:p w14:paraId="320B3726">
      <w:pPr>
        <w:adjustRightInd w:val="0"/>
        <w:snapToGrid w:val="0"/>
        <w:spacing w:line="440" w:lineRule="exact"/>
        <w:ind w:firstLine="20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法定代表人或授权委托人签字或电子印章：</w:t>
      </w:r>
    </w:p>
    <w:p w14:paraId="71245844">
      <w:pPr>
        <w:adjustRightInd w:val="0"/>
        <w:snapToGrid w:val="0"/>
        <w:spacing w:line="440" w:lineRule="exact"/>
        <w:ind w:firstLine="20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日期：</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日</w:t>
      </w:r>
    </w:p>
    <w:p w14:paraId="5BF584D4">
      <w:pPr>
        <w:widowControl/>
        <w:jc w:val="left"/>
        <w:rPr>
          <w:rFonts w:ascii="宋体" w:hAnsi="宋体"/>
          <w:b/>
          <w:color w:val="auto"/>
          <w:sz w:val="28"/>
          <w:highlight w:val="none"/>
        </w:rPr>
      </w:pPr>
      <w:r>
        <w:rPr>
          <w:rFonts w:ascii="宋体" w:hAnsi="宋体"/>
          <w:b/>
          <w:color w:val="auto"/>
          <w:sz w:val="28"/>
          <w:highlight w:val="none"/>
        </w:rPr>
        <w:br w:type="page"/>
      </w:r>
    </w:p>
    <w:p w14:paraId="278F2637">
      <w:pPr>
        <w:adjustRightInd w:val="0"/>
        <w:snapToGrid w:val="0"/>
        <w:spacing w:line="360" w:lineRule="auto"/>
        <w:ind w:right="480"/>
        <w:rPr>
          <w:rFonts w:ascii="宋体"/>
          <w:b/>
          <w:color w:val="auto"/>
          <w:sz w:val="30"/>
          <w:szCs w:val="30"/>
          <w:highlight w:val="none"/>
        </w:rPr>
      </w:pPr>
      <w:r>
        <w:rPr>
          <w:rFonts w:hint="eastAsia" w:ascii="宋体" w:hAnsi="宋体"/>
          <w:b/>
          <w:color w:val="auto"/>
          <w:sz w:val="28"/>
          <w:highlight w:val="none"/>
        </w:rPr>
        <w:t>附件3</w:t>
      </w:r>
    </w:p>
    <w:p w14:paraId="2D45E38A">
      <w:pPr>
        <w:spacing w:line="360" w:lineRule="auto"/>
        <w:ind w:firstLine="321" w:firstLineChars="100"/>
        <w:jc w:val="center"/>
        <w:rPr>
          <w:rFonts w:hAnsi="宋体"/>
          <w:b/>
          <w:color w:val="auto"/>
          <w:sz w:val="32"/>
          <w:szCs w:val="32"/>
          <w:highlight w:val="none"/>
          <w:u w:val="single"/>
        </w:rPr>
      </w:pPr>
      <w:bookmarkStart w:id="176" w:name="_Toc24373_WPSOffice_Level1"/>
      <w:bookmarkStart w:id="177" w:name="_Toc6870_WPSOffice_Level1"/>
      <w:bookmarkStart w:id="178" w:name="_Toc20519_WPSOffice_Level1"/>
      <w:bookmarkStart w:id="179" w:name="_Toc351_WPSOffice_Level1"/>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bookmarkEnd w:id="176"/>
      <w:bookmarkEnd w:id="177"/>
    </w:p>
    <w:p w14:paraId="73D46FBF">
      <w:pPr>
        <w:snapToGrid w:val="0"/>
        <w:spacing w:before="156" w:beforeLines="50" w:after="50" w:line="360" w:lineRule="auto"/>
        <w:rPr>
          <w:rFonts w:ascii="宋体" w:hAnsi="宋体" w:cs="宋体"/>
          <w:color w:val="auto"/>
          <w:kern w:val="0"/>
          <w:sz w:val="24"/>
          <w:highlight w:val="none"/>
        </w:rPr>
      </w:pPr>
      <w:r>
        <w:rPr>
          <w:rFonts w:hint="eastAsia" w:ascii="宋体" w:hAnsi="宋体" w:cstheme="minorBidi"/>
          <w:color w:val="auto"/>
          <w:sz w:val="24"/>
          <w:highlight w:val="none"/>
          <w:u w:val="single"/>
        </w:rPr>
        <w:t>浙江中永工程咨询有限公司（采购组织机构名称）</w:t>
      </w:r>
      <w:r>
        <w:rPr>
          <w:rFonts w:hint="eastAsia" w:ascii="宋体" w:hAnsi="宋体" w:cstheme="minorBidi"/>
          <w:color w:val="auto"/>
          <w:sz w:val="24"/>
          <w:highlight w:val="none"/>
        </w:rPr>
        <w:t>：</w:t>
      </w:r>
    </w:p>
    <w:p w14:paraId="55D067F9">
      <w:pPr>
        <w:pStyle w:val="13"/>
        <w:ind w:left="0" w:leftChars="0" w:firstLine="573"/>
        <w:rPr>
          <w:color w:val="auto"/>
          <w:highlight w:val="none"/>
        </w:rPr>
      </w:pPr>
      <w:r>
        <w:rPr>
          <w:color w:val="auto"/>
          <w:highlight w:val="none"/>
          <w:u w:val="single"/>
        </w:rPr>
        <w:t xml:space="preserve">  （投标供应商全称）  </w:t>
      </w:r>
      <w:r>
        <w:rPr>
          <w:color w:val="auto"/>
          <w:highlight w:val="none"/>
        </w:rPr>
        <w:t>法定代表人</w:t>
      </w:r>
      <w:r>
        <w:rPr>
          <w:rFonts w:hint="eastAsia" w:ascii="Arial" w:hAnsi="Arial" w:cs="Arial"/>
          <w:color w:val="auto"/>
          <w:highlight w:val="none"/>
        </w:rPr>
        <w:t>（或营业执照中单位负责人）</w:t>
      </w:r>
      <w:r>
        <w:rPr>
          <w:color w:val="auto"/>
          <w:highlight w:val="none"/>
          <w:u w:val="single"/>
        </w:rPr>
        <w:tab/>
      </w:r>
      <w:r>
        <w:rPr>
          <w:color w:val="auto"/>
          <w:highlight w:val="none"/>
          <w:u w:val="single"/>
        </w:rPr>
        <w:t>（法定代表</w:t>
      </w:r>
      <w:r>
        <w:rPr>
          <w:rFonts w:hint="eastAsia"/>
          <w:color w:val="auto"/>
          <w:highlight w:val="none"/>
          <w:u w:val="single"/>
        </w:rPr>
        <w:t>人</w:t>
      </w:r>
      <w:r>
        <w:rPr>
          <w:rFonts w:hint="eastAsia" w:ascii="Arial" w:hAnsi="Arial" w:cs="Arial"/>
          <w:color w:val="auto"/>
          <w:highlight w:val="none"/>
          <w:u w:val="single"/>
        </w:rPr>
        <w:t>或营业执照中单位负责人</w:t>
      </w:r>
      <w:r>
        <w:rPr>
          <w:color w:val="auto"/>
          <w:highlight w:val="none"/>
          <w:u w:val="single"/>
        </w:rPr>
        <w:t xml:space="preserve">姓名） </w:t>
      </w:r>
      <w:r>
        <w:rPr>
          <w:color w:val="auto"/>
          <w:highlight w:val="none"/>
        </w:rPr>
        <w:t>授权</w:t>
      </w:r>
      <w:r>
        <w:rPr>
          <w:rFonts w:hint="eastAsia"/>
          <w:color w:val="auto"/>
          <w:highlight w:val="none"/>
          <w:u w:val="single"/>
        </w:rPr>
        <w:t xml:space="preserve">   （全权代表</w:t>
      </w:r>
      <w:r>
        <w:rPr>
          <w:color w:val="auto"/>
          <w:highlight w:val="none"/>
          <w:u w:val="single"/>
        </w:rPr>
        <w:t>姓名</w:t>
      </w:r>
      <w:r>
        <w:rPr>
          <w:rFonts w:hint="eastAsia"/>
          <w:color w:val="auto"/>
          <w:highlight w:val="none"/>
          <w:u w:val="single"/>
        </w:rPr>
        <w:t xml:space="preserve">） </w:t>
      </w:r>
      <w:r>
        <w:rPr>
          <w:color w:val="auto"/>
          <w:highlight w:val="none"/>
        </w:rPr>
        <w:t>为</w:t>
      </w:r>
      <w:r>
        <w:rPr>
          <w:rFonts w:hint="eastAsia"/>
          <w:color w:val="auto"/>
          <w:highlight w:val="none"/>
        </w:rPr>
        <w:t>全权代表</w:t>
      </w:r>
      <w:r>
        <w:rPr>
          <w:color w:val="auto"/>
          <w:highlight w:val="none"/>
        </w:rPr>
        <w:t>，参加贵单位组织的</w:t>
      </w:r>
      <w:r>
        <w:rPr>
          <w:rFonts w:hint="eastAsia"/>
          <w:color w:val="auto"/>
          <w:highlight w:val="none"/>
          <w:u w:val="single"/>
        </w:rPr>
        <w:t>台州市椒江区白云街道社区卫生服务中心CT采购项目</w:t>
      </w:r>
      <w:r>
        <w:rPr>
          <w:rFonts w:hint="eastAsia" w:cs="宋体"/>
          <w:color w:val="auto"/>
          <w:kern w:val="0"/>
          <w:highlight w:val="none"/>
        </w:rPr>
        <w:t>（</w:t>
      </w:r>
      <w:r>
        <w:rPr>
          <w:rFonts w:hint="eastAsia" w:cs="仿宋_GB2312"/>
          <w:bCs/>
          <w:color w:val="auto"/>
          <w:kern w:val="0"/>
          <w:highlight w:val="none"/>
          <w:lang w:val="zh-CN"/>
        </w:rPr>
        <w:t>项目编号：</w:t>
      </w:r>
      <w:r>
        <w:rPr>
          <w:rFonts w:hint="eastAsia" w:cs="仿宋_GB2312"/>
          <w:bCs/>
          <w:color w:val="auto"/>
          <w:kern w:val="0"/>
          <w:highlight w:val="none"/>
          <w:u w:val="single"/>
        </w:rPr>
        <w:t>ZYZFCG〔2025〕008</w:t>
      </w:r>
      <w:r>
        <w:rPr>
          <w:rFonts w:hint="eastAsia" w:cs="仿宋_GB2312"/>
          <w:bCs/>
          <w:color w:val="auto"/>
          <w:kern w:val="0"/>
          <w:highlight w:val="none"/>
          <w:lang w:val="zh-CN"/>
        </w:rPr>
        <w:t>）</w:t>
      </w:r>
      <w:r>
        <w:rPr>
          <w:color w:val="auto"/>
          <w:highlight w:val="none"/>
        </w:rPr>
        <w:t>的采购活动，并代表我方全权办理针对上述项目的投标、开标、评标、签约等具体事务和签署相关文件。</w:t>
      </w:r>
      <w:r>
        <w:rPr>
          <w:rFonts w:hint="eastAsia"/>
          <w:color w:val="auto"/>
          <w:highlight w:val="none"/>
        </w:rPr>
        <w:t>我方对全权代表的签字事项负全部责任。</w:t>
      </w:r>
    </w:p>
    <w:p w14:paraId="5A1B5AAE">
      <w:pPr>
        <w:pStyle w:val="13"/>
        <w:ind w:left="0" w:leftChars="0" w:firstLine="573"/>
        <w:rPr>
          <w:color w:val="auto"/>
          <w:highlight w:val="none"/>
        </w:rPr>
      </w:pPr>
      <w:r>
        <w:rPr>
          <w:rFonts w:hint="eastAsia"/>
          <w:color w:val="auto"/>
          <w:highlight w:val="none"/>
        </w:rPr>
        <w:t>在撤销授权的书面通知以前，本授权书一直有效。全权代表在授权委托书有效期内签署的所有文件不因授权的撤销而失效。</w:t>
      </w:r>
    </w:p>
    <w:p w14:paraId="1CB7AE71">
      <w:pPr>
        <w:pStyle w:val="13"/>
        <w:ind w:left="0" w:leftChars="0" w:firstLine="573"/>
        <w:rPr>
          <w:color w:val="auto"/>
          <w:highlight w:val="none"/>
        </w:rPr>
      </w:pPr>
      <w:r>
        <w:rPr>
          <w:rFonts w:hint="eastAsia"/>
          <w:color w:val="auto"/>
          <w:highlight w:val="none"/>
        </w:rPr>
        <w:t>全权代表无转委托权，特此委托。</w:t>
      </w:r>
    </w:p>
    <w:p w14:paraId="525F94C6">
      <w:pPr>
        <w:spacing w:line="360" w:lineRule="auto"/>
        <w:rPr>
          <w:color w:val="auto"/>
          <w:sz w:val="24"/>
          <w:highlight w:val="none"/>
        </w:rPr>
      </w:pPr>
    </w:p>
    <w:p w14:paraId="4D787910">
      <w:pPr>
        <w:spacing w:line="360" w:lineRule="auto"/>
        <w:rPr>
          <w:color w:val="auto"/>
          <w:sz w:val="24"/>
          <w:highlight w:val="none"/>
        </w:rPr>
      </w:pPr>
      <w:r>
        <w:rPr>
          <w:rFonts w:hint="eastAsia" w:ascii="宋体"/>
          <w:color w:val="auto"/>
          <w:sz w:val="24"/>
          <w:highlight w:val="none"/>
        </w:rPr>
        <w:t>法定代表人签字或盖章：</w:t>
      </w:r>
    </w:p>
    <w:p w14:paraId="04655722">
      <w:pPr>
        <w:spacing w:line="360" w:lineRule="auto"/>
        <w:rPr>
          <w:color w:val="auto"/>
          <w:sz w:val="24"/>
          <w:highlight w:val="none"/>
        </w:rPr>
      </w:pPr>
      <w:r>
        <w:rPr>
          <w:rFonts w:hint="eastAsia" w:ascii="宋体"/>
          <w:color w:val="auto"/>
          <w:sz w:val="24"/>
          <w:highlight w:val="none"/>
        </w:rPr>
        <w:t>投标供应商全称（电子印章）：                              日期：</w:t>
      </w:r>
    </w:p>
    <w:p w14:paraId="535C0AC8">
      <w:pPr>
        <w:spacing w:line="360" w:lineRule="auto"/>
        <w:rPr>
          <w:color w:val="auto"/>
          <w:sz w:val="24"/>
          <w:highlight w:val="none"/>
        </w:rPr>
      </w:pPr>
    </w:p>
    <w:p w14:paraId="6CBCF733">
      <w:pPr>
        <w:spacing w:line="360" w:lineRule="auto"/>
        <w:rPr>
          <w:b/>
          <w:color w:val="auto"/>
          <w:sz w:val="24"/>
          <w:highlight w:val="none"/>
        </w:rPr>
      </w:pPr>
      <w:r>
        <w:rPr>
          <w:rFonts w:hint="eastAsia" w:ascii="宋体"/>
          <w:b/>
          <w:color w:val="auto"/>
          <w:sz w:val="24"/>
          <w:highlight w:val="none"/>
        </w:rPr>
        <w:t>附：</w:t>
      </w:r>
    </w:p>
    <w:tbl>
      <w:tblPr>
        <w:tblStyle w:val="2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8A28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1A90E0C6">
            <w:pPr>
              <w:spacing w:line="360" w:lineRule="auto"/>
              <w:rPr>
                <w:rFonts w:ascii="宋体"/>
                <w:b/>
                <w:color w:val="auto"/>
                <w:sz w:val="24"/>
                <w:highlight w:val="none"/>
              </w:rPr>
            </w:pPr>
          </w:p>
          <w:p w14:paraId="3DD9FC99">
            <w:pPr>
              <w:spacing w:line="360" w:lineRule="auto"/>
              <w:ind w:firstLine="361" w:firstLineChars="150"/>
              <w:rPr>
                <w:rFonts w:ascii="宋体"/>
                <w:b/>
                <w:color w:val="auto"/>
                <w:sz w:val="24"/>
                <w:highlight w:val="none"/>
              </w:rPr>
            </w:pPr>
            <w:r>
              <w:rPr>
                <w:rFonts w:hint="eastAsia" w:ascii="宋体"/>
                <w:b/>
                <w:color w:val="auto"/>
                <w:sz w:val="24"/>
                <w:highlight w:val="none"/>
              </w:rPr>
              <w:t>法定代表身份证扫描件或影印件粘贴处</w:t>
            </w:r>
          </w:p>
        </w:tc>
      </w:tr>
    </w:tbl>
    <w:p w14:paraId="7E6EEAD7">
      <w:pPr>
        <w:spacing w:line="360" w:lineRule="auto"/>
        <w:rPr>
          <w:color w:val="auto"/>
          <w:sz w:val="24"/>
          <w:highlight w:val="none"/>
        </w:rPr>
      </w:pPr>
      <w:r>
        <w:rPr>
          <w:rFonts w:hint="eastAsia" w:ascii="宋体"/>
          <w:color w:val="auto"/>
          <w:sz w:val="24"/>
          <w:highlight w:val="none"/>
        </w:rPr>
        <w:t xml:space="preserve">法定代表人姓名：                                 </w:t>
      </w:r>
    </w:p>
    <w:p w14:paraId="2F99AD3C">
      <w:pPr>
        <w:spacing w:line="360" w:lineRule="auto"/>
        <w:rPr>
          <w:color w:val="auto"/>
          <w:sz w:val="24"/>
          <w:highlight w:val="none"/>
        </w:rPr>
      </w:pPr>
      <w:r>
        <w:rPr>
          <w:rFonts w:hint="eastAsia" w:ascii="宋体"/>
          <w:color w:val="auto"/>
          <w:sz w:val="24"/>
          <w:highlight w:val="none"/>
        </w:rPr>
        <w:t>传真：</w:t>
      </w:r>
    </w:p>
    <w:p w14:paraId="12486AC1">
      <w:pPr>
        <w:spacing w:line="360" w:lineRule="auto"/>
        <w:rPr>
          <w:rFonts w:ascii="宋体"/>
          <w:color w:val="auto"/>
          <w:sz w:val="24"/>
          <w:highlight w:val="none"/>
        </w:rPr>
      </w:pPr>
      <w:r>
        <w:rPr>
          <w:rFonts w:hint="eastAsia" w:ascii="宋体"/>
          <w:color w:val="auto"/>
          <w:sz w:val="24"/>
          <w:highlight w:val="none"/>
        </w:rPr>
        <w:t>电话：</w:t>
      </w:r>
    </w:p>
    <w:p w14:paraId="77192C05">
      <w:pPr>
        <w:spacing w:line="360" w:lineRule="auto"/>
        <w:rPr>
          <w:color w:val="auto"/>
          <w:sz w:val="24"/>
          <w:highlight w:val="none"/>
        </w:rPr>
      </w:pPr>
      <w:r>
        <w:rPr>
          <w:rFonts w:hint="eastAsia" w:ascii="宋体"/>
          <w:color w:val="auto"/>
          <w:sz w:val="24"/>
          <w:highlight w:val="none"/>
        </w:rPr>
        <w:t>详细通讯地址：</w:t>
      </w:r>
    </w:p>
    <w:p w14:paraId="06CB65FF">
      <w:pPr>
        <w:spacing w:line="360" w:lineRule="auto"/>
        <w:rPr>
          <w:rFonts w:ascii="宋体"/>
          <w:color w:val="auto"/>
          <w:sz w:val="24"/>
          <w:highlight w:val="none"/>
        </w:rPr>
      </w:pPr>
      <w:r>
        <w:rPr>
          <w:rFonts w:hint="eastAsia" w:ascii="宋体"/>
          <w:color w:val="auto"/>
          <w:sz w:val="24"/>
          <w:highlight w:val="none"/>
        </w:rPr>
        <w:t>邮政编码：</w:t>
      </w:r>
    </w:p>
    <w:p w14:paraId="38F8B62E">
      <w:pPr>
        <w:spacing w:line="360" w:lineRule="auto"/>
        <w:rPr>
          <w:b/>
          <w:color w:val="auto"/>
          <w:sz w:val="24"/>
          <w:highlight w:val="none"/>
        </w:rPr>
      </w:pPr>
    </w:p>
    <w:tbl>
      <w:tblPr>
        <w:tblStyle w:val="2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3F4AE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45A4786D">
            <w:pPr>
              <w:spacing w:line="360" w:lineRule="auto"/>
              <w:rPr>
                <w:rFonts w:ascii="宋体"/>
                <w:b/>
                <w:color w:val="auto"/>
                <w:sz w:val="24"/>
                <w:highlight w:val="none"/>
              </w:rPr>
            </w:pPr>
          </w:p>
          <w:p w14:paraId="5AF6124B">
            <w:pPr>
              <w:spacing w:line="360" w:lineRule="auto"/>
              <w:ind w:firstLine="361" w:firstLineChars="150"/>
              <w:rPr>
                <w:rFonts w:ascii="宋体"/>
                <w:b/>
                <w:color w:val="auto"/>
                <w:sz w:val="24"/>
                <w:highlight w:val="none"/>
              </w:rPr>
            </w:pPr>
            <w:r>
              <w:rPr>
                <w:rFonts w:hint="eastAsia" w:ascii="宋体"/>
                <w:b/>
                <w:color w:val="auto"/>
                <w:sz w:val="24"/>
                <w:highlight w:val="none"/>
              </w:rPr>
              <w:t>全权代表身份证扫描件或影印件粘贴处</w:t>
            </w:r>
          </w:p>
        </w:tc>
      </w:tr>
    </w:tbl>
    <w:p w14:paraId="506F71AE">
      <w:pPr>
        <w:spacing w:line="360" w:lineRule="auto"/>
        <w:rPr>
          <w:rFonts w:ascii="宋体"/>
          <w:color w:val="auto"/>
          <w:sz w:val="24"/>
          <w:highlight w:val="none"/>
        </w:rPr>
      </w:pPr>
      <w:r>
        <w:rPr>
          <w:rFonts w:hint="eastAsia" w:ascii="宋体"/>
          <w:color w:val="auto"/>
          <w:sz w:val="24"/>
          <w:highlight w:val="none"/>
        </w:rPr>
        <w:t xml:space="preserve">全权代表姓名：       </w:t>
      </w:r>
    </w:p>
    <w:p w14:paraId="5E50D4B9">
      <w:pPr>
        <w:spacing w:line="360" w:lineRule="auto"/>
        <w:rPr>
          <w:color w:val="auto"/>
          <w:sz w:val="24"/>
          <w:highlight w:val="none"/>
        </w:rPr>
      </w:pPr>
      <w:r>
        <w:rPr>
          <w:rFonts w:hint="eastAsia" w:ascii="宋体"/>
          <w:color w:val="auto"/>
          <w:sz w:val="24"/>
          <w:highlight w:val="none"/>
        </w:rPr>
        <w:t xml:space="preserve">职务：                           </w:t>
      </w:r>
    </w:p>
    <w:p w14:paraId="661AA533">
      <w:pPr>
        <w:spacing w:line="360" w:lineRule="auto"/>
        <w:rPr>
          <w:color w:val="auto"/>
          <w:sz w:val="24"/>
          <w:highlight w:val="none"/>
        </w:rPr>
      </w:pPr>
      <w:r>
        <w:rPr>
          <w:rFonts w:hint="eastAsia" w:ascii="宋体"/>
          <w:color w:val="auto"/>
          <w:sz w:val="24"/>
          <w:highlight w:val="none"/>
        </w:rPr>
        <w:t>传真：</w:t>
      </w:r>
    </w:p>
    <w:p w14:paraId="5B9FFD8A">
      <w:pPr>
        <w:spacing w:line="360" w:lineRule="auto"/>
        <w:rPr>
          <w:rFonts w:ascii="宋体"/>
          <w:color w:val="auto"/>
          <w:sz w:val="24"/>
          <w:highlight w:val="none"/>
        </w:rPr>
      </w:pPr>
      <w:r>
        <w:rPr>
          <w:rFonts w:hint="eastAsia" w:ascii="宋体"/>
          <w:color w:val="auto"/>
          <w:sz w:val="24"/>
          <w:highlight w:val="none"/>
        </w:rPr>
        <w:t>电话：</w:t>
      </w:r>
    </w:p>
    <w:p w14:paraId="53474AC5">
      <w:pPr>
        <w:spacing w:line="360" w:lineRule="auto"/>
        <w:rPr>
          <w:color w:val="auto"/>
          <w:sz w:val="24"/>
          <w:highlight w:val="none"/>
        </w:rPr>
      </w:pPr>
      <w:r>
        <w:rPr>
          <w:rFonts w:hint="eastAsia" w:ascii="宋体"/>
          <w:color w:val="auto"/>
          <w:sz w:val="24"/>
          <w:highlight w:val="none"/>
        </w:rPr>
        <w:t>详细通讯地址：</w:t>
      </w:r>
    </w:p>
    <w:p w14:paraId="1A68EA96">
      <w:pPr>
        <w:spacing w:line="360" w:lineRule="auto"/>
        <w:rPr>
          <w:rFonts w:ascii="宋体"/>
          <w:color w:val="auto"/>
          <w:sz w:val="24"/>
          <w:highlight w:val="none"/>
        </w:rPr>
      </w:pPr>
      <w:r>
        <w:rPr>
          <w:rFonts w:hint="eastAsia" w:ascii="宋体"/>
          <w:color w:val="auto"/>
          <w:sz w:val="24"/>
          <w:highlight w:val="none"/>
        </w:rPr>
        <w:t>邮政编码：</w:t>
      </w:r>
    </w:p>
    <w:p w14:paraId="781F14EA">
      <w:pPr>
        <w:widowControl/>
        <w:jc w:val="left"/>
        <w:rPr>
          <w:rFonts w:ascii="宋体" w:hAnsi="宋体"/>
          <w:b/>
          <w:color w:val="auto"/>
          <w:sz w:val="28"/>
          <w:highlight w:val="none"/>
        </w:rPr>
      </w:pPr>
      <w:r>
        <w:rPr>
          <w:rFonts w:ascii="宋体" w:hAnsi="宋体"/>
          <w:b/>
          <w:color w:val="auto"/>
          <w:sz w:val="28"/>
          <w:highlight w:val="none"/>
        </w:rPr>
        <w:br w:type="page"/>
      </w:r>
    </w:p>
    <w:p w14:paraId="5177473C">
      <w:pPr>
        <w:spacing w:line="360" w:lineRule="auto"/>
        <w:rPr>
          <w:rFonts w:ascii="宋体" w:hAnsi="宋体"/>
          <w:b/>
          <w:color w:val="auto"/>
          <w:sz w:val="28"/>
          <w:highlight w:val="none"/>
        </w:rPr>
      </w:pPr>
      <w:r>
        <w:rPr>
          <w:rFonts w:hint="eastAsia" w:ascii="宋体" w:hAnsi="宋体"/>
          <w:b/>
          <w:color w:val="auto"/>
          <w:sz w:val="28"/>
          <w:highlight w:val="none"/>
        </w:rPr>
        <w:t>附件4</w:t>
      </w:r>
    </w:p>
    <w:p w14:paraId="1255BBA4">
      <w:pPr>
        <w:spacing w:after="312" w:afterLines="100"/>
        <w:jc w:val="center"/>
        <w:rPr>
          <w:rFonts w:ascii="宋体" w:hAnsi="宋体" w:cs="仿宋_GB2312"/>
          <w:b/>
          <w:bCs/>
          <w:color w:val="auto"/>
          <w:kern w:val="0"/>
          <w:sz w:val="24"/>
          <w:highlight w:val="none"/>
          <w:lang w:val="zh-CN"/>
        </w:rPr>
      </w:pPr>
      <w:bookmarkStart w:id="180" w:name="_Toc51489575"/>
    </w:p>
    <w:p w14:paraId="46E3F548">
      <w:pPr>
        <w:spacing w:after="312" w:afterLines="100"/>
        <w:jc w:val="center"/>
        <w:rPr>
          <w:rFonts w:ascii="宋体" w:hAnsi="宋体" w:cs="仿宋_GB2312"/>
          <w:b/>
          <w:bCs/>
          <w:color w:val="auto"/>
          <w:kern w:val="0"/>
          <w:sz w:val="24"/>
          <w:highlight w:val="none"/>
          <w:lang w:val="zh-CN"/>
        </w:rPr>
      </w:pPr>
      <w:r>
        <w:rPr>
          <w:rFonts w:hint="eastAsia" w:ascii="宋体" w:hAnsi="宋体" w:cs="仿宋_GB2312"/>
          <w:b/>
          <w:bCs/>
          <w:color w:val="auto"/>
          <w:kern w:val="0"/>
          <w:sz w:val="24"/>
          <w:highlight w:val="none"/>
          <w:lang w:val="zh-CN"/>
        </w:rPr>
        <w:t>供应商财务状况和依法缴纳税收及社会保障资金的书面承诺</w:t>
      </w:r>
      <w:bookmarkEnd w:id="180"/>
    </w:p>
    <w:p w14:paraId="1E48D917">
      <w:pPr>
        <w:spacing w:after="312" w:afterLines="100" w:line="360" w:lineRule="auto"/>
        <w:jc w:val="left"/>
        <w:rPr>
          <w:rFonts w:ascii="宋体" w:hAnsi="宋体" w:cs="仿宋_GB2312"/>
          <w:bCs/>
          <w:color w:val="auto"/>
          <w:kern w:val="0"/>
          <w:sz w:val="24"/>
          <w:highlight w:val="none"/>
          <w:lang w:val="zh-CN"/>
        </w:rPr>
      </w:pPr>
    </w:p>
    <w:p w14:paraId="38739145">
      <w:pPr>
        <w:spacing w:after="312" w:afterLines="100" w:line="360" w:lineRule="auto"/>
        <w:jc w:val="left"/>
        <w:rPr>
          <w:rFonts w:ascii="宋体" w:hAnsi="宋体" w:cs="仿宋_GB2312"/>
          <w:bCs/>
          <w:color w:val="auto"/>
          <w:kern w:val="0"/>
          <w:sz w:val="24"/>
          <w:highlight w:val="none"/>
          <w:lang w:val="zh-CN"/>
        </w:rPr>
      </w:pPr>
      <w:r>
        <w:rPr>
          <w:rFonts w:hint="eastAsia" w:ascii="宋体" w:hAnsi="宋体" w:cs="仿宋_GB2312"/>
          <w:bCs/>
          <w:color w:val="auto"/>
          <w:kern w:val="0"/>
          <w:sz w:val="24"/>
          <w:highlight w:val="none"/>
          <w:lang w:val="zh-CN"/>
        </w:rPr>
        <w:t>致：</w:t>
      </w:r>
      <w:r>
        <w:rPr>
          <w:rFonts w:hint="eastAsia" w:ascii="宋体" w:hAnsi="宋体" w:cs="宋体"/>
          <w:color w:val="auto"/>
          <w:sz w:val="24"/>
          <w:highlight w:val="none"/>
          <w:u w:val="single"/>
        </w:rPr>
        <w:t xml:space="preserve"> 台州市椒江区白云街道社区卫生服务中心  </w:t>
      </w:r>
      <w:r>
        <w:rPr>
          <w:rFonts w:hint="eastAsia" w:ascii="宋体" w:hAnsi="宋体" w:cs="仿宋_GB2312"/>
          <w:bCs/>
          <w:color w:val="auto"/>
          <w:kern w:val="0"/>
          <w:sz w:val="24"/>
          <w:highlight w:val="none"/>
          <w:lang w:val="zh-CN"/>
        </w:rPr>
        <w:t>（采购人）</w:t>
      </w:r>
    </w:p>
    <w:p w14:paraId="7F414E0C">
      <w:pPr>
        <w:snapToGrid w:val="0"/>
        <w:spacing w:line="48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我公司作为本次采购项目的供应商，参加</w:t>
      </w:r>
      <w:r>
        <w:rPr>
          <w:rFonts w:hint="eastAsia" w:ascii="宋体" w:hAnsi="宋体" w:cs="宋体"/>
          <w:color w:val="auto"/>
          <w:sz w:val="24"/>
          <w:highlight w:val="none"/>
          <w:u w:val="single"/>
        </w:rPr>
        <w:t>台州市椒江区白云街道社区卫生服务中心CT采购项目</w:t>
      </w:r>
      <w:r>
        <w:rPr>
          <w:rFonts w:hint="eastAsia" w:ascii="宋体" w:hAnsi="宋体" w:cs="宋体"/>
          <w:color w:val="auto"/>
          <w:kern w:val="0"/>
          <w:sz w:val="24"/>
          <w:highlight w:val="none"/>
        </w:rPr>
        <w:t>（</w:t>
      </w:r>
      <w:r>
        <w:rPr>
          <w:rFonts w:hint="eastAsia" w:ascii="宋体" w:hAnsi="宋体" w:cs="仿宋_GB2312"/>
          <w:bCs/>
          <w:color w:val="auto"/>
          <w:kern w:val="0"/>
          <w:sz w:val="24"/>
          <w:highlight w:val="none"/>
          <w:lang w:val="zh-CN"/>
        </w:rPr>
        <w:t>项目编号：</w:t>
      </w:r>
      <w:r>
        <w:rPr>
          <w:rFonts w:hint="eastAsia" w:ascii="宋体" w:hAnsi="宋体" w:cs="仿宋_GB2312"/>
          <w:bCs/>
          <w:color w:val="auto"/>
          <w:kern w:val="0"/>
          <w:sz w:val="24"/>
          <w:highlight w:val="none"/>
          <w:u w:val="single"/>
        </w:rPr>
        <w:t>ZYZFCG〔2025〕008</w:t>
      </w:r>
      <w:r>
        <w:rPr>
          <w:rFonts w:hint="eastAsia" w:ascii="宋体" w:hAnsi="宋体" w:cs="仿宋_GB2312"/>
          <w:bCs/>
          <w:color w:val="auto"/>
          <w:kern w:val="0"/>
          <w:sz w:val="24"/>
          <w:highlight w:val="none"/>
          <w:lang w:val="zh-CN"/>
        </w:rPr>
        <w:t>）</w:t>
      </w:r>
      <w:r>
        <w:rPr>
          <w:rFonts w:hint="eastAsia" w:ascii="宋体" w:hAnsi="宋体" w:cs="宋体"/>
          <w:color w:val="auto"/>
          <w:sz w:val="24"/>
          <w:highlight w:val="none"/>
        </w:rPr>
        <w:t>采购活动，根据采购文件要求，现郑重承诺：</w:t>
      </w:r>
    </w:p>
    <w:p w14:paraId="77FED892">
      <w:pPr>
        <w:snapToGrid w:val="0"/>
        <w:spacing w:line="48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我公司符合参与政府采购活动的资格条件，不存在税收缴纳、社会保障等方面的失信记录。</w:t>
      </w:r>
    </w:p>
    <w:p w14:paraId="4542075E">
      <w:pPr>
        <w:snapToGrid w:val="0"/>
        <w:spacing w:line="48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如本公司对以上条款提供虚假承诺，愿承担一切法律责任。</w:t>
      </w:r>
    </w:p>
    <w:p w14:paraId="48726AC1">
      <w:pPr>
        <w:snapToGrid w:val="0"/>
        <w:spacing w:line="480" w:lineRule="auto"/>
        <w:jc w:val="left"/>
        <w:rPr>
          <w:rFonts w:ascii="宋体" w:hAnsi="宋体" w:cs="宋体"/>
          <w:color w:val="auto"/>
          <w:sz w:val="24"/>
          <w:highlight w:val="none"/>
        </w:rPr>
      </w:pPr>
    </w:p>
    <w:p w14:paraId="732CE8CE">
      <w:pPr>
        <w:spacing w:line="360" w:lineRule="auto"/>
        <w:ind w:firstLine="424" w:firstLineChars="177"/>
        <w:rPr>
          <w:rFonts w:ascii="宋体" w:hAnsi="宋体"/>
          <w:color w:val="auto"/>
          <w:sz w:val="24"/>
          <w:highlight w:val="none"/>
        </w:rPr>
      </w:pPr>
    </w:p>
    <w:p w14:paraId="75F7C5BD">
      <w:pPr>
        <w:spacing w:line="360" w:lineRule="auto"/>
        <w:ind w:firstLine="424" w:firstLineChars="177"/>
        <w:rPr>
          <w:rFonts w:ascii="宋体" w:hAnsi="宋体"/>
          <w:color w:val="auto"/>
          <w:sz w:val="24"/>
          <w:highlight w:val="none"/>
        </w:rPr>
      </w:pPr>
    </w:p>
    <w:p w14:paraId="6E537AA6">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供应商名称（电子印章）：</w:t>
      </w:r>
    </w:p>
    <w:p w14:paraId="24D6C0A2">
      <w:pPr>
        <w:spacing w:line="360" w:lineRule="auto"/>
        <w:ind w:left="420"/>
        <w:rPr>
          <w:rFonts w:ascii="宋体" w:hAnsi="宋体"/>
          <w:color w:val="auto"/>
          <w:sz w:val="24"/>
          <w:highlight w:val="none"/>
        </w:rPr>
      </w:pPr>
    </w:p>
    <w:p w14:paraId="2E6C5D14">
      <w:pPr>
        <w:spacing w:line="360" w:lineRule="auto"/>
        <w:ind w:firstLine="424" w:firstLineChars="177"/>
        <w:rPr>
          <w:rFonts w:ascii="宋体" w:hAnsi="宋体"/>
          <w:color w:val="auto"/>
          <w:sz w:val="24"/>
          <w:highlight w:val="none"/>
        </w:rPr>
      </w:pPr>
      <w:r>
        <w:rPr>
          <w:rFonts w:hint="eastAsia" w:ascii="宋体" w:hAnsi="宋体" w:cs="仿宋_GB2312"/>
          <w:color w:val="auto"/>
          <w:kern w:val="0"/>
          <w:sz w:val="24"/>
          <w:highlight w:val="none"/>
          <w:lang w:val="zh-CN"/>
        </w:rPr>
        <w:t>法定代表人或授权委托人签字或电子印章</w:t>
      </w:r>
      <w:r>
        <w:rPr>
          <w:rFonts w:hint="eastAsia" w:ascii="宋体" w:hAnsi="宋体"/>
          <w:color w:val="auto"/>
          <w:sz w:val="24"/>
          <w:highlight w:val="none"/>
        </w:rPr>
        <w:t>：</w:t>
      </w:r>
    </w:p>
    <w:p w14:paraId="2C1A2445">
      <w:pPr>
        <w:spacing w:line="360" w:lineRule="auto"/>
        <w:rPr>
          <w:rFonts w:ascii="宋体" w:hAnsi="宋体"/>
          <w:color w:val="auto"/>
          <w:sz w:val="24"/>
          <w:highlight w:val="none"/>
        </w:rPr>
      </w:pPr>
    </w:p>
    <w:p w14:paraId="1B28585B">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475DECA0">
      <w:pPr>
        <w:widowControl/>
        <w:jc w:val="left"/>
        <w:rPr>
          <w:b/>
          <w:bCs/>
          <w:color w:val="auto"/>
          <w:sz w:val="32"/>
          <w:szCs w:val="32"/>
          <w:highlight w:val="none"/>
          <w:lang w:val="zh-CN"/>
        </w:rPr>
      </w:pPr>
    </w:p>
    <w:p w14:paraId="6B4CAD0A">
      <w:pPr>
        <w:widowControl/>
        <w:jc w:val="left"/>
        <w:rPr>
          <w:rFonts w:ascii="宋体" w:hAnsi="宋体"/>
          <w:b/>
          <w:color w:val="auto"/>
          <w:sz w:val="28"/>
          <w:highlight w:val="none"/>
        </w:rPr>
      </w:pPr>
      <w:r>
        <w:rPr>
          <w:rFonts w:ascii="宋体" w:hAnsi="宋体"/>
          <w:b/>
          <w:color w:val="auto"/>
          <w:sz w:val="28"/>
          <w:highlight w:val="none"/>
        </w:rPr>
        <w:br w:type="page"/>
      </w:r>
    </w:p>
    <w:p w14:paraId="346C5B3C">
      <w:pPr>
        <w:spacing w:line="360" w:lineRule="auto"/>
        <w:rPr>
          <w:rFonts w:ascii="宋体" w:hAnsi="宋体"/>
          <w:color w:val="auto"/>
          <w:highlight w:val="none"/>
        </w:rPr>
      </w:pPr>
      <w:r>
        <w:rPr>
          <w:rFonts w:hint="eastAsia" w:ascii="宋体" w:hAnsi="宋体"/>
          <w:b/>
          <w:color w:val="auto"/>
          <w:sz w:val="28"/>
          <w:highlight w:val="none"/>
        </w:rPr>
        <w:t>附件5</w:t>
      </w:r>
    </w:p>
    <w:p w14:paraId="4C699EB7">
      <w:pPr>
        <w:spacing w:after="312" w:afterLines="100"/>
        <w:jc w:val="center"/>
        <w:rPr>
          <w:rFonts w:ascii="宋体" w:hAnsi="宋体" w:cs="仿宋_GB2312"/>
          <w:b/>
          <w:bCs/>
          <w:color w:val="auto"/>
          <w:kern w:val="0"/>
          <w:sz w:val="24"/>
          <w:highlight w:val="none"/>
          <w:lang w:val="zh-CN"/>
        </w:rPr>
      </w:pPr>
      <w:r>
        <w:rPr>
          <w:rFonts w:hint="eastAsia" w:ascii="宋体" w:hAnsi="宋体" w:cs="仿宋_GB2312"/>
          <w:b/>
          <w:bCs/>
          <w:color w:val="auto"/>
          <w:kern w:val="0"/>
          <w:sz w:val="24"/>
          <w:highlight w:val="none"/>
          <w:lang w:val="zh-CN"/>
        </w:rPr>
        <w:t>具有履行合同所必须的设备和专业技术能力的承诺函</w:t>
      </w:r>
    </w:p>
    <w:p w14:paraId="1FE9B1E4">
      <w:pPr>
        <w:spacing w:after="312" w:afterLines="100" w:line="360" w:lineRule="auto"/>
        <w:jc w:val="left"/>
        <w:rPr>
          <w:rFonts w:ascii="宋体" w:hAnsi="宋体" w:cs="仿宋_GB2312"/>
          <w:bCs/>
          <w:color w:val="auto"/>
          <w:kern w:val="0"/>
          <w:sz w:val="24"/>
          <w:highlight w:val="none"/>
          <w:lang w:val="zh-CN"/>
        </w:rPr>
      </w:pPr>
      <w:r>
        <w:rPr>
          <w:rFonts w:hint="eastAsia" w:ascii="宋体" w:hAnsi="宋体" w:cs="仿宋_GB2312"/>
          <w:bCs/>
          <w:color w:val="auto"/>
          <w:kern w:val="0"/>
          <w:sz w:val="24"/>
          <w:highlight w:val="none"/>
          <w:lang w:val="zh-CN"/>
        </w:rPr>
        <w:t>致：</w:t>
      </w:r>
      <w:r>
        <w:rPr>
          <w:rFonts w:hint="eastAsia" w:ascii="宋体" w:hAnsi="宋体" w:cs="宋体"/>
          <w:color w:val="auto"/>
          <w:sz w:val="24"/>
          <w:highlight w:val="none"/>
          <w:u w:val="single"/>
        </w:rPr>
        <w:t xml:space="preserve">  台州市椒江区白云街道社区卫生服务中心  </w:t>
      </w:r>
      <w:r>
        <w:rPr>
          <w:rFonts w:hint="eastAsia" w:ascii="宋体" w:hAnsi="宋体" w:cs="仿宋_GB2312"/>
          <w:bCs/>
          <w:color w:val="auto"/>
          <w:kern w:val="0"/>
          <w:sz w:val="24"/>
          <w:highlight w:val="none"/>
          <w:lang w:val="zh-CN"/>
        </w:rPr>
        <w:t>（采购人）</w:t>
      </w:r>
    </w:p>
    <w:p w14:paraId="6D9DED32">
      <w:pPr>
        <w:spacing w:line="360" w:lineRule="auto"/>
        <w:ind w:firstLine="424" w:firstLineChars="177"/>
        <w:rPr>
          <w:rFonts w:ascii="宋体" w:hAnsi="宋体"/>
          <w:color w:val="auto"/>
          <w:sz w:val="24"/>
          <w:highlight w:val="none"/>
        </w:rPr>
      </w:pPr>
      <w:r>
        <w:rPr>
          <w:rFonts w:hint="eastAsia" w:ascii="宋体" w:hAnsi="宋体" w:cs="仿宋_GB2312"/>
          <w:bCs/>
          <w:color w:val="auto"/>
          <w:kern w:val="0"/>
          <w:sz w:val="24"/>
          <w:highlight w:val="none"/>
          <w:lang w:val="zh-CN"/>
        </w:rPr>
        <w:t>在贵方组织的</w:t>
      </w:r>
      <w:r>
        <w:rPr>
          <w:rFonts w:hint="eastAsia" w:ascii="宋体" w:hAnsi="宋体" w:cs="宋体"/>
          <w:color w:val="auto"/>
          <w:kern w:val="0"/>
          <w:sz w:val="24"/>
          <w:highlight w:val="none"/>
          <w:u w:val="single"/>
        </w:rPr>
        <w:t>台州市椒江区白云街道社区卫生服务中心CT采购项目</w:t>
      </w:r>
      <w:r>
        <w:rPr>
          <w:rFonts w:hint="eastAsia" w:ascii="宋体" w:hAnsi="宋体" w:cs="宋体"/>
          <w:color w:val="auto"/>
          <w:kern w:val="0"/>
          <w:sz w:val="24"/>
          <w:highlight w:val="none"/>
        </w:rPr>
        <w:t>（</w:t>
      </w:r>
      <w:r>
        <w:rPr>
          <w:rFonts w:hint="eastAsia" w:ascii="宋体" w:hAnsi="宋体" w:cs="仿宋_GB2312"/>
          <w:bCs/>
          <w:color w:val="auto"/>
          <w:kern w:val="0"/>
          <w:sz w:val="24"/>
          <w:highlight w:val="none"/>
          <w:lang w:val="zh-CN"/>
        </w:rPr>
        <w:t>项目编号：</w:t>
      </w:r>
      <w:r>
        <w:rPr>
          <w:rFonts w:hint="eastAsia" w:ascii="宋体" w:hAnsi="宋体" w:cs="仿宋_GB2312"/>
          <w:bCs/>
          <w:color w:val="auto"/>
          <w:kern w:val="0"/>
          <w:sz w:val="24"/>
          <w:highlight w:val="none"/>
          <w:u w:val="single"/>
        </w:rPr>
        <w:t>ZYZFCG〔2025〕008</w:t>
      </w:r>
      <w:r>
        <w:rPr>
          <w:rFonts w:hint="eastAsia" w:ascii="宋体" w:hAnsi="宋体" w:cs="仿宋_GB2312"/>
          <w:bCs/>
          <w:color w:val="auto"/>
          <w:kern w:val="0"/>
          <w:sz w:val="24"/>
          <w:highlight w:val="none"/>
          <w:lang w:val="zh-CN"/>
        </w:rPr>
        <w:t>）公开招标，我方在完全理解本项目采购的技术要求、商务条款及其他内容后，决定参与该项目</w:t>
      </w:r>
      <w:r>
        <w:rPr>
          <w:rFonts w:hint="eastAsia" w:ascii="宋体" w:hAnsi="宋体"/>
          <w:color w:val="auto"/>
          <w:sz w:val="24"/>
          <w:highlight w:val="none"/>
        </w:rPr>
        <w:t>的投标活动。并承诺，如中标，我方将提供足够的设备和专业技术能力保证本合同履行。</w:t>
      </w:r>
    </w:p>
    <w:p w14:paraId="3C11334D">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我方对上述承诺的真实性负责。如有虚假，我方同意按我方合同违约处理，并依法承担相应法律责任。</w:t>
      </w:r>
    </w:p>
    <w:p w14:paraId="7CAF9457">
      <w:pPr>
        <w:spacing w:line="360" w:lineRule="auto"/>
        <w:ind w:firstLine="424" w:firstLineChars="177"/>
        <w:rPr>
          <w:rFonts w:ascii="宋体" w:hAnsi="宋体"/>
          <w:color w:val="auto"/>
          <w:sz w:val="24"/>
          <w:highlight w:val="none"/>
        </w:rPr>
      </w:pPr>
    </w:p>
    <w:p w14:paraId="6DE453D0">
      <w:pPr>
        <w:spacing w:line="360" w:lineRule="auto"/>
        <w:ind w:firstLine="424" w:firstLineChars="177"/>
        <w:rPr>
          <w:rFonts w:ascii="宋体" w:hAnsi="宋体"/>
          <w:color w:val="auto"/>
          <w:sz w:val="24"/>
          <w:highlight w:val="none"/>
        </w:rPr>
      </w:pPr>
    </w:p>
    <w:p w14:paraId="60D010B5">
      <w:pPr>
        <w:spacing w:line="360" w:lineRule="auto"/>
        <w:ind w:firstLine="424" w:firstLineChars="177"/>
        <w:rPr>
          <w:rFonts w:ascii="宋体" w:hAnsi="宋体"/>
          <w:color w:val="auto"/>
          <w:sz w:val="24"/>
          <w:highlight w:val="none"/>
        </w:rPr>
      </w:pPr>
    </w:p>
    <w:p w14:paraId="5765E592">
      <w:pPr>
        <w:spacing w:line="360" w:lineRule="auto"/>
        <w:ind w:firstLine="424" w:firstLineChars="177"/>
        <w:rPr>
          <w:rFonts w:ascii="宋体" w:hAnsi="宋体"/>
          <w:color w:val="auto"/>
          <w:sz w:val="24"/>
          <w:highlight w:val="none"/>
        </w:rPr>
      </w:pPr>
    </w:p>
    <w:p w14:paraId="239FA3CB">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供应商名称（电子印章）：</w:t>
      </w:r>
    </w:p>
    <w:p w14:paraId="355E56C5">
      <w:pPr>
        <w:spacing w:line="360" w:lineRule="auto"/>
        <w:ind w:left="420"/>
        <w:rPr>
          <w:rFonts w:ascii="宋体" w:hAnsi="宋体"/>
          <w:color w:val="auto"/>
          <w:sz w:val="24"/>
          <w:highlight w:val="none"/>
        </w:rPr>
      </w:pPr>
    </w:p>
    <w:p w14:paraId="5EDA1877">
      <w:pPr>
        <w:spacing w:line="360" w:lineRule="auto"/>
        <w:ind w:firstLine="424" w:firstLineChars="177"/>
        <w:rPr>
          <w:rFonts w:ascii="宋体" w:hAnsi="宋体"/>
          <w:color w:val="auto"/>
          <w:sz w:val="24"/>
          <w:highlight w:val="none"/>
        </w:rPr>
      </w:pPr>
      <w:r>
        <w:rPr>
          <w:rFonts w:hint="eastAsia" w:ascii="宋体" w:hAnsi="宋体" w:cs="仿宋_GB2312"/>
          <w:color w:val="auto"/>
          <w:kern w:val="0"/>
          <w:sz w:val="24"/>
          <w:highlight w:val="none"/>
          <w:lang w:val="zh-CN"/>
        </w:rPr>
        <w:t>法定代表人或授权委托人签字或电子印章</w:t>
      </w:r>
      <w:r>
        <w:rPr>
          <w:rFonts w:hint="eastAsia" w:ascii="宋体" w:hAnsi="宋体"/>
          <w:color w:val="auto"/>
          <w:sz w:val="24"/>
          <w:highlight w:val="none"/>
        </w:rPr>
        <w:t>：</w:t>
      </w:r>
    </w:p>
    <w:p w14:paraId="005451BB">
      <w:pPr>
        <w:spacing w:line="360" w:lineRule="auto"/>
        <w:rPr>
          <w:rFonts w:ascii="宋体" w:hAnsi="宋体"/>
          <w:color w:val="auto"/>
          <w:sz w:val="24"/>
          <w:highlight w:val="none"/>
        </w:rPr>
      </w:pPr>
    </w:p>
    <w:p w14:paraId="22FCFBB3">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3D12C9F3">
      <w:pPr>
        <w:widowControl/>
        <w:jc w:val="left"/>
        <w:rPr>
          <w:b/>
          <w:bCs/>
          <w:color w:val="auto"/>
          <w:sz w:val="32"/>
          <w:szCs w:val="32"/>
          <w:highlight w:val="none"/>
          <w:lang w:val="zh-CN"/>
        </w:rPr>
      </w:pPr>
    </w:p>
    <w:p w14:paraId="4CC9C2B5">
      <w:pPr>
        <w:pStyle w:val="21"/>
        <w:rPr>
          <w:color w:val="auto"/>
          <w:highlight w:val="none"/>
          <w:lang w:val="zh-CN"/>
        </w:rPr>
      </w:pPr>
      <w:r>
        <w:rPr>
          <w:color w:val="auto"/>
          <w:highlight w:val="none"/>
          <w:lang w:val="zh-CN"/>
        </w:rPr>
        <w:br w:type="page"/>
      </w:r>
    </w:p>
    <w:p w14:paraId="11386C87">
      <w:pPr>
        <w:snapToGrid w:val="0"/>
        <w:spacing w:before="156" w:beforeLines="50" w:after="50" w:line="360" w:lineRule="auto"/>
        <w:rPr>
          <w:rFonts w:ascii="宋体" w:hAnsi="宋体"/>
          <w:color w:val="auto"/>
          <w:sz w:val="52"/>
          <w:szCs w:val="52"/>
          <w:highlight w:val="none"/>
        </w:rPr>
      </w:pPr>
      <w:r>
        <w:rPr>
          <w:rFonts w:hint="eastAsia" w:ascii="宋体" w:hAnsi="宋体"/>
          <w:b/>
          <w:color w:val="auto"/>
          <w:sz w:val="28"/>
          <w:highlight w:val="none"/>
        </w:rPr>
        <w:t>附件</w:t>
      </w:r>
      <w:bookmarkEnd w:id="178"/>
      <w:bookmarkEnd w:id="179"/>
      <w:r>
        <w:rPr>
          <w:rFonts w:hint="eastAsia" w:ascii="宋体" w:hAnsi="宋体"/>
          <w:b/>
          <w:color w:val="auto"/>
          <w:sz w:val="28"/>
          <w:highlight w:val="none"/>
        </w:rPr>
        <w:t>6</w:t>
      </w:r>
    </w:p>
    <w:p w14:paraId="330DEDBA">
      <w:pPr>
        <w:jc w:val="center"/>
        <w:rPr>
          <w:color w:val="auto"/>
          <w:sz w:val="52"/>
          <w:szCs w:val="52"/>
          <w:highlight w:val="none"/>
        </w:rPr>
      </w:pPr>
      <w:bookmarkStart w:id="181" w:name="_Toc12331_WPSOffice_Level1"/>
      <w:bookmarkStart w:id="182" w:name="_Toc16825_WPSOffice_Level1"/>
      <w:bookmarkStart w:id="183" w:name="_Toc26389_WPSOffice_Level1"/>
    </w:p>
    <w:p w14:paraId="4F6DE61D">
      <w:pPr>
        <w:jc w:val="center"/>
        <w:rPr>
          <w:color w:val="auto"/>
          <w:sz w:val="52"/>
          <w:szCs w:val="52"/>
          <w:highlight w:val="none"/>
        </w:rPr>
      </w:pPr>
    </w:p>
    <w:p w14:paraId="34804114">
      <w:pPr>
        <w:jc w:val="center"/>
        <w:rPr>
          <w:color w:val="auto"/>
          <w:sz w:val="52"/>
          <w:szCs w:val="52"/>
          <w:highlight w:val="none"/>
        </w:rPr>
      </w:pPr>
      <w:r>
        <w:rPr>
          <w:rFonts w:hint="eastAsia"/>
          <w:color w:val="auto"/>
          <w:sz w:val="52"/>
          <w:szCs w:val="52"/>
          <w:highlight w:val="none"/>
        </w:rPr>
        <w:t>项目名称</w:t>
      </w:r>
      <w:bookmarkEnd w:id="181"/>
      <w:bookmarkEnd w:id="182"/>
      <w:bookmarkEnd w:id="183"/>
    </w:p>
    <w:p w14:paraId="717E35ED">
      <w:pPr>
        <w:spacing w:before="312"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r>
        <w:rPr>
          <w:rFonts w:hint="eastAsia" w:ascii="宋体" w:hAnsi="宋体"/>
          <w:color w:val="auto"/>
          <w:sz w:val="36"/>
          <w:szCs w:val="36"/>
          <w:highlight w:val="none"/>
          <w:u w:val="single"/>
        </w:rPr>
        <w:t xml:space="preserve">     </w:t>
      </w:r>
      <w:r>
        <w:rPr>
          <w:rFonts w:hint="eastAsia" w:ascii="宋体" w:hAnsi="宋体"/>
          <w:color w:val="auto"/>
          <w:sz w:val="36"/>
          <w:szCs w:val="36"/>
          <w:highlight w:val="none"/>
        </w:rPr>
        <w:t>）</w:t>
      </w:r>
    </w:p>
    <w:p w14:paraId="21077533">
      <w:pPr>
        <w:autoSpaceDE w:val="0"/>
        <w:autoSpaceDN w:val="0"/>
        <w:adjustRightInd w:val="0"/>
        <w:spacing w:line="360" w:lineRule="auto"/>
        <w:jc w:val="center"/>
        <w:rPr>
          <w:rFonts w:ascii="宋体" w:hAnsi="宋体" w:cs="宋体"/>
          <w:color w:val="auto"/>
          <w:sz w:val="24"/>
          <w:highlight w:val="none"/>
          <w:lang w:val="zh-CN"/>
        </w:rPr>
      </w:pPr>
    </w:p>
    <w:p w14:paraId="05A57BCC">
      <w:pPr>
        <w:jc w:val="center"/>
        <w:rPr>
          <w:color w:val="auto"/>
          <w:sz w:val="84"/>
          <w:szCs w:val="84"/>
          <w:highlight w:val="none"/>
          <w:lang w:val="zh-CN"/>
        </w:rPr>
      </w:pPr>
      <w:r>
        <w:rPr>
          <w:rFonts w:hint="eastAsia"/>
          <w:color w:val="auto"/>
          <w:sz w:val="84"/>
          <w:szCs w:val="84"/>
          <w:highlight w:val="none"/>
          <w:lang w:val="zh-CN"/>
        </w:rPr>
        <w:t>投</w:t>
      </w:r>
    </w:p>
    <w:p w14:paraId="20DABF7A">
      <w:pPr>
        <w:jc w:val="center"/>
        <w:rPr>
          <w:color w:val="auto"/>
          <w:sz w:val="84"/>
          <w:szCs w:val="84"/>
          <w:highlight w:val="none"/>
          <w:lang w:val="zh-CN"/>
        </w:rPr>
      </w:pPr>
      <w:r>
        <w:rPr>
          <w:rFonts w:hint="eastAsia"/>
          <w:color w:val="auto"/>
          <w:sz w:val="84"/>
          <w:szCs w:val="84"/>
          <w:highlight w:val="none"/>
          <w:lang w:val="zh-CN"/>
        </w:rPr>
        <w:t>标</w:t>
      </w:r>
    </w:p>
    <w:p w14:paraId="227C7DC3">
      <w:pPr>
        <w:jc w:val="center"/>
        <w:rPr>
          <w:color w:val="auto"/>
          <w:sz w:val="84"/>
          <w:szCs w:val="84"/>
          <w:highlight w:val="none"/>
        </w:rPr>
      </w:pPr>
      <w:r>
        <w:rPr>
          <w:rFonts w:hint="eastAsia"/>
          <w:color w:val="auto"/>
          <w:sz w:val="84"/>
          <w:szCs w:val="84"/>
          <w:highlight w:val="none"/>
          <w:lang w:val="zh-CN"/>
        </w:rPr>
        <w:t>文</w:t>
      </w:r>
    </w:p>
    <w:p w14:paraId="04D16B05">
      <w:pPr>
        <w:jc w:val="center"/>
        <w:rPr>
          <w:color w:val="auto"/>
          <w:sz w:val="84"/>
          <w:szCs w:val="84"/>
          <w:highlight w:val="none"/>
          <w:lang w:val="zh-CN"/>
        </w:rPr>
      </w:pPr>
      <w:r>
        <w:rPr>
          <w:rFonts w:hint="eastAsia"/>
          <w:color w:val="auto"/>
          <w:sz w:val="84"/>
          <w:szCs w:val="84"/>
          <w:highlight w:val="none"/>
          <w:lang w:val="zh-CN"/>
        </w:rPr>
        <w:t>件</w:t>
      </w:r>
    </w:p>
    <w:p w14:paraId="0626F278">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Cs/>
          <w:color w:val="auto"/>
          <w:sz w:val="24"/>
          <w:highlight w:val="none"/>
          <w:lang w:val="zh-CN"/>
        </w:rPr>
        <w:t>商务与技术文件</w:t>
      </w:r>
      <w:r>
        <w:rPr>
          <w:rFonts w:hint="eastAsia" w:ascii="宋体" w:hAnsi="宋体"/>
          <w:b/>
          <w:color w:val="auto"/>
          <w:sz w:val="28"/>
          <w:szCs w:val="28"/>
          <w:highlight w:val="none"/>
        </w:rPr>
        <w:t>）</w:t>
      </w:r>
    </w:p>
    <w:p w14:paraId="5CF504AB">
      <w:pPr>
        <w:pStyle w:val="21"/>
        <w:rPr>
          <w:color w:val="auto"/>
          <w:highlight w:val="none"/>
        </w:rPr>
      </w:pPr>
    </w:p>
    <w:p w14:paraId="0D2E98DB">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投标供应商全称（电子印章）：</w:t>
      </w:r>
    </w:p>
    <w:p w14:paraId="5EDA96F9">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地    址：</w:t>
      </w:r>
    </w:p>
    <w:p w14:paraId="5B6D89A8">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时    间：</w:t>
      </w:r>
    </w:p>
    <w:p w14:paraId="62C809A1">
      <w:pPr>
        <w:pStyle w:val="9"/>
        <w:rPr>
          <w:rFonts w:asciiTheme="minorEastAsia" w:hAnsiTheme="minorEastAsia" w:eastAsiaTheme="minorEastAsia"/>
          <w:b/>
          <w:color w:val="auto"/>
          <w:sz w:val="24"/>
          <w:szCs w:val="24"/>
          <w:highlight w:val="none"/>
        </w:rPr>
      </w:pPr>
      <w:bookmarkStart w:id="184" w:name="_Toc5889_WPSOffice_Level1"/>
      <w:bookmarkStart w:id="185" w:name="_Toc11308_WPSOffice_Level1"/>
    </w:p>
    <w:p w14:paraId="0C20B428">
      <w:pPr>
        <w:pStyle w:val="9"/>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注：中标供应商提交纸质投标文件时须提供封面，供应商提交电子投标文件时可不提供封面。</w:t>
      </w:r>
    </w:p>
    <w:p w14:paraId="728E52A2">
      <w:pPr>
        <w:jc w:val="center"/>
        <w:rPr>
          <w:b/>
          <w:bCs/>
          <w:color w:val="auto"/>
          <w:sz w:val="32"/>
          <w:szCs w:val="32"/>
          <w:highlight w:val="none"/>
        </w:rPr>
      </w:pPr>
    </w:p>
    <w:p w14:paraId="590A8607">
      <w:pPr>
        <w:jc w:val="center"/>
        <w:rPr>
          <w:b/>
          <w:bCs/>
          <w:color w:val="auto"/>
          <w:sz w:val="32"/>
          <w:szCs w:val="32"/>
          <w:highlight w:val="none"/>
        </w:rPr>
      </w:pPr>
      <w:r>
        <w:rPr>
          <w:rFonts w:hint="eastAsia"/>
          <w:b/>
          <w:bCs/>
          <w:color w:val="auto"/>
          <w:sz w:val="32"/>
          <w:szCs w:val="32"/>
          <w:highlight w:val="none"/>
          <w:lang w:val="zh-CN"/>
        </w:rPr>
        <w:t>商务与技术文件</w:t>
      </w:r>
      <w:r>
        <w:rPr>
          <w:rFonts w:hint="eastAsia"/>
          <w:b/>
          <w:bCs/>
          <w:color w:val="auto"/>
          <w:sz w:val="32"/>
          <w:szCs w:val="32"/>
          <w:highlight w:val="none"/>
        </w:rPr>
        <w:t>目录</w:t>
      </w:r>
      <w:bookmarkEnd w:id="184"/>
      <w:bookmarkEnd w:id="185"/>
    </w:p>
    <w:p w14:paraId="5E3F0EEA">
      <w:pPr>
        <w:pStyle w:val="21"/>
        <w:rPr>
          <w:color w:val="auto"/>
          <w:highlight w:val="none"/>
        </w:rPr>
      </w:pPr>
    </w:p>
    <w:p w14:paraId="7C567E9A">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1.评分索引表</w:t>
      </w:r>
    </w:p>
    <w:p w14:paraId="5F45CAA7">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2.投标函</w:t>
      </w:r>
    </w:p>
    <w:p w14:paraId="33C7D6B0">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3.技术方案描述部分</w:t>
      </w:r>
    </w:p>
    <w:p w14:paraId="24AAAC39">
      <w:pPr>
        <w:pStyle w:val="9"/>
        <w:widowControl/>
        <w:numPr>
          <w:ilvl w:val="0"/>
          <w:numId w:val="12"/>
        </w:numPr>
        <w:adjustRightInd w:val="0"/>
        <w:snapToGrid w:val="0"/>
        <w:spacing w:line="360" w:lineRule="auto"/>
        <w:ind w:firstLine="640"/>
        <w:rPr>
          <w:color w:val="auto"/>
          <w:sz w:val="24"/>
          <w:highlight w:val="none"/>
        </w:rPr>
      </w:pPr>
      <w:r>
        <w:rPr>
          <w:rFonts w:hint="eastAsia"/>
          <w:color w:val="auto"/>
          <w:sz w:val="24"/>
          <w:highlight w:val="none"/>
        </w:rPr>
        <w:t>技术需求响应表；</w:t>
      </w:r>
    </w:p>
    <w:p w14:paraId="2CA5BB72">
      <w:pPr>
        <w:pStyle w:val="9"/>
        <w:widowControl/>
        <w:numPr>
          <w:ilvl w:val="0"/>
          <w:numId w:val="12"/>
        </w:numPr>
        <w:adjustRightInd w:val="0"/>
        <w:snapToGrid w:val="0"/>
        <w:spacing w:line="360" w:lineRule="auto"/>
        <w:ind w:firstLine="640"/>
        <w:rPr>
          <w:color w:val="auto"/>
          <w:sz w:val="24"/>
          <w:highlight w:val="none"/>
        </w:rPr>
      </w:pPr>
      <w:r>
        <w:rPr>
          <w:rFonts w:hint="eastAsia"/>
          <w:color w:val="auto"/>
          <w:sz w:val="24"/>
          <w:highlight w:val="none"/>
        </w:rPr>
        <w:t>技术参数响应表；</w:t>
      </w:r>
    </w:p>
    <w:p w14:paraId="652A27FA">
      <w:pPr>
        <w:pStyle w:val="9"/>
        <w:widowControl/>
        <w:numPr>
          <w:ilvl w:val="0"/>
          <w:numId w:val="12"/>
        </w:numPr>
        <w:adjustRightInd w:val="0"/>
        <w:snapToGrid w:val="0"/>
        <w:spacing w:line="360" w:lineRule="auto"/>
        <w:ind w:firstLine="640"/>
        <w:rPr>
          <w:rFonts w:ascii="宋体" w:hAnsi="宋体" w:cs="宋体"/>
          <w:color w:val="auto"/>
          <w:sz w:val="24"/>
          <w:szCs w:val="24"/>
          <w:highlight w:val="none"/>
        </w:rPr>
      </w:pPr>
      <w:r>
        <w:rPr>
          <w:rFonts w:hint="eastAsia" w:ascii="宋体" w:hAnsi="宋体"/>
          <w:color w:val="auto"/>
          <w:sz w:val="24"/>
          <w:highlight w:val="none"/>
        </w:rPr>
        <w:t>技术方案及服务承诺</w:t>
      </w:r>
      <w:r>
        <w:rPr>
          <w:rFonts w:ascii="宋体" w:hAnsi="宋体" w:cs="宋体"/>
          <w:color w:val="auto"/>
          <w:sz w:val="24"/>
          <w:szCs w:val="24"/>
          <w:highlight w:val="none"/>
        </w:rPr>
        <w:t>；</w:t>
      </w:r>
    </w:p>
    <w:p w14:paraId="791F1F40">
      <w:pPr>
        <w:pStyle w:val="9"/>
        <w:widowControl/>
        <w:numPr>
          <w:ilvl w:val="0"/>
          <w:numId w:val="12"/>
        </w:numPr>
        <w:adjustRightInd w:val="0"/>
        <w:snapToGrid w:val="0"/>
        <w:spacing w:line="360" w:lineRule="auto"/>
        <w:ind w:firstLine="640"/>
        <w:rPr>
          <w:rFonts w:ascii="宋体" w:hAnsi="宋体" w:cs="宋体"/>
          <w:color w:val="auto"/>
          <w:sz w:val="24"/>
          <w:highlight w:val="none"/>
        </w:rPr>
      </w:pPr>
      <w:r>
        <w:rPr>
          <w:rFonts w:hint="eastAsia" w:ascii="宋体" w:hAnsi="宋体" w:cs="宋体"/>
          <w:color w:val="auto"/>
          <w:sz w:val="24"/>
          <w:szCs w:val="24"/>
          <w:highlight w:val="none"/>
        </w:rPr>
        <w:t>供应</w:t>
      </w:r>
      <w:r>
        <w:rPr>
          <w:rFonts w:hint="eastAsia" w:ascii="宋体" w:hAnsi="宋体" w:cs="宋体"/>
          <w:color w:val="auto"/>
          <w:sz w:val="24"/>
          <w:highlight w:val="none"/>
        </w:rPr>
        <w:t>商认为需要提供的其他资料（包括可能影响供应商技术内容评分的各类证明材料）。</w:t>
      </w:r>
    </w:p>
    <w:p w14:paraId="046E0F6E">
      <w:pPr>
        <w:pStyle w:val="9"/>
        <w:widowControl/>
        <w:adjustRightInd w:val="0"/>
        <w:snapToGri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4.商务响应及其他部分</w:t>
      </w:r>
    </w:p>
    <w:p w14:paraId="0A19EA76">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供应商基本情况表；</w:t>
      </w:r>
    </w:p>
    <w:p w14:paraId="54DD1667">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供应商为医疗器械生产企业的：第二类、第三类医疗器械生产企业提供《医疗器械生产许可证》、第一类医疗器械生产企业提供第一类医疗器械生产备案凭证；供应商为医疗器械经营企业的：第三类医疗器械经营企业提供《医疗器械经营许可证》、第二类医疗器械经营企业提供第二类医疗器械经营备案凭证（</w:t>
      </w:r>
      <w:r>
        <w:rPr>
          <w:rFonts w:hint="eastAsia" w:ascii="宋体" w:hAnsi="宋体" w:cs="宋体"/>
          <w:b/>
          <w:color w:val="auto"/>
          <w:sz w:val="24"/>
          <w:szCs w:val="24"/>
          <w:highlight w:val="none"/>
        </w:rPr>
        <w:t>适用于按医疗器械管理的货物</w:t>
      </w:r>
      <w:r>
        <w:rPr>
          <w:rFonts w:hint="eastAsia" w:ascii="宋体" w:hAnsi="宋体" w:cs="宋体"/>
          <w:color w:val="auto"/>
          <w:sz w:val="24"/>
          <w:szCs w:val="24"/>
          <w:highlight w:val="none"/>
        </w:rPr>
        <w:t>）；</w:t>
      </w:r>
    </w:p>
    <w:p w14:paraId="103035A7">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ascii="宋体" w:hAnsi="宋体" w:cs="宋体"/>
          <w:color w:val="auto"/>
          <w:sz w:val="24"/>
          <w:szCs w:val="24"/>
          <w:highlight w:val="none"/>
        </w:rPr>
        <w:t>食品</w:t>
      </w:r>
      <w:r>
        <w:rPr>
          <w:color w:val="auto"/>
          <w:sz w:val="24"/>
          <w:highlight w:val="none"/>
        </w:rPr>
        <w:t>药品监督管理部门核发的完整有效的医疗器械注册或备案证明；（</w:t>
      </w:r>
      <w:r>
        <w:rPr>
          <w:b/>
          <w:color w:val="auto"/>
          <w:sz w:val="24"/>
          <w:highlight w:val="none"/>
        </w:rPr>
        <w:t>适用于按医疗器械管理的设备</w:t>
      </w:r>
      <w:r>
        <w:rPr>
          <w:color w:val="auto"/>
          <w:sz w:val="24"/>
          <w:highlight w:val="none"/>
        </w:rPr>
        <w:t>）</w:t>
      </w:r>
      <w:r>
        <w:rPr>
          <w:rFonts w:hint="eastAsia" w:ascii="宋体" w:hAnsi="宋体" w:cs="宋体"/>
          <w:color w:val="auto"/>
          <w:sz w:val="24"/>
          <w:szCs w:val="24"/>
          <w:highlight w:val="none"/>
        </w:rPr>
        <w:t>；</w:t>
      </w:r>
    </w:p>
    <w:p w14:paraId="1B6D5A0F">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质保期承诺函；</w:t>
      </w:r>
    </w:p>
    <w:p w14:paraId="58357FFB">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供应商类似项目实施情况一览表及相关证明材料；</w:t>
      </w:r>
    </w:p>
    <w:p w14:paraId="693467D4">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商务需求响应表；</w:t>
      </w:r>
    </w:p>
    <w:p w14:paraId="3AADDA52">
      <w:pPr>
        <w:pStyle w:val="9"/>
        <w:widowControl/>
        <w:numPr>
          <w:ilvl w:val="0"/>
          <w:numId w:val="13"/>
        </w:numPr>
        <w:adjustRightInd w:val="0"/>
        <w:snapToGrid w:val="0"/>
        <w:spacing w:line="360" w:lineRule="auto"/>
        <w:ind w:firstLine="640"/>
        <w:rPr>
          <w:rFonts w:ascii="宋体" w:hAnsi="宋体" w:cs="宋体"/>
          <w:color w:val="auto"/>
          <w:sz w:val="24"/>
          <w:highlight w:val="none"/>
        </w:rPr>
      </w:pPr>
      <w:r>
        <w:rPr>
          <w:rFonts w:hint="eastAsia" w:ascii="宋体" w:hAnsi="宋体" w:cs="宋体"/>
          <w:color w:val="auto"/>
          <w:sz w:val="24"/>
          <w:szCs w:val="24"/>
          <w:highlight w:val="none"/>
        </w:rPr>
        <w:t>供应</w:t>
      </w:r>
      <w:r>
        <w:rPr>
          <w:rFonts w:hint="eastAsia" w:ascii="宋体" w:hAnsi="宋体" w:cs="宋体"/>
          <w:color w:val="auto"/>
          <w:sz w:val="24"/>
          <w:highlight w:val="none"/>
        </w:rPr>
        <w:t>商认为需要提供的其他资料（包括可能影响供应商商务内容评分的各类证明材料）。</w:t>
      </w:r>
    </w:p>
    <w:p w14:paraId="699BE7E1">
      <w:pPr>
        <w:pStyle w:val="9"/>
        <w:spacing w:line="360" w:lineRule="auto"/>
        <w:ind w:firstLine="480" w:firstLineChars="200"/>
        <w:rPr>
          <w:color w:val="auto"/>
          <w:sz w:val="24"/>
          <w:szCs w:val="24"/>
          <w:highlight w:val="none"/>
        </w:rPr>
      </w:pPr>
    </w:p>
    <w:p w14:paraId="296CE381">
      <w:pPr>
        <w:pStyle w:val="9"/>
        <w:rPr>
          <w:color w:val="auto"/>
          <w:sz w:val="28"/>
          <w:szCs w:val="28"/>
          <w:highlight w:val="none"/>
        </w:rPr>
      </w:pPr>
    </w:p>
    <w:p w14:paraId="17BD4ABF">
      <w:pPr>
        <w:pStyle w:val="9"/>
        <w:rPr>
          <w:color w:val="auto"/>
          <w:sz w:val="28"/>
          <w:szCs w:val="28"/>
          <w:highlight w:val="none"/>
        </w:rPr>
      </w:pPr>
    </w:p>
    <w:p w14:paraId="036D42D0">
      <w:pPr>
        <w:pStyle w:val="9"/>
        <w:rPr>
          <w:color w:val="auto"/>
          <w:sz w:val="28"/>
          <w:szCs w:val="28"/>
          <w:highlight w:val="none"/>
        </w:rPr>
      </w:pPr>
    </w:p>
    <w:p w14:paraId="1A164E28">
      <w:pPr>
        <w:pStyle w:val="9"/>
        <w:rPr>
          <w:b/>
          <w:color w:val="auto"/>
          <w:sz w:val="24"/>
          <w:szCs w:val="24"/>
          <w:highlight w:val="none"/>
        </w:rPr>
      </w:pPr>
      <w:r>
        <w:rPr>
          <w:b/>
          <w:color w:val="auto"/>
          <w:sz w:val="24"/>
          <w:szCs w:val="24"/>
          <w:highlight w:val="none"/>
        </w:rPr>
        <w:t>注：目录内容以投标供应商实际提供材料为准。</w:t>
      </w:r>
    </w:p>
    <w:p w14:paraId="761EC112">
      <w:pPr>
        <w:spacing w:line="360" w:lineRule="auto"/>
        <w:rPr>
          <w:rFonts w:ascii="宋体" w:hAnsi="宋体"/>
          <w:b/>
          <w:color w:val="auto"/>
          <w:sz w:val="28"/>
          <w:highlight w:val="none"/>
        </w:rPr>
      </w:pPr>
      <w:r>
        <w:rPr>
          <w:rFonts w:hint="eastAsia" w:ascii="宋体" w:hAnsi="宋体"/>
          <w:b/>
          <w:color w:val="auto"/>
          <w:sz w:val="28"/>
          <w:highlight w:val="none"/>
        </w:rPr>
        <w:t>附件7</w:t>
      </w:r>
    </w:p>
    <w:p w14:paraId="7B4F5BEF">
      <w:pPr>
        <w:widowControl/>
        <w:jc w:val="center"/>
        <w:rPr>
          <w:rFonts w:ascii="宋体" w:hAnsi="宋体"/>
          <w:b/>
          <w:color w:val="auto"/>
          <w:sz w:val="28"/>
          <w:highlight w:val="none"/>
        </w:rPr>
      </w:pPr>
      <w:r>
        <w:rPr>
          <w:rFonts w:ascii="宋体" w:hAnsi="宋体"/>
          <w:b/>
          <w:color w:val="auto"/>
          <w:sz w:val="28"/>
          <w:highlight w:val="none"/>
        </w:rPr>
        <w:t>评分索引表</w:t>
      </w:r>
    </w:p>
    <w:tbl>
      <w:tblPr>
        <w:tblStyle w:val="22"/>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5"/>
        <w:gridCol w:w="871"/>
        <w:gridCol w:w="4237"/>
        <w:gridCol w:w="684"/>
        <w:gridCol w:w="958"/>
        <w:gridCol w:w="1056"/>
      </w:tblGrid>
      <w:tr w14:paraId="6198E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615" w:type="pct"/>
            <w:shd w:val="clear" w:color="auto" w:fill="BFBFBF"/>
            <w:vAlign w:val="center"/>
          </w:tcPr>
          <w:p w14:paraId="601D11D0">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分值构成</w:t>
            </w:r>
          </w:p>
        </w:tc>
        <w:tc>
          <w:tcPr>
            <w:tcW w:w="2868" w:type="pct"/>
            <w:gridSpan w:val="2"/>
            <w:shd w:val="clear" w:color="auto" w:fill="BFBFBF"/>
            <w:vAlign w:val="center"/>
          </w:tcPr>
          <w:p w14:paraId="6EE2AF6E">
            <w:pPr>
              <w:adjustRightInd w:val="0"/>
              <w:snapToGrid w:val="0"/>
              <w:jc w:val="center"/>
              <w:rPr>
                <w:rFonts w:ascii="宋体" w:hAnsi="宋体"/>
                <w:b/>
                <w:color w:val="auto"/>
                <w:sz w:val="18"/>
                <w:szCs w:val="18"/>
                <w:highlight w:val="none"/>
              </w:rPr>
            </w:pPr>
            <w:r>
              <w:rPr>
                <w:rFonts w:hint="eastAsia" w:cs="Arial" w:asciiTheme="minorEastAsia" w:hAnsiTheme="minorEastAsia" w:eastAsiaTheme="minorEastAsia"/>
                <w:color w:val="auto"/>
                <w:sz w:val="18"/>
                <w:szCs w:val="18"/>
                <w:highlight w:val="none"/>
              </w:rPr>
              <w:t>1.技术部分60分  2.商务部分10分  3.报价得分30分</w:t>
            </w:r>
          </w:p>
        </w:tc>
        <w:tc>
          <w:tcPr>
            <w:tcW w:w="384" w:type="pct"/>
            <w:vMerge w:val="restart"/>
            <w:shd w:val="clear" w:color="auto" w:fill="BFBFBF"/>
            <w:vAlign w:val="center"/>
          </w:tcPr>
          <w:p w14:paraId="363BCEEE">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w:t>
            </w:r>
          </w:p>
        </w:tc>
        <w:tc>
          <w:tcPr>
            <w:tcW w:w="538" w:type="pct"/>
            <w:vMerge w:val="restart"/>
            <w:shd w:val="clear" w:color="auto" w:fill="BFBFBF"/>
            <w:vAlign w:val="center"/>
          </w:tcPr>
          <w:p w14:paraId="4B9066DF">
            <w:pPr>
              <w:adjustRightInd w:val="0"/>
              <w:snapToGrid w:val="0"/>
              <w:jc w:val="center"/>
              <w:rPr>
                <w:rFonts w:hint="default" w:ascii="宋体" w:hAnsi="宋体" w:eastAsia="宋体"/>
                <w:b/>
                <w:color w:val="auto"/>
                <w:sz w:val="18"/>
                <w:szCs w:val="18"/>
                <w:highlight w:val="none"/>
                <w:lang w:val="en-US" w:eastAsia="zh-CN"/>
              </w:rPr>
            </w:pPr>
            <w:r>
              <w:rPr>
                <w:rFonts w:hint="eastAsia" w:ascii="宋体" w:hAnsi="宋体"/>
                <w:b/>
                <w:color w:val="auto"/>
                <w:sz w:val="18"/>
                <w:szCs w:val="18"/>
                <w:highlight w:val="none"/>
                <w:lang w:val="en-US" w:eastAsia="zh-CN"/>
              </w:rPr>
              <w:t>自评分</w:t>
            </w:r>
          </w:p>
        </w:tc>
        <w:tc>
          <w:tcPr>
            <w:tcW w:w="593" w:type="pct"/>
            <w:vMerge w:val="restart"/>
            <w:shd w:val="clear" w:color="auto" w:fill="BFBFBF"/>
            <w:vAlign w:val="center"/>
          </w:tcPr>
          <w:p w14:paraId="1BB4669D">
            <w:pPr>
              <w:adjustRightInd w:val="0"/>
              <w:snapToGrid w:val="0"/>
              <w:jc w:val="center"/>
              <w:rPr>
                <w:rFonts w:hint="default" w:ascii="宋体" w:hAnsi="宋体" w:eastAsia="宋体"/>
                <w:b/>
                <w:color w:val="auto"/>
                <w:sz w:val="18"/>
                <w:szCs w:val="18"/>
                <w:highlight w:val="none"/>
                <w:lang w:val="en-US" w:eastAsia="zh-CN"/>
              </w:rPr>
            </w:pPr>
            <w:r>
              <w:rPr>
                <w:rFonts w:hint="eastAsia" w:ascii="宋体" w:hAnsi="宋体"/>
                <w:b/>
                <w:color w:val="auto"/>
                <w:sz w:val="18"/>
                <w:szCs w:val="18"/>
                <w:highlight w:val="none"/>
                <w:lang w:val="en-US" w:eastAsia="zh-CN"/>
              </w:rPr>
              <w:t>评审资料对应页码</w:t>
            </w:r>
          </w:p>
        </w:tc>
      </w:tr>
      <w:tr w14:paraId="0D68F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615" w:type="pct"/>
            <w:shd w:val="clear" w:color="auto" w:fill="BFBFBF"/>
            <w:vAlign w:val="center"/>
          </w:tcPr>
          <w:p w14:paraId="530B4911">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评分项目</w:t>
            </w:r>
          </w:p>
        </w:tc>
        <w:tc>
          <w:tcPr>
            <w:tcW w:w="2868" w:type="pct"/>
            <w:gridSpan w:val="2"/>
            <w:shd w:val="clear" w:color="auto" w:fill="BFBFBF"/>
            <w:vAlign w:val="center"/>
          </w:tcPr>
          <w:p w14:paraId="4C53658B">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评分细则</w:t>
            </w:r>
          </w:p>
        </w:tc>
        <w:tc>
          <w:tcPr>
            <w:tcW w:w="384" w:type="pct"/>
            <w:vMerge w:val="continue"/>
            <w:shd w:val="clear" w:color="auto" w:fill="BFBFBF"/>
            <w:vAlign w:val="center"/>
          </w:tcPr>
          <w:p w14:paraId="0F26889B">
            <w:pPr>
              <w:adjustRightInd w:val="0"/>
              <w:snapToGrid w:val="0"/>
              <w:jc w:val="center"/>
              <w:rPr>
                <w:rFonts w:ascii="宋体" w:hAnsi="宋体"/>
                <w:b/>
                <w:color w:val="auto"/>
                <w:sz w:val="18"/>
                <w:szCs w:val="18"/>
                <w:highlight w:val="none"/>
              </w:rPr>
            </w:pPr>
          </w:p>
        </w:tc>
        <w:tc>
          <w:tcPr>
            <w:tcW w:w="538" w:type="pct"/>
            <w:vMerge w:val="continue"/>
            <w:shd w:val="clear" w:color="auto" w:fill="BFBFBF"/>
            <w:vAlign w:val="center"/>
          </w:tcPr>
          <w:p w14:paraId="405F70AD">
            <w:pPr>
              <w:adjustRightInd w:val="0"/>
              <w:snapToGrid w:val="0"/>
              <w:jc w:val="center"/>
              <w:rPr>
                <w:rFonts w:ascii="宋体" w:hAnsi="宋体"/>
                <w:b/>
                <w:color w:val="auto"/>
                <w:sz w:val="18"/>
                <w:szCs w:val="18"/>
                <w:highlight w:val="none"/>
              </w:rPr>
            </w:pPr>
          </w:p>
        </w:tc>
        <w:tc>
          <w:tcPr>
            <w:tcW w:w="593" w:type="pct"/>
            <w:vMerge w:val="continue"/>
            <w:shd w:val="clear" w:color="auto" w:fill="BFBFBF"/>
            <w:vAlign w:val="center"/>
          </w:tcPr>
          <w:p w14:paraId="04F433B3">
            <w:pPr>
              <w:adjustRightInd w:val="0"/>
              <w:snapToGrid w:val="0"/>
              <w:jc w:val="center"/>
              <w:rPr>
                <w:rFonts w:ascii="宋体" w:hAnsi="宋体"/>
                <w:b/>
                <w:color w:val="auto"/>
                <w:sz w:val="18"/>
                <w:szCs w:val="18"/>
                <w:highlight w:val="none"/>
              </w:rPr>
            </w:pPr>
          </w:p>
        </w:tc>
      </w:tr>
      <w:tr w14:paraId="00E4A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restart"/>
            <w:vAlign w:val="center"/>
          </w:tcPr>
          <w:p w14:paraId="6E304015">
            <w:pPr>
              <w:adjustRightInd w:val="0"/>
              <w:snapToGrid w:val="0"/>
              <w:jc w:val="center"/>
              <w:rPr>
                <w:rFonts w:ascii="宋体" w:hAnsi="宋体" w:cs="宋体"/>
                <w:b/>
                <w:bCs/>
                <w:color w:val="auto"/>
                <w:sz w:val="18"/>
                <w:szCs w:val="18"/>
                <w:highlight w:val="none"/>
              </w:rPr>
            </w:pPr>
            <w:r>
              <w:rPr>
                <w:rFonts w:ascii="宋体" w:hAnsi="宋体" w:cs="宋体"/>
                <w:b/>
                <w:bCs/>
                <w:color w:val="auto"/>
                <w:sz w:val="18"/>
                <w:szCs w:val="18"/>
                <w:highlight w:val="none"/>
              </w:rPr>
              <w:t>技术部分</w:t>
            </w:r>
          </w:p>
        </w:tc>
        <w:tc>
          <w:tcPr>
            <w:tcW w:w="489" w:type="pct"/>
            <w:vAlign w:val="center"/>
          </w:tcPr>
          <w:p w14:paraId="15EF9A53">
            <w:pPr>
              <w:pStyle w:val="10"/>
              <w:adjustRightInd w:val="0"/>
              <w:snapToGrid w:val="0"/>
              <w:rPr>
                <w:color w:val="auto"/>
                <w:sz w:val="18"/>
                <w:szCs w:val="18"/>
                <w:highlight w:val="none"/>
              </w:rPr>
            </w:pPr>
            <w:r>
              <w:rPr>
                <w:rFonts w:hint="eastAsia"/>
                <w:color w:val="auto"/>
                <w:sz w:val="18"/>
                <w:szCs w:val="18"/>
                <w:highlight w:val="none"/>
              </w:rPr>
              <w:t>技术参数响应</w:t>
            </w:r>
          </w:p>
        </w:tc>
        <w:tc>
          <w:tcPr>
            <w:tcW w:w="2379" w:type="pct"/>
            <w:vAlign w:val="center"/>
          </w:tcPr>
          <w:p w14:paraId="24012427">
            <w:pPr>
              <w:adjustRightInd w:val="0"/>
              <w:snapToGrid w:val="0"/>
              <w:rPr>
                <w:rFonts w:ascii="宋体" w:hAnsi="宋体"/>
                <w:color w:val="auto"/>
                <w:sz w:val="18"/>
                <w:szCs w:val="18"/>
                <w:highlight w:val="none"/>
              </w:rPr>
            </w:pPr>
            <w:r>
              <w:rPr>
                <w:rFonts w:hint="eastAsia" w:ascii="宋体" w:hAnsi="宋体"/>
                <w:b/>
                <w:color w:val="auto"/>
                <w:sz w:val="18"/>
                <w:szCs w:val="18"/>
                <w:highlight w:val="none"/>
              </w:rPr>
              <w:t>客观分：</w:t>
            </w:r>
            <w:r>
              <w:rPr>
                <w:rFonts w:hint="eastAsia" w:ascii="宋体" w:hAnsi="宋体"/>
                <w:color w:val="auto"/>
                <w:sz w:val="18"/>
                <w:szCs w:val="18"/>
                <w:highlight w:val="none"/>
              </w:rPr>
              <w:t>根据投标供应商所投产品对招标文件的响应情况，根据招标文件第三章“招标需求”中“二、技术需求”、“（三）技术要求及配置标准”中“技术参数要求”的评议 （共45项，其中实质性条款4项，关键性能参数9项，一般性能参数32项）：产品技术参数和性能要求完全满足的得43分</w:t>
            </w:r>
            <w:r>
              <w:rPr>
                <w:rFonts w:hint="eastAsia" w:ascii="宋体" w:hAnsi="宋体" w:cs="新宋体"/>
                <w:snapToGrid w:val="0"/>
                <w:color w:val="auto"/>
                <w:kern w:val="0"/>
                <w:sz w:val="18"/>
                <w:szCs w:val="18"/>
                <w:highlight w:val="none"/>
              </w:rPr>
              <w:t>。实质性条款（带“▲”的条款）中任一项不响应或负偏离其投标均无效，关键性能参数（带“★”的条款）每负偏离一项扣3分，一般性能参数每负偏离一项扣0.5分</w:t>
            </w:r>
            <w:r>
              <w:rPr>
                <w:rFonts w:hint="eastAsia" w:ascii="宋体" w:hAnsi="宋体" w:cs="新宋体"/>
                <w:b/>
                <w:snapToGrid w:val="0"/>
                <w:color w:val="auto"/>
                <w:kern w:val="0"/>
                <w:sz w:val="18"/>
                <w:szCs w:val="18"/>
                <w:highlight w:val="none"/>
              </w:rPr>
              <w:t>，扣完43分为止。</w:t>
            </w:r>
            <w:r>
              <w:rPr>
                <w:rFonts w:ascii="宋体" w:hAnsi="宋体" w:cs="新宋体"/>
                <w:snapToGrid w:val="0"/>
                <w:color w:val="auto"/>
                <w:kern w:val="0"/>
                <w:sz w:val="18"/>
                <w:szCs w:val="18"/>
                <w:highlight w:val="none"/>
              </w:rPr>
              <w:t xml:space="preserve"> </w:t>
            </w:r>
          </w:p>
          <w:p w14:paraId="3AEFA093">
            <w:pPr>
              <w:adjustRightInd w:val="0"/>
              <w:snapToGrid w:val="0"/>
              <w:rPr>
                <w:rFonts w:ascii="宋体" w:hAnsi="宋体"/>
                <w:b/>
                <w:color w:val="auto"/>
                <w:sz w:val="18"/>
                <w:szCs w:val="18"/>
                <w:highlight w:val="none"/>
              </w:rPr>
            </w:pPr>
            <w:r>
              <w:rPr>
                <w:rFonts w:hint="eastAsia" w:ascii="宋体" w:hAnsi="宋体" w:cs="新宋体"/>
                <w:b/>
                <w:snapToGrid w:val="0"/>
                <w:color w:val="auto"/>
                <w:kern w:val="0"/>
                <w:sz w:val="18"/>
                <w:szCs w:val="18"/>
                <w:highlight w:val="none"/>
              </w:rPr>
              <w:t>本项最高得43分，投标供应商需提供技术参数响应表（格式见附件），招标文件中如要求提供证明材料必须提供，否则视为负偏离。</w:t>
            </w:r>
          </w:p>
        </w:tc>
        <w:tc>
          <w:tcPr>
            <w:tcW w:w="384" w:type="pct"/>
            <w:vAlign w:val="center"/>
          </w:tcPr>
          <w:p w14:paraId="1BB0A3AB">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0-43</w:t>
            </w:r>
          </w:p>
        </w:tc>
        <w:tc>
          <w:tcPr>
            <w:tcW w:w="538" w:type="pct"/>
            <w:vAlign w:val="center"/>
          </w:tcPr>
          <w:p w14:paraId="6416B348">
            <w:pPr>
              <w:adjustRightInd w:val="0"/>
              <w:snapToGrid w:val="0"/>
              <w:jc w:val="center"/>
              <w:rPr>
                <w:rFonts w:hint="eastAsia" w:ascii="宋体" w:hAnsi="宋体"/>
                <w:color w:val="auto"/>
                <w:sz w:val="18"/>
                <w:szCs w:val="18"/>
                <w:highlight w:val="none"/>
              </w:rPr>
            </w:pPr>
          </w:p>
        </w:tc>
        <w:tc>
          <w:tcPr>
            <w:tcW w:w="593" w:type="pct"/>
            <w:vAlign w:val="center"/>
          </w:tcPr>
          <w:p w14:paraId="6F3D0463">
            <w:pPr>
              <w:adjustRightInd w:val="0"/>
              <w:snapToGrid w:val="0"/>
              <w:jc w:val="center"/>
              <w:rPr>
                <w:rFonts w:hint="eastAsia" w:ascii="宋体" w:hAnsi="宋体"/>
                <w:color w:val="auto"/>
                <w:sz w:val="18"/>
                <w:szCs w:val="18"/>
                <w:highlight w:val="none"/>
              </w:rPr>
            </w:pPr>
          </w:p>
        </w:tc>
      </w:tr>
      <w:tr w14:paraId="66E37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5E9A3F4C">
            <w:pPr>
              <w:adjustRightInd w:val="0"/>
              <w:snapToGrid w:val="0"/>
              <w:jc w:val="center"/>
              <w:rPr>
                <w:rFonts w:ascii="宋体" w:hAnsi="宋体" w:cs="宋体"/>
                <w:b/>
                <w:bCs/>
                <w:color w:val="auto"/>
                <w:sz w:val="18"/>
                <w:szCs w:val="18"/>
                <w:highlight w:val="none"/>
              </w:rPr>
            </w:pPr>
          </w:p>
        </w:tc>
        <w:tc>
          <w:tcPr>
            <w:tcW w:w="489" w:type="pct"/>
            <w:vAlign w:val="center"/>
          </w:tcPr>
          <w:p w14:paraId="361AF767">
            <w:pPr>
              <w:pStyle w:val="10"/>
              <w:adjustRightInd w:val="0"/>
              <w:snapToGrid w:val="0"/>
              <w:rPr>
                <w:color w:val="auto"/>
                <w:sz w:val="18"/>
                <w:szCs w:val="18"/>
                <w:highlight w:val="none"/>
              </w:rPr>
            </w:pPr>
            <w:r>
              <w:rPr>
                <w:color w:val="auto"/>
                <w:sz w:val="18"/>
                <w:szCs w:val="18"/>
                <w:highlight w:val="none"/>
              </w:rPr>
              <w:t>设备配置方案</w:t>
            </w:r>
          </w:p>
        </w:tc>
        <w:tc>
          <w:tcPr>
            <w:tcW w:w="2379" w:type="pct"/>
            <w:vAlign w:val="center"/>
          </w:tcPr>
          <w:p w14:paraId="122D554C">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olor w:val="auto"/>
                <w:sz w:val="18"/>
                <w:szCs w:val="18"/>
                <w:highlight w:val="none"/>
              </w:rPr>
              <w:t>根据</w:t>
            </w:r>
            <w:r>
              <w:rPr>
                <w:rFonts w:ascii="宋体" w:hAnsi="宋体"/>
                <w:color w:val="auto"/>
                <w:sz w:val="18"/>
                <w:szCs w:val="18"/>
                <w:highlight w:val="none"/>
              </w:rPr>
              <w:t>投标供应商设备配置方案技术性能先进程度、临床使用效果评分：</w:t>
            </w:r>
          </w:p>
          <w:p w14:paraId="6A0CEA55">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（1）技术性能先进充分满足临床要求且优化的得5分； </w:t>
            </w:r>
          </w:p>
          <w:p w14:paraId="4DB8C79E">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（2）技术性能较先进满足临床要求得3分；</w:t>
            </w:r>
          </w:p>
          <w:p w14:paraId="65E4D488">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（3）技术性能基本满足临床要求的得1分；</w:t>
            </w:r>
          </w:p>
          <w:p w14:paraId="73F875F4">
            <w:pPr>
              <w:adjustRightInd w:val="0"/>
              <w:snapToGrid w:val="0"/>
              <w:rPr>
                <w:color w:val="auto"/>
                <w:highlight w:val="none"/>
              </w:rPr>
            </w:pPr>
            <w:r>
              <w:rPr>
                <w:rFonts w:hint="eastAsia" w:ascii="宋体" w:hAnsi="宋体" w:cs="新宋体"/>
                <w:snapToGrid w:val="0"/>
                <w:color w:val="auto"/>
                <w:kern w:val="0"/>
                <w:sz w:val="18"/>
                <w:szCs w:val="18"/>
                <w:highlight w:val="none"/>
              </w:rPr>
              <w:t>（4）未提供方案或方案与存在较大的缺陷、技术性能与临床要求差距较大的不得分；</w:t>
            </w:r>
          </w:p>
        </w:tc>
        <w:tc>
          <w:tcPr>
            <w:tcW w:w="384" w:type="pct"/>
            <w:vAlign w:val="center"/>
          </w:tcPr>
          <w:p w14:paraId="54671AF2">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0-5</w:t>
            </w:r>
          </w:p>
        </w:tc>
        <w:tc>
          <w:tcPr>
            <w:tcW w:w="538" w:type="pct"/>
            <w:vAlign w:val="center"/>
          </w:tcPr>
          <w:p w14:paraId="462AF838">
            <w:pPr>
              <w:adjustRightInd w:val="0"/>
              <w:snapToGrid w:val="0"/>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93" w:type="pct"/>
            <w:vAlign w:val="center"/>
          </w:tcPr>
          <w:p w14:paraId="0F0FFA7E">
            <w:pPr>
              <w:adjustRightInd w:val="0"/>
              <w:snapToGrid w:val="0"/>
              <w:jc w:val="center"/>
              <w:rPr>
                <w:rFonts w:hint="eastAsia" w:ascii="宋体" w:hAnsi="宋体"/>
                <w:color w:val="auto"/>
                <w:sz w:val="18"/>
                <w:szCs w:val="18"/>
                <w:highlight w:val="none"/>
              </w:rPr>
            </w:pPr>
          </w:p>
        </w:tc>
      </w:tr>
      <w:tr w14:paraId="63508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3D368D37">
            <w:pPr>
              <w:adjustRightInd w:val="0"/>
              <w:snapToGrid w:val="0"/>
              <w:jc w:val="center"/>
              <w:rPr>
                <w:rFonts w:ascii="宋体" w:hAnsi="宋体" w:cs="宋体"/>
                <w:b/>
                <w:bCs/>
                <w:color w:val="auto"/>
                <w:sz w:val="18"/>
                <w:szCs w:val="18"/>
                <w:highlight w:val="none"/>
              </w:rPr>
            </w:pPr>
          </w:p>
        </w:tc>
        <w:tc>
          <w:tcPr>
            <w:tcW w:w="489" w:type="pct"/>
            <w:vAlign w:val="center"/>
          </w:tcPr>
          <w:p w14:paraId="354DCFB2">
            <w:pPr>
              <w:pStyle w:val="10"/>
              <w:adjustRightInd w:val="0"/>
              <w:snapToGrid w:val="0"/>
              <w:rPr>
                <w:color w:val="auto"/>
                <w:sz w:val="18"/>
                <w:szCs w:val="18"/>
                <w:highlight w:val="none"/>
              </w:rPr>
            </w:pPr>
            <w:r>
              <w:rPr>
                <w:rFonts w:hint="eastAsia"/>
                <w:color w:val="auto"/>
                <w:sz w:val="18"/>
                <w:szCs w:val="18"/>
                <w:highlight w:val="none"/>
              </w:rPr>
              <w:t>项目实施方案</w:t>
            </w:r>
          </w:p>
        </w:tc>
        <w:tc>
          <w:tcPr>
            <w:tcW w:w="2379" w:type="pct"/>
            <w:vAlign w:val="center"/>
          </w:tcPr>
          <w:p w14:paraId="17EDE30A">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 xml:space="preserve">投标人针对本项目提供详细的实施方案，包括但不限于①货物产品制造商主要生产质检流程、测试设备状况以及技术力量；②与相关单位协调配合管理预案；③供货方案；④安装、调试进度计划； ⑤安全保障方案；⑥质量保证措施；⑦现场人员配置情况；⑧安装调试及验收方案；⑨售后服务方案，根据方案的完整性、科学性、可操作性综合评分： </w:t>
            </w:r>
          </w:p>
          <w:p w14:paraId="06B0C92E">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（1）方案完整且优于招标人的需求，整体的实施中具有很好的可操作性，架构合理、逻辑清晰、计划科学、措施恰当的得 5分； </w:t>
            </w:r>
          </w:p>
          <w:p w14:paraId="10EA5295">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（2）方案完整且基本满足招标人的需求，具有一定的科学性、可执行性的得3分。 </w:t>
            </w:r>
          </w:p>
          <w:p w14:paraId="3AF0F6A8">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（3）方案内容不完整或科学性、可执行性较差的得1分；</w:t>
            </w:r>
          </w:p>
          <w:p w14:paraId="20945EDC">
            <w:pPr>
              <w:adjustRightInd w:val="0"/>
              <w:snapToGrid w:val="0"/>
              <w:rPr>
                <w:rFonts w:ascii="宋体" w:hAnsi="宋体" w:cs="宋体"/>
                <w:b/>
                <w:color w:val="auto"/>
                <w:szCs w:val="21"/>
                <w:highlight w:val="none"/>
              </w:rPr>
            </w:pPr>
            <w:r>
              <w:rPr>
                <w:rFonts w:hint="eastAsia" w:ascii="宋体" w:hAnsi="宋体" w:cs="新宋体"/>
                <w:snapToGrid w:val="0"/>
                <w:color w:val="auto"/>
                <w:kern w:val="0"/>
                <w:sz w:val="18"/>
                <w:szCs w:val="18"/>
                <w:highlight w:val="none"/>
              </w:rPr>
              <w:t>（4）未提供方案或方案与实际情况完全不符或方案不具有可执行性的不得分；</w:t>
            </w:r>
          </w:p>
        </w:tc>
        <w:tc>
          <w:tcPr>
            <w:tcW w:w="384" w:type="pct"/>
            <w:vAlign w:val="center"/>
          </w:tcPr>
          <w:p w14:paraId="6CB72830">
            <w:pPr>
              <w:adjustRightInd w:val="0"/>
              <w:snapToGrid w:val="0"/>
              <w:jc w:val="center"/>
              <w:rPr>
                <w:rFonts w:ascii="宋体" w:hAnsi="宋体" w:cs="宋体"/>
                <w:color w:val="auto"/>
                <w:szCs w:val="21"/>
                <w:highlight w:val="none"/>
              </w:rPr>
            </w:pPr>
            <w:r>
              <w:rPr>
                <w:rFonts w:hint="eastAsia" w:ascii="宋体" w:hAnsi="宋体"/>
                <w:color w:val="auto"/>
                <w:sz w:val="18"/>
                <w:szCs w:val="18"/>
                <w:highlight w:val="none"/>
              </w:rPr>
              <w:t>0-5</w:t>
            </w:r>
          </w:p>
        </w:tc>
        <w:tc>
          <w:tcPr>
            <w:tcW w:w="538" w:type="pct"/>
            <w:vAlign w:val="center"/>
          </w:tcPr>
          <w:p w14:paraId="56E62C51">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93" w:type="pct"/>
            <w:vAlign w:val="center"/>
          </w:tcPr>
          <w:p w14:paraId="23D7C0AB">
            <w:pPr>
              <w:adjustRightInd w:val="0"/>
              <w:snapToGrid w:val="0"/>
              <w:jc w:val="center"/>
              <w:rPr>
                <w:rFonts w:hint="eastAsia" w:ascii="宋体" w:hAnsi="宋体"/>
                <w:color w:val="auto"/>
                <w:sz w:val="18"/>
                <w:szCs w:val="18"/>
                <w:highlight w:val="none"/>
              </w:rPr>
            </w:pPr>
          </w:p>
        </w:tc>
      </w:tr>
      <w:tr w14:paraId="2D344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542C96B7">
            <w:pPr>
              <w:adjustRightInd w:val="0"/>
              <w:snapToGrid w:val="0"/>
              <w:jc w:val="center"/>
              <w:rPr>
                <w:rFonts w:ascii="宋体" w:hAnsi="宋体" w:cs="宋体"/>
                <w:b/>
                <w:bCs/>
                <w:color w:val="auto"/>
                <w:sz w:val="18"/>
                <w:szCs w:val="18"/>
                <w:highlight w:val="none"/>
              </w:rPr>
            </w:pPr>
          </w:p>
        </w:tc>
        <w:tc>
          <w:tcPr>
            <w:tcW w:w="489" w:type="pct"/>
            <w:vAlign w:val="center"/>
          </w:tcPr>
          <w:p w14:paraId="0C464951">
            <w:pPr>
              <w:pStyle w:val="10"/>
              <w:adjustRightInd w:val="0"/>
              <w:snapToGrid w:val="0"/>
              <w:rPr>
                <w:color w:val="auto"/>
                <w:sz w:val="18"/>
                <w:szCs w:val="18"/>
                <w:highlight w:val="none"/>
              </w:rPr>
            </w:pPr>
            <w:r>
              <w:rPr>
                <w:color w:val="auto"/>
                <w:sz w:val="18"/>
                <w:szCs w:val="18"/>
                <w:highlight w:val="none"/>
              </w:rPr>
              <w:t>培训方案</w:t>
            </w:r>
          </w:p>
        </w:tc>
        <w:tc>
          <w:tcPr>
            <w:tcW w:w="2379" w:type="pct"/>
            <w:vAlign w:val="center"/>
          </w:tcPr>
          <w:p w14:paraId="1AAD2655">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olor w:val="auto"/>
                <w:sz w:val="18"/>
                <w:szCs w:val="18"/>
                <w:highlight w:val="none"/>
              </w:rPr>
              <w:t>根据</w:t>
            </w:r>
            <w:r>
              <w:rPr>
                <w:rFonts w:ascii="宋体" w:hAnsi="宋体"/>
                <w:color w:val="auto"/>
                <w:sz w:val="18"/>
                <w:szCs w:val="18"/>
                <w:highlight w:val="none"/>
              </w:rPr>
              <w:t>投标供应商提供的培训方案（内容</w:t>
            </w:r>
            <w:r>
              <w:rPr>
                <w:rFonts w:hint="eastAsia" w:ascii="宋体" w:hAnsi="宋体"/>
                <w:color w:val="auto"/>
                <w:sz w:val="18"/>
                <w:szCs w:val="18"/>
                <w:highlight w:val="none"/>
              </w:rPr>
              <w:t>包括但不限于设备操作、应用培训及维修维护培训，详细说明培训的方式、内容、地点、人数、时间等）评分：</w:t>
            </w:r>
            <w:r>
              <w:rPr>
                <w:rFonts w:ascii="宋体" w:hAnsi="宋体" w:cs="新宋体"/>
                <w:snapToGrid w:val="0"/>
                <w:color w:val="auto"/>
                <w:kern w:val="0"/>
                <w:sz w:val="18"/>
                <w:szCs w:val="18"/>
                <w:highlight w:val="none"/>
              </w:rPr>
              <w:t xml:space="preserve"> </w:t>
            </w:r>
          </w:p>
          <w:p w14:paraId="19F53D6D">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w:t>
            </w:r>
            <w:r>
              <w:rPr>
                <w:rFonts w:hint="eastAsia" w:ascii="宋体" w:hAnsi="宋体"/>
                <w:color w:val="auto"/>
                <w:sz w:val="18"/>
                <w:szCs w:val="18"/>
                <w:highlight w:val="none"/>
              </w:rPr>
              <w:t>方案内容完整、考虑充分安排有效的</w:t>
            </w:r>
            <w:r>
              <w:rPr>
                <w:rFonts w:hint="eastAsia" w:ascii="宋体" w:hAnsi="宋体" w:cs="新宋体"/>
                <w:snapToGrid w:val="0"/>
                <w:color w:val="auto"/>
                <w:kern w:val="0"/>
                <w:sz w:val="18"/>
                <w:szCs w:val="18"/>
                <w:highlight w:val="none"/>
              </w:rPr>
              <w:t xml:space="preserve">得2分； </w:t>
            </w:r>
          </w:p>
          <w:p w14:paraId="21D32246">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w:t>
            </w:r>
            <w:r>
              <w:rPr>
                <w:rFonts w:hint="eastAsia" w:ascii="宋体" w:hAnsi="宋体"/>
                <w:color w:val="auto"/>
                <w:sz w:val="18"/>
                <w:szCs w:val="18"/>
                <w:highlight w:val="none"/>
              </w:rPr>
              <w:t>方案内容有欠缺，安排一般的</w:t>
            </w:r>
            <w:r>
              <w:rPr>
                <w:rFonts w:hint="eastAsia" w:ascii="宋体" w:hAnsi="宋体" w:cs="新宋体"/>
                <w:snapToGrid w:val="0"/>
                <w:color w:val="auto"/>
                <w:kern w:val="0"/>
                <w:sz w:val="18"/>
                <w:szCs w:val="18"/>
                <w:highlight w:val="none"/>
              </w:rPr>
              <w:t>得1分；</w:t>
            </w:r>
          </w:p>
          <w:p w14:paraId="08D7293D">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（3）未提供方案或方案与实际不符的不得分；</w:t>
            </w:r>
          </w:p>
        </w:tc>
        <w:tc>
          <w:tcPr>
            <w:tcW w:w="384" w:type="pct"/>
            <w:vAlign w:val="center"/>
          </w:tcPr>
          <w:p w14:paraId="747DC872">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c>
          <w:tcPr>
            <w:tcW w:w="538" w:type="pct"/>
            <w:vAlign w:val="center"/>
          </w:tcPr>
          <w:p w14:paraId="0FB01E9D">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93" w:type="pct"/>
            <w:vAlign w:val="center"/>
          </w:tcPr>
          <w:p w14:paraId="0CF9CE43">
            <w:pPr>
              <w:adjustRightInd w:val="0"/>
              <w:snapToGrid w:val="0"/>
              <w:jc w:val="center"/>
              <w:rPr>
                <w:rFonts w:hint="eastAsia" w:ascii="宋体" w:hAnsi="宋体"/>
                <w:color w:val="auto"/>
                <w:sz w:val="18"/>
                <w:szCs w:val="18"/>
                <w:highlight w:val="none"/>
              </w:rPr>
            </w:pPr>
          </w:p>
        </w:tc>
      </w:tr>
      <w:tr w14:paraId="4FE15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7B41D562">
            <w:pPr>
              <w:adjustRightInd w:val="0"/>
              <w:snapToGrid w:val="0"/>
              <w:jc w:val="center"/>
              <w:rPr>
                <w:rFonts w:ascii="宋体" w:hAnsi="宋体" w:cs="Arial"/>
                <w:b/>
                <w:bCs/>
                <w:color w:val="auto"/>
                <w:sz w:val="18"/>
                <w:szCs w:val="18"/>
                <w:highlight w:val="none"/>
              </w:rPr>
            </w:pPr>
          </w:p>
        </w:tc>
        <w:tc>
          <w:tcPr>
            <w:tcW w:w="489" w:type="pct"/>
            <w:vAlign w:val="center"/>
          </w:tcPr>
          <w:p w14:paraId="39FFAF09">
            <w:pPr>
              <w:adjustRightInd w:val="0"/>
              <w:snapToGrid w:val="0"/>
              <w:jc w:val="left"/>
              <w:rPr>
                <w:rFonts w:ascii="宋体" w:hAnsi="宋体" w:cs="宋体"/>
                <w:color w:val="auto"/>
                <w:sz w:val="18"/>
                <w:szCs w:val="18"/>
                <w:highlight w:val="none"/>
              </w:rPr>
            </w:pPr>
            <w:r>
              <w:rPr>
                <w:color w:val="auto"/>
                <w:sz w:val="18"/>
                <w:szCs w:val="18"/>
                <w:highlight w:val="none"/>
              </w:rPr>
              <w:t>运行成本</w:t>
            </w:r>
          </w:p>
        </w:tc>
        <w:tc>
          <w:tcPr>
            <w:tcW w:w="2379" w:type="pct"/>
            <w:vAlign w:val="center"/>
          </w:tcPr>
          <w:p w14:paraId="6DC89507">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根据投标供应商提供的易耗品及维修备件的清单和供货价（格式自拟）评分：</w:t>
            </w:r>
          </w:p>
          <w:p w14:paraId="6842D00F">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（1）清单详细完整，报价合理运行成本低得2分；</w:t>
            </w:r>
          </w:p>
          <w:p w14:paraId="5DF1F6F2">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（2）清单基本完整，报价和成本较合理得1分；</w:t>
            </w:r>
          </w:p>
          <w:p w14:paraId="0B080909">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（3）清单有欠缺，报价不合理、运行成本高的得0.5分；</w:t>
            </w:r>
          </w:p>
          <w:p w14:paraId="66209181">
            <w:pPr>
              <w:adjustRightInd w:val="0"/>
              <w:snapToGrid w:val="0"/>
              <w:jc w:val="left"/>
              <w:rPr>
                <w:color w:val="auto"/>
                <w:highlight w:val="none"/>
              </w:rPr>
            </w:pPr>
            <w:r>
              <w:rPr>
                <w:rFonts w:hint="eastAsia" w:ascii="宋体" w:hAnsi="宋体" w:cs="新宋体"/>
                <w:snapToGrid w:val="0"/>
                <w:color w:val="auto"/>
                <w:kern w:val="0"/>
                <w:sz w:val="18"/>
                <w:szCs w:val="18"/>
                <w:highlight w:val="none"/>
              </w:rPr>
              <w:t>（4）未提供清单及报价的不得分。</w:t>
            </w:r>
          </w:p>
        </w:tc>
        <w:tc>
          <w:tcPr>
            <w:tcW w:w="384" w:type="pct"/>
            <w:vAlign w:val="center"/>
          </w:tcPr>
          <w:p w14:paraId="7E04C5BD">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c>
          <w:tcPr>
            <w:tcW w:w="538" w:type="pct"/>
            <w:vAlign w:val="center"/>
          </w:tcPr>
          <w:p w14:paraId="0C659C6F">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93" w:type="pct"/>
            <w:vAlign w:val="center"/>
          </w:tcPr>
          <w:p w14:paraId="19B2D2FA">
            <w:pPr>
              <w:adjustRightInd w:val="0"/>
              <w:snapToGrid w:val="0"/>
              <w:jc w:val="center"/>
              <w:rPr>
                <w:rFonts w:hint="eastAsia" w:ascii="宋体" w:hAnsi="宋体"/>
                <w:color w:val="auto"/>
                <w:sz w:val="18"/>
                <w:szCs w:val="18"/>
                <w:highlight w:val="none"/>
              </w:rPr>
            </w:pPr>
          </w:p>
        </w:tc>
      </w:tr>
      <w:tr w14:paraId="2B102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3EDEDA12">
            <w:pPr>
              <w:adjustRightInd w:val="0"/>
              <w:snapToGrid w:val="0"/>
              <w:jc w:val="center"/>
              <w:rPr>
                <w:rFonts w:ascii="宋体" w:hAnsi="宋体" w:cs="Arial"/>
                <w:b/>
                <w:bCs/>
                <w:color w:val="auto"/>
                <w:sz w:val="18"/>
                <w:szCs w:val="18"/>
                <w:highlight w:val="none"/>
              </w:rPr>
            </w:pPr>
          </w:p>
        </w:tc>
        <w:tc>
          <w:tcPr>
            <w:tcW w:w="489" w:type="pct"/>
            <w:vAlign w:val="center"/>
          </w:tcPr>
          <w:p w14:paraId="41ECF283">
            <w:pPr>
              <w:adjustRightInd w:val="0"/>
              <w:snapToGrid w:val="0"/>
              <w:jc w:val="left"/>
              <w:rPr>
                <w:rFonts w:ascii="宋体" w:hAnsi="宋体" w:cs="宋体"/>
                <w:color w:val="auto"/>
                <w:sz w:val="18"/>
                <w:szCs w:val="18"/>
                <w:highlight w:val="none"/>
              </w:rPr>
            </w:pPr>
            <w:r>
              <w:rPr>
                <w:color w:val="auto"/>
                <w:sz w:val="18"/>
                <w:szCs w:val="18"/>
                <w:highlight w:val="none"/>
              </w:rPr>
              <w:t>维修成本</w:t>
            </w:r>
          </w:p>
        </w:tc>
        <w:tc>
          <w:tcPr>
            <w:tcW w:w="2379" w:type="pct"/>
            <w:vAlign w:val="center"/>
          </w:tcPr>
          <w:p w14:paraId="76102257">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根据投标供应商提供的质保期后的维护方案（格式自拟）评分：</w:t>
            </w:r>
          </w:p>
          <w:p w14:paraId="60470D34">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（1）方案详细完整，报价合理维修成本低得3分；</w:t>
            </w:r>
          </w:p>
          <w:p w14:paraId="4A366CB4">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（2）方案基本完整，报价和维修成本较合理得2分；</w:t>
            </w:r>
          </w:p>
          <w:p w14:paraId="5A12D032">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（3）方案有欠缺，报价不合理、维修成本高的得1分；</w:t>
            </w:r>
          </w:p>
          <w:p w14:paraId="72584DA7">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（4）未提供方案或方案与实际不符的不得分。</w:t>
            </w:r>
          </w:p>
        </w:tc>
        <w:tc>
          <w:tcPr>
            <w:tcW w:w="384" w:type="pct"/>
            <w:vAlign w:val="center"/>
          </w:tcPr>
          <w:p w14:paraId="4602D1D4">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538" w:type="pct"/>
            <w:vAlign w:val="center"/>
          </w:tcPr>
          <w:p w14:paraId="70BCC00C">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93" w:type="pct"/>
            <w:vAlign w:val="center"/>
          </w:tcPr>
          <w:p w14:paraId="7146E177">
            <w:pPr>
              <w:adjustRightInd w:val="0"/>
              <w:snapToGrid w:val="0"/>
              <w:jc w:val="center"/>
              <w:rPr>
                <w:rFonts w:hint="eastAsia" w:ascii="宋体" w:hAnsi="宋体"/>
                <w:color w:val="auto"/>
                <w:sz w:val="18"/>
                <w:szCs w:val="18"/>
                <w:highlight w:val="none"/>
              </w:rPr>
            </w:pPr>
          </w:p>
        </w:tc>
      </w:tr>
      <w:tr w14:paraId="5A4B2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restart"/>
            <w:vAlign w:val="center"/>
          </w:tcPr>
          <w:p w14:paraId="1CC80A23">
            <w:pPr>
              <w:adjustRightInd w:val="0"/>
              <w:snapToGrid w:val="0"/>
              <w:jc w:val="center"/>
              <w:rPr>
                <w:rFonts w:ascii="宋体" w:hAnsi="宋体" w:cs="Arial"/>
                <w:b/>
                <w:bCs/>
                <w:color w:val="auto"/>
                <w:sz w:val="18"/>
                <w:szCs w:val="18"/>
                <w:highlight w:val="none"/>
              </w:rPr>
            </w:pPr>
            <w:r>
              <w:rPr>
                <w:rFonts w:hint="eastAsia" w:ascii="宋体" w:hAnsi="宋体" w:cs="Arial"/>
                <w:b/>
                <w:bCs/>
                <w:color w:val="auto"/>
                <w:sz w:val="18"/>
                <w:szCs w:val="18"/>
                <w:highlight w:val="none"/>
              </w:rPr>
              <w:t>商务部分</w:t>
            </w:r>
          </w:p>
        </w:tc>
        <w:tc>
          <w:tcPr>
            <w:tcW w:w="489" w:type="pct"/>
            <w:vAlign w:val="center"/>
          </w:tcPr>
          <w:p w14:paraId="428B5589">
            <w:pPr>
              <w:adjustRightInd w:val="0"/>
              <w:snapToGrid w:val="0"/>
              <w:jc w:val="left"/>
              <w:rPr>
                <w:rFonts w:ascii="宋体" w:hAnsi="宋体" w:cs="宋体"/>
                <w:color w:val="auto"/>
                <w:sz w:val="18"/>
                <w:szCs w:val="18"/>
                <w:highlight w:val="none"/>
              </w:rPr>
            </w:pPr>
            <w:r>
              <w:rPr>
                <w:color w:val="auto"/>
                <w:sz w:val="18"/>
                <w:szCs w:val="18"/>
                <w:highlight w:val="none"/>
              </w:rPr>
              <w:t>质保期</w:t>
            </w:r>
          </w:p>
        </w:tc>
        <w:tc>
          <w:tcPr>
            <w:tcW w:w="2379" w:type="pct"/>
            <w:vAlign w:val="center"/>
          </w:tcPr>
          <w:p w14:paraId="43C50636">
            <w:pPr>
              <w:adjustRightInd w:val="0"/>
              <w:snapToGrid w:val="0"/>
              <w:rPr>
                <w:rFonts w:ascii="宋体" w:hAnsi="宋体" w:cs="新宋体"/>
                <w:snapToGrid w:val="0"/>
                <w:color w:val="auto"/>
                <w:kern w:val="0"/>
                <w:sz w:val="18"/>
                <w:szCs w:val="18"/>
                <w:highlight w:val="none"/>
              </w:rPr>
            </w:pPr>
            <w:r>
              <w:rPr>
                <w:rFonts w:ascii="宋体" w:hAnsi="宋体" w:cs="新宋体"/>
                <w:b/>
                <w:snapToGrid w:val="0"/>
                <w:color w:val="auto"/>
                <w:kern w:val="0"/>
                <w:sz w:val="18"/>
                <w:szCs w:val="18"/>
                <w:highlight w:val="none"/>
              </w:rPr>
              <w:t>客观分：</w:t>
            </w:r>
            <w:r>
              <w:rPr>
                <w:rFonts w:ascii="宋体" w:hAnsi="宋体" w:cs="新宋体"/>
                <w:snapToGrid w:val="0"/>
                <w:color w:val="auto"/>
                <w:kern w:val="0"/>
                <w:sz w:val="18"/>
                <w:szCs w:val="18"/>
                <w:highlight w:val="none"/>
              </w:rPr>
              <w:t>仅</w:t>
            </w:r>
            <w:r>
              <w:rPr>
                <w:rFonts w:hint="eastAsia" w:ascii="宋体" w:hAnsi="宋体" w:cs="新宋体"/>
                <w:snapToGrid w:val="0"/>
                <w:color w:val="auto"/>
                <w:kern w:val="0"/>
                <w:sz w:val="18"/>
                <w:szCs w:val="18"/>
                <w:highlight w:val="none"/>
              </w:rPr>
              <w:t>满足招标文件</w:t>
            </w:r>
            <w:bookmarkStart w:id="218" w:name="_GoBack"/>
            <w:bookmarkEnd w:id="218"/>
            <w:r>
              <w:rPr>
                <w:rFonts w:hint="eastAsia" w:ascii="宋体" w:hAnsi="宋体" w:cs="新宋体"/>
                <w:snapToGrid w:val="0"/>
                <w:color w:val="auto"/>
                <w:kern w:val="0"/>
                <w:sz w:val="18"/>
                <w:szCs w:val="18"/>
                <w:highlight w:val="none"/>
              </w:rPr>
              <w:t>要求（</w:t>
            </w:r>
            <w:r>
              <w:rPr>
                <w:rFonts w:hint="eastAsia" w:ascii="宋体" w:hAnsi="宋体" w:cs="新宋体"/>
                <w:snapToGrid w:val="0"/>
                <w:color w:val="auto"/>
                <w:kern w:val="0"/>
                <w:sz w:val="18"/>
                <w:szCs w:val="18"/>
                <w:highlight w:val="none"/>
                <w:lang w:val="en-US" w:eastAsia="zh-CN"/>
              </w:rPr>
              <w:t>5</w:t>
            </w:r>
            <w:r>
              <w:rPr>
                <w:rFonts w:hint="eastAsia" w:ascii="宋体" w:hAnsi="宋体" w:cs="新宋体"/>
                <w:snapToGrid w:val="0"/>
                <w:color w:val="auto"/>
                <w:kern w:val="0"/>
                <w:sz w:val="18"/>
                <w:szCs w:val="18"/>
                <w:highlight w:val="none"/>
              </w:rPr>
              <w:t>年）的不得分，在此基础上每增加1年得1分，最多得3分。</w:t>
            </w:r>
          </w:p>
          <w:p w14:paraId="78B5EEE3">
            <w:pPr>
              <w:adjustRightInd w:val="0"/>
              <w:snapToGrid w:val="0"/>
              <w:jc w:val="left"/>
              <w:rPr>
                <w:color w:val="auto"/>
                <w:highlight w:val="none"/>
              </w:rPr>
            </w:pPr>
            <w:r>
              <w:rPr>
                <w:rFonts w:hint="eastAsia" w:ascii="宋体" w:hAnsi="宋体" w:cs="新宋体"/>
                <w:b/>
                <w:snapToGrid w:val="0"/>
                <w:color w:val="auto"/>
                <w:kern w:val="0"/>
                <w:sz w:val="18"/>
                <w:szCs w:val="18"/>
                <w:highlight w:val="none"/>
              </w:rPr>
              <w:t>需提供承诺函（格式见附件），否则不得分。</w:t>
            </w:r>
          </w:p>
        </w:tc>
        <w:tc>
          <w:tcPr>
            <w:tcW w:w="384" w:type="pct"/>
            <w:vAlign w:val="center"/>
          </w:tcPr>
          <w:p w14:paraId="177A1F45">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538" w:type="pct"/>
            <w:vAlign w:val="center"/>
          </w:tcPr>
          <w:p w14:paraId="3E3C1CF6">
            <w:pPr>
              <w:adjustRightInd w:val="0"/>
              <w:snapToGrid w:val="0"/>
              <w:jc w:val="center"/>
              <w:rPr>
                <w:rFonts w:hint="eastAsia" w:ascii="宋体" w:hAnsi="宋体"/>
                <w:color w:val="auto"/>
                <w:sz w:val="18"/>
                <w:szCs w:val="18"/>
                <w:highlight w:val="none"/>
              </w:rPr>
            </w:pPr>
          </w:p>
        </w:tc>
        <w:tc>
          <w:tcPr>
            <w:tcW w:w="593" w:type="pct"/>
            <w:vAlign w:val="center"/>
          </w:tcPr>
          <w:p w14:paraId="1CC540AF">
            <w:pPr>
              <w:adjustRightInd w:val="0"/>
              <w:snapToGrid w:val="0"/>
              <w:jc w:val="center"/>
              <w:rPr>
                <w:rFonts w:hint="eastAsia" w:ascii="宋体" w:hAnsi="宋体"/>
                <w:color w:val="auto"/>
                <w:sz w:val="18"/>
                <w:szCs w:val="18"/>
                <w:highlight w:val="none"/>
              </w:rPr>
            </w:pPr>
          </w:p>
        </w:tc>
      </w:tr>
      <w:tr w14:paraId="134EE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23E2474A">
            <w:pPr>
              <w:adjustRightInd w:val="0"/>
              <w:snapToGrid w:val="0"/>
              <w:jc w:val="center"/>
              <w:rPr>
                <w:rFonts w:ascii="宋体" w:hAnsi="宋体" w:cs="Arial"/>
                <w:b/>
                <w:bCs/>
                <w:color w:val="auto"/>
                <w:sz w:val="18"/>
                <w:szCs w:val="18"/>
                <w:highlight w:val="none"/>
              </w:rPr>
            </w:pPr>
          </w:p>
        </w:tc>
        <w:tc>
          <w:tcPr>
            <w:tcW w:w="489" w:type="pct"/>
            <w:vAlign w:val="center"/>
          </w:tcPr>
          <w:p w14:paraId="06984E32">
            <w:pPr>
              <w:adjustRightInd w:val="0"/>
              <w:snapToGrid w:val="0"/>
              <w:jc w:val="left"/>
              <w:rPr>
                <w:color w:val="auto"/>
                <w:sz w:val="18"/>
                <w:szCs w:val="18"/>
                <w:highlight w:val="none"/>
              </w:rPr>
            </w:pPr>
            <w:r>
              <w:rPr>
                <w:color w:val="auto"/>
                <w:sz w:val="18"/>
                <w:szCs w:val="18"/>
                <w:highlight w:val="none"/>
              </w:rPr>
              <w:t>企业认证</w:t>
            </w:r>
          </w:p>
        </w:tc>
        <w:tc>
          <w:tcPr>
            <w:tcW w:w="2379" w:type="pct"/>
            <w:vAlign w:val="center"/>
          </w:tcPr>
          <w:p w14:paraId="5AE4A3EE">
            <w:pPr>
              <w:adjustRightInd w:val="0"/>
              <w:snapToGrid w:val="0"/>
              <w:rPr>
                <w:rFonts w:asciiTheme="minorEastAsia" w:hAnsiTheme="minorEastAsia" w:eastAsiaTheme="minorEastAsia"/>
                <w:color w:val="auto"/>
                <w:szCs w:val="21"/>
                <w:highlight w:val="none"/>
              </w:rPr>
            </w:pPr>
            <w:r>
              <w:rPr>
                <w:rFonts w:ascii="宋体" w:hAnsi="宋体" w:cs="新宋体"/>
                <w:b/>
                <w:snapToGrid w:val="0"/>
                <w:color w:val="auto"/>
                <w:kern w:val="0"/>
                <w:sz w:val="18"/>
                <w:szCs w:val="18"/>
                <w:highlight w:val="none"/>
              </w:rPr>
              <w:t>客观分：</w:t>
            </w:r>
            <w:r>
              <w:rPr>
                <w:rFonts w:hint="eastAsia" w:ascii="宋体" w:hAnsi="宋体" w:cs="新宋体"/>
                <w:snapToGrid w:val="0"/>
                <w:color w:val="auto"/>
                <w:kern w:val="0"/>
                <w:sz w:val="18"/>
                <w:szCs w:val="18"/>
                <w:highlight w:val="none"/>
              </w:rPr>
              <w:t>投标</w:t>
            </w:r>
            <w:r>
              <w:rPr>
                <w:rFonts w:hint="eastAsia" w:ascii="宋体" w:hAnsi="宋体" w:cs="宋体"/>
                <w:color w:val="auto"/>
                <w:sz w:val="18"/>
                <w:szCs w:val="18"/>
                <w:highlight w:val="none"/>
                <w:lang w:val="zh-CN"/>
              </w:rPr>
              <w:t>供应商或产品制造商具备</w:t>
            </w:r>
            <w:r>
              <w:rPr>
                <w:rFonts w:ascii="宋体" w:hAnsi="宋体" w:cs="宋体"/>
                <w:color w:val="auto"/>
                <w:sz w:val="18"/>
                <w:szCs w:val="18"/>
                <w:highlight w:val="none"/>
                <w:lang w:val="zh-CN"/>
              </w:rPr>
              <w:t>质量管理</w:t>
            </w:r>
            <w:r>
              <w:rPr>
                <w:rFonts w:hint="eastAsia" w:ascii="宋体" w:hAnsi="宋体" w:cs="宋体"/>
                <w:color w:val="auto"/>
                <w:sz w:val="18"/>
                <w:szCs w:val="18"/>
                <w:highlight w:val="none"/>
                <w:lang w:val="zh-CN"/>
              </w:rPr>
              <w:t>体系认证证书、环境管理体系认证证书、职业健康</w:t>
            </w:r>
            <w:r>
              <w:rPr>
                <w:rFonts w:hint="eastAsia" w:ascii="宋体" w:hAnsi="宋体" w:cs="新宋体"/>
                <w:snapToGrid w:val="0"/>
                <w:color w:val="auto"/>
                <w:kern w:val="0"/>
                <w:sz w:val="18"/>
                <w:szCs w:val="18"/>
                <w:highlight w:val="none"/>
              </w:rPr>
              <w:t>安全管理</w:t>
            </w:r>
            <w:r>
              <w:rPr>
                <w:rFonts w:hint="eastAsia" w:ascii="宋体" w:hAnsi="宋体" w:cs="宋体"/>
                <w:color w:val="auto"/>
                <w:sz w:val="18"/>
                <w:szCs w:val="18"/>
                <w:highlight w:val="none"/>
                <w:lang w:val="zh-CN"/>
              </w:rPr>
              <w:t>体系认证证书，每项证书得1分，最高得到3分。</w:t>
            </w:r>
          </w:p>
          <w:p w14:paraId="321E91FA">
            <w:pPr>
              <w:adjustRightInd w:val="0"/>
              <w:snapToGrid w:val="0"/>
              <w:rPr>
                <w:rFonts w:ascii="宋体" w:hAnsi="宋体" w:cs="新宋体"/>
                <w:b/>
                <w:snapToGrid w:val="0"/>
                <w:color w:val="auto"/>
                <w:kern w:val="0"/>
                <w:sz w:val="18"/>
                <w:szCs w:val="18"/>
                <w:highlight w:val="none"/>
              </w:rPr>
            </w:pPr>
            <w:r>
              <w:rPr>
                <w:rFonts w:hint="eastAsia" w:ascii="宋体" w:hAnsi="宋体" w:cs="新宋体"/>
                <w:b/>
                <w:snapToGrid w:val="0"/>
                <w:color w:val="auto"/>
                <w:kern w:val="0"/>
                <w:sz w:val="18"/>
                <w:szCs w:val="18"/>
                <w:highlight w:val="none"/>
              </w:rPr>
              <w:t>投标供应商需提供有效期内的证书原件扫描件及全国认证认可信息公共服务平台查询页面截图，否则不得分。</w:t>
            </w:r>
          </w:p>
        </w:tc>
        <w:tc>
          <w:tcPr>
            <w:tcW w:w="384" w:type="pct"/>
            <w:vAlign w:val="center"/>
          </w:tcPr>
          <w:p w14:paraId="2F361516">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538" w:type="pct"/>
            <w:vAlign w:val="center"/>
          </w:tcPr>
          <w:p w14:paraId="5967F383">
            <w:pPr>
              <w:adjustRightInd w:val="0"/>
              <w:snapToGrid w:val="0"/>
              <w:jc w:val="center"/>
              <w:rPr>
                <w:rFonts w:hint="eastAsia" w:ascii="宋体" w:hAnsi="宋体"/>
                <w:color w:val="auto"/>
                <w:sz w:val="18"/>
                <w:szCs w:val="18"/>
                <w:highlight w:val="none"/>
              </w:rPr>
            </w:pPr>
          </w:p>
        </w:tc>
        <w:tc>
          <w:tcPr>
            <w:tcW w:w="593" w:type="pct"/>
            <w:vAlign w:val="center"/>
          </w:tcPr>
          <w:p w14:paraId="02B9E3E1">
            <w:pPr>
              <w:adjustRightInd w:val="0"/>
              <w:snapToGrid w:val="0"/>
              <w:jc w:val="center"/>
              <w:rPr>
                <w:rFonts w:hint="eastAsia" w:ascii="宋体" w:hAnsi="宋体"/>
                <w:color w:val="auto"/>
                <w:sz w:val="18"/>
                <w:szCs w:val="18"/>
                <w:highlight w:val="none"/>
              </w:rPr>
            </w:pPr>
          </w:p>
        </w:tc>
      </w:tr>
      <w:tr w14:paraId="0B69F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14ABF5F7">
            <w:pPr>
              <w:adjustRightInd w:val="0"/>
              <w:snapToGrid w:val="0"/>
              <w:jc w:val="center"/>
              <w:rPr>
                <w:rFonts w:ascii="宋体" w:hAnsi="宋体" w:cs="Arial"/>
                <w:b/>
                <w:bCs/>
                <w:color w:val="auto"/>
                <w:sz w:val="18"/>
                <w:szCs w:val="18"/>
                <w:highlight w:val="none"/>
              </w:rPr>
            </w:pPr>
          </w:p>
        </w:tc>
        <w:tc>
          <w:tcPr>
            <w:tcW w:w="489" w:type="pct"/>
            <w:vAlign w:val="center"/>
          </w:tcPr>
          <w:p w14:paraId="70A56E51">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投标供应商业绩</w:t>
            </w:r>
          </w:p>
        </w:tc>
        <w:tc>
          <w:tcPr>
            <w:tcW w:w="2379" w:type="pct"/>
            <w:vAlign w:val="center"/>
          </w:tcPr>
          <w:p w14:paraId="187A6FEC">
            <w:pPr>
              <w:autoSpaceDE w:val="0"/>
              <w:autoSpaceDN w:val="0"/>
              <w:adjustRightInd w:val="0"/>
              <w:snapToGrid w:val="0"/>
              <w:jc w:val="left"/>
              <w:rPr>
                <w:rFonts w:ascii="宋体" w:hAnsi="宋体" w:cs="宋体"/>
                <w:color w:val="auto"/>
                <w:sz w:val="18"/>
                <w:szCs w:val="18"/>
                <w:highlight w:val="none"/>
                <w:lang w:val="zh-CN"/>
              </w:rPr>
            </w:pPr>
            <w:r>
              <w:rPr>
                <w:rFonts w:ascii="宋体" w:hAnsi="宋体" w:cs="新宋体"/>
                <w:b/>
                <w:snapToGrid w:val="0"/>
                <w:color w:val="auto"/>
                <w:kern w:val="0"/>
                <w:sz w:val="18"/>
                <w:szCs w:val="18"/>
                <w:highlight w:val="none"/>
              </w:rPr>
              <w:t>客观分：</w:t>
            </w:r>
            <w:r>
              <w:rPr>
                <w:rFonts w:hint="eastAsia" w:ascii="宋体" w:hAnsi="宋体" w:cs="宋体"/>
                <w:color w:val="auto"/>
                <w:sz w:val="18"/>
                <w:szCs w:val="18"/>
                <w:highlight w:val="none"/>
                <w:lang w:val="zh-CN"/>
              </w:rPr>
              <w:t>投标供应商具有2022年1月1日至今（以合同签订日期为准）类似类似医疗器械（CT）采购项目业绩，每个得0.5分，与同一采购单位签订的销售合同不重复计分，本项最多得3分。</w:t>
            </w:r>
          </w:p>
          <w:p w14:paraId="2E05114B">
            <w:pPr>
              <w:autoSpaceDE w:val="0"/>
              <w:autoSpaceDN w:val="0"/>
              <w:adjustRightInd w:val="0"/>
              <w:snapToGrid w:val="0"/>
              <w:jc w:val="left"/>
              <w:rPr>
                <w:rFonts w:ascii="宋体" w:hAnsi="宋体" w:cs="宋体"/>
                <w:color w:val="auto"/>
                <w:sz w:val="18"/>
                <w:szCs w:val="18"/>
                <w:highlight w:val="none"/>
              </w:rPr>
            </w:pPr>
            <w:r>
              <w:rPr>
                <w:rFonts w:hint="eastAsia" w:ascii="宋体" w:hAnsi="宋体"/>
                <w:b/>
                <w:color w:val="auto"/>
                <w:sz w:val="18"/>
                <w:szCs w:val="18"/>
                <w:highlight w:val="none"/>
              </w:rPr>
              <w:t>需同时提供合同扫描件（业绩认定时间以合同签订时间为准）及加盖采购单位公章的项目验收材料扫描件，否则不得分。</w:t>
            </w:r>
            <w:r>
              <w:rPr>
                <w:rFonts w:ascii="宋体" w:hAnsi="宋体" w:cs="宋体"/>
                <w:color w:val="auto"/>
                <w:sz w:val="18"/>
                <w:szCs w:val="18"/>
                <w:highlight w:val="none"/>
              </w:rPr>
              <w:t xml:space="preserve"> </w:t>
            </w:r>
          </w:p>
        </w:tc>
        <w:tc>
          <w:tcPr>
            <w:tcW w:w="384" w:type="pct"/>
            <w:vAlign w:val="center"/>
          </w:tcPr>
          <w:p w14:paraId="0918B107">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538" w:type="pct"/>
            <w:vAlign w:val="center"/>
          </w:tcPr>
          <w:p w14:paraId="00A3B6C5">
            <w:pPr>
              <w:adjustRightInd w:val="0"/>
              <w:snapToGrid w:val="0"/>
              <w:jc w:val="center"/>
              <w:rPr>
                <w:rFonts w:hint="eastAsia" w:ascii="宋体" w:hAnsi="宋体"/>
                <w:color w:val="auto"/>
                <w:sz w:val="18"/>
                <w:szCs w:val="18"/>
                <w:highlight w:val="none"/>
              </w:rPr>
            </w:pPr>
          </w:p>
        </w:tc>
        <w:tc>
          <w:tcPr>
            <w:tcW w:w="593" w:type="pct"/>
            <w:vAlign w:val="center"/>
          </w:tcPr>
          <w:p w14:paraId="1BAA05AB">
            <w:pPr>
              <w:adjustRightInd w:val="0"/>
              <w:snapToGrid w:val="0"/>
              <w:jc w:val="center"/>
              <w:rPr>
                <w:rFonts w:hint="eastAsia" w:ascii="宋体" w:hAnsi="宋体"/>
                <w:color w:val="auto"/>
                <w:sz w:val="18"/>
                <w:szCs w:val="18"/>
                <w:highlight w:val="none"/>
              </w:rPr>
            </w:pPr>
          </w:p>
        </w:tc>
      </w:tr>
      <w:tr w14:paraId="5A651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1FE53667">
            <w:pPr>
              <w:adjustRightInd w:val="0"/>
              <w:snapToGrid w:val="0"/>
              <w:jc w:val="center"/>
              <w:rPr>
                <w:rFonts w:ascii="宋体" w:hAnsi="宋体" w:cs="Arial"/>
                <w:b/>
                <w:bCs/>
                <w:color w:val="auto"/>
                <w:sz w:val="18"/>
                <w:szCs w:val="18"/>
                <w:highlight w:val="none"/>
              </w:rPr>
            </w:pPr>
          </w:p>
        </w:tc>
        <w:tc>
          <w:tcPr>
            <w:tcW w:w="489" w:type="pct"/>
            <w:vAlign w:val="center"/>
          </w:tcPr>
          <w:p w14:paraId="28675C2B">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节能环保</w:t>
            </w:r>
          </w:p>
        </w:tc>
        <w:tc>
          <w:tcPr>
            <w:tcW w:w="2379" w:type="pct"/>
            <w:vAlign w:val="center"/>
          </w:tcPr>
          <w:p w14:paraId="24A1C629">
            <w:pPr>
              <w:adjustRightInd w:val="0"/>
              <w:snapToGrid w:val="0"/>
              <w:jc w:val="left"/>
              <w:rPr>
                <w:rFonts w:ascii="宋体" w:hAnsi="宋体" w:cs="宋体"/>
                <w:color w:val="auto"/>
                <w:sz w:val="18"/>
                <w:szCs w:val="18"/>
                <w:highlight w:val="none"/>
                <w:lang w:val="zh-CN"/>
              </w:rPr>
            </w:pPr>
            <w:r>
              <w:rPr>
                <w:rFonts w:hint="eastAsia" w:ascii="宋体" w:hAnsi="宋体" w:cs="宋体"/>
                <w:b/>
                <w:color w:val="auto"/>
                <w:sz w:val="18"/>
                <w:szCs w:val="18"/>
                <w:highlight w:val="none"/>
              </w:rPr>
              <w:t>客观分：</w:t>
            </w:r>
            <w:r>
              <w:rPr>
                <w:rFonts w:hint="eastAsia" w:ascii="宋体" w:hAnsi="宋体" w:cs="宋体"/>
                <w:color w:val="auto"/>
                <w:sz w:val="18"/>
                <w:szCs w:val="18"/>
                <w:highlight w:val="none"/>
                <w:lang w:val="zh-CN"/>
              </w:rPr>
              <w:t>投标供应商投标产品中有符合 “节能产品政府采购品目清单”或“环境标志产品政府采购品目清单”标准的节能环保产品（财库〔2019〕9号文），每项得0.5分，本项最多得1分。</w:t>
            </w:r>
          </w:p>
          <w:p w14:paraId="39676175">
            <w:pPr>
              <w:adjustRightInd w:val="0"/>
              <w:snapToGrid w:val="0"/>
              <w:jc w:val="left"/>
              <w:rPr>
                <w:rFonts w:ascii="宋体" w:hAnsi="宋体" w:cs="宋体"/>
                <w:b/>
                <w:color w:val="auto"/>
                <w:sz w:val="18"/>
                <w:szCs w:val="18"/>
                <w:highlight w:val="none"/>
              </w:rPr>
            </w:pPr>
            <w:r>
              <w:rPr>
                <w:rFonts w:hint="eastAsia" w:ascii="宋体" w:hAnsi="宋体" w:cs="宋体"/>
                <w:b/>
                <w:color w:val="auto"/>
                <w:sz w:val="18"/>
                <w:szCs w:val="18"/>
                <w:highlight w:val="none"/>
                <w:lang w:val="zh-CN"/>
              </w:rPr>
              <w:t>需提供所投产品由国家确定的认证机关出具的节能产品、环保产品有效认证证书。</w:t>
            </w:r>
          </w:p>
        </w:tc>
        <w:tc>
          <w:tcPr>
            <w:tcW w:w="384" w:type="pct"/>
            <w:vAlign w:val="center"/>
          </w:tcPr>
          <w:p w14:paraId="7CF8FDDD">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0-1</w:t>
            </w:r>
          </w:p>
        </w:tc>
        <w:tc>
          <w:tcPr>
            <w:tcW w:w="538" w:type="pct"/>
            <w:vAlign w:val="center"/>
          </w:tcPr>
          <w:p w14:paraId="53A6CED8">
            <w:pPr>
              <w:adjustRightInd w:val="0"/>
              <w:snapToGrid w:val="0"/>
              <w:jc w:val="center"/>
              <w:rPr>
                <w:rFonts w:hint="eastAsia" w:ascii="宋体" w:hAnsi="宋体"/>
                <w:color w:val="auto"/>
                <w:sz w:val="18"/>
                <w:szCs w:val="18"/>
                <w:highlight w:val="none"/>
              </w:rPr>
            </w:pPr>
          </w:p>
        </w:tc>
        <w:tc>
          <w:tcPr>
            <w:tcW w:w="593" w:type="pct"/>
            <w:vAlign w:val="center"/>
          </w:tcPr>
          <w:p w14:paraId="17780C61">
            <w:pPr>
              <w:adjustRightInd w:val="0"/>
              <w:snapToGrid w:val="0"/>
              <w:jc w:val="center"/>
              <w:rPr>
                <w:rFonts w:hint="eastAsia" w:ascii="宋体" w:hAnsi="宋体"/>
                <w:color w:val="auto"/>
                <w:sz w:val="18"/>
                <w:szCs w:val="18"/>
                <w:highlight w:val="none"/>
              </w:rPr>
            </w:pPr>
          </w:p>
        </w:tc>
      </w:tr>
    </w:tbl>
    <w:p w14:paraId="4FCC40D8">
      <w:pPr>
        <w:widowControl/>
        <w:jc w:val="left"/>
        <w:rPr>
          <w:rFonts w:ascii="宋体" w:hAnsi="宋体"/>
          <w:b/>
          <w:color w:val="auto"/>
          <w:sz w:val="28"/>
          <w:highlight w:val="none"/>
        </w:rPr>
      </w:pPr>
    </w:p>
    <w:p w14:paraId="13C3238C">
      <w:pPr>
        <w:widowControl/>
        <w:jc w:val="left"/>
        <w:rPr>
          <w:rFonts w:ascii="宋体" w:hAnsi="宋体"/>
          <w:b/>
          <w:color w:val="auto"/>
          <w:sz w:val="28"/>
          <w:highlight w:val="none"/>
        </w:rPr>
      </w:pPr>
      <w:r>
        <w:rPr>
          <w:rFonts w:ascii="宋体" w:hAnsi="宋体"/>
          <w:b/>
          <w:color w:val="auto"/>
          <w:sz w:val="28"/>
          <w:highlight w:val="none"/>
        </w:rPr>
        <w:br w:type="page"/>
      </w:r>
    </w:p>
    <w:p w14:paraId="1961D28C">
      <w:pPr>
        <w:spacing w:line="360" w:lineRule="auto"/>
        <w:rPr>
          <w:rFonts w:ascii="宋体" w:hAnsi="宋体"/>
          <w:b/>
          <w:color w:val="auto"/>
          <w:sz w:val="28"/>
          <w:highlight w:val="none"/>
        </w:rPr>
      </w:pPr>
      <w:r>
        <w:rPr>
          <w:rFonts w:hint="eastAsia" w:ascii="宋体" w:hAnsi="宋体"/>
          <w:b/>
          <w:color w:val="auto"/>
          <w:sz w:val="28"/>
          <w:highlight w:val="none"/>
        </w:rPr>
        <w:t>附件8</w:t>
      </w:r>
    </w:p>
    <w:p w14:paraId="5883A27E">
      <w:pPr>
        <w:adjustRightInd w:val="0"/>
        <w:snapToGrid w:val="0"/>
        <w:spacing w:line="312" w:lineRule="auto"/>
        <w:ind w:right="480"/>
        <w:jc w:val="center"/>
        <w:rPr>
          <w:rFonts w:ascii="宋体" w:hAnsi="宋体"/>
          <w:b/>
          <w:color w:val="auto"/>
          <w:kern w:val="0"/>
          <w:sz w:val="32"/>
          <w:szCs w:val="32"/>
          <w:highlight w:val="none"/>
        </w:rPr>
      </w:pPr>
      <w:bookmarkStart w:id="186" w:name="_Toc20653"/>
      <w:r>
        <w:rPr>
          <w:rFonts w:hint="eastAsia" w:ascii="宋体" w:hAnsi="宋体"/>
          <w:b/>
          <w:color w:val="auto"/>
          <w:kern w:val="0"/>
          <w:sz w:val="32"/>
          <w:szCs w:val="32"/>
          <w:highlight w:val="none"/>
        </w:rPr>
        <w:t>投 标 函</w:t>
      </w:r>
      <w:bookmarkEnd w:id="186"/>
    </w:p>
    <w:p w14:paraId="0C795F27">
      <w:pPr>
        <w:snapToGrid w:val="0"/>
        <w:spacing w:line="380" w:lineRule="exact"/>
        <w:rPr>
          <w:rFonts w:ascii="宋体" w:hAnsi="宋体"/>
          <w:color w:val="auto"/>
          <w:sz w:val="24"/>
          <w:szCs w:val="20"/>
          <w:highlight w:val="none"/>
        </w:rPr>
      </w:pPr>
      <w:r>
        <w:rPr>
          <w:rFonts w:hint="eastAsia" w:ascii="宋体" w:hAnsi="宋体"/>
          <w:color w:val="auto"/>
          <w:sz w:val="24"/>
          <w:highlight w:val="none"/>
        </w:rPr>
        <w:t>致：</w:t>
      </w:r>
      <w:r>
        <w:rPr>
          <w:rFonts w:hint="eastAsia" w:ascii="宋体" w:hAnsi="宋体"/>
          <w:color w:val="auto"/>
          <w:sz w:val="24"/>
          <w:highlight w:val="none"/>
          <w:u w:val="single"/>
        </w:rPr>
        <w:t>浙江中永工程咨询有限公司</w:t>
      </w:r>
      <w:r>
        <w:rPr>
          <w:rFonts w:hint="eastAsia" w:ascii="宋体" w:hAnsi="宋体" w:cs="宋体"/>
          <w:color w:val="auto"/>
          <w:kern w:val="0"/>
          <w:sz w:val="24"/>
          <w:highlight w:val="none"/>
        </w:rPr>
        <w:t>（采购代理机构名称）：</w:t>
      </w:r>
    </w:p>
    <w:p w14:paraId="3C406154">
      <w:pPr>
        <w:snapToGrid w:val="0"/>
        <w:spacing w:line="380" w:lineRule="exact"/>
        <w:ind w:firstLine="480" w:firstLineChars="200"/>
        <w:rPr>
          <w:rFonts w:ascii="宋体" w:hAnsi="宋体"/>
          <w:color w:val="auto"/>
          <w:sz w:val="24"/>
          <w:highlight w:val="none"/>
        </w:rPr>
      </w:pPr>
      <w:r>
        <w:rPr>
          <w:rFonts w:hint="eastAsia" w:ascii="宋体" w:hAnsi="宋体"/>
          <w:color w:val="auto"/>
          <w:sz w:val="24"/>
          <w:highlight w:val="none"/>
        </w:rPr>
        <w:t>1.我方自愿参加贵方组织的</w:t>
      </w:r>
      <w:r>
        <w:rPr>
          <w:rFonts w:hint="eastAsia" w:ascii="宋体" w:hAnsi="宋体"/>
          <w:color w:val="auto"/>
          <w:sz w:val="24"/>
          <w:highlight w:val="none"/>
          <w:u w:val="single"/>
        </w:rPr>
        <w:t>台州市椒江区白云街道社区卫生服务中心CT采购项目</w:t>
      </w:r>
      <w:r>
        <w:rPr>
          <w:rFonts w:hint="eastAsia" w:ascii="宋体" w:hAnsi="宋体"/>
          <w:color w:val="auto"/>
          <w:sz w:val="24"/>
          <w:highlight w:val="none"/>
        </w:rPr>
        <w:t>项目（项目编号：</w:t>
      </w:r>
      <w:r>
        <w:rPr>
          <w:rFonts w:ascii="宋体" w:hAnsi="宋体"/>
          <w:color w:val="auto"/>
          <w:sz w:val="24"/>
          <w:highlight w:val="none"/>
          <w:u w:val="single"/>
        </w:rPr>
        <w:t>ZYZFCG〔2025〕008</w:t>
      </w:r>
      <w:r>
        <w:rPr>
          <w:rFonts w:hint="eastAsia" w:ascii="宋体" w:hAnsi="宋体"/>
          <w:color w:val="auto"/>
          <w:sz w:val="24"/>
          <w:highlight w:val="none"/>
        </w:rPr>
        <w:t>）的投标，并</w:t>
      </w:r>
      <w:r>
        <w:rPr>
          <w:rFonts w:ascii="宋体" w:hAnsi="宋体"/>
          <w:color w:val="auto"/>
          <w:sz w:val="24"/>
          <w:highlight w:val="none"/>
        </w:rPr>
        <w:t>按</w:t>
      </w:r>
      <w:r>
        <w:rPr>
          <w:rFonts w:hint="eastAsia" w:ascii="宋体" w:hAnsi="宋体"/>
          <w:color w:val="auto"/>
          <w:sz w:val="24"/>
          <w:highlight w:val="none"/>
        </w:rPr>
        <w:t>招标文件</w:t>
      </w:r>
      <w:r>
        <w:rPr>
          <w:rFonts w:ascii="宋体" w:hAnsi="宋体"/>
          <w:color w:val="auto"/>
          <w:sz w:val="24"/>
          <w:highlight w:val="none"/>
        </w:rPr>
        <w:t>的要求</w:t>
      </w:r>
      <w:r>
        <w:rPr>
          <w:rFonts w:hint="eastAsia" w:ascii="宋体" w:hAnsi="宋体"/>
          <w:color w:val="auto"/>
          <w:sz w:val="24"/>
          <w:highlight w:val="none"/>
        </w:rPr>
        <w:t>提交投标文件。</w:t>
      </w:r>
    </w:p>
    <w:p w14:paraId="7ABDAE3A">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2.我方完全理解并接受招标文件（包括更正文件）的各项规定和要求，不再对招标文件的合理性、合法性等相关内容提出质疑或投诉。</w:t>
      </w:r>
    </w:p>
    <w:p w14:paraId="02310AAC">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3.我方不是采购单位的附属机构以及其它法律法规所规定的限制投标单位。</w:t>
      </w:r>
    </w:p>
    <w:p w14:paraId="3522815A">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4.我方向贵方提交的所有投标文件、资料（包括所有证明材料等）都是准确、真实、合规的，如有虚假或隐瞒，我方愿意承担一切后果。</w:t>
      </w:r>
    </w:p>
    <w:p w14:paraId="13874797">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5.本单位与采购人、其他所有供应商之间均不存在利害关系。</w:t>
      </w:r>
    </w:p>
    <w:p w14:paraId="06FB248D">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6.本单位不与采购人或采购组织机构串通投标，损害国家利益、社会公共利益或者他人的合法权益。</w:t>
      </w:r>
    </w:p>
    <w:p w14:paraId="222640EA">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7.本单位不向招采购人或者评标委员会成员行贿以牟取中标。</w:t>
      </w:r>
    </w:p>
    <w:p w14:paraId="3F61A708">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8.本次投标有效期自投标截止之日起 90天内有效。</w:t>
      </w:r>
    </w:p>
    <w:p w14:paraId="4CF4654C">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9.如中标，本投标文件至本项目合同履行完毕均保持有效，同意按照贵方要求提供与投标有关的一切数据或资料，并按招标文件及招投标法律、法规的规定履行合同责任和义务。</w:t>
      </w:r>
    </w:p>
    <w:p w14:paraId="26B07B1F">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10.以上事项如有虚假或隐瞒，我方愿意承担一切后果，并不再寻求任何旨在减轻或免除法律责任的辩解，同意我方的履约保证金（如有）不予退回，并对采购单位因此引起的损失予以赔偿。</w:t>
      </w:r>
    </w:p>
    <w:p w14:paraId="1D5F8E0D">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11.我方全权授权被授权人办理针对上述项目的投标、开标、评标、签约等具体事务和签署相关文件，对被授权的各项行为负全部责任，在撤销授权的书面通知以前，本授权书一直有效，被授权人无转委托权。</w:t>
      </w:r>
    </w:p>
    <w:p w14:paraId="25A0EAD3">
      <w:pPr>
        <w:adjustRightInd w:val="0"/>
        <w:snapToGrid w:val="0"/>
        <w:spacing w:line="360" w:lineRule="exact"/>
        <w:ind w:firstLine="482" w:firstLineChars="200"/>
        <w:rPr>
          <w:rFonts w:ascii="宋体" w:hAnsi="宋体"/>
          <w:b/>
          <w:bCs/>
          <w:color w:val="auto"/>
          <w:sz w:val="24"/>
          <w:highlight w:val="none"/>
        </w:rPr>
      </w:pPr>
      <w:r>
        <w:rPr>
          <w:rFonts w:hint="eastAsia" w:ascii="宋体" w:hAnsi="宋体"/>
          <w:b/>
          <w:bCs/>
          <w:color w:val="auto"/>
          <w:sz w:val="24"/>
          <w:highlight w:val="none"/>
        </w:rPr>
        <w:t>与本投标有关的一切正式往来信函、传真或邮件（例如质疑回复函、中标（成交）通知书、合同等）请采用如下联系方式送达，我方确保能够及时、准确收悉。</w:t>
      </w:r>
    </w:p>
    <w:p w14:paraId="74ADB03E">
      <w:pPr>
        <w:adjustRightInd w:val="0"/>
        <w:snapToGrid w:val="0"/>
        <w:spacing w:line="360" w:lineRule="exact"/>
        <w:ind w:firstLine="480" w:firstLineChars="200"/>
        <w:rPr>
          <w:rFonts w:ascii="宋体" w:hAnsi="宋体"/>
          <w:color w:val="auto"/>
          <w:sz w:val="24"/>
          <w:highlight w:val="none"/>
          <w:u w:val="single"/>
        </w:rPr>
      </w:pPr>
      <w:r>
        <w:rPr>
          <w:rFonts w:hint="eastAsia" w:ascii="宋体" w:hAnsi="宋体"/>
          <w:color w:val="auto"/>
          <w:sz w:val="24"/>
          <w:highlight w:val="none"/>
        </w:rPr>
        <w:t>邮寄详细地址：</w:t>
      </w:r>
      <w:r>
        <w:rPr>
          <w:rFonts w:hint="eastAsia" w:ascii="宋体" w:hAnsi="宋体"/>
          <w:color w:val="auto"/>
          <w:sz w:val="24"/>
          <w:highlight w:val="none"/>
          <w:u w:val="single"/>
        </w:rPr>
        <w:t xml:space="preserve">            </w:t>
      </w:r>
      <w:r>
        <w:rPr>
          <w:rFonts w:hint="eastAsia" w:ascii="宋体" w:hAnsi="宋体"/>
          <w:color w:val="auto"/>
          <w:sz w:val="24"/>
          <w:highlight w:val="none"/>
        </w:rPr>
        <w:t>邮编：</w:t>
      </w:r>
      <w:r>
        <w:rPr>
          <w:rFonts w:hint="eastAsia" w:ascii="宋体" w:hAnsi="宋体"/>
          <w:color w:val="auto"/>
          <w:sz w:val="24"/>
          <w:highlight w:val="none"/>
          <w:u w:val="single"/>
        </w:rPr>
        <w:t xml:space="preserve">            </w:t>
      </w:r>
    </w:p>
    <w:p w14:paraId="63EF4B9B">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收件人姓名：</w:t>
      </w:r>
      <w:r>
        <w:rPr>
          <w:rFonts w:hint="eastAsia" w:ascii="宋体" w:hAnsi="宋体"/>
          <w:color w:val="auto"/>
          <w:sz w:val="24"/>
          <w:highlight w:val="none"/>
          <w:u w:val="single"/>
        </w:rPr>
        <w:t xml:space="preserve">              </w:t>
      </w:r>
      <w:r>
        <w:rPr>
          <w:rFonts w:hint="eastAsia" w:ascii="宋体" w:hAnsi="宋体"/>
          <w:color w:val="auto"/>
          <w:sz w:val="24"/>
          <w:highlight w:val="none"/>
        </w:rPr>
        <w:t>联系手机：</w:t>
      </w:r>
      <w:r>
        <w:rPr>
          <w:rFonts w:hint="eastAsia" w:ascii="宋体" w:hAnsi="宋体"/>
          <w:color w:val="auto"/>
          <w:sz w:val="24"/>
          <w:highlight w:val="none"/>
          <w:u w:val="single"/>
        </w:rPr>
        <w:t xml:space="preserve">              </w:t>
      </w:r>
    </w:p>
    <w:p w14:paraId="7B52EFAB">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公司电子邮箱</w:t>
      </w:r>
      <w:r>
        <w:rPr>
          <w:rFonts w:hint="eastAsia" w:ascii="宋体" w:hAnsi="宋体"/>
          <w:b/>
          <w:bCs/>
          <w:color w:val="auto"/>
          <w:sz w:val="24"/>
          <w:highlight w:val="none"/>
        </w:rPr>
        <w:t>：</w:t>
      </w:r>
      <w:r>
        <w:rPr>
          <w:rFonts w:hint="eastAsia" w:ascii="宋体" w:hAnsi="宋体"/>
          <w:color w:val="auto"/>
          <w:sz w:val="24"/>
          <w:highlight w:val="none"/>
          <w:u w:val="single"/>
        </w:rPr>
        <w:t xml:space="preserve">              </w:t>
      </w:r>
    </w:p>
    <w:p w14:paraId="233AFAC8">
      <w:pPr>
        <w:adjustRightInd w:val="0"/>
        <w:snapToGrid w:val="0"/>
        <w:spacing w:line="360" w:lineRule="exact"/>
        <w:ind w:firstLine="482" w:firstLineChars="200"/>
        <w:rPr>
          <w:rFonts w:ascii="宋体" w:hAnsi="宋体"/>
          <w:b/>
          <w:bCs/>
          <w:color w:val="auto"/>
          <w:sz w:val="24"/>
          <w:highlight w:val="none"/>
        </w:rPr>
      </w:pPr>
      <w:r>
        <w:rPr>
          <w:rFonts w:hint="eastAsia" w:ascii="宋体" w:hAnsi="宋体"/>
          <w:b/>
          <w:bCs/>
          <w:color w:val="auto"/>
          <w:sz w:val="24"/>
          <w:highlight w:val="none"/>
        </w:rPr>
        <w:t>为了方便评磋商小组在必要时对供应商进行询标，请供应商填写以下响应文件编制人信息，以便及时、准确进行询标，响应文件编制人信息可不限于1人。</w:t>
      </w:r>
    </w:p>
    <w:p w14:paraId="7EEA50B2">
      <w:pPr>
        <w:adjustRightInd w:val="0"/>
        <w:snapToGrid w:val="0"/>
        <w:spacing w:line="360" w:lineRule="exact"/>
        <w:ind w:firstLine="482" w:firstLineChars="200"/>
        <w:rPr>
          <w:rFonts w:ascii="宋体" w:hAnsi="宋体"/>
          <w:b/>
          <w:bCs/>
          <w:color w:val="auto"/>
          <w:sz w:val="24"/>
          <w:highlight w:val="none"/>
          <w:u w:val="single"/>
        </w:rPr>
      </w:pPr>
      <w:r>
        <w:rPr>
          <w:rFonts w:hint="eastAsia" w:ascii="宋体" w:hAnsi="宋体"/>
          <w:b/>
          <w:bCs/>
          <w:color w:val="auto"/>
          <w:sz w:val="24"/>
          <w:highlight w:val="none"/>
        </w:rPr>
        <w:t>响应</w:t>
      </w:r>
      <w:r>
        <w:rPr>
          <w:rFonts w:hint="eastAsia" w:ascii="宋体" w:hAnsi="宋体"/>
          <w:b/>
          <w:color w:val="auto"/>
          <w:sz w:val="24"/>
          <w:highlight w:val="none"/>
        </w:rPr>
        <w:t>文件</w:t>
      </w:r>
      <w:r>
        <w:rPr>
          <w:rFonts w:hint="eastAsia" w:ascii="宋体" w:hAnsi="宋体"/>
          <w:b/>
          <w:bCs/>
          <w:color w:val="auto"/>
          <w:sz w:val="24"/>
          <w:highlight w:val="none"/>
        </w:rPr>
        <w:t>编制人姓名：</w:t>
      </w:r>
      <w:r>
        <w:rPr>
          <w:rFonts w:hint="eastAsia" w:ascii="宋体" w:hAnsi="宋体"/>
          <w:color w:val="auto"/>
          <w:sz w:val="24"/>
          <w:highlight w:val="none"/>
          <w:u w:val="single"/>
        </w:rPr>
        <w:t xml:space="preserve">              </w:t>
      </w:r>
      <w:r>
        <w:rPr>
          <w:rFonts w:hint="eastAsia" w:ascii="宋体" w:hAnsi="宋体"/>
          <w:b/>
          <w:bCs/>
          <w:color w:val="auto"/>
          <w:sz w:val="24"/>
          <w:highlight w:val="none"/>
        </w:rPr>
        <w:t>手机号码：</w:t>
      </w:r>
      <w:r>
        <w:rPr>
          <w:rFonts w:hint="eastAsia" w:ascii="宋体" w:hAnsi="宋体"/>
          <w:color w:val="auto"/>
          <w:sz w:val="24"/>
          <w:highlight w:val="none"/>
          <w:u w:val="single"/>
        </w:rPr>
        <w:t xml:space="preserve">              </w:t>
      </w:r>
    </w:p>
    <w:p w14:paraId="272990C2">
      <w:pPr>
        <w:adjustRightInd w:val="0"/>
        <w:snapToGrid w:val="0"/>
        <w:spacing w:line="360" w:lineRule="exact"/>
        <w:ind w:firstLine="424" w:firstLineChars="177"/>
        <w:rPr>
          <w:rFonts w:ascii="宋体" w:hAnsi="宋体"/>
          <w:color w:val="auto"/>
          <w:sz w:val="24"/>
          <w:highlight w:val="none"/>
        </w:rPr>
      </w:pPr>
    </w:p>
    <w:p w14:paraId="7ED2ADE3">
      <w:pPr>
        <w:adjustRightInd w:val="0"/>
        <w:snapToGrid w:val="0"/>
        <w:spacing w:line="360" w:lineRule="exact"/>
        <w:rPr>
          <w:rFonts w:ascii="宋体" w:hAnsi="宋体"/>
          <w:color w:val="auto"/>
          <w:sz w:val="24"/>
          <w:highlight w:val="none"/>
          <w:u w:val="single"/>
        </w:rPr>
      </w:pPr>
      <w:r>
        <w:rPr>
          <w:rFonts w:hint="eastAsia" w:ascii="宋体" w:hAnsi="宋体"/>
          <w:color w:val="auto"/>
          <w:sz w:val="24"/>
          <w:highlight w:val="none"/>
        </w:rPr>
        <w:t>供应商名称（电子印章）：</w:t>
      </w:r>
    </w:p>
    <w:p w14:paraId="282F8337">
      <w:pPr>
        <w:adjustRightInd w:val="0"/>
        <w:snapToGrid w:val="0"/>
        <w:spacing w:line="360" w:lineRule="exact"/>
        <w:rPr>
          <w:rFonts w:ascii="宋体" w:hAnsi="宋体"/>
          <w:color w:val="auto"/>
          <w:sz w:val="24"/>
          <w:highlight w:val="none"/>
        </w:rPr>
      </w:pPr>
      <w:r>
        <w:rPr>
          <w:rFonts w:hint="eastAsia" w:ascii="宋体" w:hAnsi="宋体" w:cs="仿宋_GB2312"/>
          <w:color w:val="auto"/>
          <w:kern w:val="0"/>
          <w:sz w:val="24"/>
          <w:highlight w:val="none"/>
          <w:lang w:val="zh-CN"/>
        </w:rPr>
        <w:t>法定代表人或授权委托人签字或电子印章</w:t>
      </w:r>
      <w:r>
        <w:rPr>
          <w:rFonts w:hint="eastAsia" w:ascii="宋体" w:hAnsi="宋体"/>
          <w:color w:val="auto"/>
          <w:sz w:val="24"/>
          <w:highlight w:val="none"/>
        </w:rPr>
        <w:t>：</w:t>
      </w:r>
    </w:p>
    <w:p w14:paraId="2D04C312">
      <w:pPr>
        <w:widowControl/>
        <w:jc w:val="left"/>
        <w:rPr>
          <w:rFonts w:ascii="宋体" w:hAnsi="宋体"/>
          <w:b/>
          <w:color w:val="auto"/>
          <w:sz w:val="28"/>
          <w:highlight w:val="none"/>
        </w:rPr>
      </w:pPr>
      <w:r>
        <w:rPr>
          <w:rFonts w:hint="eastAsia" w:hAnsi="宋体"/>
          <w:color w:val="auto"/>
          <w:sz w:val="24"/>
          <w:highlight w:val="none"/>
        </w:rPr>
        <w:t>日期:     年   月   日</w:t>
      </w:r>
      <w:r>
        <w:rPr>
          <w:rFonts w:ascii="宋体" w:hAnsi="宋体"/>
          <w:b/>
          <w:color w:val="auto"/>
          <w:sz w:val="28"/>
          <w:highlight w:val="none"/>
        </w:rPr>
        <w:br w:type="page"/>
      </w:r>
    </w:p>
    <w:p w14:paraId="6473B49B">
      <w:pPr>
        <w:spacing w:line="360" w:lineRule="auto"/>
        <w:rPr>
          <w:rFonts w:ascii="宋体" w:hAnsi="宋体"/>
          <w:b/>
          <w:color w:val="auto"/>
          <w:sz w:val="28"/>
          <w:highlight w:val="none"/>
        </w:rPr>
      </w:pPr>
      <w:r>
        <w:rPr>
          <w:rFonts w:hint="eastAsia" w:ascii="宋体" w:hAnsi="宋体"/>
          <w:b/>
          <w:color w:val="auto"/>
          <w:sz w:val="28"/>
          <w:highlight w:val="none"/>
        </w:rPr>
        <w:t>附件9</w:t>
      </w:r>
    </w:p>
    <w:p w14:paraId="12D2DB5F">
      <w:pPr>
        <w:spacing w:line="360" w:lineRule="auto"/>
        <w:ind w:left="480"/>
        <w:jc w:val="center"/>
        <w:rPr>
          <w:rFonts w:ascii="宋体" w:hAnsi="宋体"/>
          <w:b/>
          <w:color w:val="auto"/>
          <w:sz w:val="32"/>
          <w:szCs w:val="32"/>
          <w:highlight w:val="none"/>
        </w:rPr>
      </w:pPr>
      <w:bookmarkStart w:id="187" w:name="_Toc26601_WPSOffice_Level1"/>
      <w:bookmarkStart w:id="188" w:name="_Toc12856_WPSOffice_Level1"/>
      <w:r>
        <w:rPr>
          <w:rFonts w:ascii="宋体" w:hAnsi="宋体"/>
          <w:color w:val="auto"/>
          <w:kern w:val="0"/>
          <w:sz w:val="32"/>
          <w:szCs w:val="32"/>
          <w:highlight w:val="none"/>
        </w:rPr>
        <w:t>技术</w:t>
      </w:r>
      <w:r>
        <w:rPr>
          <w:rFonts w:hint="eastAsia" w:ascii="宋体" w:hAnsi="宋体"/>
          <w:color w:val="auto"/>
          <w:kern w:val="0"/>
          <w:sz w:val="32"/>
          <w:szCs w:val="32"/>
          <w:highlight w:val="none"/>
        </w:rPr>
        <w:t>需求</w:t>
      </w:r>
      <w:r>
        <w:rPr>
          <w:rFonts w:ascii="宋体" w:hAnsi="宋体"/>
          <w:color w:val="auto"/>
          <w:kern w:val="0"/>
          <w:sz w:val="32"/>
          <w:szCs w:val="32"/>
          <w:highlight w:val="none"/>
        </w:rPr>
        <w:t>响应表</w:t>
      </w:r>
      <w:bookmarkEnd w:id="187"/>
      <w:bookmarkEnd w:id="188"/>
    </w:p>
    <w:tbl>
      <w:tblPr>
        <w:tblStyle w:val="22"/>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2295"/>
        <w:gridCol w:w="2259"/>
        <w:gridCol w:w="1589"/>
        <w:gridCol w:w="1546"/>
      </w:tblGrid>
      <w:tr w14:paraId="11BA0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833" w:type="dxa"/>
            <w:vAlign w:val="center"/>
          </w:tcPr>
          <w:p w14:paraId="1FF255B9">
            <w:pPr>
              <w:jc w:val="center"/>
              <w:rPr>
                <w:rFonts w:ascii="宋体" w:hAnsi="宋体"/>
                <w:b/>
                <w:color w:val="auto"/>
                <w:highlight w:val="none"/>
              </w:rPr>
            </w:pPr>
            <w:r>
              <w:rPr>
                <w:rFonts w:hint="eastAsia" w:ascii="宋体" w:hAnsi="宋体"/>
                <w:b/>
                <w:color w:val="auto"/>
                <w:highlight w:val="none"/>
              </w:rPr>
              <w:t>序号</w:t>
            </w:r>
          </w:p>
        </w:tc>
        <w:tc>
          <w:tcPr>
            <w:tcW w:w="2295" w:type="dxa"/>
            <w:vAlign w:val="center"/>
          </w:tcPr>
          <w:p w14:paraId="5CD8C8DA">
            <w:pPr>
              <w:jc w:val="center"/>
              <w:rPr>
                <w:rFonts w:ascii="宋体" w:hAnsi="宋体"/>
                <w:b/>
                <w:color w:val="auto"/>
                <w:highlight w:val="none"/>
              </w:rPr>
            </w:pPr>
            <w:r>
              <w:rPr>
                <w:rFonts w:ascii="宋体" w:hAnsi="宋体"/>
                <w:b/>
                <w:color w:val="auto"/>
                <w:highlight w:val="none"/>
              </w:rPr>
              <w:t>需求条目</w:t>
            </w:r>
          </w:p>
        </w:tc>
        <w:tc>
          <w:tcPr>
            <w:tcW w:w="2259" w:type="dxa"/>
            <w:vAlign w:val="center"/>
          </w:tcPr>
          <w:p w14:paraId="1B1E524C">
            <w:pPr>
              <w:ind w:left="152"/>
              <w:jc w:val="center"/>
              <w:rPr>
                <w:rFonts w:ascii="宋体" w:hAnsi="宋体"/>
                <w:b/>
                <w:color w:val="auto"/>
                <w:highlight w:val="none"/>
              </w:rPr>
            </w:pPr>
            <w:r>
              <w:rPr>
                <w:rFonts w:hint="eastAsia" w:ascii="宋体" w:hAnsi="宋体"/>
                <w:b/>
                <w:color w:val="auto"/>
                <w:highlight w:val="none"/>
              </w:rPr>
              <w:t>招标需求内容</w:t>
            </w:r>
          </w:p>
        </w:tc>
        <w:tc>
          <w:tcPr>
            <w:tcW w:w="1589" w:type="dxa"/>
            <w:vAlign w:val="center"/>
          </w:tcPr>
          <w:p w14:paraId="2FD262BF">
            <w:pPr>
              <w:jc w:val="center"/>
              <w:rPr>
                <w:rFonts w:ascii="宋体" w:hAnsi="宋体"/>
                <w:b/>
                <w:color w:val="auto"/>
                <w:highlight w:val="none"/>
              </w:rPr>
            </w:pPr>
            <w:r>
              <w:rPr>
                <w:rFonts w:ascii="宋体" w:hAnsi="宋体"/>
                <w:b/>
                <w:color w:val="auto"/>
                <w:highlight w:val="none"/>
              </w:rPr>
              <w:t>偏离情况</w:t>
            </w:r>
          </w:p>
        </w:tc>
        <w:tc>
          <w:tcPr>
            <w:tcW w:w="1546" w:type="dxa"/>
            <w:vAlign w:val="center"/>
          </w:tcPr>
          <w:p w14:paraId="60F71B27">
            <w:pPr>
              <w:jc w:val="center"/>
              <w:rPr>
                <w:rFonts w:ascii="宋体" w:hAnsi="宋体"/>
                <w:b/>
                <w:color w:val="auto"/>
                <w:highlight w:val="none"/>
              </w:rPr>
            </w:pPr>
            <w:r>
              <w:rPr>
                <w:rFonts w:hint="eastAsia" w:ascii="宋体" w:hAnsi="宋体"/>
                <w:b/>
                <w:color w:val="auto"/>
                <w:highlight w:val="none"/>
              </w:rPr>
              <w:t>供应商的承诺或说明</w:t>
            </w:r>
          </w:p>
        </w:tc>
      </w:tr>
      <w:tr w14:paraId="4F6EA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833" w:type="dxa"/>
            <w:vAlign w:val="center"/>
          </w:tcPr>
          <w:p w14:paraId="223E2293">
            <w:pPr>
              <w:jc w:val="center"/>
              <w:rPr>
                <w:rFonts w:ascii="宋体" w:hAnsi="宋体"/>
                <w:color w:val="auto"/>
                <w:sz w:val="24"/>
                <w:highlight w:val="none"/>
              </w:rPr>
            </w:pPr>
          </w:p>
        </w:tc>
        <w:tc>
          <w:tcPr>
            <w:tcW w:w="2295" w:type="dxa"/>
            <w:vAlign w:val="center"/>
          </w:tcPr>
          <w:p w14:paraId="2C4ABFF4">
            <w:pPr>
              <w:rPr>
                <w:rFonts w:ascii="宋体" w:hAnsi="宋体" w:cs="宋体"/>
                <w:color w:val="auto"/>
                <w:sz w:val="24"/>
                <w:highlight w:val="none"/>
              </w:rPr>
            </w:pPr>
          </w:p>
        </w:tc>
        <w:tc>
          <w:tcPr>
            <w:tcW w:w="2259" w:type="dxa"/>
            <w:vAlign w:val="center"/>
          </w:tcPr>
          <w:p w14:paraId="7C908416">
            <w:pPr>
              <w:jc w:val="center"/>
              <w:rPr>
                <w:rFonts w:ascii="宋体" w:hAnsi="宋体"/>
                <w:color w:val="auto"/>
                <w:sz w:val="24"/>
                <w:highlight w:val="none"/>
              </w:rPr>
            </w:pPr>
          </w:p>
        </w:tc>
        <w:tc>
          <w:tcPr>
            <w:tcW w:w="1589" w:type="dxa"/>
            <w:vAlign w:val="center"/>
          </w:tcPr>
          <w:p w14:paraId="25F8C85E">
            <w:pPr>
              <w:jc w:val="center"/>
              <w:rPr>
                <w:rFonts w:ascii="宋体" w:hAnsi="宋体"/>
                <w:color w:val="auto"/>
                <w:sz w:val="24"/>
                <w:highlight w:val="none"/>
              </w:rPr>
            </w:pPr>
          </w:p>
        </w:tc>
        <w:tc>
          <w:tcPr>
            <w:tcW w:w="1546" w:type="dxa"/>
            <w:vAlign w:val="center"/>
          </w:tcPr>
          <w:p w14:paraId="1ADAEF41">
            <w:pPr>
              <w:jc w:val="center"/>
              <w:rPr>
                <w:rFonts w:ascii="宋体" w:hAnsi="宋体"/>
                <w:color w:val="auto"/>
                <w:sz w:val="24"/>
                <w:highlight w:val="none"/>
              </w:rPr>
            </w:pPr>
          </w:p>
        </w:tc>
      </w:tr>
      <w:tr w14:paraId="00134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833" w:type="dxa"/>
            <w:vAlign w:val="center"/>
          </w:tcPr>
          <w:p w14:paraId="418ED866">
            <w:pPr>
              <w:jc w:val="center"/>
              <w:rPr>
                <w:rFonts w:ascii="宋体" w:hAnsi="宋体"/>
                <w:color w:val="auto"/>
                <w:sz w:val="24"/>
                <w:highlight w:val="none"/>
              </w:rPr>
            </w:pPr>
          </w:p>
        </w:tc>
        <w:tc>
          <w:tcPr>
            <w:tcW w:w="2295" w:type="dxa"/>
            <w:vAlign w:val="center"/>
          </w:tcPr>
          <w:p w14:paraId="78E9C458">
            <w:pPr>
              <w:jc w:val="center"/>
              <w:rPr>
                <w:rFonts w:ascii="宋体" w:hAnsi="宋体"/>
                <w:color w:val="auto"/>
                <w:sz w:val="24"/>
                <w:highlight w:val="none"/>
              </w:rPr>
            </w:pPr>
          </w:p>
        </w:tc>
        <w:tc>
          <w:tcPr>
            <w:tcW w:w="2259" w:type="dxa"/>
            <w:vAlign w:val="center"/>
          </w:tcPr>
          <w:p w14:paraId="4ED6A64C">
            <w:pPr>
              <w:jc w:val="center"/>
              <w:rPr>
                <w:rFonts w:ascii="宋体" w:hAnsi="宋体"/>
                <w:color w:val="auto"/>
                <w:sz w:val="24"/>
                <w:highlight w:val="none"/>
              </w:rPr>
            </w:pPr>
          </w:p>
        </w:tc>
        <w:tc>
          <w:tcPr>
            <w:tcW w:w="1589" w:type="dxa"/>
            <w:vAlign w:val="center"/>
          </w:tcPr>
          <w:p w14:paraId="07F0136E">
            <w:pPr>
              <w:jc w:val="center"/>
              <w:rPr>
                <w:rFonts w:ascii="宋体" w:hAnsi="宋体"/>
                <w:color w:val="auto"/>
                <w:sz w:val="24"/>
                <w:highlight w:val="none"/>
              </w:rPr>
            </w:pPr>
          </w:p>
        </w:tc>
        <w:tc>
          <w:tcPr>
            <w:tcW w:w="1546" w:type="dxa"/>
            <w:vAlign w:val="center"/>
          </w:tcPr>
          <w:p w14:paraId="1E64A9C1">
            <w:pPr>
              <w:jc w:val="center"/>
              <w:rPr>
                <w:rFonts w:ascii="宋体" w:hAnsi="宋体"/>
                <w:color w:val="auto"/>
                <w:sz w:val="24"/>
                <w:highlight w:val="none"/>
              </w:rPr>
            </w:pPr>
          </w:p>
        </w:tc>
      </w:tr>
      <w:tr w14:paraId="2D9F6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33" w:type="dxa"/>
            <w:vAlign w:val="center"/>
          </w:tcPr>
          <w:p w14:paraId="1EB15924">
            <w:pPr>
              <w:jc w:val="center"/>
              <w:rPr>
                <w:rFonts w:ascii="宋体" w:hAnsi="宋体"/>
                <w:color w:val="auto"/>
                <w:sz w:val="24"/>
                <w:highlight w:val="none"/>
              </w:rPr>
            </w:pPr>
          </w:p>
        </w:tc>
        <w:tc>
          <w:tcPr>
            <w:tcW w:w="2295" w:type="dxa"/>
            <w:vAlign w:val="center"/>
          </w:tcPr>
          <w:p w14:paraId="14C22A23">
            <w:pPr>
              <w:jc w:val="center"/>
              <w:rPr>
                <w:rFonts w:ascii="宋体" w:hAnsi="宋体"/>
                <w:color w:val="auto"/>
                <w:sz w:val="24"/>
                <w:highlight w:val="none"/>
              </w:rPr>
            </w:pPr>
          </w:p>
        </w:tc>
        <w:tc>
          <w:tcPr>
            <w:tcW w:w="2259" w:type="dxa"/>
            <w:vAlign w:val="center"/>
          </w:tcPr>
          <w:p w14:paraId="1BAD6F92">
            <w:pPr>
              <w:jc w:val="center"/>
              <w:rPr>
                <w:rFonts w:ascii="宋体" w:hAnsi="宋体"/>
                <w:color w:val="auto"/>
                <w:sz w:val="24"/>
                <w:highlight w:val="none"/>
              </w:rPr>
            </w:pPr>
          </w:p>
        </w:tc>
        <w:tc>
          <w:tcPr>
            <w:tcW w:w="1589" w:type="dxa"/>
            <w:vAlign w:val="center"/>
          </w:tcPr>
          <w:p w14:paraId="4B56E988">
            <w:pPr>
              <w:jc w:val="center"/>
              <w:rPr>
                <w:rFonts w:ascii="宋体" w:hAnsi="宋体"/>
                <w:color w:val="auto"/>
                <w:sz w:val="24"/>
                <w:highlight w:val="none"/>
              </w:rPr>
            </w:pPr>
          </w:p>
        </w:tc>
        <w:tc>
          <w:tcPr>
            <w:tcW w:w="1546" w:type="dxa"/>
            <w:vAlign w:val="center"/>
          </w:tcPr>
          <w:p w14:paraId="66C02217">
            <w:pPr>
              <w:jc w:val="center"/>
              <w:rPr>
                <w:rFonts w:ascii="宋体" w:hAnsi="宋体"/>
                <w:color w:val="auto"/>
                <w:sz w:val="24"/>
                <w:highlight w:val="none"/>
              </w:rPr>
            </w:pPr>
          </w:p>
        </w:tc>
      </w:tr>
      <w:tr w14:paraId="074DB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33" w:type="dxa"/>
            <w:vAlign w:val="center"/>
          </w:tcPr>
          <w:p w14:paraId="7D75907E">
            <w:pPr>
              <w:jc w:val="center"/>
              <w:rPr>
                <w:rFonts w:ascii="宋体" w:hAnsi="宋体"/>
                <w:color w:val="auto"/>
                <w:sz w:val="24"/>
                <w:highlight w:val="none"/>
              </w:rPr>
            </w:pPr>
          </w:p>
        </w:tc>
        <w:tc>
          <w:tcPr>
            <w:tcW w:w="2295" w:type="dxa"/>
            <w:vAlign w:val="center"/>
          </w:tcPr>
          <w:p w14:paraId="57ABA4BB">
            <w:pPr>
              <w:jc w:val="center"/>
              <w:rPr>
                <w:rFonts w:ascii="宋体" w:hAnsi="宋体"/>
                <w:color w:val="auto"/>
                <w:sz w:val="24"/>
                <w:highlight w:val="none"/>
              </w:rPr>
            </w:pPr>
          </w:p>
        </w:tc>
        <w:tc>
          <w:tcPr>
            <w:tcW w:w="2259" w:type="dxa"/>
            <w:vAlign w:val="center"/>
          </w:tcPr>
          <w:p w14:paraId="5AB796AF">
            <w:pPr>
              <w:jc w:val="center"/>
              <w:rPr>
                <w:rFonts w:ascii="宋体" w:hAnsi="宋体"/>
                <w:color w:val="auto"/>
                <w:sz w:val="24"/>
                <w:highlight w:val="none"/>
              </w:rPr>
            </w:pPr>
          </w:p>
        </w:tc>
        <w:tc>
          <w:tcPr>
            <w:tcW w:w="1589" w:type="dxa"/>
            <w:vAlign w:val="center"/>
          </w:tcPr>
          <w:p w14:paraId="7A8F1E0F">
            <w:pPr>
              <w:jc w:val="center"/>
              <w:rPr>
                <w:rFonts w:ascii="宋体" w:hAnsi="宋体"/>
                <w:color w:val="auto"/>
                <w:sz w:val="24"/>
                <w:highlight w:val="none"/>
              </w:rPr>
            </w:pPr>
          </w:p>
        </w:tc>
        <w:tc>
          <w:tcPr>
            <w:tcW w:w="1546" w:type="dxa"/>
            <w:vAlign w:val="center"/>
          </w:tcPr>
          <w:p w14:paraId="2812BE92">
            <w:pPr>
              <w:jc w:val="center"/>
              <w:rPr>
                <w:rFonts w:ascii="宋体" w:hAnsi="宋体"/>
                <w:color w:val="auto"/>
                <w:sz w:val="24"/>
                <w:highlight w:val="none"/>
              </w:rPr>
            </w:pPr>
          </w:p>
        </w:tc>
      </w:tr>
      <w:tr w14:paraId="134CF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33" w:type="dxa"/>
            <w:vAlign w:val="center"/>
          </w:tcPr>
          <w:p w14:paraId="734E50A1">
            <w:pPr>
              <w:jc w:val="center"/>
              <w:rPr>
                <w:rFonts w:ascii="宋体" w:hAnsi="宋体"/>
                <w:color w:val="auto"/>
                <w:sz w:val="24"/>
                <w:highlight w:val="none"/>
              </w:rPr>
            </w:pPr>
          </w:p>
        </w:tc>
        <w:tc>
          <w:tcPr>
            <w:tcW w:w="2295" w:type="dxa"/>
            <w:vAlign w:val="center"/>
          </w:tcPr>
          <w:p w14:paraId="649C6A49">
            <w:pPr>
              <w:rPr>
                <w:rFonts w:ascii="宋体" w:hAnsi="宋体"/>
                <w:color w:val="auto"/>
                <w:sz w:val="24"/>
                <w:highlight w:val="none"/>
              </w:rPr>
            </w:pPr>
          </w:p>
        </w:tc>
        <w:tc>
          <w:tcPr>
            <w:tcW w:w="2259" w:type="dxa"/>
            <w:vAlign w:val="center"/>
          </w:tcPr>
          <w:p w14:paraId="416D2E70">
            <w:pPr>
              <w:jc w:val="center"/>
              <w:rPr>
                <w:rFonts w:ascii="宋体" w:hAnsi="宋体"/>
                <w:color w:val="auto"/>
                <w:sz w:val="24"/>
                <w:highlight w:val="none"/>
              </w:rPr>
            </w:pPr>
          </w:p>
        </w:tc>
        <w:tc>
          <w:tcPr>
            <w:tcW w:w="1589" w:type="dxa"/>
            <w:vAlign w:val="center"/>
          </w:tcPr>
          <w:p w14:paraId="352F6FAD">
            <w:pPr>
              <w:jc w:val="center"/>
              <w:rPr>
                <w:rFonts w:ascii="宋体" w:hAnsi="宋体"/>
                <w:color w:val="auto"/>
                <w:sz w:val="24"/>
                <w:highlight w:val="none"/>
              </w:rPr>
            </w:pPr>
          </w:p>
        </w:tc>
        <w:tc>
          <w:tcPr>
            <w:tcW w:w="1546" w:type="dxa"/>
            <w:vAlign w:val="center"/>
          </w:tcPr>
          <w:p w14:paraId="236047E6">
            <w:pPr>
              <w:jc w:val="center"/>
              <w:rPr>
                <w:rFonts w:ascii="宋体" w:hAnsi="宋体"/>
                <w:color w:val="auto"/>
                <w:sz w:val="24"/>
                <w:highlight w:val="none"/>
              </w:rPr>
            </w:pPr>
          </w:p>
        </w:tc>
      </w:tr>
      <w:tr w14:paraId="0DF7D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833" w:type="dxa"/>
            <w:vAlign w:val="center"/>
          </w:tcPr>
          <w:p w14:paraId="05208A1B">
            <w:pPr>
              <w:jc w:val="center"/>
              <w:rPr>
                <w:rFonts w:ascii="宋体" w:hAnsi="宋体"/>
                <w:color w:val="auto"/>
                <w:sz w:val="24"/>
                <w:highlight w:val="none"/>
              </w:rPr>
            </w:pPr>
          </w:p>
        </w:tc>
        <w:tc>
          <w:tcPr>
            <w:tcW w:w="2295" w:type="dxa"/>
            <w:vAlign w:val="center"/>
          </w:tcPr>
          <w:p w14:paraId="1207365F">
            <w:pPr>
              <w:jc w:val="center"/>
              <w:rPr>
                <w:rFonts w:ascii="宋体" w:hAnsi="宋体"/>
                <w:color w:val="auto"/>
                <w:sz w:val="24"/>
                <w:highlight w:val="none"/>
              </w:rPr>
            </w:pPr>
          </w:p>
        </w:tc>
        <w:tc>
          <w:tcPr>
            <w:tcW w:w="2259" w:type="dxa"/>
            <w:vAlign w:val="center"/>
          </w:tcPr>
          <w:p w14:paraId="56C4009E">
            <w:pPr>
              <w:jc w:val="center"/>
              <w:rPr>
                <w:rFonts w:ascii="宋体" w:hAnsi="宋体"/>
                <w:color w:val="auto"/>
                <w:sz w:val="24"/>
                <w:highlight w:val="none"/>
              </w:rPr>
            </w:pPr>
          </w:p>
        </w:tc>
        <w:tc>
          <w:tcPr>
            <w:tcW w:w="1589" w:type="dxa"/>
            <w:vAlign w:val="center"/>
          </w:tcPr>
          <w:p w14:paraId="14B18B72">
            <w:pPr>
              <w:jc w:val="center"/>
              <w:rPr>
                <w:rFonts w:ascii="宋体" w:hAnsi="宋体"/>
                <w:color w:val="auto"/>
                <w:sz w:val="24"/>
                <w:highlight w:val="none"/>
              </w:rPr>
            </w:pPr>
          </w:p>
        </w:tc>
        <w:tc>
          <w:tcPr>
            <w:tcW w:w="1546" w:type="dxa"/>
            <w:vAlign w:val="center"/>
          </w:tcPr>
          <w:p w14:paraId="7C6F5442">
            <w:pPr>
              <w:jc w:val="center"/>
              <w:rPr>
                <w:rFonts w:ascii="宋体" w:hAnsi="宋体"/>
                <w:color w:val="auto"/>
                <w:sz w:val="24"/>
                <w:highlight w:val="none"/>
              </w:rPr>
            </w:pPr>
          </w:p>
        </w:tc>
      </w:tr>
      <w:tr w14:paraId="54DDA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833" w:type="dxa"/>
            <w:vAlign w:val="center"/>
          </w:tcPr>
          <w:p w14:paraId="5A756C53">
            <w:pPr>
              <w:jc w:val="center"/>
              <w:rPr>
                <w:rFonts w:ascii="宋体" w:hAnsi="宋体"/>
                <w:color w:val="auto"/>
                <w:sz w:val="24"/>
                <w:highlight w:val="none"/>
              </w:rPr>
            </w:pPr>
          </w:p>
        </w:tc>
        <w:tc>
          <w:tcPr>
            <w:tcW w:w="2295" w:type="dxa"/>
            <w:vAlign w:val="center"/>
          </w:tcPr>
          <w:p w14:paraId="787318B7">
            <w:pPr>
              <w:jc w:val="center"/>
              <w:rPr>
                <w:rFonts w:ascii="宋体" w:hAnsi="宋体"/>
                <w:color w:val="auto"/>
                <w:sz w:val="24"/>
                <w:highlight w:val="none"/>
              </w:rPr>
            </w:pPr>
          </w:p>
        </w:tc>
        <w:tc>
          <w:tcPr>
            <w:tcW w:w="2259" w:type="dxa"/>
            <w:vAlign w:val="center"/>
          </w:tcPr>
          <w:p w14:paraId="111D2F22">
            <w:pPr>
              <w:jc w:val="center"/>
              <w:rPr>
                <w:rFonts w:ascii="宋体" w:hAnsi="宋体"/>
                <w:color w:val="auto"/>
                <w:sz w:val="24"/>
                <w:highlight w:val="none"/>
              </w:rPr>
            </w:pPr>
          </w:p>
        </w:tc>
        <w:tc>
          <w:tcPr>
            <w:tcW w:w="1589" w:type="dxa"/>
            <w:vAlign w:val="center"/>
          </w:tcPr>
          <w:p w14:paraId="263511F8">
            <w:pPr>
              <w:jc w:val="center"/>
              <w:rPr>
                <w:rFonts w:ascii="宋体" w:hAnsi="宋体"/>
                <w:color w:val="auto"/>
                <w:sz w:val="24"/>
                <w:highlight w:val="none"/>
              </w:rPr>
            </w:pPr>
          </w:p>
        </w:tc>
        <w:tc>
          <w:tcPr>
            <w:tcW w:w="1546" w:type="dxa"/>
            <w:vAlign w:val="center"/>
          </w:tcPr>
          <w:p w14:paraId="1B404DAF">
            <w:pPr>
              <w:jc w:val="center"/>
              <w:rPr>
                <w:rFonts w:ascii="宋体" w:hAnsi="宋体"/>
                <w:color w:val="auto"/>
                <w:sz w:val="24"/>
                <w:highlight w:val="none"/>
              </w:rPr>
            </w:pPr>
          </w:p>
        </w:tc>
      </w:tr>
      <w:tr w14:paraId="651FA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833" w:type="dxa"/>
            <w:vAlign w:val="center"/>
          </w:tcPr>
          <w:p w14:paraId="4DC8F2FF">
            <w:pPr>
              <w:jc w:val="center"/>
              <w:rPr>
                <w:rFonts w:ascii="宋体" w:hAnsi="宋体"/>
                <w:color w:val="auto"/>
                <w:sz w:val="24"/>
                <w:highlight w:val="none"/>
              </w:rPr>
            </w:pPr>
          </w:p>
        </w:tc>
        <w:tc>
          <w:tcPr>
            <w:tcW w:w="2295" w:type="dxa"/>
            <w:vAlign w:val="center"/>
          </w:tcPr>
          <w:p w14:paraId="28378954">
            <w:pPr>
              <w:jc w:val="center"/>
              <w:rPr>
                <w:rFonts w:ascii="宋体" w:hAnsi="宋体"/>
                <w:color w:val="auto"/>
                <w:sz w:val="24"/>
                <w:highlight w:val="none"/>
              </w:rPr>
            </w:pPr>
          </w:p>
        </w:tc>
        <w:tc>
          <w:tcPr>
            <w:tcW w:w="2259" w:type="dxa"/>
            <w:vAlign w:val="center"/>
          </w:tcPr>
          <w:p w14:paraId="6037FBB8">
            <w:pPr>
              <w:jc w:val="center"/>
              <w:rPr>
                <w:rFonts w:ascii="宋体" w:hAnsi="宋体"/>
                <w:color w:val="auto"/>
                <w:sz w:val="24"/>
                <w:highlight w:val="none"/>
              </w:rPr>
            </w:pPr>
          </w:p>
        </w:tc>
        <w:tc>
          <w:tcPr>
            <w:tcW w:w="1589" w:type="dxa"/>
            <w:vAlign w:val="center"/>
          </w:tcPr>
          <w:p w14:paraId="3D61D849">
            <w:pPr>
              <w:jc w:val="center"/>
              <w:rPr>
                <w:rFonts w:ascii="宋体" w:hAnsi="宋体"/>
                <w:color w:val="auto"/>
                <w:sz w:val="24"/>
                <w:highlight w:val="none"/>
              </w:rPr>
            </w:pPr>
          </w:p>
        </w:tc>
        <w:tc>
          <w:tcPr>
            <w:tcW w:w="1546" w:type="dxa"/>
            <w:vAlign w:val="center"/>
          </w:tcPr>
          <w:p w14:paraId="08EFDF59">
            <w:pPr>
              <w:jc w:val="center"/>
              <w:rPr>
                <w:rFonts w:ascii="宋体" w:hAnsi="宋体"/>
                <w:color w:val="auto"/>
                <w:sz w:val="24"/>
                <w:highlight w:val="none"/>
              </w:rPr>
            </w:pPr>
          </w:p>
        </w:tc>
      </w:tr>
    </w:tbl>
    <w:p w14:paraId="0FB0C1AC">
      <w:pPr>
        <w:spacing w:line="360" w:lineRule="auto"/>
        <w:rPr>
          <w:rFonts w:ascii="宋体" w:hAnsi="宋体"/>
          <w:b/>
          <w:color w:val="auto"/>
          <w:szCs w:val="21"/>
          <w:highlight w:val="none"/>
        </w:rPr>
      </w:pPr>
      <w:r>
        <w:rPr>
          <w:rFonts w:hint="eastAsia" w:ascii="宋体" w:hAnsi="宋体"/>
          <w:b/>
          <w:color w:val="auto"/>
          <w:szCs w:val="21"/>
          <w:highlight w:val="none"/>
        </w:rPr>
        <w:t>要求：</w:t>
      </w:r>
      <w:r>
        <w:rPr>
          <w:rFonts w:hint="eastAsia" w:ascii="宋体" w:hAnsi="宋体"/>
          <w:color w:val="auto"/>
          <w:szCs w:val="21"/>
          <w:highlight w:val="none"/>
        </w:rPr>
        <w:t>本表内容根据招标文件第三章招标需求内容</w:t>
      </w:r>
      <w:r>
        <w:rPr>
          <w:rFonts w:hint="eastAsia" w:ascii="宋体" w:hAnsi="宋体"/>
          <w:b/>
          <w:color w:val="auto"/>
          <w:szCs w:val="21"/>
          <w:highlight w:val="none"/>
        </w:rPr>
        <w:t>“二、技术需求”</w:t>
      </w:r>
      <w:r>
        <w:rPr>
          <w:rFonts w:hint="eastAsia" w:ascii="宋体" w:hAnsi="宋体"/>
          <w:color w:val="auto"/>
          <w:szCs w:val="21"/>
          <w:highlight w:val="none"/>
        </w:rPr>
        <w:t>填写（其中对</w:t>
      </w:r>
      <w:bookmarkStart w:id="189" w:name="OLE_LINK145"/>
      <w:bookmarkStart w:id="190" w:name="OLE_LINK146"/>
      <w:r>
        <w:rPr>
          <w:rFonts w:hint="eastAsia" w:ascii="宋体" w:hAnsi="宋体"/>
          <w:b/>
          <w:color w:val="auto"/>
          <w:szCs w:val="21"/>
          <w:highlight w:val="none"/>
        </w:rPr>
        <w:t>“二、技术需求”</w:t>
      </w:r>
      <w:bookmarkEnd w:id="189"/>
      <w:bookmarkEnd w:id="190"/>
      <w:r>
        <w:rPr>
          <w:rFonts w:hint="eastAsia" w:ascii="宋体" w:hAnsi="宋体"/>
          <w:b/>
          <w:color w:val="auto"/>
          <w:szCs w:val="21"/>
          <w:highlight w:val="none"/>
        </w:rPr>
        <w:t>、“（三）技术要求及配置标准”中“技术参数要求”的响应以附件《技术参数响应表》为准，本表可写“略”或写“详见《技术参数响应表》”）</w:t>
      </w:r>
      <w:r>
        <w:rPr>
          <w:rFonts w:hint="eastAsia" w:ascii="宋体" w:hAnsi="宋体"/>
          <w:color w:val="auto"/>
          <w:szCs w:val="21"/>
          <w:highlight w:val="none"/>
        </w:rPr>
        <w:t>。如无偏离，可不需逐条响应，在本表中写明</w:t>
      </w:r>
      <w:r>
        <w:rPr>
          <w:rFonts w:hint="eastAsia" w:ascii="宋体" w:hAnsi="宋体"/>
          <w:b/>
          <w:color w:val="auto"/>
          <w:szCs w:val="21"/>
          <w:highlight w:val="none"/>
        </w:rPr>
        <w:t>“技术需求（对技术参数的响应以《技术参数响应表》为准）均无偏离，完全响应招标文件要求”</w:t>
      </w:r>
      <w:r>
        <w:rPr>
          <w:rFonts w:hint="eastAsia" w:ascii="宋体" w:hAnsi="宋体"/>
          <w:color w:val="auto"/>
          <w:szCs w:val="21"/>
          <w:highlight w:val="none"/>
        </w:rPr>
        <w:t>，如有条款偏离，则必须逐条填写响应情况。</w:t>
      </w:r>
    </w:p>
    <w:p w14:paraId="5EF0C7BF">
      <w:pPr>
        <w:spacing w:line="360" w:lineRule="auto"/>
        <w:ind w:firstLine="424" w:firstLineChars="177"/>
        <w:rPr>
          <w:rFonts w:ascii="宋体" w:hAnsi="宋体"/>
          <w:color w:val="auto"/>
          <w:sz w:val="24"/>
          <w:highlight w:val="none"/>
        </w:rPr>
      </w:pPr>
    </w:p>
    <w:p w14:paraId="3212F622">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6114E8DF">
      <w:pPr>
        <w:pStyle w:val="2"/>
        <w:ind w:firstLine="422"/>
        <w:rPr>
          <w:color w:val="auto"/>
          <w:highlight w:val="none"/>
        </w:rPr>
      </w:pPr>
    </w:p>
    <w:p w14:paraId="3EA748B7">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法定代表人（负责人）或授权委托人签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771479BD">
      <w:pPr>
        <w:pStyle w:val="2"/>
        <w:ind w:firstLine="422"/>
        <w:rPr>
          <w:color w:val="auto"/>
          <w:highlight w:val="none"/>
        </w:rPr>
      </w:pPr>
    </w:p>
    <w:p w14:paraId="4C4387D2">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09EBE68D">
      <w:pPr>
        <w:spacing w:line="360" w:lineRule="auto"/>
        <w:rPr>
          <w:rFonts w:ascii="宋体" w:hAnsi="宋体"/>
          <w:b/>
          <w:color w:val="auto"/>
          <w:sz w:val="28"/>
          <w:highlight w:val="none"/>
        </w:rPr>
      </w:pPr>
    </w:p>
    <w:p w14:paraId="59041268">
      <w:pPr>
        <w:widowControl/>
        <w:jc w:val="left"/>
        <w:rPr>
          <w:rFonts w:ascii="宋体" w:hAnsi="宋体"/>
          <w:b/>
          <w:color w:val="auto"/>
          <w:sz w:val="28"/>
          <w:highlight w:val="none"/>
        </w:rPr>
      </w:pPr>
      <w:r>
        <w:rPr>
          <w:rFonts w:ascii="宋体" w:hAnsi="宋体"/>
          <w:b/>
          <w:color w:val="auto"/>
          <w:sz w:val="28"/>
          <w:highlight w:val="none"/>
        </w:rPr>
        <w:br w:type="page"/>
      </w:r>
    </w:p>
    <w:p w14:paraId="75666ED9">
      <w:pPr>
        <w:spacing w:line="360" w:lineRule="auto"/>
        <w:rPr>
          <w:rFonts w:ascii="宋体" w:hAnsi="宋体"/>
          <w:b/>
          <w:color w:val="auto"/>
          <w:sz w:val="28"/>
          <w:highlight w:val="none"/>
        </w:rPr>
      </w:pPr>
      <w:r>
        <w:rPr>
          <w:rFonts w:hint="eastAsia" w:ascii="宋体" w:hAnsi="宋体"/>
          <w:b/>
          <w:color w:val="auto"/>
          <w:sz w:val="28"/>
          <w:highlight w:val="none"/>
        </w:rPr>
        <w:t>附件10</w:t>
      </w:r>
    </w:p>
    <w:p w14:paraId="26E2E4D9">
      <w:pPr>
        <w:spacing w:line="360" w:lineRule="auto"/>
        <w:ind w:left="480"/>
        <w:jc w:val="center"/>
        <w:rPr>
          <w:rFonts w:ascii="宋体" w:hAnsi="宋体" w:eastAsia="仿宋_GB2312"/>
          <w:b/>
          <w:color w:val="auto"/>
          <w:sz w:val="32"/>
          <w:szCs w:val="32"/>
          <w:highlight w:val="none"/>
        </w:rPr>
      </w:pPr>
      <w:r>
        <w:rPr>
          <w:rFonts w:hint="eastAsia" w:ascii="宋体" w:hAnsi="宋体" w:eastAsia="仿宋_GB2312"/>
          <w:color w:val="auto"/>
          <w:kern w:val="0"/>
          <w:sz w:val="32"/>
          <w:szCs w:val="32"/>
          <w:highlight w:val="none"/>
        </w:rPr>
        <w:t>技术参数响应表</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4"/>
        <w:gridCol w:w="720"/>
        <w:gridCol w:w="2120"/>
        <w:gridCol w:w="611"/>
        <w:gridCol w:w="1733"/>
        <w:gridCol w:w="1632"/>
        <w:gridCol w:w="1446"/>
      </w:tblGrid>
      <w:tr w14:paraId="13039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jc w:val="center"/>
        </w:trPr>
        <w:tc>
          <w:tcPr>
            <w:tcW w:w="362" w:type="pct"/>
            <w:vMerge w:val="restart"/>
            <w:tcBorders>
              <w:top w:val="single" w:color="auto" w:sz="4" w:space="0"/>
              <w:left w:val="single" w:color="auto" w:sz="4" w:space="0"/>
              <w:bottom w:val="single" w:color="auto" w:sz="4" w:space="0"/>
              <w:right w:val="single" w:color="auto" w:sz="4" w:space="0"/>
            </w:tcBorders>
            <w:vAlign w:val="center"/>
          </w:tcPr>
          <w:p w14:paraId="44814480">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序号</w:t>
            </w:r>
          </w:p>
        </w:tc>
        <w:tc>
          <w:tcPr>
            <w:tcW w:w="404" w:type="pct"/>
            <w:vMerge w:val="restart"/>
            <w:tcBorders>
              <w:top w:val="single" w:color="auto" w:sz="4" w:space="0"/>
              <w:left w:val="single" w:color="auto" w:sz="4" w:space="0"/>
              <w:bottom w:val="single" w:color="auto" w:sz="4" w:space="0"/>
              <w:right w:val="single" w:color="auto" w:sz="4" w:space="0"/>
            </w:tcBorders>
            <w:vAlign w:val="center"/>
          </w:tcPr>
          <w:p w14:paraId="0C81E2C2">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产品名称</w:t>
            </w:r>
          </w:p>
        </w:tc>
        <w:tc>
          <w:tcPr>
            <w:tcW w:w="1190" w:type="pct"/>
            <w:vMerge w:val="restart"/>
            <w:tcBorders>
              <w:top w:val="single" w:color="auto" w:sz="4" w:space="0"/>
              <w:left w:val="single" w:color="auto" w:sz="4" w:space="0"/>
              <w:bottom w:val="single" w:color="auto" w:sz="4" w:space="0"/>
              <w:right w:val="single" w:color="auto" w:sz="4" w:space="0"/>
            </w:tcBorders>
            <w:vAlign w:val="center"/>
          </w:tcPr>
          <w:p w14:paraId="1F9BDED2">
            <w:pPr>
              <w:adjustRightInd w:val="0"/>
              <w:snapToGrid w:val="0"/>
              <w:jc w:val="center"/>
              <w:rPr>
                <w:rFonts w:ascii="宋体" w:hAnsi="宋体"/>
                <w:b/>
                <w:color w:val="auto"/>
                <w:sz w:val="18"/>
                <w:szCs w:val="18"/>
                <w:highlight w:val="none"/>
              </w:rPr>
            </w:pPr>
            <w:r>
              <w:rPr>
                <w:rFonts w:ascii="宋体" w:hAnsi="宋体"/>
                <w:b/>
                <w:color w:val="auto"/>
                <w:sz w:val="18"/>
                <w:szCs w:val="18"/>
                <w:highlight w:val="none"/>
              </w:rPr>
              <w:t>技术参数要求</w:t>
            </w:r>
          </w:p>
        </w:tc>
        <w:tc>
          <w:tcPr>
            <w:tcW w:w="343" w:type="pct"/>
            <w:vMerge w:val="restart"/>
            <w:tcBorders>
              <w:top w:val="single" w:color="auto" w:sz="4" w:space="0"/>
              <w:left w:val="single" w:color="auto" w:sz="4" w:space="0"/>
              <w:bottom w:val="single" w:color="auto" w:sz="4" w:space="0"/>
              <w:right w:val="single" w:color="auto" w:sz="4" w:space="0"/>
            </w:tcBorders>
            <w:vAlign w:val="center"/>
          </w:tcPr>
          <w:p w14:paraId="580AC627">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是否</w:t>
            </w:r>
          </w:p>
          <w:p w14:paraId="7428D962">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偏离</w:t>
            </w:r>
          </w:p>
        </w:tc>
        <w:tc>
          <w:tcPr>
            <w:tcW w:w="2701" w:type="pct"/>
            <w:gridSpan w:val="3"/>
            <w:tcBorders>
              <w:top w:val="single" w:color="auto" w:sz="4" w:space="0"/>
              <w:left w:val="single" w:color="auto" w:sz="4" w:space="0"/>
              <w:bottom w:val="single" w:color="auto" w:sz="4" w:space="0"/>
              <w:right w:val="single" w:color="auto" w:sz="4" w:space="0"/>
            </w:tcBorders>
            <w:vAlign w:val="center"/>
          </w:tcPr>
          <w:p w14:paraId="4CD1C045">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投标人的承诺或说明</w:t>
            </w:r>
          </w:p>
        </w:tc>
      </w:tr>
      <w:tr w14:paraId="0E540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12A11083">
            <w:pPr>
              <w:widowControl/>
              <w:jc w:val="left"/>
              <w:rPr>
                <w:rFonts w:ascii="宋体" w:hAnsi="宋体"/>
                <w:b/>
                <w:color w:val="auto"/>
                <w:sz w:val="18"/>
                <w:szCs w:val="18"/>
                <w:highlight w:val="none"/>
              </w:rPr>
            </w:pPr>
          </w:p>
        </w:tc>
        <w:tc>
          <w:tcPr>
            <w:tcW w:w="404" w:type="pct"/>
            <w:vMerge w:val="continue"/>
            <w:tcBorders>
              <w:top w:val="single" w:color="auto" w:sz="4" w:space="0"/>
              <w:left w:val="single" w:color="auto" w:sz="4" w:space="0"/>
              <w:bottom w:val="single" w:color="auto" w:sz="4" w:space="0"/>
              <w:right w:val="single" w:color="auto" w:sz="4" w:space="0"/>
            </w:tcBorders>
            <w:vAlign w:val="center"/>
          </w:tcPr>
          <w:p w14:paraId="6236AE3B">
            <w:pPr>
              <w:widowControl/>
              <w:jc w:val="left"/>
              <w:rPr>
                <w:rFonts w:ascii="宋体" w:hAnsi="宋体"/>
                <w:b/>
                <w:color w:val="auto"/>
                <w:sz w:val="18"/>
                <w:szCs w:val="18"/>
                <w:highlight w:val="none"/>
              </w:rPr>
            </w:pPr>
          </w:p>
        </w:tc>
        <w:tc>
          <w:tcPr>
            <w:tcW w:w="1190" w:type="pct"/>
            <w:vMerge w:val="continue"/>
            <w:tcBorders>
              <w:top w:val="single" w:color="auto" w:sz="4" w:space="0"/>
              <w:left w:val="single" w:color="auto" w:sz="4" w:space="0"/>
              <w:bottom w:val="single" w:color="auto" w:sz="4" w:space="0"/>
              <w:right w:val="single" w:color="auto" w:sz="4" w:space="0"/>
            </w:tcBorders>
            <w:vAlign w:val="center"/>
          </w:tcPr>
          <w:p w14:paraId="6F66FA8E">
            <w:pPr>
              <w:widowControl/>
              <w:jc w:val="left"/>
              <w:rPr>
                <w:rFonts w:ascii="宋体" w:hAnsi="宋体"/>
                <w:b/>
                <w:color w:val="auto"/>
                <w:sz w:val="18"/>
                <w:szCs w:val="18"/>
                <w:highlight w:val="none"/>
              </w:rPr>
            </w:pPr>
          </w:p>
        </w:tc>
        <w:tc>
          <w:tcPr>
            <w:tcW w:w="343" w:type="pct"/>
            <w:vMerge w:val="continue"/>
            <w:tcBorders>
              <w:top w:val="single" w:color="auto" w:sz="4" w:space="0"/>
              <w:left w:val="single" w:color="auto" w:sz="4" w:space="0"/>
              <w:bottom w:val="single" w:color="auto" w:sz="4" w:space="0"/>
              <w:right w:val="single" w:color="auto" w:sz="4" w:space="0"/>
            </w:tcBorders>
            <w:vAlign w:val="center"/>
          </w:tcPr>
          <w:p w14:paraId="4072A2EB">
            <w:pPr>
              <w:widowControl/>
              <w:jc w:val="left"/>
              <w:rPr>
                <w:rFonts w:ascii="宋体" w:hAnsi="宋体"/>
                <w:b/>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33C22FF1">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报价产品</w:t>
            </w:r>
          </w:p>
          <w:p w14:paraId="60FD59F9">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品牌/型号</w:t>
            </w:r>
          </w:p>
        </w:tc>
        <w:tc>
          <w:tcPr>
            <w:tcW w:w="916" w:type="pct"/>
            <w:tcBorders>
              <w:top w:val="single" w:color="auto" w:sz="4" w:space="0"/>
              <w:left w:val="single" w:color="auto" w:sz="4" w:space="0"/>
              <w:bottom w:val="single" w:color="auto" w:sz="4" w:space="0"/>
              <w:right w:val="single" w:color="auto" w:sz="4" w:space="0"/>
            </w:tcBorders>
            <w:vAlign w:val="center"/>
          </w:tcPr>
          <w:p w14:paraId="52009DA8">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报价产品</w:t>
            </w:r>
          </w:p>
          <w:p w14:paraId="6D03F927">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规格/参数</w:t>
            </w:r>
          </w:p>
        </w:tc>
        <w:tc>
          <w:tcPr>
            <w:tcW w:w="811" w:type="pct"/>
            <w:tcBorders>
              <w:top w:val="single" w:color="auto" w:sz="4" w:space="0"/>
              <w:left w:val="single" w:color="auto" w:sz="4" w:space="0"/>
              <w:bottom w:val="single" w:color="auto" w:sz="4" w:space="0"/>
              <w:right w:val="single" w:color="auto" w:sz="4" w:space="0"/>
            </w:tcBorders>
            <w:vAlign w:val="center"/>
          </w:tcPr>
          <w:p w14:paraId="06AB0ED9">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说明</w:t>
            </w:r>
          </w:p>
        </w:tc>
      </w:tr>
      <w:tr w14:paraId="33279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7645B154">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1</w:t>
            </w:r>
          </w:p>
        </w:tc>
        <w:tc>
          <w:tcPr>
            <w:tcW w:w="404" w:type="pct"/>
            <w:tcBorders>
              <w:top w:val="single" w:color="auto" w:sz="4" w:space="0"/>
              <w:left w:val="single" w:color="auto" w:sz="4" w:space="0"/>
              <w:bottom w:val="single" w:color="auto" w:sz="4" w:space="0"/>
              <w:right w:val="single" w:color="auto" w:sz="4" w:space="0"/>
            </w:tcBorders>
            <w:vAlign w:val="center"/>
          </w:tcPr>
          <w:p w14:paraId="064A785B">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vAlign w:val="center"/>
          </w:tcPr>
          <w:p w14:paraId="16926039">
            <w:pPr>
              <w:autoSpaceDE w:val="0"/>
              <w:autoSpaceDN w:val="0"/>
              <w:adjustRightInd w:val="0"/>
              <w:snapToGrid w:val="0"/>
              <w:jc w:val="center"/>
              <w:rPr>
                <w:rFonts w:ascii="宋体" w:hAnsi="宋体"/>
                <w:color w:val="auto"/>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6FD0A1A5">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29386ABD">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456BC458">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32316ECE">
            <w:pPr>
              <w:adjustRightInd w:val="0"/>
              <w:snapToGrid w:val="0"/>
              <w:rPr>
                <w:rFonts w:ascii="宋体" w:hAnsi="宋体"/>
                <w:color w:val="auto"/>
                <w:sz w:val="18"/>
                <w:szCs w:val="18"/>
                <w:highlight w:val="none"/>
              </w:rPr>
            </w:pPr>
          </w:p>
        </w:tc>
      </w:tr>
      <w:tr w14:paraId="46D30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4035F993">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04" w:type="pct"/>
            <w:tcBorders>
              <w:top w:val="single" w:color="auto" w:sz="4" w:space="0"/>
              <w:left w:val="single" w:color="auto" w:sz="4" w:space="0"/>
              <w:bottom w:val="single" w:color="auto" w:sz="4" w:space="0"/>
              <w:right w:val="single" w:color="auto" w:sz="4" w:space="0"/>
            </w:tcBorders>
            <w:vAlign w:val="center"/>
          </w:tcPr>
          <w:p w14:paraId="5E392B6E">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052CAE9A">
            <w:pPr>
              <w:autoSpaceDE w:val="0"/>
              <w:autoSpaceDN w:val="0"/>
              <w:adjustRightInd w:val="0"/>
              <w:snapToGrid w:val="0"/>
              <w:jc w:val="center"/>
              <w:rPr>
                <w:rFonts w:ascii="宋体" w:hAnsi="宋体"/>
                <w:color w:val="auto"/>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6A277F40">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14562BAD">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2CAFD6BC">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43168FE2">
            <w:pPr>
              <w:adjustRightInd w:val="0"/>
              <w:snapToGrid w:val="0"/>
              <w:rPr>
                <w:rFonts w:ascii="宋体" w:hAnsi="宋体"/>
                <w:color w:val="auto"/>
                <w:sz w:val="18"/>
                <w:szCs w:val="18"/>
                <w:highlight w:val="none"/>
              </w:rPr>
            </w:pPr>
          </w:p>
        </w:tc>
      </w:tr>
      <w:tr w14:paraId="4B7D8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7DA12B05">
            <w:pPr>
              <w:widowControl/>
              <w:adjustRightInd w:val="0"/>
              <w:snapToGrid w:val="0"/>
              <w:jc w:val="center"/>
              <w:rPr>
                <w:rFonts w:ascii="宋体" w:hAnsi="宋体" w:eastAsia="仿宋_GB2312" w:cs="宋体"/>
                <w:color w:val="auto"/>
                <w:kern w:val="0"/>
                <w:sz w:val="20"/>
                <w:szCs w:val="20"/>
                <w:highlight w:val="none"/>
              </w:rPr>
            </w:pPr>
            <w:r>
              <w:rPr>
                <w:rFonts w:hint="eastAsia" w:ascii="宋体" w:hAnsi="宋体" w:eastAsia="仿宋_GB2312" w:cs="宋体"/>
                <w:color w:val="auto"/>
                <w:kern w:val="0"/>
                <w:sz w:val="20"/>
                <w:szCs w:val="20"/>
                <w:highlight w:val="none"/>
              </w:rPr>
              <w:t>3</w:t>
            </w:r>
          </w:p>
        </w:tc>
        <w:tc>
          <w:tcPr>
            <w:tcW w:w="404" w:type="pct"/>
            <w:tcBorders>
              <w:top w:val="single" w:color="auto" w:sz="4" w:space="0"/>
              <w:left w:val="single" w:color="auto" w:sz="4" w:space="0"/>
              <w:bottom w:val="single" w:color="auto" w:sz="4" w:space="0"/>
              <w:right w:val="single" w:color="auto" w:sz="4" w:space="0"/>
            </w:tcBorders>
            <w:vAlign w:val="center"/>
          </w:tcPr>
          <w:p w14:paraId="581F7073">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21B01107">
            <w:pPr>
              <w:autoSpaceDE w:val="0"/>
              <w:autoSpaceDN w:val="0"/>
              <w:adjustRightInd w:val="0"/>
              <w:snapToGrid w:val="0"/>
              <w:jc w:val="left"/>
              <w:rPr>
                <w:rFonts w:ascii="宋体" w:hAnsi="宋体"/>
                <w:color w:val="auto"/>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3F3D80A5">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396FB308">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25BA649">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5776859F">
            <w:pPr>
              <w:adjustRightInd w:val="0"/>
              <w:snapToGrid w:val="0"/>
              <w:rPr>
                <w:rFonts w:ascii="宋体" w:hAnsi="宋体"/>
                <w:color w:val="auto"/>
                <w:sz w:val="18"/>
                <w:szCs w:val="18"/>
                <w:highlight w:val="none"/>
              </w:rPr>
            </w:pPr>
          </w:p>
        </w:tc>
      </w:tr>
      <w:tr w14:paraId="1210F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00D25781">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4</w:t>
            </w:r>
          </w:p>
        </w:tc>
        <w:tc>
          <w:tcPr>
            <w:tcW w:w="404" w:type="pct"/>
            <w:tcBorders>
              <w:top w:val="single" w:color="auto" w:sz="4" w:space="0"/>
              <w:left w:val="single" w:color="auto" w:sz="4" w:space="0"/>
              <w:bottom w:val="single" w:color="auto" w:sz="4" w:space="0"/>
              <w:right w:val="single" w:color="auto" w:sz="4" w:space="0"/>
            </w:tcBorders>
            <w:vAlign w:val="center"/>
          </w:tcPr>
          <w:p w14:paraId="45BAEA1E">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099A5CDE">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08117DD0">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56B54228">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2471321">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CD1DC9F">
            <w:pPr>
              <w:adjustRightInd w:val="0"/>
              <w:snapToGrid w:val="0"/>
              <w:rPr>
                <w:rFonts w:ascii="宋体" w:hAnsi="宋体"/>
                <w:color w:val="auto"/>
                <w:sz w:val="18"/>
                <w:szCs w:val="18"/>
                <w:highlight w:val="none"/>
              </w:rPr>
            </w:pPr>
          </w:p>
        </w:tc>
      </w:tr>
      <w:tr w14:paraId="54E45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4ED134D1">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w:t>
            </w:r>
          </w:p>
        </w:tc>
        <w:tc>
          <w:tcPr>
            <w:tcW w:w="404" w:type="pct"/>
            <w:tcBorders>
              <w:top w:val="single" w:color="auto" w:sz="4" w:space="0"/>
              <w:left w:val="single" w:color="auto" w:sz="4" w:space="0"/>
              <w:bottom w:val="single" w:color="auto" w:sz="4" w:space="0"/>
              <w:right w:val="single" w:color="auto" w:sz="4" w:space="0"/>
            </w:tcBorders>
            <w:vAlign w:val="center"/>
          </w:tcPr>
          <w:p w14:paraId="139B9EFE">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4714403D">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18D0C636">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7F611CA8">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168AC28E">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60BFCDE5">
            <w:pPr>
              <w:adjustRightInd w:val="0"/>
              <w:snapToGrid w:val="0"/>
              <w:rPr>
                <w:rFonts w:ascii="宋体" w:hAnsi="宋体"/>
                <w:color w:val="auto"/>
                <w:sz w:val="18"/>
                <w:szCs w:val="18"/>
                <w:highlight w:val="none"/>
              </w:rPr>
            </w:pPr>
          </w:p>
        </w:tc>
      </w:tr>
      <w:tr w14:paraId="58242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4779D40C">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4D2EC69E">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460FA4A3">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6BAE9499">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6D9DE287">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536E96C9">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45CD04F">
            <w:pPr>
              <w:adjustRightInd w:val="0"/>
              <w:snapToGrid w:val="0"/>
              <w:rPr>
                <w:rFonts w:ascii="宋体" w:hAnsi="宋体"/>
                <w:color w:val="auto"/>
                <w:sz w:val="18"/>
                <w:szCs w:val="18"/>
                <w:highlight w:val="none"/>
              </w:rPr>
            </w:pPr>
          </w:p>
        </w:tc>
      </w:tr>
      <w:tr w14:paraId="3A7F1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426EDABC">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3B2DD470">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6D69DAAA">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68AB18FD">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55937669">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FC40C91">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66D4C024">
            <w:pPr>
              <w:adjustRightInd w:val="0"/>
              <w:snapToGrid w:val="0"/>
              <w:rPr>
                <w:rFonts w:ascii="宋体" w:hAnsi="宋体"/>
                <w:color w:val="auto"/>
                <w:sz w:val="18"/>
                <w:szCs w:val="18"/>
                <w:highlight w:val="none"/>
              </w:rPr>
            </w:pPr>
          </w:p>
        </w:tc>
      </w:tr>
      <w:tr w14:paraId="08FB9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171BA437">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423B54F6">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3D97CCE3">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222B5902">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7119BF0C">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7AD767F">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23C2D73">
            <w:pPr>
              <w:adjustRightInd w:val="0"/>
              <w:snapToGrid w:val="0"/>
              <w:rPr>
                <w:rFonts w:ascii="宋体" w:hAnsi="宋体"/>
                <w:color w:val="auto"/>
                <w:sz w:val="18"/>
                <w:szCs w:val="18"/>
                <w:highlight w:val="none"/>
              </w:rPr>
            </w:pPr>
          </w:p>
        </w:tc>
      </w:tr>
      <w:tr w14:paraId="61DDE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29D37E9E">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1CAFAB31">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70869457">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73008FD0">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3D11F940">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1C7A379D">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430A1556">
            <w:pPr>
              <w:adjustRightInd w:val="0"/>
              <w:snapToGrid w:val="0"/>
              <w:rPr>
                <w:rFonts w:ascii="宋体" w:hAnsi="宋体"/>
                <w:color w:val="auto"/>
                <w:sz w:val="18"/>
                <w:szCs w:val="18"/>
                <w:highlight w:val="none"/>
              </w:rPr>
            </w:pPr>
          </w:p>
        </w:tc>
      </w:tr>
      <w:tr w14:paraId="7081D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078F4EAC">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5C9D7F5C">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03272302">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7D9DA52A">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10685821">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C106E0E">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C40BB98">
            <w:pPr>
              <w:adjustRightInd w:val="0"/>
              <w:snapToGrid w:val="0"/>
              <w:rPr>
                <w:rFonts w:ascii="宋体" w:hAnsi="宋体"/>
                <w:color w:val="auto"/>
                <w:sz w:val="18"/>
                <w:szCs w:val="18"/>
                <w:highlight w:val="none"/>
              </w:rPr>
            </w:pPr>
          </w:p>
        </w:tc>
      </w:tr>
      <w:tr w14:paraId="3C460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685D3B3D">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640BFD93">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4A0B805B">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336EED87">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330D79F1">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73712620">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EADAFA7">
            <w:pPr>
              <w:adjustRightInd w:val="0"/>
              <w:snapToGrid w:val="0"/>
              <w:rPr>
                <w:rFonts w:ascii="宋体" w:hAnsi="宋体"/>
                <w:color w:val="auto"/>
                <w:sz w:val="18"/>
                <w:szCs w:val="18"/>
                <w:highlight w:val="none"/>
              </w:rPr>
            </w:pPr>
          </w:p>
        </w:tc>
      </w:tr>
      <w:tr w14:paraId="42F3E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2E02E6FA">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181656A7">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33839B8E">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0F7A05CE">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5333D70B">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32ADAE23">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05ED8C16">
            <w:pPr>
              <w:adjustRightInd w:val="0"/>
              <w:snapToGrid w:val="0"/>
              <w:rPr>
                <w:rFonts w:ascii="宋体" w:hAnsi="宋体"/>
                <w:color w:val="auto"/>
                <w:sz w:val="18"/>
                <w:szCs w:val="18"/>
                <w:highlight w:val="none"/>
              </w:rPr>
            </w:pPr>
          </w:p>
        </w:tc>
      </w:tr>
    </w:tbl>
    <w:p w14:paraId="2A4F6D7F">
      <w:pPr>
        <w:widowControl/>
        <w:tabs>
          <w:tab w:val="left" w:pos="360"/>
        </w:tabs>
        <w:spacing w:line="360" w:lineRule="auto"/>
        <w:ind w:right="84" w:rightChars="40"/>
        <w:jc w:val="left"/>
        <w:rPr>
          <w:rFonts w:ascii="宋体" w:hAnsi="宋体"/>
          <w:b/>
          <w:color w:val="auto"/>
          <w:kern w:val="0"/>
          <w:szCs w:val="21"/>
          <w:highlight w:val="none"/>
        </w:rPr>
      </w:pPr>
      <w:r>
        <w:rPr>
          <w:rFonts w:hint="eastAsia" w:ascii="宋体" w:hAnsi="宋体"/>
          <w:b/>
          <w:color w:val="auto"/>
          <w:kern w:val="0"/>
          <w:szCs w:val="21"/>
          <w:highlight w:val="none"/>
        </w:rPr>
        <w:t>要求：</w:t>
      </w:r>
    </w:p>
    <w:p w14:paraId="52A8CC5C">
      <w:pPr>
        <w:ind w:firstLine="360" w:firstLineChars="200"/>
        <w:rPr>
          <w:rFonts w:ascii="宋体" w:hAnsi="宋体"/>
          <w:color w:val="auto"/>
          <w:sz w:val="18"/>
          <w:szCs w:val="18"/>
          <w:highlight w:val="none"/>
        </w:rPr>
      </w:pPr>
      <w:r>
        <w:rPr>
          <w:rFonts w:hint="eastAsia" w:ascii="宋体" w:hAnsi="宋体"/>
          <w:color w:val="auto"/>
          <w:sz w:val="18"/>
          <w:szCs w:val="18"/>
          <w:highlight w:val="none"/>
        </w:rPr>
        <w:t>1.表中内容为示例，本表“序号”、“房间”、 “产品名称”、“规格”栏内容按招标文件第三章“招标需求”中“二、技术需求”、“（三）技术要求及配置标准”中“技术参数要求”内容填写。投标人须逐条填写偏离情况（按每项填写“正偏离”或“负偏离”或“无偏离”）；</w:t>
      </w:r>
      <w:bookmarkStart w:id="191" w:name="OLE_LINK130"/>
      <w:bookmarkStart w:id="192" w:name="OLE_LINK129"/>
      <w:bookmarkStart w:id="193" w:name="OLE_LINK131"/>
      <w:bookmarkStart w:id="194" w:name="OLE_LINK132"/>
      <w:r>
        <w:rPr>
          <w:rFonts w:hint="eastAsia" w:ascii="宋体" w:hAnsi="宋体"/>
          <w:color w:val="auto"/>
          <w:sz w:val="18"/>
          <w:szCs w:val="18"/>
          <w:highlight w:val="none"/>
        </w:rPr>
        <w:t>招标文件中如要求提供证明材料必须提供，否则视为负偏离</w:t>
      </w:r>
      <w:bookmarkEnd w:id="191"/>
      <w:bookmarkEnd w:id="192"/>
      <w:r>
        <w:rPr>
          <w:rFonts w:hint="eastAsia" w:ascii="宋体" w:hAnsi="宋体"/>
          <w:color w:val="auto"/>
          <w:sz w:val="18"/>
          <w:szCs w:val="18"/>
          <w:highlight w:val="none"/>
        </w:rPr>
        <w:t>。</w:t>
      </w:r>
      <w:bookmarkEnd w:id="193"/>
      <w:bookmarkEnd w:id="194"/>
      <w:r>
        <w:rPr>
          <w:rFonts w:hint="eastAsia" w:ascii="宋体" w:hAnsi="宋体"/>
          <w:color w:val="auto"/>
          <w:sz w:val="18"/>
          <w:szCs w:val="18"/>
          <w:highlight w:val="none"/>
        </w:rPr>
        <w:t>本表须每页盖章。</w:t>
      </w:r>
    </w:p>
    <w:p w14:paraId="3F955316">
      <w:pPr>
        <w:tabs>
          <w:tab w:val="left" w:pos="1267"/>
        </w:tabs>
        <w:ind w:firstLine="360" w:firstLineChars="200"/>
        <w:rPr>
          <w:rFonts w:ascii="宋体" w:hAnsi="宋体"/>
          <w:color w:val="auto"/>
          <w:sz w:val="18"/>
          <w:szCs w:val="18"/>
          <w:highlight w:val="none"/>
        </w:rPr>
      </w:pPr>
      <w:r>
        <w:rPr>
          <w:rFonts w:hint="eastAsia" w:ascii="宋体" w:hAnsi="宋体"/>
          <w:color w:val="auto"/>
          <w:sz w:val="18"/>
          <w:szCs w:val="18"/>
          <w:highlight w:val="none"/>
        </w:rPr>
        <w:t>2.投标人真实填写本表，并对其真实性负责。</w:t>
      </w:r>
    </w:p>
    <w:p w14:paraId="2A64496C">
      <w:pPr>
        <w:ind w:firstLine="360" w:firstLineChars="200"/>
        <w:rPr>
          <w:rFonts w:ascii="宋体" w:hAnsi="宋体"/>
          <w:color w:val="auto"/>
          <w:sz w:val="18"/>
          <w:szCs w:val="18"/>
          <w:highlight w:val="none"/>
        </w:rPr>
      </w:pPr>
      <w:r>
        <w:rPr>
          <w:rFonts w:hint="eastAsia" w:ascii="宋体" w:hAnsi="宋体"/>
          <w:color w:val="auto"/>
          <w:sz w:val="18"/>
          <w:szCs w:val="18"/>
          <w:highlight w:val="none"/>
        </w:rPr>
        <w:t>3.投标人注明的偏离情况只作为评标专家评定的参考，最终是否构成偏离或实质性偏离情况应由评标委员会决定。</w:t>
      </w:r>
    </w:p>
    <w:p w14:paraId="5E740694">
      <w:pPr>
        <w:ind w:firstLine="360" w:firstLineChars="200"/>
        <w:rPr>
          <w:rFonts w:ascii="宋体" w:hAnsi="宋体"/>
          <w:color w:val="auto"/>
          <w:sz w:val="18"/>
          <w:szCs w:val="18"/>
          <w:highlight w:val="none"/>
        </w:rPr>
      </w:pPr>
      <w:r>
        <w:rPr>
          <w:rFonts w:hint="eastAsia" w:ascii="宋体" w:hAnsi="宋体"/>
          <w:color w:val="auto"/>
          <w:sz w:val="18"/>
          <w:szCs w:val="18"/>
          <w:highlight w:val="none"/>
        </w:rPr>
        <w:t>4.投标规格的实际偏离情况以评标委员会综合评价为准。</w:t>
      </w:r>
    </w:p>
    <w:p w14:paraId="01F3EBAA">
      <w:pPr>
        <w:ind w:firstLine="360" w:firstLineChars="200"/>
        <w:rPr>
          <w:rFonts w:ascii="宋体" w:hAnsi="宋体"/>
          <w:color w:val="auto"/>
          <w:sz w:val="18"/>
          <w:szCs w:val="18"/>
          <w:highlight w:val="none"/>
        </w:rPr>
      </w:pPr>
      <w:r>
        <w:rPr>
          <w:rFonts w:hint="eastAsia" w:ascii="宋体" w:hAnsi="宋体"/>
          <w:color w:val="auto"/>
          <w:sz w:val="18"/>
          <w:szCs w:val="18"/>
          <w:highlight w:val="none"/>
        </w:rPr>
        <w:t>5.本表如跨页，需每页加盖公章。</w:t>
      </w:r>
    </w:p>
    <w:p w14:paraId="379B56BC">
      <w:pPr>
        <w:widowControl/>
        <w:jc w:val="left"/>
        <w:rPr>
          <w:rFonts w:ascii="宋体" w:hAnsi="宋体"/>
          <w:color w:val="auto"/>
          <w:sz w:val="24"/>
          <w:highlight w:val="none"/>
        </w:rPr>
      </w:pPr>
    </w:p>
    <w:p w14:paraId="787D3FC7">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4E286EFE">
      <w:pPr>
        <w:spacing w:line="360" w:lineRule="auto"/>
        <w:ind w:firstLine="424" w:firstLineChars="177"/>
        <w:rPr>
          <w:rFonts w:ascii="宋体" w:hAnsi="宋体"/>
          <w:color w:val="auto"/>
          <w:sz w:val="24"/>
          <w:highlight w:val="none"/>
        </w:rPr>
      </w:pPr>
    </w:p>
    <w:p w14:paraId="7FEB5407">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514EF78E">
      <w:pPr>
        <w:pStyle w:val="31"/>
        <w:shd w:val="clear" w:color="auto" w:fill="FFFFFF"/>
        <w:spacing w:before="0" w:beforeAutospacing="0" w:after="0" w:afterAutospacing="0" w:line="360" w:lineRule="auto"/>
        <w:ind w:firstLine="424" w:firstLineChars="177"/>
        <w:rPr>
          <w:color w:val="auto"/>
          <w:highlight w:val="none"/>
        </w:rPr>
      </w:pPr>
    </w:p>
    <w:p w14:paraId="07EF9782">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35EE330A">
      <w:pPr>
        <w:widowControl/>
        <w:jc w:val="left"/>
        <w:rPr>
          <w:rFonts w:ascii="宋体" w:hAnsi="宋体"/>
          <w:b/>
          <w:color w:val="auto"/>
          <w:sz w:val="28"/>
          <w:highlight w:val="none"/>
        </w:rPr>
      </w:pPr>
      <w:r>
        <w:rPr>
          <w:rFonts w:ascii="宋体" w:hAnsi="宋体"/>
          <w:b/>
          <w:color w:val="auto"/>
          <w:sz w:val="28"/>
          <w:highlight w:val="none"/>
        </w:rPr>
        <w:br w:type="page"/>
      </w:r>
    </w:p>
    <w:p w14:paraId="6C728BB9">
      <w:pPr>
        <w:spacing w:line="360" w:lineRule="auto"/>
        <w:rPr>
          <w:rFonts w:ascii="宋体" w:hAnsi="宋体"/>
          <w:b/>
          <w:color w:val="auto"/>
          <w:sz w:val="28"/>
          <w:highlight w:val="none"/>
        </w:rPr>
      </w:pPr>
      <w:r>
        <w:rPr>
          <w:rFonts w:hint="eastAsia" w:ascii="宋体" w:hAnsi="宋体"/>
          <w:b/>
          <w:color w:val="auto"/>
          <w:sz w:val="28"/>
          <w:highlight w:val="none"/>
        </w:rPr>
        <w:t>附件11</w:t>
      </w:r>
    </w:p>
    <w:p w14:paraId="68859351">
      <w:pPr>
        <w:pStyle w:val="31"/>
        <w:shd w:val="clear" w:color="auto" w:fill="FFFFFF"/>
        <w:spacing w:before="0" w:beforeAutospacing="0" w:after="0" w:afterAutospacing="0"/>
        <w:jc w:val="center"/>
        <w:rPr>
          <w:b/>
          <w:bCs/>
          <w:color w:val="auto"/>
          <w:spacing w:val="21"/>
          <w:sz w:val="32"/>
          <w:szCs w:val="32"/>
          <w:highlight w:val="none"/>
        </w:rPr>
      </w:pPr>
      <w:r>
        <w:rPr>
          <w:rFonts w:hint="eastAsia"/>
          <w:b/>
          <w:color w:val="auto"/>
          <w:sz w:val="32"/>
          <w:szCs w:val="32"/>
          <w:highlight w:val="none"/>
        </w:rPr>
        <w:t>供应商</w:t>
      </w:r>
      <w:r>
        <w:rPr>
          <w:rFonts w:hint="eastAsia"/>
          <w:b/>
          <w:bCs/>
          <w:color w:val="auto"/>
          <w:spacing w:val="21"/>
          <w:sz w:val="32"/>
          <w:szCs w:val="32"/>
          <w:highlight w:val="none"/>
        </w:rPr>
        <w:t>基本情况表</w:t>
      </w:r>
    </w:p>
    <w:tbl>
      <w:tblPr>
        <w:tblStyle w:val="22"/>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701"/>
        <w:gridCol w:w="852"/>
        <w:gridCol w:w="58"/>
        <w:gridCol w:w="1163"/>
        <w:gridCol w:w="112"/>
        <w:gridCol w:w="1093"/>
        <w:gridCol w:w="325"/>
        <w:gridCol w:w="1276"/>
        <w:gridCol w:w="400"/>
        <w:gridCol w:w="1218"/>
        <w:gridCol w:w="933"/>
      </w:tblGrid>
      <w:tr w14:paraId="4DF1F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82" w:type="dxa"/>
            <w:vAlign w:val="center"/>
          </w:tcPr>
          <w:p w14:paraId="7979F7EE">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27"/>
                <w:sz w:val="18"/>
                <w:szCs w:val="18"/>
                <w:highlight w:val="none"/>
              </w:rPr>
              <w:t>企业名称</w:t>
            </w:r>
          </w:p>
        </w:tc>
        <w:tc>
          <w:tcPr>
            <w:tcW w:w="3979" w:type="dxa"/>
            <w:gridSpan w:val="6"/>
            <w:vAlign w:val="center"/>
          </w:tcPr>
          <w:p w14:paraId="521915ED">
            <w:pPr>
              <w:pStyle w:val="31"/>
              <w:shd w:val="clear" w:color="auto" w:fill="FFFFFF"/>
              <w:adjustRightInd w:val="0"/>
              <w:snapToGrid w:val="0"/>
              <w:ind w:left="-105" w:leftChars="-50" w:right="-105" w:rightChars="-50"/>
              <w:jc w:val="center"/>
              <w:rPr>
                <w:bCs/>
                <w:color w:val="auto"/>
                <w:sz w:val="18"/>
                <w:szCs w:val="18"/>
                <w:highlight w:val="none"/>
              </w:rPr>
            </w:pPr>
          </w:p>
        </w:tc>
        <w:tc>
          <w:tcPr>
            <w:tcW w:w="2001" w:type="dxa"/>
            <w:gridSpan w:val="3"/>
            <w:vAlign w:val="center"/>
          </w:tcPr>
          <w:p w14:paraId="1AD7C499">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法人代表</w:t>
            </w:r>
          </w:p>
        </w:tc>
        <w:tc>
          <w:tcPr>
            <w:tcW w:w="2151" w:type="dxa"/>
            <w:gridSpan w:val="2"/>
            <w:vAlign w:val="center"/>
          </w:tcPr>
          <w:p w14:paraId="3A3DBAF7">
            <w:pPr>
              <w:pStyle w:val="31"/>
              <w:shd w:val="clear" w:color="auto" w:fill="FFFFFF"/>
              <w:adjustRightInd w:val="0"/>
              <w:snapToGrid w:val="0"/>
              <w:ind w:left="-105" w:leftChars="-50" w:right="-105" w:rightChars="-50"/>
              <w:jc w:val="center"/>
              <w:rPr>
                <w:bCs/>
                <w:color w:val="auto"/>
                <w:sz w:val="18"/>
                <w:szCs w:val="18"/>
                <w:highlight w:val="none"/>
              </w:rPr>
            </w:pPr>
          </w:p>
        </w:tc>
      </w:tr>
      <w:tr w14:paraId="31120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82" w:type="dxa"/>
            <w:vAlign w:val="center"/>
          </w:tcPr>
          <w:p w14:paraId="69EA463F">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27"/>
                <w:sz w:val="18"/>
                <w:szCs w:val="18"/>
                <w:highlight w:val="none"/>
              </w:rPr>
              <w:t>地址</w:t>
            </w:r>
          </w:p>
        </w:tc>
        <w:tc>
          <w:tcPr>
            <w:tcW w:w="3979" w:type="dxa"/>
            <w:gridSpan w:val="6"/>
            <w:tcBorders>
              <w:bottom w:val="single" w:color="auto" w:sz="4" w:space="0"/>
            </w:tcBorders>
            <w:vAlign w:val="center"/>
          </w:tcPr>
          <w:p w14:paraId="744B3924">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Align w:val="center"/>
          </w:tcPr>
          <w:p w14:paraId="1F445F44">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企业性质</w:t>
            </w:r>
          </w:p>
        </w:tc>
        <w:tc>
          <w:tcPr>
            <w:tcW w:w="2151" w:type="dxa"/>
            <w:gridSpan w:val="2"/>
            <w:vAlign w:val="center"/>
          </w:tcPr>
          <w:p w14:paraId="6DBF6FB2">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175C7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682" w:type="dxa"/>
            <w:tcBorders>
              <w:bottom w:val="single" w:color="auto" w:sz="4" w:space="0"/>
            </w:tcBorders>
            <w:vAlign w:val="center"/>
          </w:tcPr>
          <w:p w14:paraId="4200DA34">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27"/>
                <w:sz w:val="18"/>
                <w:szCs w:val="18"/>
                <w:highlight w:val="none"/>
              </w:rPr>
              <w:t>股东姓名</w:t>
            </w:r>
          </w:p>
        </w:tc>
        <w:tc>
          <w:tcPr>
            <w:tcW w:w="701" w:type="dxa"/>
            <w:tcBorders>
              <w:bottom w:val="single" w:color="auto" w:sz="4" w:space="0"/>
            </w:tcBorders>
            <w:vAlign w:val="center"/>
          </w:tcPr>
          <w:p w14:paraId="7D9DF1B9">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p>
        </w:tc>
        <w:tc>
          <w:tcPr>
            <w:tcW w:w="910" w:type="dxa"/>
            <w:gridSpan w:val="2"/>
            <w:tcBorders>
              <w:bottom w:val="single" w:color="auto" w:sz="4" w:space="0"/>
            </w:tcBorders>
            <w:vAlign w:val="center"/>
          </w:tcPr>
          <w:p w14:paraId="5CBE5CCF">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股权结构（%）</w:t>
            </w:r>
          </w:p>
        </w:tc>
        <w:tc>
          <w:tcPr>
            <w:tcW w:w="2368" w:type="dxa"/>
            <w:gridSpan w:val="3"/>
            <w:tcBorders>
              <w:bottom w:val="single" w:color="auto" w:sz="4" w:space="0"/>
            </w:tcBorders>
            <w:vAlign w:val="center"/>
          </w:tcPr>
          <w:p w14:paraId="0F1B7888">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3096683E">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Align w:val="center"/>
          </w:tcPr>
          <w:p w14:paraId="37B8F4B3">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股东关系</w:t>
            </w:r>
          </w:p>
        </w:tc>
        <w:tc>
          <w:tcPr>
            <w:tcW w:w="2151" w:type="dxa"/>
            <w:gridSpan w:val="2"/>
            <w:vAlign w:val="center"/>
          </w:tcPr>
          <w:p w14:paraId="3BB60BDE">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23EA3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682" w:type="dxa"/>
            <w:vMerge w:val="restart"/>
            <w:vAlign w:val="center"/>
          </w:tcPr>
          <w:p w14:paraId="2B1D594F">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2"/>
                <w:sz w:val="18"/>
                <w:szCs w:val="18"/>
                <w:highlight w:val="none"/>
              </w:rPr>
              <w:t>联系人</w:t>
            </w:r>
            <w:r>
              <w:rPr>
                <w:rFonts w:hint="eastAsia"/>
                <w:bCs/>
                <w:color w:val="auto"/>
                <w:spacing w:val="27"/>
                <w:sz w:val="18"/>
                <w:szCs w:val="18"/>
                <w:highlight w:val="none"/>
              </w:rPr>
              <w:t>姓名</w:t>
            </w:r>
          </w:p>
        </w:tc>
        <w:tc>
          <w:tcPr>
            <w:tcW w:w="701" w:type="dxa"/>
            <w:vMerge w:val="restart"/>
            <w:tcBorders>
              <w:top w:val="nil"/>
            </w:tcBorders>
            <w:vAlign w:val="center"/>
          </w:tcPr>
          <w:p w14:paraId="5CB201B5">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910" w:type="dxa"/>
            <w:gridSpan w:val="2"/>
            <w:tcBorders>
              <w:top w:val="nil"/>
              <w:bottom w:val="single" w:color="auto" w:sz="4" w:space="0"/>
            </w:tcBorders>
            <w:vAlign w:val="center"/>
          </w:tcPr>
          <w:p w14:paraId="650CA458">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固定电话</w:t>
            </w:r>
          </w:p>
        </w:tc>
        <w:tc>
          <w:tcPr>
            <w:tcW w:w="2368" w:type="dxa"/>
            <w:gridSpan w:val="3"/>
            <w:tcBorders>
              <w:top w:val="nil"/>
              <w:bottom w:val="single" w:color="auto" w:sz="4" w:space="0"/>
            </w:tcBorders>
            <w:vAlign w:val="center"/>
          </w:tcPr>
          <w:p w14:paraId="0BEC4C57">
            <w:pPr>
              <w:pStyle w:val="31"/>
              <w:shd w:val="clear" w:color="auto" w:fill="FFFFFF"/>
              <w:adjustRightInd w:val="0"/>
              <w:snapToGrid w:val="0"/>
              <w:ind w:right="-105" w:rightChars="-50"/>
              <w:rPr>
                <w:bCs/>
                <w:color w:val="auto"/>
                <w:spacing w:val="16"/>
                <w:sz w:val="18"/>
                <w:szCs w:val="18"/>
                <w:highlight w:val="none"/>
              </w:rPr>
            </w:pPr>
          </w:p>
        </w:tc>
        <w:tc>
          <w:tcPr>
            <w:tcW w:w="2001" w:type="dxa"/>
            <w:gridSpan w:val="3"/>
            <w:vMerge w:val="restart"/>
            <w:vAlign w:val="center"/>
          </w:tcPr>
          <w:p w14:paraId="0D5DF15C">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传真</w:t>
            </w:r>
          </w:p>
        </w:tc>
        <w:tc>
          <w:tcPr>
            <w:tcW w:w="2151" w:type="dxa"/>
            <w:gridSpan w:val="2"/>
            <w:vMerge w:val="restart"/>
            <w:vAlign w:val="center"/>
          </w:tcPr>
          <w:p w14:paraId="7275DF72">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6A89E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682" w:type="dxa"/>
            <w:vMerge w:val="continue"/>
            <w:tcBorders>
              <w:bottom w:val="single" w:color="auto" w:sz="4" w:space="0"/>
            </w:tcBorders>
            <w:vAlign w:val="center"/>
          </w:tcPr>
          <w:p w14:paraId="6DDF6707">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Merge w:val="continue"/>
            <w:tcBorders>
              <w:bottom w:val="single" w:color="auto" w:sz="4" w:space="0"/>
            </w:tcBorders>
            <w:vAlign w:val="center"/>
          </w:tcPr>
          <w:p w14:paraId="28233C0A">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910" w:type="dxa"/>
            <w:gridSpan w:val="2"/>
            <w:tcBorders>
              <w:bottom w:val="single" w:color="auto" w:sz="4" w:space="0"/>
            </w:tcBorders>
            <w:vAlign w:val="center"/>
          </w:tcPr>
          <w:p w14:paraId="62A24F05">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27"/>
                <w:sz w:val="18"/>
                <w:szCs w:val="18"/>
                <w:highlight w:val="none"/>
              </w:rPr>
              <w:t>手机</w:t>
            </w:r>
          </w:p>
        </w:tc>
        <w:tc>
          <w:tcPr>
            <w:tcW w:w="2368" w:type="dxa"/>
            <w:gridSpan w:val="3"/>
            <w:tcBorders>
              <w:bottom w:val="single" w:color="auto" w:sz="4" w:space="0"/>
            </w:tcBorders>
            <w:vAlign w:val="center"/>
          </w:tcPr>
          <w:p w14:paraId="4BA225F4">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Merge w:val="continue"/>
            <w:vAlign w:val="center"/>
          </w:tcPr>
          <w:p w14:paraId="68E6F6D7">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151" w:type="dxa"/>
            <w:gridSpan w:val="2"/>
            <w:vMerge w:val="continue"/>
            <w:vAlign w:val="center"/>
          </w:tcPr>
          <w:p w14:paraId="59B5EB72">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272FF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682" w:type="dxa"/>
            <w:vMerge w:val="restart"/>
            <w:vAlign w:val="center"/>
          </w:tcPr>
          <w:p w14:paraId="677D8BF4">
            <w:pPr>
              <w:pStyle w:val="31"/>
              <w:shd w:val="clear" w:color="auto" w:fill="FFFFFF"/>
              <w:adjustRightInd w:val="0"/>
              <w:snapToGrid w:val="0"/>
              <w:ind w:left="-105" w:leftChars="-50" w:right="-105" w:rightChars="-50"/>
              <w:jc w:val="center"/>
              <w:rPr>
                <w:bCs/>
                <w:color w:val="auto"/>
                <w:sz w:val="18"/>
                <w:szCs w:val="18"/>
                <w:highlight w:val="none"/>
              </w:rPr>
            </w:pPr>
            <w:r>
              <w:rPr>
                <w:bCs/>
                <w:color w:val="auto"/>
                <w:sz w:val="18"/>
                <w:szCs w:val="18"/>
                <w:highlight w:val="none"/>
              </w:rPr>
              <w:t>1</w:t>
            </w:r>
            <w:r>
              <w:rPr>
                <w:rFonts w:hint="eastAsia"/>
                <w:bCs/>
                <w:color w:val="auto"/>
                <w:sz w:val="18"/>
                <w:szCs w:val="18"/>
                <w:highlight w:val="none"/>
              </w:rPr>
              <w:t>.</w:t>
            </w:r>
          </w:p>
          <w:p w14:paraId="5FCD82C9">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企</w:t>
            </w:r>
          </w:p>
          <w:p w14:paraId="05358541">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业</w:t>
            </w:r>
          </w:p>
          <w:p w14:paraId="37C33B2E">
            <w:pPr>
              <w:pStyle w:val="31"/>
              <w:shd w:val="clear" w:color="auto" w:fill="FFFFFF"/>
              <w:adjustRightInd w:val="0"/>
              <w:snapToGrid w:val="0"/>
              <w:ind w:left="-105" w:leftChars="-50" w:right="-105" w:rightChars="-50"/>
              <w:jc w:val="center"/>
              <w:rPr>
                <w:bCs/>
                <w:color w:val="auto"/>
                <w:spacing w:val="27"/>
                <w:sz w:val="18"/>
                <w:szCs w:val="18"/>
                <w:highlight w:val="none"/>
              </w:rPr>
            </w:pPr>
            <w:r>
              <w:rPr>
                <w:rFonts w:hint="eastAsia"/>
                <w:bCs/>
                <w:color w:val="auto"/>
                <w:spacing w:val="27"/>
                <w:sz w:val="18"/>
                <w:szCs w:val="18"/>
                <w:highlight w:val="none"/>
              </w:rPr>
              <w:t>概</w:t>
            </w:r>
          </w:p>
          <w:p w14:paraId="5E9DD15E">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27"/>
                <w:sz w:val="18"/>
                <w:szCs w:val="18"/>
                <w:highlight w:val="none"/>
              </w:rPr>
              <w:t>况</w:t>
            </w:r>
          </w:p>
        </w:tc>
        <w:tc>
          <w:tcPr>
            <w:tcW w:w="701" w:type="dxa"/>
            <w:tcBorders>
              <w:top w:val="nil"/>
            </w:tcBorders>
            <w:vAlign w:val="center"/>
          </w:tcPr>
          <w:p w14:paraId="2A2874A5">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职工人数</w:t>
            </w:r>
          </w:p>
        </w:tc>
        <w:tc>
          <w:tcPr>
            <w:tcW w:w="910" w:type="dxa"/>
            <w:gridSpan w:val="2"/>
            <w:tcBorders>
              <w:top w:val="nil"/>
            </w:tcBorders>
            <w:vAlign w:val="center"/>
          </w:tcPr>
          <w:p w14:paraId="2F87BA43">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1163" w:type="dxa"/>
            <w:tcBorders>
              <w:top w:val="nil"/>
            </w:tcBorders>
            <w:vAlign w:val="center"/>
          </w:tcPr>
          <w:p w14:paraId="344C50F3">
            <w:pPr>
              <w:pStyle w:val="31"/>
              <w:shd w:val="clear" w:color="auto" w:fill="FFFFFF"/>
              <w:adjustRightInd w:val="0"/>
              <w:snapToGrid w:val="0"/>
              <w:spacing w:before="0" w:beforeAutospacing="0" w:after="0" w:afterAutospacing="0"/>
              <w:ind w:left="-105" w:leftChars="-50" w:right="-105" w:rightChars="-50"/>
              <w:jc w:val="center"/>
              <w:rPr>
                <w:bCs/>
                <w:color w:val="auto"/>
                <w:sz w:val="18"/>
                <w:szCs w:val="18"/>
                <w:highlight w:val="none"/>
              </w:rPr>
            </w:pPr>
            <w:r>
              <w:rPr>
                <w:rFonts w:hint="eastAsia"/>
                <w:bCs/>
                <w:color w:val="auto"/>
                <w:spacing w:val="18"/>
                <w:sz w:val="18"/>
                <w:szCs w:val="18"/>
                <w:highlight w:val="none"/>
              </w:rPr>
              <w:t>具备大专以</w:t>
            </w:r>
            <w:r>
              <w:rPr>
                <w:rFonts w:hint="eastAsia"/>
                <w:bCs/>
                <w:color w:val="auto"/>
                <w:spacing w:val="12"/>
                <w:sz w:val="18"/>
                <w:szCs w:val="18"/>
                <w:highlight w:val="none"/>
              </w:rPr>
              <w:t>上学历人数</w:t>
            </w:r>
          </w:p>
        </w:tc>
        <w:tc>
          <w:tcPr>
            <w:tcW w:w="1205" w:type="dxa"/>
            <w:gridSpan w:val="2"/>
            <w:tcBorders>
              <w:top w:val="nil"/>
            </w:tcBorders>
            <w:vAlign w:val="center"/>
          </w:tcPr>
          <w:p w14:paraId="0741E8CD">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29A4F57E">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139C83C6">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Align w:val="center"/>
          </w:tcPr>
          <w:p w14:paraId="340C2BEC">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65"/>
                <w:sz w:val="18"/>
                <w:szCs w:val="18"/>
                <w:highlight w:val="none"/>
              </w:rPr>
              <w:t>国家授予技</w:t>
            </w:r>
            <w:r>
              <w:rPr>
                <w:rFonts w:hint="eastAsia"/>
                <w:bCs/>
                <w:color w:val="auto"/>
                <w:spacing w:val="12"/>
                <w:sz w:val="18"/>
                <w:szCs w:val="18"/>
                <w:highlight w:val="none"/>
              </w:rPr>
              <w:t>术职称人数</w:t>
            </w:r>
          </w:p>
        </w:tc>
        <w:tc>
          <w:tcPr>
            <w:tcW w:w="2151" w:type="dxa"/>
            <w:gridSpan w:val="2"/>
            <w:vAlign w:val="center"/>
          </w:tcPr>
          <w:p w14:paraId="07BF1988">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61CA5685">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0F20D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trPr>
        <w:tc>
          <w:tcPr>
            <w:tcW w:w="682" w:type="dxa"/>
            <w:vMerge w:val="continue"/>
            <w:vAlign w:val="center"/>
          </w:tcPr>
          <w:p w14:paraId="1150DA9D">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Align w:val="center"/>
          </w:tcPr>
          <w:p w14:paraId="576A5D4B">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占地面积</w:t>
            </w:r>
          </w:p>
        </w:tc>
        <w:tc>
          <w:tcPr>
            <w:tcW w:w="910" w:type="dxa"/>
            <w:gridSpan w:val="2"/>
            <w:vAlign w:val="center"/>
          </w:tcPr>
          <w:p w14:paraId="2943C316">
            <w:pPr>
              <w:pStyle w:val="31"/>
              <w:shd w:val="clear" w:color="auto" w:fill="FFFFFF"/>
              <w:adjustRightInd w:val="0"/>
              <w:snapToGrid w:val="0"/>
              <w:ind w:left="-105" w:leftChars="-50" w:right="-105" w:rightChars="-50"/>
              <w:jc w:val="center"/>
              <w:rPr>
                <w:bCs/>
                <w:color w:val="auto"/>
                <w:sz w:val="18"/>
                <w:szCs w:val="18"/>
                <w:highlight w:val="none"/>
              </w:rPr>
            </w:pPr>
          </w:p>
        </w:tc>
        <w:tc>
          <w:tcPr>
            <w:tcW w:w="1163" w:type="dxa"/>
            <w:vAlign w:val="center"/>
          </w:tcPr>
          <w:p w14:paraId="54C52DCE">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建筑面积</w:t>
            </w:r>
          </w:p>
        </w:tc>
        <w:tc>
          <w:tcPr>
            <w:tcW w:w="1205" w:type="dxa"/>
            <w:gridSpan w:val="2"/>
            <w:vAlign w:val="center"/>
          </w:tcPr>
          <w:p w14:paraId="29179672">
            <w:pPr>
              <w:pStyle w:val="31"/>
              <w:shd w:val="clear" w:color="auto" w:fill="FFFFFF"/>
              <w:adjustRightInd w:val="0"/>
              <w:snapToGrid w:val="0"/>
              <w:ind w:left="-105" w:leftChars="-50" w:right="-105" w:rightChars="-50" w:firstLine="420"/>
              <w:jc w:val="center"/>
              <w:rPr>
                <w:bCs/>
                <w:color w:val="auto"/>
                <w:sz w:val="18"/>
                <w:szCs w:val="18"/>
                <w:highlight w:val="none"/>
              </w:rPr>
            </w:pPr>
            <w:r>
              <w:rPr>
                <w:rFonts w:hint="eastAsia"/>
                <w:bCs/>
                <w:color w:val="auto"/>
                <w:sz w:val="18"/>
                <w:szCs w:val="18"/>
                <w:highlight w:val="none"/>
              </w:rPr>
              <w:t>平方米</w:t>
            </w:r>
          </w:p>
          <w:p w14:paraId="6F22C367">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□自有□租賃</w:t>
            </w:r>
          </w:p>
        </w:tc>
        <w:tc>
          <w:tcPr>
            <w:tcW w:w="2001" w:type="dxa"/>
            <w:gridSpan w:val="3"/>
            <w:vAlign w:val="center"/>
          </w:tcPr>
          <w:p w14:paraId="1F002B1A">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生产经营场所及场所的设施与设备</w:t>
            </w:r>
          </w:p>
        </w:tc>
        <w:tc>
          <w:tcPr>
            <w:tcW w:w="2151" w:type="dxa"/>
            <w:gridSpan w:val="2"/>
            <w:vAlign w:val="center"/>
          </w:tcPr>
          <w:p w14:paraId="4E2D5F3D">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p>
        </w:tc>
      </w:tr>
      <w:tr w14:paraId="06FE6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82" w:type="dxa"/>
            <w:vMerge w:val="continue"/>
            <w:vAlign w:val="center"/>
          </w:tcPr>
          <w:p w14:paraId="2C1C3E8F">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Align w:val="center"/>
          </w:tcPr>
          <w:p w14:paraId="44C5A15F">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注册资金</w:t>
            </w:r>
          </w:p>
        </w:tc>
        <w:tc>
          <w:tcPr>
            <w:tcW w:w="910" w:type="dxa"/>
            <w:gridSpan w:val="2"/>
            <w:vAlign w:val="center"/>
          </w:tcPr>
          <w:p w14:paraId="776171C6">
            <w:pPr>
              <w:pStyle w:val="31"/>
              <w:shd w:val="clear" w:color="auto" w:fill="FFFFFF"/>
              <w:adjustRightInd w:val="0"/>
              <w:snapToGrid w:val="0"/>
              <w:ind w:left="-105" w:leftChars="-50" w:right="-105" w:rightChars="-50"/>
              <w:jc w:val="center"/>
              <w:rPr>
                <w:bCs/>
                <w:color w:val="auto"/>
                <w:sz w:val="18"/>
                <w:szCs w:val="18"/>
                <w:highlight w:val="none"/>
              </w:rPr>
            </w:pPr>
          </w:p>
        </w:tc>
        <w:tc>
          <w:tcPr>
            <w:tcW w:w="1163" w:type="dxa"/>
            <w:vAlign w:val="center"/>
          </w:tcPr>
          <w:p w14:paraId="31842504">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注册发证</w:t>
            </w:r>
            <w:r>
              <w:rPr>
                <w:rFonts w:hint="eastAsia"/>
                <w:bCs/>
                <w:color w:val="auto"/>
                <w:spacing w:val="27"/>
                <w:sz w:val="18"/>
                <w:szCs w:val="18"/>
                <w:highlight w:val="none"/>
              </w:rPr>
              <w:t>机关</w:t>
            </w:r>
          </w:p>
        </w:tc>
        <w:tc>
          <w:tcPr>
            <w:tcW w:w="3206" w:type="dxa"/>
            <w:gridSpan w:val="5"/>
            <w:vAlign w:val="center"/>
          </w:tcPr>
          <w:p w14:paraId="60DC86B8">
            <w:pPr>
              <w:widowControl/>
              <w:adjustRightInd w:val="0"/>
              <w:snapToGrid w:val="0"/>
              <w:ind w:left="-105" w:leftChars="-50" w:right="-105" w:rightChars="-50"/>
              <w:jc w:val="center"/>
              <w:rPr>
                <w:rFonts w:ascii="宋体" w:hAnsi="宋体" w:cs="宋体"/>
                <w:bCs/>
                <w:color w:val="auto"/>
                <w:kern w:val="0"/>
                <w:sz w:val="18"/>
                <w:szCs w:val="18"/>
                <w:highlight w:val="none"/>
              </w:rPr>
            </w:pPr>
          </w:p>
          <w:p w14:paraId="3F5A6C31">
            <w:pPr>
              <w:pStyle w:val="31"/>
              <w:shd w:val="clear" w:color="auto" w:fill="FFFFFF"/>
              <w:adjustRightInd w:val="0"/>
              <w:snapToGrid w:val="0"/>
              <w:ind w:left="-105" w:leftChars="-50" w:right="-105" w:rightChars="-50"/>
              <w:jc w:val="center"/>
              <w:rPr>
                <w:bCs/>
                <w:color w:val="auto"/>
                <w:sz w:val="18"/>
                <w:szCs w:val="18"/>
                <w:highlight w:val="none"/>
              </w:rPr>
            </w:pPr>
          </w:p>
        </w:tc>
        <w:tc>
          <w:tcPr>
            <w:tcW w:w="1218" w:type="dxa"/>
            <w:vAlign w:val="center"/>
          </w:tcPr>
          <w:p w14:paraId="34A1EDF7">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公司成</w:t>
            </w:r>
            <w:r>
              <w:rPr>
                <w:rFonts w:hint="eastAsia"/>
                <w:bCs/>
                <w:color w:val="auto"/>
                <w:spacing w:val="12"/>
                <w:sz w:val="18"/>
                <w:szCs w:val="18"/>
                <w:highlight w:val="none"/>
              </w:rPr>
              <w:t>立时间</w:t>
            </w:r>
          </w:p>
        </w:tc>
        <w:tc>
          <w:tcPr>
            <w:tcW w:w="933" w:type="dxa"/>
            <w:vAlign w:val="center"/>
          </w:tcPr>
          <w:p w14:paraId="4A007C35">
            <w:pPr>
              <w:pStyle w:val="31"/>
              <w:shd w:val="clear" w:color="auto" w:fill="FFFFFF"/>
              <w:adjustRightInd w:val="0"/>
              <w:snapToGrid w:val="0"/>
              <w:ind w:left="-105" w:leftChars="-50" w:right="-105" w:rightChars="-50"/>
              <w:jc w:val="center"/>
              <w:rPr>
                <w:bCs/>
                <w:color w:val="auto"/>
                <w:sz w:val="18"/>
                <w:szCs w:val="18"/>
                <w:highlight w:val="none"/>
              </w:rPr>
            </w:pPr>
          </w:p>
        </w:tc>
      </w:tr>
      <w:tr w14:paraId="6C417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682" w:type="dxa"/>
            <w:vMerge w:val="continue"/>
            <w:vAlign w:val="center"/>
          </w:tcPr>
          <w:p w14:paraId="379410BA">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Align w:val="center"/>
          </w:tcPr>
          <w:p w14:paraId="3EF5BFB9">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核准经营范围</w:t>
            </w:r>
          </w:p>
        </w:tc>
        <w:tc>
          <w:tcPr>
            <w:tcW w:w="7430" w:type="dxa"/>
            <w:gridSpan w:val="10"/>
            <w:vAlign w:val="center"/>
          </w:tcPr>
          <w:p w14:paraId="10EAEA9B">
            <w:pPr>
              <w:pStyle w:val="31"/>
              <w:shd w:val="clear" w:color="auto" w:fill="FFFFFF"/>
              <w:adjustRightInd w:val="0"/>
              <w:snapToGrid w:val="0"/>
              <w:ind w:left="-105" w:leftChars="-50" w:right="-105" w:rightChars="-50"/>
              <w:jc w:val="center"/>
              <w:rPr>
                <w:bCs/>
                <w:color w:val="auto"/>
                <w:sz w:val="18"/>
                <w:szCs w:val="18"/>
                <w:highlight w:val="none"/>
              </w:rPr>
            </w:pPr>
          </w:p>
        </w:tc>
      </w:tr>
      <w:tr w14:paraId="278A3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682" w:type="dxa"/>
            <w:vMerge w:val="continue"/>
            <w:vAlign w:val="center"/>
          </w:tcPr>
          <w:p w14:paraId="01230D26">
            <w:pPr>
              <w:pStyle w:val="31"/>
              <w:shd w:val="clear" w:color="auto" w:fill="FFFFFF"/>
              <w:adjustRightInd w:val="0"/>
              <w:snapToGrid w:val="0"/>
              <w:ind w:left="-105" w:leftChars="-50" w:right="-105" w:rightChars="-50"/>
              <w:jc w:val="center"/>
              <w:rPr>
                <w:bCs/>
                <w:color w:val="auto"/>
                <w:sz w:val="18"/>
                <w:szCs w:val="18"/>
                <w:highlight w:val="none"/>
              </w:rPr>
            </w:pPr>
          </w:p>
        </w:tc>
        <w:tc>
          <w:tcPr>
            <w:tcW w:w="8131" w:type="dxa"/>
            <w:gridSpan w:val="11"/>
            <w:vAlign w:val="center"/>
          </w:tcPr>
          <w:p w14:paraId="4CD3EA55">
            <w:pPr>
              <w:pStyle w:val="31"/>
              <w:shd w:val="clear" w:color="auto" w:fill="FFFFFF"/>
              <w:adjustRightInd w:val="0"/>
              <w:snapToGrid w:val="0"/>
              <w:ind w:left="-105" w:leftChars="-50" w:right="-105" w:rightChars="-50"/>
              <w:rPr>
                <w:bCs/>
                <w:color w:val="auto"/>
                <w:spacing w:val="13"/>
                <w:sz w:val="18"/>
                <w:szCs w:val="18"/>
                <w:highlight w:val="none"/>
              </w:rPr>
            </w:pPr>
            <w:r>
              <w:rPr>
                <w:rFonts w:hint="eastAsia"/>
                <w:bCs/>
                <w:color w:val="auto"/>
                <w:spacing w:val="13"/>
                <w:sz w:val="18"/>
                <w:szCs w:val="18"/>
                <w:highlight w:val="none"/>
              </w:rPr>
              <w:t>发展历程及主要荣誉：</w:t>
            </w:r>
          </w:p>
        </w:tc>
      </w:tr>
      <w:tr w14:paraId="35DF4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682" w:type="dxa"/>
            <w:vMerge w:val="restart"/>
            <w:vAlign w:val="center"/>
          </w:tcPr>
          <w:p w14:paraId="5F731AAF">
            <w:pPr>
              <w:pStyle w:val="31"/>
              <w:shd w:val="clear" w:color="auto" w:fill="FFFFFF"/>
              <w:adjustRightInd w:val="0"/>
              <w:snapToGrid w:val="0"/>
              <w:ind w:left="-105" w:leftChars="-50" w:right="-105" w:rightChars="-50"/>
              <w:jc w:val="center"/>
              <w:rPr>
                <w:bCs/>
                <w:color w:val="auto"/>
                <w:sz w:val="18"/>
                <w:szCs w:val="18"/>
                <w:highlight w:val="none"/>
              </w:rPr>
            </w:pPr>
            <w:r>
              <w:rPr>
                <w:bCs/>
                <w:color w:val="auto"/>
                <w:sz w:val="18"/>
                <w:szCs w:val="18"/>
                <w:highlight w:val="none"/>
              </w:rPr>
              <w:t>2</w:t>
            </w:r>
            <w:r>
              <w:rPr>
                <w:rFonts w:hint="eastAsia"/>
                <w:bCs/>
                <w:color w:val="auto"/>
                <w:sz w:val="18"/>
                <w:szCs w:val="18"/>
                <w:highlight w:val="none"/>
              </w:rPr>
              <w:t>．</w:t>
            </w:r>
          </w:p>
          <w:p w14:paraId="2F31C37C">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z w:val="18"/>
                <w:szCs w:val="18"/>
                <w:highlight w:val="none"/>
              </w:rPr>
              <w:t>企</w:t>
            </w:r>
            <w:r>
              <w:rPr>
                <w:rFonts w:hint="eastAsia"/>
                <w:bCs/>
                <w:color w:val="auto"/>
                <w:spacing w:val="12"/>
                <w:sz w:val="18"/>
                <w:szCs w:val="18"/>
                <w:highlight w:val="none"/>
              </w:rPr>
              <w:t>业有关资质获证情况</w:t>
            </w:r>
          </w:p>
        </w:tc>
        <w:tc>
          <w:tcPr>
            <w:tcW w:w="1553" w:type="dxa"/>
            <w:gridSpan w:val="2"/>
            <w:vMerge w:val="restart"/>
            <w:vAlign w:val="center"/>
          </w:tcPr>
          <w:p w14:paraId="2F23EA70">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r>
              <w:rPr>
                <w:rFonts w:hint="eastAsia"/>
                <w:bCs/>
                <w:color w:val="auto"/>
                <w:spacing w:val="12"/>
                <w:sz w:val="18"/>
                <w:szCs w:val="18"/>
                <w:highlight w:val="none"/>
              </w:rPr>
              <w:t>产品生产许可证情况</w:t>
            </w:r>
            <w:r>
              <w:rPr>
                <w:rFonts w:hint="eastAsia"/>
                <w:bCs/>
                <w:color w:val="auto"/>
                <w:spacing w:val="41"/>
                <w:sz w:val="18"/>
                <w:szCs w:val="18"/>
                <w:highlight w:val="none"/>
              </w:rPr>
              <w:t>（对需获得生产许可证的</w:t>
            </w:r>
            <w:r>
              <w:rPr>
                <w:rFonts w:hint="eastAsia"/>
                <w:bCs/>
                <w:color w:val="auto"/>
                <w:spacing w:val="11"/>
                <w:sz w:val="18"/>
                <w:szCs w:val="18"/>
                <w:highlight w:val="none"/>
              </w:rPr>
              <w:t>产品要填写此栏）</w:t>
            </w:r>
          </w:p>
        </w:tc>
        <w:tc>
          <w:tcPr>
            <w:tcW w:w="1333" w:type="dxa"/>
            <w:gridSpan w:val="3"/>
            <w:vAlign w:val="center"/>
          </w:tcPr>
          <w:p w14:paraId="4286B24E">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产品名称</w:t>
            </w:r>
          </w:p>
        </w:tc>
        <w:tc>
          <w:tcPr>
            <w:tcW w:w="1418" w:type="dxa"/>
            <w:gridSpan w:val="2"/>
            <w:vAlign w:val="center"/>
          </w:tcPr>
          <w:p w14:paraId="030670C9">
            <w:pPr>
              <w:pStyle w:val="31"/>
              <w:shd w:val="clear" w:color="auto" w:fill="FFFFFF"/>
              <w:adjustRightInd w:val="0"/>
              <w:snapToGrid w:val="0"/>
              <w:spacing w:before="0" w:beforeAutospacing="0" w:after="0" w:afterAutospacing="0"/>
              <w:ind w:left="-105" w:leftChars="-50" w:right="-105" w:rightChars="-50"/>
              <w:jc w:val="center"/>
              <w:rPr>
                <w:bCs/>
                <w:color w:val="auto"/>
                <w:sz w:val="18"/>
                <w:szCs w:val="18"/>
                <w:highlight w:val="none"/>
              </w:rPr>
            </w:pPr>
            <w:r>
              <w:rPr>
                <w:rFonts w:hint="eastAsia"/>
                <w:bCs/>
                <w:color w:val="auto"/>
                <w:spacing w:val="16"/>
                <w:sz w:val="18"/>
                <w:szCs w:val="18"/>
                <w:highlight w:val="none"/>
              </w:rPr>
              <w:t>发证机关</w:t>
            </w:r>
          </w:p>
        </w:tc>
        <w:tc>
          <w:tcPr>
            <w:tcW w:w="1276" w:type="dxa"/>
            <w:vAlign w:val="center"/>
          </w:tcPr>
          <w:p w14:paraId="703FAC09">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27"/>
                <w:sz w:val="18"/>
                <w:szCs w:val="18"/>
                <w:highlight w:val="none"/>
              </w:rPr>
              <w:t>编号</w:t>
            </w:r>
          </w:p>
        </w:tc>
        <w:tc>
          <w:tcPr>
            <w:tcW w:w="1618" w:type="dxa"/>
            <w:gridSpan w:val="2"/>
            <w:vAlign w:val="center"/>
          </w:tcPr>
          <w:p w14:paraId="710D4A9B">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发证时间</w:t>
            </w:r>
          </w:p>
        </w:tc>
        <w:tc>
          <w:tcPr>
            <w:tcW w:w="933" w:type="dxa"/>
            <w:vAlign w:val="center"/>
          </w:tcPr>
          <w:p w14:paraId="59012829">
            <w:pPr>
              <w:pStyle w:val="31"/>
              <w:shd w:val="clear" w:color="auto" w:fill="FFFFFF"/>
              <w:adjustRightInd w:val="0"/>
              <w:snapToGrid w:val="0"/>
              <w:spacing w:before="0" w:beforeAutospacing="0" w:after="0" w:afterAutospacing="0"/>
              <w:ind w:left="-105" w:leftChars="-50" w:right="-105" w:rightChars="-50"/>
              <w:jc w:val="center"/>
              <w:rPr>
                <w:bCs/>
                <w:color w:val="auto"/>
                <w:sz w:val="18"/>
                <w:szCs w:val="18"/>
                <w:highlight w:val="none"/>
              </w:rPr>
            </w:pPr>
            <w:r>
              <w:rPr>
                <w:rFonts w:hint="eastAsia"/>
                <w:bCs/>
                <w:color w:val="auto"/>
                <w:spacing w:val="27"/>
                <w:sz w:val="18"/>
                <w:szCs w:val="18"/>
                <w:highlight w:val="none"/>
              </w:rPr>
              <w:t>期限</w:t>
            </w:r>
          </w:p>
        </w:tc>
      </w:tr>
      <w:tr w14:paraId="46D6C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682" w:type="dxa"/>
            <w:vMerge w:val="continue"/>
            <w:vAlign w:val="center"/>
          </w:tcPr>
          <w:p w14:paraId="621EB049">
            <w:pPr>
              <w:pStyle w:val="31"/>
              <w:shd w:val="clear" w:color="auto" w:fill="FFFFFF"/>
              <w:adjustRightInd w:val="0"/>
              <w:snapToGrid w:val="0"/>
              <w:ind w:left="-105" w:leftChars="-50" w:right="-105" w:rightChars="-50"/>
              <w:jc w:val="center"/>
              <w:rPr>
                <w:bCs/>
                <w:color w:val="auto"/>
                <w:sz w:val="18"/>
                <w:szCs w:val="18"/>
                <w:highlight w:val="none"/>
              </w:rPr>
            </w:pPr>
          </w:p>
        </w:tc>
        <w:tc>
          <w:tcPr>
            <w:tcW w:w="1553" w:type="dxa"/>
            <w:gridSpan w:val="2"/>
            <w:vMerge w:val="continue"/>
            <w:vAlign w:val="center"/>
          </w:tcPr>
          <w:p w14:paraId="334B43BD">
            <w:pPr>
              <w:pStyle w:val="31"/>
              <w:shd w:val="clear" w:color="auto" w:fill="FFFFFF"/>
              <w:adjustRightInd w:val="0"/>
              <w:snapToGrid w:val="0"/>
              <w:ind w:left="-105" w:leftChars="-50" w:right="-105" w:rightChars="-50"/>
              <w:jc w:val="center"/>
              <w:rPr>
                <w:bCs/>
                <w:color w:val="auto"/>
                <w:sz w:val="18"/>
                <w:szCs w:val="18"/>
                <w:highlight w:val="none"/>
              </w:rPr>
            </w:pPr>
          </w:p>
        </w:tc>
        <w:tc>
          <w:tcPr>
            <w:tcW w:w="1333" w:type="dxa"/>
            <w:gridSpan w:val="3"/>
            <w:vAlign w:val="center"/>
          </w:tcPr>
          <w:p w14:paraId="1EC22B50">
            <w:pPr>
              <w:pStyle w:val="31"/>
              <w:shd w:val="clear" w:color="auto" w:fill="FFFFFF"/>
              <w:adjustRightInd w:val="0"/>
              <w:snapToGrid w:val="0"/>
              <w:ind w:left="-105" w:leftChars="-50" w:right="-105" w:rightChars="-50"/>
              <w:jc w:val="center"/>
              <w:rPr>
                <w:bCs/>
                <w:color w:val="auto"/>
                <w:sz w:val="18"/>
                <w:szCs w:val="18"/>
                <w:highlight w:val="none"/>
              </w:rPr>
            </w:pPr>
          </w:p>
        </w:tc>
        <w:tc>
          <w:tcPr>
            <w:tcW w:w="1418" w:type="dxa"/>
            <w:gridSpan w:val="2"/>
            <w:vAlign w:val="center"/>
          </w:tcPr>
          <w:p w14:paraId="6CAA0B13">
            <w:pPr>
              <w:pStyle w:val="31"/>
              <w:shd w:val="clear" w:color="auto" w:fill="FFFFFF"/>
              <w:adjustRightInd w:val="0"/>
              <w:snapToGrid w:val="0"/>
              <w:ind w:left="-105" w:leftChars="-50" w:right="-105" w:rightChars="-50"/>
              <w:jc w:val="center"/>
              <w:rPr>
                <w:bCs/>
                <w:color w:val="auto"/>
                <w:sz w:val="18"/>
                <w:szCs w:val="18"/>
                <w:highlight w:val="none"/>
              </w:rPr>
            </w:pPr>
          </w:p>
        </w:tc>
        <w:tc>
          <w:tcPr>
            <w:tcW w:w="1276" w:type="dxa"/>
            <w:vAlign w:val="center"/>
          </w:tcPr>
          <w:p w14:paraId="580F0141">
            <w:pPr>
              <w:pStyle w:val="31"/>
              <w:shd w:val="clear" w:color="auto" w:fill="FFFFFF"/>
              <w:adjustRightInd w:val="0"/>
              <w:snapToGrid w:val="0"/>
              <w:ind w:left="-105" w:leftChars="-50" w:right="-105" w:rightChars="-50"/>
              <w:jc w:val="center"/>
              <w:rPr>
                <w:bCs/>
                <w:color w:val="auto"/>
                <w:sz w:val="18"/>
                <w:szCs w:val="18"/>
                <w:highlight w:val="none"/>
              </w:rPr>
            </w:pPr>
          </w:p>
        </w:tc>
        <w:tc>
          <w:tcPr>
            <w:tcW w:w="2551" w:type="dxa"/>
            <w:gridSpan w:val="3"/>
            <w:vAlign w:val="center"/>
          </w:tcPr>
          <w:p w14:paraId="6536C52A">
            <w:pPr>
              <w:pStyle w:val="31"/>
              <w:shd w:val="clear" w:color="auto" w:fill="FFFFFF"/>
              <w:adjustRightInd w:val="0"/>
              <w:snapToGrid w:val="0"/>
              <w:ind w:left="-105" w:leftChars="-50" w:right="-105" w:rightChars="-50"/>
              <w:jc w:val="center"/>
              <w:rPr>
                <w:bCs/>
                <w:color w:val="auto"/>
                <w:sz w:val="18"/>
                <w:szCs w:val="18"/>
                <w:highlight w:val="none"/>
              </w:rPr>
            </w:pPr>
          </w:p>
        </w:tc>
      </w:tr>
      <w:tr w14:paraId="7A989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82" w:type="dxa"/>
            <w:vMerge w:val="continue"/>
            <w:vAlign w:val="center"/>
          </w:tcPr>
          <w:p w14:paraId="21A2BF45">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1553" w:type="dxa"/>
            <w:gridSpan w:val="2"/>
            <w:vAlign w:val="center"/>
          </w:tcPr>
          <w:p w14:paraId="73C8BA57">
            <w:pPr>
              <w:pStyle w:val="31"/>
              <w:shd w:val="clear" w:color="auto" w:fill="FFFFFF"/>
              <w:adjustRightInd w:val="0"/>
              <w:snapToGrid w:val="0"/>
              <w:spacing w:before="0" w:beforeAutospacing="0" w:after="0" w:afterAutospacing="0"/>
              <w:ind w:left="-105" w:leftChars="-50" w:right="-105" w:rightChars="-50"/>
              <w:jc w:val="center"/>
              <w:rPr>
                <w:bCs/>
                <w:color w:val="auto"/>
                <w:spacing w:val="41"/>
                <w:sz w:val="18"/>
                <w:szCs w:val="18"/>
                <w:highlight w:val="none"/>
              </w:rPr>
            </w:pPr>
            <w:r>
              <w:rPr>
                <w:rFonts w:hint="eastAsia"/>
                <w:bCs/>
                <w:color w:val="auto"/>
                <w:spacing w:val="41"/>
                <w:sz w:val="18"/>
                <w:szCs w:val="18"/>
                <w:highlight w:val="none"/>
              </w:rPr>
              <w:t>企业通过质量体系、环保</w:t>
            </w:r>
            <w:r>
              <w:rPr>
                <w:rFonts w:hint="eastAsia"/>
                <w:bCs/>
                <w:color w:val="auto"/>
                <w:spacing w:val="11"/>
                <w:sz w:val="18"/>
                <w:szCs w:val="18"/>
                <w:highlight w:val="none"/>
              </w:rPr>
              <w:t>体系、计量等认证情况</w:t>
            </w:r>
          </w:p>
        </w:tc>
        <w:tc>
          <w:tcPr>
            <w:tcW w:w="6578" w:type="dxa"/>
            <w:gridSpan w:val="9"/>
            <w:vAlign w:val="center"/>
          </w:tcPr>
          <w:p w14:paraId="4EC47406">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4A174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682" w:type="dxa"/>
            <w:vMerge w:val="continue"/>
            <w:vAlign w:val="center"/>
          </w:tcPr>
          <w:p w14:paraId="46A53E2E">
            <w:pPr>
              <w:pStyle w:val="31"/>
              <w:shd w:val="clear" w:color="auto" w:fill="FFFFFF"/>
              <w:adjustRightInd w:val="0"/>
              <w:snapToGrid w:val="0"/>
              <w:ind w:left="-105" w:leftChars="-50" w:right="-105" w:rightChars="-50"/>
              <w:jc w:val="center"/>
              <w:rPr>
                <w:bCs/>
                <w:color w:val="auto"/>
                <w:spacing w:val="27"/>
                <w:sz w:val="18"/>
                <w:szCs w:val="18"/>
                <w:highlight w:val="none"/>
              </w:rPr>
            </w:pPr>
          </w:p>
        </w:tc>
        <w:tc>
          <w:tcPr>
            <w:tcW w:w="1553" w:type="dxa"/>
            <w:gridSpan w:val="2"/>
            <w:vAlign w:val="center"/>
          </w:tcPr>
          <w:p w14:paraId="4C7CE3A3">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0"/>
                <w:sz w:val="18"/>
                <w:szCs w:val="18"/>
                <w:highlight w:val="none"/>
              </w:rPr>
              <w:t>企业获得专利情况</w:t>
            </w:r>
          </w:p>
        </w:tc>
        <w:tc>
          <w:tcPr>
            <w:tcW w:w="6578" w:type="dxa"/>
            <w:gridSpan w:val="9"/>
            <w:vAlign w:val="center"/>
          </w:tcPr>
          <w:p w14:paraId="71C0AFC2">
            <w:pPr>
              <w:pStyle w:val="31"/>
              <w:shd w:val="clear" w:color="auto" w:fill="FFFFFF"/>
              <w:adjustRightInd w:val="0"/>
              <w:snapToGrid w:val="0"/>
              <w:ind w:left="-105" w:leftChars="-50" w:right="-105" w:rightChars="-50"/>
              <w:jc w:val="center"/>
              <w:rPr>
                <w:bCs/>
                <w:color w:val="auto"/>
                <w:spacing w:val="16"/>
                <w:sz w:val="18"/>
                <w:szCs w:val="18"/>
                <w:highlight w:val="none"/>
              </w:rPr>
            </w:pPr>
          </w:p>
        </w:tc>
      </w:tr>
    </w:tbl>
    <w:p w14:paraId="45BCADE6">
      <w:pPr>
        <w:pStyle w:val="35"/>
        <w:tabs>
          <w:tab w:val="left" w:pos="1050"/>
        </w:tabs>
        <w:spacing w:line="360" w:lineRule="auto"/>
        <w:ind w:firstLine="422"/>
        <w:rPr>
          <w:rFonts w:ascii="宋体" w:hAnsi="宋体"/>
          <w:color w:val="auto"/>
          <w:szCs w:val="21"/>
          <w:highlight w:val="none"/>
        </w:rPr>
      </w:pPr>
      <w:r>
        <w:rPr>
          <w:rFonts w:hint="eastAsia" w:ascii="宋体" w:hAnsi="宋体"/>
          <w:b/>
          <w:color w:val="auto"/>
          <w:szCs w:val="21"/>
          <w:highlight w:val="none"/>
        </w:rPr>
        <w:t>要求：</w:t>
      </w:r>
      <w:r>
        <w:rPr>
          <w:rFonts w:hint="eastAsia" w:ascii="宋体" w:hAnsi="宋体"/>
          <w:color w:val="auto"/>
          <w:szCs w:val="21"/>
          <w:highlight w:val="none"/>
        </w:rPr>
        <w:t>在填写时，如本表格不适合响应单位的实际情况，可根据本表格式自行划表填写。</w:t>
      </w:r>
    </w:p>
    <w:p w14:paraId="0C817C53">
      <w:pPr>
        <w:spacing w:line="360" w:lineRule="auto"/>
        <w:ind w:firstLine="424" w:firstLineChars="177"/>
        <w:rPr>
          <w:rFonts w:ascii="宋体" w:hAnsi="宋体"/>
          <w:color w:val="auto"/>
          <w:sz w:val="24"/>
          <w:highlight w:val="none"/>
        </w:rPr>
      </w:pPr>
    </w:p>
    <w:p w14:paraId="1F167296">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09F4635A">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37E428DD">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7EE54FC4">
      <w:pPr>
        <w:spacing w:line="360" w:lineRule="auto"/>
        <w:rPr>
          <w:rFonts w:ascii="宋体" w:hAnsi="宋体"/>
          <w:b/>
          <w:color w:val="auto"/>
          <w:sz w:val="28"/>
          <w:highlight w:val="none"/>
        </w:rPr>
      </w:pPr>
      <w:bookmarkStart w:id="195" w:name="OLE_LINK14"/>
      <w:r>
        <w:rPr>
          <w:rFonts w:hint="eastAsia" w:ascii="宋体" w:hAnsi="宋体"/>
          <w:b/>
          <w:color w:val="auto"/>
          <w:sz w:val="28"/>
          <w:highlight w:val="none"/>
        </w:rPr>
        <w:t>附件12</w:t>
      </w:r>
    </w:p>
    <w:p w14:paraId="1E5B52BE">
      <w:pPr>
        <w:spacing w:after="312" w:afterLines="100" w:line="360" w:lineRule="auto"/>
        <w:jc w:val="center"/>
        <w:rPr>
          <w:rFonts w:ascii="宋体" w:hAnsi="宋体" w:cs="仿宋_GB2312"/>
          <w:b/>
          <w:bCs/>
          <w:color w:val="auto"/>
          <w:kern w:val="0"/>
          <w:sz w:val="32"/>
          <w:szCs w:val="32"/>
          <w:highlight w:val="none"/>
          <w:lang w:val="zh-CN"/>
        </w:rPr>
      </w:pPr>
      <w:r>
        <w:rPr>
          <w:rFonts w:hint="eastAsia" w:ascii="宋体" w:hAnsi="宋体" w:cs="仿宋_GB2312"/>
          <w:b/>
          <w:bCs/>
          <w:color w:val="auto"/>
          <w:kern w:val="0"/>
          <w:sz w:val="32"/>
          <w:szCs w:val="32"/>
          <w:highlight w:val="none"/>
          <w:lang w:val="zh-CN"/>
        </w:rPr>
        <w:t>质保期承诺函</w:t>
      </w:r>
    </w:p>
    <w:p w14:paraId="6A706306">
      <w:pPr>
        <w:spacing w:line="360" w:lineRule="auto"/>
        <w:ind w:firstLine="120" w:firstLineChars="50"/>
        <w:rPr>
          <w:rFonts w:ascii="宋体"/>
          <w:color w:val="auto"/>
          <w:sz w:val="24"/>
          <w:highlight w:val="none"/>
        </w:rPr>
      </w:pPr>
      <w:r>
        <w:rPr>
          <w:rFonts w:hint="eastAsia" w:ascii="宋体" w:hAnsi="宋体" w:cs="仿宋_GB2312"/>
          <w:bCs/>
          <w:color w:val="auto"/>
          <w:kern w:val="0"/>
          <w:sz w:val="24"/>
          <w:highlight w:val="none"/>
          <w:lang w:val="zh-CN"/>
        </w:rPr>
        <w:t>致：</w:t>
      </w:r>
      <w:r>
        <w:rPr>
          <w:rFonts w:hint="eastAsia" w:ascii="宋体" w:hAnsi="宋体" w:cs="宋体"/>
          <w:color w:val="auto"/>
          <w:kern w:val="0"/>
          <w:sz w:val="24"/>
          <w:highlight w:val="none"/>
          <w:u w:val="single"/>
        </w:rPr>
        <w:t>台州市椒江区白云街道社区卫生服务中心</w:t>
      </w:r>
    </w:p>
    <w:p w14:paraId="53722B0F">
      <w:pPr>
        <w:snapToGrid w:val="0"/>
        <w:spacing w:before="156" w:beforeLines="50"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我公司作为本次招标项目的供应商，参加</w:t>
      </w:r>
      <w:r>
        <w:rPr>
          <w:rFonts w:hint="eastAsia" w:ascii="宋体" w:hAnsi="宋体" w:cs="宋体"/>
          <w:color w:val="auto"/>
          <w:kern w:val="0"/>
          <w:sz w:val="24"/>
          <w:highlight w:val="none"/>
          <w:u w:val="single"/>
        </w:rPr>
        <w:t>台州市椒江区白云街道社区卫生服务中心CT采购项目</w:t>
      </w:r>
      <w:r>
        <w:rPr>
          <w:rFonts w:hint="eastAsia" w:ascii="宋体" w:hAnsi="宋体" w:cs="仿宋_GB2312"/>
          <w:bCs/>
          <w:color w:val="auto"/>
          <w:kern w:val="0"/>
          <w:sz w:val="24"/>
          <w:highlight w:val="none"/>
          <w:lang w:val="zh-CN"/>
        </w:rPr>
        <w:t>（项目编号：</w:t>
      </w:r>
      <w:r>
        <w:rPr>
          <w:rFonts w:hint="eastAsia" w:ascii="宋体" w:hAnsi="宋体" w:cs="仿宋_GB2312"/>
          <w:bCs/>
          <w:color w:val="auto"/>
          <w:kern w:val="0"/>
          <w:sz w:val="24"/>
          <w:highlight w:val="none"/>
          <w:u w:val="single"/>
        </w:rPr>
        <w:t>ZYZFCG〔2025〕008</w:t>
      </w:r>
      <w:r>
        <w:rPr>
          <w:rFonts w:hint="eastAsia" w:ascii="宋体" w:hAnsi="宋体" w:cs="仿宋_GB2312"/>
          <w:bCs/>
          <w:color w:val="auto"/>
          <w:kern w:val="0"/>
          <w:sz w:val="24"/>
          <w:highlight w:val="none"/>
          <w:lang w:val="zh-CN"/>
        </w:rPr>
        <w:t>）招投标</w:t>
      </w:r>
      <w:r>
        <w:rPr>
          <w:rFonts w:hint="eastAsia" w:ascii="宋体" w:hAnsi="宋体" w:cs="宋体"/>
          <w:color w:val="auto"/>
          <w:sz w:val="24"/>
          <w:highlight w:val="none"/>
        </w:rPr>
        <w:t>活动，根据招标文件要求，现郑重承诺：</w:t>
      </w:r>
    </w:p>
    <w:p w14:paraId="3F955C99">
      <w:pPr>
        <w:snapToGrid w:val="0"/>
        <w:spacing w:before="156" w:beforeLines="50" w:line="360" w:lineRule="auto"/>
        <w:ind w:firstLine="480" w:firstLineChars="200"/>
        <w:jc w:val="left"/>
        <w:rPr>
          <w:rFonts w:ascii="宋体" w:hAnsi="宋体" w:cs="宋体"/>
          <w:color w:val="auto"/>
          <w:sz w:val="24"/>
          <w:highlight w:val="none"/>
        </w:rPr>
      </w:pPr>
      <w:r>
        <w:rPr>
          <w:rFonts w:hint="eastAsia" w:hAnsi="宋体" w:cs="宋体"/>
          <w:color w:val="auto"/>
          <w:kern w:val="0"/>
          <w:sz w:val="24"/>
          <w:szCs w:val="21"/>
          <w:highlight w:val="none"/>
        </w:rPr>
        <w:t>自验收合格之日起提供</w:t>
      </w:r>
      <w:r>
        <w:rPr>
          <w:rFonts w:hint="eastAsia" w:hAnsi="宋体" w:cs="宋体"/>
          <w:color w:val="auto"/>
          <w:kern w:val="0"/>
          <w:sz w:val="24"/>
          <w:szCs w:val="21"/>
          <w:highlight w:val="none"/>
          <w:u w:val="single"/>
        </w:rPr>
        <w:t xml:space="preserve">      年</w:t>
      </w:r>
      <w:r>
        <w:rPr>
          <w:rFonts w:hint="eastAsia" w:hAnsi="宋体" w:cs="宋体"/>
          <w:color w:val="auto"/>
          <w:kern w:val="0"/>
          <w:sz w:val="24"/>
          <w:szCs w:val="21"/>
          <w:highlight w:val="none"/>
        </w:rPr>
        <w:t>免费质保服务，对所有设备负责终身维修。在质保期内，应负责对其提供的设备进行现场维修、损坏件更换，不收取额外费用</w:t>
      </w:r>
      <w:r>
        <w:rPr>
          <w:rFonts w:hint="eastAsia" w:ascii="宋体" w:hAnsi="宋体" w:cs="宋体"/>
          <w:color w:val="auto"/>
          <w:sz w:val="24"/>
          <w:highlight w:val="none"/>
        </w:rPr>
        <w:t>。</w:t>
      </w:r>
    </w:p>
    <w:p w14:paraId="162237A1">
      <w:pPr>
        <w:snapToGrid w:val="0"/>
        <w:spacing w:line="360" w:lineRule="auto"/>
        <w:ind w:firstLine="480" w:firstLineChars="200"/>
        <w:jc w:val="left"/>
        <w:rPr>
          <w:rFonts w:ascii="宋体" w:hAnsi="宋体" w:cs="宋体"/>
          <w:color w:val="auto"/>
          <w:sz w:val="24"/>
          <w:highlight w:val="none"/>
        </w:rPr>
      </w:pPr>
    </w:p>
    <w:p w14:paraId="351348E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如本公司对以上条款提供虚假承诺，采购人可取消我方任何资格（投标/中标/签订合同）并追究我方的违约责任，我方对此无任何异议。</w:t>
      </w:r>
    </w:p>
    <w:bookmarkEnd w:id="195"/>
    <w:p w14:paraId="6FB791FC">
      <w:pPr>
        <w:spacing w:line="360" w:lineRule="auto"/>
        <w:ind w:firstLine="562"/>
        <w:rPr>
          <w:rFonts w:ascii="宋体" w:hAnsi="宋体"/>
          <w:b/>
          <w:color w:val="auto"/>
          <w:sz w:val="28"/>
          <w:highlight w:val="none"/>
        </w:rPr>
      </w:pPr>
    </w:p>
    <w:p w14:paraId="59D8AFBD">
      <w:pPr>
        <w:pStyle w:val="2"/>
        <w:ind w:firstLine="422"/>
        <w:rPr>
          <w:color w:val="auto"/>
          <w:highlight w:val="none"/>
        </w:rPr>
      </w:pPr>
    </w:p>
    <w:p w14:paraId="729182A6">
      <w:pPr>
        <w:pStyle w:val="3"/>
        <w:ind w:firstLine="482"/>
        <w:rPr>
          <w:color w:val="auto"/>
          <w:highlight w:val="none"/>
        </w:rPr>
      </w:pPr>
    </w:p>
    <w:p w14:paraId="62D2D82B">
      <w:pPr>
        <w:pStyle w:val="3"/>
        <w:ind w:firstLine="482"/>
        <w:rPr>
          <w:color w:val="auto"/>
          <w:highlight w:val="none"/>
        </w:rPr>
      </w:pPr>
    </w:p>
    <w:p w14:paraId="3A5406E8">
      <w:pPr>
        <w:pStyle w:val="3"/>
        <w:ind w:firstLine="482"/>
        <w:rPr>
          <w:color w:val="auto"/>
          <w:highlight w:val="none"/>
        </w:rPr>
      </w:pPr>
    </w:p>
    <w:p w14:paraId="46093B8A">
      <w:pPr>
        <w:spacing w:line="360" w:lineRule="auto"/>
        <w:ind w:firstLine="424" w:firstLineChars="177"/>
        <w:rPr>
          <w:rFonts w:ascii="宋体" w:hAnsi="宋体"/>
          <w:color w:val="auto"/>
          <w:sz w:val="24"/>
          <w:highlight w:val="none"/>
        </w:rPr>
      </w:pPr>
      <w:bookmarkStart w:id="196" w:name="OLE_LINK143"/>
      <w:bookmarkStart w:id="197" w:name="OLE_LINK144"/>
      <w:r>
        <w:rPr>
          <w:rFonts w:hint="eastAsia" w:ascii="宋体" w:hAnsi="宋体"/>
          <w:color w:val="auto"/>
          <w:sz w:val="24"/>
          <w:highlight w:val="none"/>
        </w:rPr>
        <w:t>供应商名称（电子印章）：</w:t>
      </w:r>
    </w:p>
    <w:p w14:paraId="7D914B42">
      <w:pPr>
        <w:pStyle w:val="2"/>
        <w:ind w:firstLine="422"/>
        <w:rPr>
          <w:color w:val="auto"/>
          <w:highlight w:val="none"/>
        </w:rPr>
      </w:pPr>
    </w:p>
    <w:p w14:paraId="77AF7356">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法定代表人（负责人）或授权委托人签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75AE7643">
      <w:pPr>
        <w:pStyle w:val="2"/>
        <w:ind w:firstLine="422"/>
        <w:rPr>
          <w:color w:val="auto"/>
          <w:highlight w:val="none"/>
        </w:rPr>
      </w:pPr>
    </w:p>
    <w:p w14:paraId="3AB3553E">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bookmarkEnd w:id="196"/>
    <w:bookmarkEnd w:id="197"/>
    <w:p w14:paraId="0F7CE585">
      <w:pPr>
        <w:widowControl/>
        <w:jc w:val="left"/>
        <w:rPr>
          <w:rFonts w:ascii="宋体" w:hAnsi="宋体"/>
          <w:b/>
          <w:color w:val="auto"/>
          <w:sz w:val="28"/>
          <w:highlight w:val="none"/>
        </w:rPr>
      </w:pPr>
      <w:r>
        <w:rPr>
          <w:rFonts w:ascii="宋体" w:hAnsi="宋体"/>
          <w:b/>
          <w:color w:val="auto"/>
          <w:sz w:val="28"/>
          <w:highlight w:val="none"/>
        </w:rPr>
        <w:br w:type="page"/>
      </w:r>
    </w:p>
    <w:p w14:paraId="0BF78B22">
      <w:pPr>
        <w:spacing w:line="360" w:lineRule="auto"/>
        <w:rPr>
          <w:rFonts w:ascii="宋体" w:hAnsi="宋体"/>
          <w:b/>
          <w:color w:val="auto"/>
          <w:sz w:val="28"/>
          <w:highlight w:val="none"/>
        </w:rPr>
      </w:pPr>
      <w:r>
        <w:rPr>
          <w:rFonts w:hint="eastAsia" w:ascii="宋体" w:hAnsi="宋体"/>
          <w:b/>
          <w:color w:val="auto"/>
          <w:sz w:val="28"/>
          <w:highlight w:val="none"/>
        </w:rPr>
        <w:t>附件13</w:t>
      </w:r>
    </w:p>
    <w:p w14:paraId="50D73790">
      <w:pPr>
        <w:pStyle w:val="34"/>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供应商类似项目实施情况一览表</w:t>
      </w:r>
    </w:p>
    <w:tbl>
      <w:tblPr>
        <w:tblStyle w:val="22"/>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49D28E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5AB83B8B">
            <w:pPr>
              <w:pStyle w:val="34"/>
              <w:jc w:val="center"/>
              <w:rPr>
                <w:rFonts w:ascii="宋体" w:hAnsi="宋体" w:cs="Arial"/>
                <w:b/>
                <w:bCs/>
                <w:color w:val="auto"/>
                <w:sz w:val="24"/>
                <w:highlight w:val="none"/>
              </w:rPr>
            </w:pPr>
            <w:r>
              <w:rPr>
                <w:rFonts w:hint="eastAsia" w:ascii="宋体" w:hAnsi="宋体" w:cs="Arial"/>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155E62E9">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423CB23F">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7C7318AB">
            <w:pPr>
              <w:pStyle w:val="34"/>
              <w:jc w:val="center"/>
              <w:rPr>
                <w:rFonts w:ascii="宋体" w:hAnsi="宋体" w:cs="Arial"/>
                <w:b/>
                <w:bCs/>
                <w:color w:val="auto"/>
                <w:sz w:val="24"/>
                <w:highlight w:val="none"/>
              </w:rPr>
            </w:pPr>
            <w:r>
              <w:rPr>
                <w:rFonts w:hint="eastAsia" w:ascii="宋体" w:hAnsi="宋体" w:cs="Arial"/>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53ED43E5">
            <w:pPr>
              <w:pStyle w:val="34"/>
              <w:jc w:val="center"/>
              <w:rPr>
                <w:rFonts w:ascii="宋体" w:hAnsi="宋体" w:cs="Arial"/>
                <w:b/>
                <w:bCs/>
                <w:color w:val="auto"/>
                <w:sz w:val="24"/>
                <w:highlight w:val="none"/>
              </w:rPr>
            </w:pPr>
            <w:r>
              <w:rPr>
                <w:rFonts w:hint="eastAsia" w:ascii="宋体" w:hAnsi="宋体" w:cs="Arial"/>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12195B49">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1660596A">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项目单位名称及其联系人电话</w:t>
            </w:r>
          </w:p>
        </w:tc>
      </w:tr>
      <w:tr w14:paraId="61F67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2B37B11D">
            <w:pPr>
              <w:pStyle w:val="34"/>
              <w:spacing w:line="360" w:lineRule="auto"/>
              <w:jc w:val="center"/>
              <w:rPr>
                <w:rFonts w:ascii="宋体" w:hAnsi="宋体" w:cs="Arial"/>
                <w:color w:val="auto"/>
                <w:sz w:val="24"/>
                <w:highlight w:val="none"/>
              </w:rPr>
            </w:pPr>
            <w:r>
              <w:rPr>
                <w:rFonts w:hint="eastAsia" w:ascii="宋体" w:hAnsi="宋体" w:cs="Arial"/>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14:paraId="6EE2053D">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03A95D6F">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C9F33F2">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683AA853">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36584896">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7741329">
            <w:pPr>
              <w:pStyle w:val="34"/>
              <w:spacing w:line="360" w:lineRule="auto"/>
              <w:rPr>
                <w:rFonts w:ascii="宋体" w:hAnsi="宋体" w:cs="Arial"/>
                <w:color w:val="auto"/>
                <w:sz w:val="24"/>
                <w:highlight w:val="none"/>
              </w:rPr>
            </w:pPr>
          </w:p>
        </w:tc>
      </w:tr>
      <w:tr w14:paraId="7BF813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6E40830F">
            <w:pPr>
              <w:pStyle w:val="34"/>
              <w:spacing w:line="360" w:lineRule="auto"/>
              <w:jc w:val="center"/>
              <w:rPr>
                <w:rFonts w:ascii="宋体" w:hAnsi="宋体" w:cs="Arial"/>
                <w:color w:val="auto"/>
                <w:sz w:val="24"/>
                <w:highlight w:val="none"/>
              </w:rPr>
            </w:pPr>
            <w:r>
              <w:rPr>
                <w:rFonts w:hint="eastAsia" w:ascii="宋体" w:hAnsi="宋体" w:cs="Arial"/>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14:paraId="6BFC077D">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0002615E">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A4AFEB4">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51565A40">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09DB1E3E">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7EDFEC16">
            <w:pPr>
              <w:pStyle w:val="34"/>
              <w:spacing w:line="360" w:lineRule="auto"/>
              <w:rPr>
                <w:rFonts w:ascii="宋体" w:hAnsi="宋体" w:cs="Arial"/>
                <w:color w:val="auto"/>
                <w:sz w:val="24"/>
                <w:highlight w:val="none"/>
              </w:rPr>
            </w:pPr>
          </w:p>
        </w:tc>
      </w:tr>
      <w:tr w14:paraId="47A098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7F36B822">
            <w:pPr>
              <w:pStyle w:val="34"/>
              <w:spacing w:line="360" w:lineRule="auto"/>
              <w:jc w:val="center"/>
              <w:rPr>
                <w:rFonts w:ascii="宋体" w:hAnsi="宋体" w:cs="Arial"/>
                <w:color w:val="auto"/>
                <w:sz w:val="24"/>
                <w:highlight w:val="none"/>
              </w:rPr>
            </w:pPr>
            <w:r>
              <w:rPr>
                <w:rFonts w:hint="eastAsia" w:ascii="宋体" w:hAnsi="宋体" w:cs="Arial"/>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14:paraId="3F197A81">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6FFA694C">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D84C94A">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681B045A">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522CD999">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72B2C219">
            <w:pPr>
              <w:pStyle w:val="34"/>
              <w:spacing w:line="360" w:lineRule="auto"/>
              <w:rPr>
                <w:rFonts w:ascii="宋体" w:hAnsi="宋体" w:cs="Arial"/>
                <w:color w:val="auto"/>
                <w:sz w:val="24"/>
                <w:highlight w:val="none"/>
              </w:rPr>
            </w:pPr>
          </w:p>
        </w:tc>
      </w:tr>
      <w:tr w14:paraId="03B3AB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7165DABD">
            <w:pPr>
              <w:pStyle w:val="34"/>
              <w:spacing w:line="360" w:lineRule="auto"/>
              <w:rPr>
                <w:rFonts w:ascii="宋体" w:hAnsi="宋体" w:cs="Arial"/>
                <w:color w:val="auto"/>
                <w:sz w:val="24"/>
                <w:highlight w:val="none"/>
              </w:rPr>
            </w:pPr>
            <w:r>
              <w:rPr>
                <w:rFonts w:hint="eastAsia" w:ascii="宋体" w:hAnsi="宋体" w:cs="Arial"/>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14:paraId="531063AF">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A1866FD">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7181373">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033CF779">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4CD575F7">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110E8FA8">
            <w:pPr>
              <w:pStyle w:val="34"/>
              <w:spacing w:line="360" w:lineRule="auto"/>
              <w:rPr>
                <w:rFonts w:ascii="宋体" w:hAnsi="宋体" w:cs="Arial"/>
                <w:color w:val="auto"/>
                <w:sz w:val="24"/>
                <w:highlight w:val="none"/>
              </w:rPr>
            </w:pPr>
          </w:p>
        </w:tc>
      </w:tr>
      <w:tr w14:paraId="4C52B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7608F31F">
            <w:pPr>
              <w:pStyle w:val="34"/>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0CB85AF8">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6F63E66">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752355D">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F7657E4">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596EEAEA">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EEE1DEE">
            <w:pPr>
              <w:pStyle w:val="34"/>
              <w:spacing w:line="360" w:lineRule="auto"/>
              <w:rPr>
                <w:rFonts w:ascii="宋体" w:hAnsi="宋体" w:cs="Arial"/>
                <w:color w:val="auto"/>
                <w:sz w:val="24"/>
                <w:highlight w:val="none"/>
              </w:rPr>
            </w:pPr>
          </w:p>
        </w:tc>
      </w:tr>
      <w:tr w14:paraId="6E7963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2AD570BC">
            <w:pPr>
              <w:pStyle w:val="34"/>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71702DDE">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0265707">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DC85056">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2E0516FC">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72DE3695">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7ECEA5FD">
            <w:pPr>
              <w:pStyle w:val="34"/>
              <w:spacing w:line="360" w:lineRule="auto"/>
              <w:rPr>
                <w:rFonts w:ascii="宋体" w:hAnsi="宋体" w:cs="Arial"/>
                <w:color w:val="auto"/>
                <w:sz w:val="24"/>
                <w:highlight w:val="none"/>
              </w:rPr>
            </w:pPr>
          </w:p>
        </w:tc>
      </w:tr>
      <w:tr w14:paraId="107420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A0706EA">
            <w:pPr>
              <w:pStyle w:val="34"/>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57133EBE">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77CA07D3">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C37B345">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46F4915A">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6DA1D4F9">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066C399">
            <w:pPr>
              <w:pStyle w:val="34"/>
              <w:spacing w:line="360" w:lineRule="auto"/>
              <w:rPr>
                <w:rFonts w:ascii="宋体" w:hAnsi="宋体" w:cs="Arial"/>
                <w:color w:val="auto"/>
                <w:sz w:val="24"/>
                <w:highlight w:val="none"/>
              </w:rPr>
            </w:pPr>
          </w:p>
        </w:tc>
      </w:tr>
    </w:tbl>
    <w:p w14:paraId="0B5642CD">
      <w:pPr>
        <w:autoSpaceDE w:val="0"/>
        <w:autoSpaceDN w:val="0"/>
        <w:adjustRightInd w:val="0"/>
        <w:spacing w:before="156" w:beforeLines="50" w:line="360" w:lineRule="auto"/>
        <w:rPr>
          <w:rFonts w:ascii="宋体" w:hAnsi="宋体" w:cs="Arial"/>
          <w:b/>
          <w:color w:val="auto"/>
          <w:szCs w:val="21"/>
          <w:highlight w:val="none"/>
        </w:rPr>
      </w:pPr>
      <w:r>
        <w:rPr>
          <w:rFonts w:hint="eastAsia" w:ascii="宋体" w:hAnsi="宋体" w:cs="Arial"/>
          <w:b/>
          <w:color w:val="auto"/>
          <w:szCs w:val="21"/>
          <w:highlight w:val="none"/>
        </w:rPr>
        <w:t>要求</w:t>
      </w:r>
      <w:r>
        <w:rPr>
          <w:rFonts w:ascii="宋体" w:hAnsi="宋体" w:cs="Arial"/>
          <w:b/>
          <w:color w:val="auto"/>
          <w:szCs w:val="21"/>
          <w:highlight w:val="none"/>
        </w:rPr>
        <w:t>：</w:t>
      </w:r>
    </w:p>
    <w:p w14:paraId="5027AFDC">
      <w:pPr>
        <w:autoSpaceDE w:val="0"/>
        <w:autoSpaceDN w:val="0"/>
        <w:adjustRightInd w:val="0"/>
        <w:spacing w:before="156" w:beforeLines="50" w:line="360" w:lineRule="auto"/>
        <w:ind w:firstLine="424" w:firstLineChars="202"/>
        <w:rPr>
          <w:rFonts w:ascii="宋体" w:hAnsi="宋体" w:cs="Arial"/>
          <w:b/>
          <w:color w:val="auto"/>
          <w:szCs w:val="21"/>
          <w:highlight w:val="none"/>
        </w:rPr>
      </w:pPr>
      <w:r>
        <w:rPr>
          <w:rFonts w:ascii="宋体" w:hAnsi="宋体" w:cs="Arial"/>
          <w:color w:val="auto"/>
          <w:szCs w:val="21"/>
          <w:highlight w:val="none"/>
        </w:rPr>
        <w:t>1</w:t>
      </w:r>
      <w:r>
        <w:rPr>
          <w:rFonts w:hint="eastAsia" w:ascii="宋体" w:hAnsi="宋体" w:cs="Arial"/>
          <w:color w:val="auto"/>
          <w:szCs w:val="21"/>
          <w:highlight w:val="none"/>
        </w:rPr>
        <w:t>.</w:t>
      </w:r>
      <w:r>
        <w:rPr>
          <w:rFonts w:ascii="宋体" w:hAnsi="宋体" w:cs="Arial"/>
          <w:color w:val="auto"/>
          <w:szCs w:val="21"/>
          <w:highlight w:val="none"/>
        </w:rPr>
        <w:t>业绩证明应提供证明材料（合同</w:t>
      </w:r>
      <w:r>
        <w:rPr>
          <w:rFonts w:hint="eastAsia" w:ascii="宋体" w:hAnsi="宋体" w:cs="Arial"/>
          <w:color w:val="auto"/>
          <w:szCs w:val="21"/>
          <w:highlight w:val="none"/>
        </w:rPr>
        <w:t>扫描件或影印件可只提供首页、含金额页、盖章页并加盖投标供应商电子印章</w:t>
      </w:r>
      <w:r>
        <w:rPr>
          <w:rFonts w:ascii="宋体" w:hAnsi="宋体" w:cs="Arial"/>
          <w:color w:val="auto"/>
          <w:szCs w:val="21"/>
          <w:highlight w:val="none"/>
        </w:rPr>
        <w:t>）；</w:t>
      </w:r>
    </w:p>
    <w:p w14:paraId="3B28D785">
      <w:pPr>
        <w:spacing w:line="360" w:lineRule="auto"/>
        <w:ind w:firstLine="424" w:firstLineChars="202"/>
        <w:jc w:val="left"/>
        <w:rPr>
          <w:rFonts w:ascii="宋体" w:hAnsi="宋体" w:cs="Arial"/>
          <w:color w:val="auto"/>
          <w:szCs w:val="21"/>
          <w:highlight w:val="none"/>
        </w:rPr>
      </w:pPr>
      <w:r>
        <w:rPr>
          <w:rFonts w:ascii="宋体" w:hAnsi="宋体" w:cs="Arial"/>
          <w:color w:val="auto"/>
          <w:szCs w:val="21"/>
          <w:highlight w:val="none"/>
        </w:rPr>
        <w:t>2</w:t>
      </w:r>
      <w:r>
        <w:rPr>
          <w:rFonts w:hint="eastAsia" w:ascii="宋体" w:hAnsi="宋体" w:cs="Arial"/>
          <w:color w:val="auto"/>
          <w:szCs w:val="21"/>
          <w:highlight w:val="none"/>
        </w:rPr>
        <w:t>.投标供应商</w:t>
      </w:r>
      <w:r>
        <w:rPr>
          <w:rFonts w:ascii="宋体" w:hAnsi="宋体" w:cs="Arial"/>
          <w:color w:val="auto"/>
          <w:szCs w:val="21"/>
          <w:highlight w:val="none"/>
        </w:rPr>
        <w:t>可按此表格式复制</w:t>
      </w:r>
      <w:r>
        <w:rPr>
          <w:rFonts w:hint="eastAsia" w:ascii="宋体" w:hAnsi="宋体" w:cs="Arial"/>
          <w:color w:val="auto"/>
          <w:szCs w:val="21"/>
          <w:highlight w:val="none"/>
        </w:rPr>
        <w:t>。</w:t>
      </w:r>
    </w:p>
    <w:p w14:paraId="2C784570">
      <w:pPr>
        <w:widowControl/>
        <w:jc w:val="left"/>
        <w:rPr>
          <w:rFonts w:ascii="宋体" w:hAnsi="宋体"/>
          <w:b/>
          <w:color w:val="auto"/>
          <w:sz w:val="28"/>
          <w:highlight w:val="none"/>
        </w:rPr>
      </w:pPr>
    </w:p>
    <w:p w14:paraId="3F347A4C">
      <w:pPr>
        <w:widowControl/>
        <w:jc w:val="left"/>
        <w:rPr>
          <w:rFonts w:ascii="宋体" w:hAnsi="宋体"/>
          <w:b/>
          <w:color w:val="auto"/>
          <w:sz w:val="28"/>
          <w:highlight w:val="none"/>
        </w:rPr>
      </w:pPr>
    </w:p>
    <w:p w14:paraId="332988AA">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64431C30">
      <w:pPr>
        <w:spacing w:line="360" w:lineRule="auto"/>
        <w:ind w:firstLine="424" w:firstLineChars="177"/>
        <w:rPr>
          <w:rFonts w:ascii="宋体" w:hAnsi="宋体"/>
          <w:color w:val="auto"/>
          <w:sz w:val="24"/>
          <w:highlight w:val="none"/>
        </w:rPr>
      </w:pPr>
    </w:p>
    <w:p w14:paraId="360692B4">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5E688356">
      <w:pPr>
        <w:pStyle w:val="31"/>
        <w:shd w:val="clear" w:color="auto" w:fill="FFFFFF"/>
        <w:spacing w:before="0" w:beforeAutospacing="0" w:after="0" w:afterAutospacing="0" w:line="360" w:lineRule="auto"/>
        <w:ind w:firstLine="424" w:firstLineChars="177"/>
        <w:rPr>
          <w:color w:val="auto"/>
          <w:highlight w:val="none"/>
        </w:rPr>
      </w:pPr>
    </w:p>
    <w:p w14:paraId="00C2E03C">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53CFD472">
      <w:pPr>
        <w:widowControl/>
        <w:jc w:val="left"/>
        <w:rPr>
          <w:rFonts w:ascii="宋体" w:hAnsi="宋体"/>
          <w:b/>
          <w:color w:val="auto"/>
          <w:sz w:val="28"/>
          <w:highlight w:val="none"/>
        </w:rPr>
      </w:pPr>
      <w:r>
        <w:rPr>
          <w:rFonts w:ascii="宋体" w:hAnsi="宋体"/>
          <w:b/>
          <w:color w:val="auto"/>
          <w:sz w:val="28"/>
          <w:highlight w:val="none"/>
        </w:rPr>
        <w:br w:type="page"/>
      </w:r>
    </w:p>
    <w:p w14:paraId="43F41098">
      <w:pPr>
        <w:pStyle w:val="35"/>
        <w:tabs>
          <w:tab w:val="left" w:pos="1050"/>
        </w:tabs>
        <w:spacing w:line="360" w:lineRule="auto"/>
        <w:rPr>
          <w:rFonts w:ascii="仿宋_GB2312" w:hAnsi="宋体"/>
          <w:color w:val="auto"/>
          <w:sz w:val="24"/>
          <w:highlight w:val="none"/>
        </w:rPr>
      </w:pPr>
      <w:r>
        <w:rPr>
          <w:rFonts w:hint="eastAsia" w:ascii="宋体" w:hAnsi="宋体"/>
          <w:b/>
          <w:color w:val="auto"/>
          <w:sz w:val="28"/>
          <w:highlight w:val="none"/>
        </w:rPr>
        <w:t>附件14</w:t>
      </w:r>
    </w:p>
    <w:p w14:paraId="0D8C77C6">
      <w:pPr>
        <w:spacing w:line="360" w:lineRule="auto"/>
        <w:ind w:left="549" w:hanging="549" w:hangingChars="171"/>
        <w:jc w:val="center"/>
        <w:rPr>
          <w:rFonts w:ascii="宋体" w:hAnsi="宋体"/>
          <w:b/>
          <w:color w:val="auto"/>
          <w:sz w:val="32"/>
          <w:szCs w:val="32"/>
          <w:highlight w:val="none"/>
        </w:rPr>
      </w:pPr>
      <w:r>
        <w:rPr>
          <w:rFonts w:hint="eastAsia" w:ascii="宋体" w:hAnsi="宋体"/>
          <w:b/>
          <w:color w:val="auto"/>
          <w:sz w:val="32"/>
          <w:szCs w:val="32"/>
          <w:highlight w:val="none"/>
        </w:rPr>
        <w:t>商务需求响应表</w:t>
      </w:r>
    </w:p>
    <w:p w14:paraId="2C99EB35">
      <w:pPr>
        <w:spacing w:line="360" w:lineRule="auto"/>
        <w:ind w:left="481" w:leftChars="229" w:firstLine="813" w:firstLineChars="450"/>
        <w:rPr>
          <w:rFonts w:ascii="宋体" w:hAnsi="宋体"/>
          <w:b/>
          <w:color w:val="auto"/>
          <w:sz w:val="18"/>
          <w:szCs w:val="18"/>
          <w:highlight w:val="none"/>
        </w:rPr>
      </w:pPr>
    </w:p>
    <w:tbl>
      <w:tblPr>
        <w:tblStyle w:val="22"/>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06AD3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14:paraId="3A172732">
            <w:pPr>
              <w:rPr>
                <w:rFonts w:ascii="宋体" w:hAnsi="宋体"/>
                <w:b/>
                <w:color w:val="auto"/>
                <w:sz w:val="24"/>
                <w:highlight w:val="none"/>
              </w:rPr>
            </w:pPr>
            <w:r>
              <w:rPr>
                <w:rFonts w:hint="eastAsia" w:ascii="宋体" w:hAnsi="宋体"/>
                <w:b/>
                <w:color w:val="auto"/>
                <w:sz w:val="24"/>
                <w:highlight w:val="none"/>
              </w:rPr>
              <w:t>序号</w:t>
            </w:r>
          </w:p>
        </w:tc>
        <w:tc>
          <w:tcPr>
            <w:tcW w:w="1785" w:type="dxa"/>
            <w:vAlign w:val="center"/>
          </w:tcPr>
          <w:p w14:paraId="26D9E2DA">
            <w:pPr>
              <w:rPr>
                <w:rFonts w:ascii="宋体" w:hAnsi="宋体"/>
                <w:b/>
                <w:color w:val="auto"/>
                <w:sz w:val="24"/>
                <w:highlight w:val="none"/>
              </w:rPr>
            </w:pPr>
            <w:r>
              <w:rPr>
                <w:rFonts w:hint="eastAsia" w:ascii="宋体" w:hAnsi="宋体"/>
                <w:b/>
                <w:color w:val="auto"/>
                <w:sz w:val="24"/>
                <w:highlight w:val="none"/>
              </w:rPr>
              <w:t xml:space="preserve">   内容</w:t>
            </w:r>
          </w:p>
        </w:tc>
        <w:tc>
          <w:tcPr>
            <w:tcW w:w="1785" w:type="dxa"/>
            <w:vAlign w:val="center"/>
          </w:tcPr>
          <w:p w14:paraId="1BB36D93">
            <w:pPr>
              <w:ind w:left="53" w:leftChars="25" w:firstLine="241" w:firstLineChars="100"/>
              <w:rPr>
                <w:rFonts w:ascii="宋体" w:hAnsi="宋体"/>
                <w:b/>
                <w:color w:val="auto"/>
                <w:sz w:val="24"/>
                <w:highlight w:val="none"/>
              </w:rPr>
            </w:pPr>
            <w:r>
              <w:rPr>
                <w:rFonts w:hint="eastAsia" w:ascii="宋体" w:hAnsi="宋体"/>
                <w:b/>
                <w:color w:val="auto"/>
                <w:sz w:val="24"/>
                <w:highlight w:val="none"/>
              </w:rPr>
              <w:t>招标需求</w:t>
            </w:r>
          </w:p>
        </w:tc>
        <w:tc>
          <w:tcPr>
            <w:tcW w:w="1365" w:type="dxa"/>
            <w:vAlign w:val="center"/>
          </w:tcPr>
          <w:p w14:paraId="665FBF91">
            <w:pPr>
              <w:ind w:left="152"/>
              <w:rPr>
                <w:rFonts w:ascii="宋体" w:hAnsi="宋体"/>
                <w:b/>
                <w:color w:val="auto"/>
                <w:sz w:val="24"/>
                <w:highlight w:val="none"/>
              </w:rPr>
            </w:pPr>
            <w:r>
              <w:rPr>
                <w:rFonts w:hint="eastAsia" w:ascii="宋体" w:hAnsi="宋体"/>
                <w:b/>
                <w:color w:val="auto"/>
                <w:sz w:val="24"/>
                <w:highlight w:val="none"/>
              </w:rPr>
              <w:t>是否响应</w:t>
            </w:r>
          </w:p>
        </w:tc>
        <w:tc>
          <w:tcPr>
            <w:tcW w:w="2625" w:type="dxa"/>
            <w:vAlign w:val="center"/>
          </w:tcPr>
          <w:p w14:paraId="16BA379F">
            <w:pPr>
              <w:jc w:val="center"/>
              <w:rPr>
                <w:rFonts w:ascii="宋体" w:hAnsi="宋体"/>
                <w:b/>
                <w:color w:val="auto"/>
                <w:sz w:val="24"/>
                <w:highlight w:val="none"/>
              </w:rPr>
            </w:pPr>
            <w:r>
              <w:rPr>
                <w:rFonts w:hint="eastAsia" w:ascii="宋体" w:hAnsi="宋体"/>
                <w:b/>
                <w:color w:val="auto"/>
                <w:sz w:val="24"/>
                <w:highlight w:val="none"/>
              </w:rPr>
              <w:t>投标供应商的承诺或说明</w:t>
            </w:r>
          </w:p>
        </w:tc>
      </w:tr>
      <w:tr w14:paraId="18435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3D70869B">
            <w:pPr>
              <w:rPr>
                <w:rFonts w:ascii="宋体" w:hAnsi="宋体"/>
                <w:color w:val="auto"/>
                <w:sz w:val="24"/>
                <w:highlight w:val="none"/>
              </w:rPr>
            </w:pPr>
          </w:p>
        </w:tc>
        <w:tc>
          <w:tcPr>
            <w:tcW w:w="1785" w:type="dxa"/>
          </w:tcPr>
          <w:p w14:paraId="36B9048A">
            <w:pPr>
              <w:snapToGrid w:val="0"/>
              <w:rPr>
                <w:rFonts w:ascii="宋体" w:hAnsi="宋体"/>
                <w:color w:val="auto"/>
                <w:sz w:val="24"/>
                <w:highlight w:val="none"/>
              </w:rPr>
            </w:pPr>
          </w:p>
        </w:tc>
        <w:tc>
          <w:tcPr>
            <w:tcW w:w="1785" w:type="dxa"/>
            <w:vAlign w:val="center"/>
          </w:tcPr>
          <w:p w14:paraId="64EA93BF">
            <w:pPr>
              <w:rPr>
                <w:rFonts w:ascii="宋体" w:hAnsi="宋体"/>
                <w:color w:val="auto"/>
                <w:sz w:val="24"/>
                <w:highlight w:val="none"/>
              </w:rPr>
            </w:pPr>
          </w:p>
        </w:tc>
        <w:tc>
          <w:tcPr>
            <w:tcW w:w="1365" w:type="dxa"/>
            <w:vAlign w:val="center"/>
          </w:tcPr>
          <w:p w14:paraId="36271E80">
            <w:pPr>
              <w:rPr>
                <w:rFonts w:ascii="宋体" w:hAnsi="宋体"/>
                <w:color w:val="auto"/>
                <w:sz w:val="24"/>
                <w:highlight w:val="none"/>
              </w:rPr>
            </w:pPr>
          </w:p>
        </w:tc>
        <w:tc>
          <w:tcPr>
            <w:tcW w:w="2625" w:type="dxa"/>
            <w:vAlign w:val="center"/>
          </w:tcPr>
          <w:p w14:paraId="33E8C7AF">
            <w:pPr>
              <w:rPr>
                <w:rFonts w:ascii="宋体" w:hAnsi="宋体"/>
                <w:color w:val="auto"/>
                <w:sz w:val="24"/>
                <w:highlight w:val="none"/>
              </w:rPr>
            </w:pPr>
          </w:p>
        </w:tc>
      </w:tr>
      <w:tr w14:paraId="34BDB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2A0BD530">
            <w:pPr>
              <w:rPr>
                <w:rFonts w:ascii="宋体" w:hAnsi="宋体"/>
                <w:color w:val="auto"/>
                <w:sz w:val="24"/>
                <w:highlight w:val="none"/>
              </w:rPr>
            </w:pPr>
          </w:p>
        </w:tc>
        <w:tc>
          <w:tcPr>
            <w:tcW w:w="1785" w:type="dxa"/>
          </w:tcPr>
          <w:p w14:paraId="25F445D9">
            <w:pPr>
              <w:snapToGrid w:val="0"/>
              <w:rPr>
                <w:rFonts w:ascii="宋体" w:hAnsi="宋体"/>
                <w:color w:val="auto"/>
                <w:sz w:val="24"/>
                <w:highlight w:val="none"/>
              </w:rPr>
            </w:pPr>
          </w:p>
        </w:tc>
        <w:tc>
          <w:tcPr>
            <w:tcW w:w="1785" w:type="dxa"/>
            <w:vAlign w:val="center"/>
          </w:tcPr>
          <w:p w14:paraId="72D9F090">
            <w:pPr>
              <w:rPr>
                <w:rFonts w:ascii="宋体" w:hAnsi="宋体"/>
                <w:color w:val="auto"/>
                <w:sz w:val="24"/>
                <w:highlight w:val="none"/>
              </w:rPr>
            </w:pPr>
          </w:p>
        </w:tc>
        <w:tc>
          <w:tcPr>
            <w:tcW w:w="1365" w:type="dxa"/>
            <w:vAlign w:val="center"/>
          </w:tcPr>
          <w:p w14:paraId="03BDD269">
            <w:pPr>
              <w:rPr>
                <w:rFonts w:ascii="宋体" w:hAnsi="宋体"/>
                <w:color w:val="auto"/>
                <w:sz w:val="24"/>
                <w:highlight w:val="none"/>
              </w:rPr>
            </w:pPr>
          </w:p>
        </w:tc>
        <w:tc>
          <w:tcPr>
            <w:tcW w:w="2625" w:type="dxa"/>
            <w:vAlign w:val="center"/>
          </w:tcPr>
          <w:p w14:paraId="1AF91EAF">
            <w:pPr>
              <w:rPr>
                <w:rFonts w:ascii="宋体" w:hAnsi="宋体"/>
                <w:color w:val="auto"/>
                <w:sz w:val="24"/>
                <w:highlight w:val="none"/>
              </w:rPr>
            </w:pPr>
          </w:p>
        </w:tc>
      </w:tr>
      <w:tr w14:paraId="0BCE0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4AFD3FCD">
            <w:pPr>
              <w:rPr>
                <w:rFonts w:ascii="宋体" w:hAnsi="宋体"/>
                <w:color w:val="auto"/>
                <w:sz w:val="24"/>
                <w:highlight w:val="none"/>
              </w:rPr>
            </w:pPr>
          </w:p>
        </w:tc>
        <w:tc>
          <w:tcPr>
            <w:tcW w:w="1785" w:type="dxa"/>
          </w:tcPr>
          <w:p w14:paraId="2946204C">
            <w:pPr>
              <w:snapToGrid w:val="0"/>
              <w:rPr>
                <w:rFonts w:ascii="宋体" w:hAnsi="宋体"/>
                <w:color w:val="auto"/>
                <w:sz w:val="24"/>
                <w:highlight w:val="none"/>
              </w:rPr>
            </w:pPr>
          </w:p>
        </w:tc>
        <w:tc>
          <w:tcPr>
            <w:tcW w:w="1785" w:type="dxa"/>
            <w:vAlign w:val="center"/>
          </w:tcPr>
          <w:p w14:paraId="19CD7C58">
            <w:pPr>
              <w:rPr>
                <w:rFonts w:ascii="宋体" w:hAnsi="宋体"/>
                <w:color w:val="auto"/>
                <w:sz w:val="24"/>
                <w:highlight w:val="none"/>
              </w:rPr>
            </w:pPr>
          </w:p>
        </w:tc>
        <w:tc>
          <w:tcPr>
            <w:tcW w:w="1365" w:type="dxa"/>
            <w:vAlign w:val="center"/>
          </w:tcPr>
          <w:p w14:paraId="6138F7F2">
            <w:pPr>
              <w:rPr>
                <w:rFonts w:ascii="宋体" w:hAnsi="宋体"/>
                <w:color w:val="auto"/>
                <w:sz w:val="24"/>
                <w:highlight w:val="none"/>
              </w:rPr>
            </w:pPr>
          </w:p>
        </w:tc>
        <w:tc>
          <w:tcPr>
            <w:tcW w:w="2625" w:type="dxa"/>
            <w:vAlign w:val="center"/>
          </w:tcPr>
          <w:p w14:paraId="3F1B575C">
            <w:pPr>
              <w:rPr>
                <w:rFonts w:ascii="宋体" w:hAnsi="宋体"/>
                <w:color w:val="auto"/>
                <w:sz w:val="24"/>
                <w:highlight w:val="none"/>
              </w:rPr>
            </w:pPr>
          </w:p>
        </w:tc>
      </w:tr>
      <w:tr w14:paraId="14599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549C14B6">
            <w:pPr>
              <w:rPr>
                <w:rFonts w:ascii="宋体" w:hAnsi="宋体"/>
                <w:color w:val="auto"/>
                <w:sz w:val="24"/>
                <w:highlight w:val="none"/>
              </w:rPr>
            </w:pPr>
          </w:p>
        </w:tc>
        <w:tc>
          <w:tcPr>
            <w:tcW w:w="1785" w:type="dxa"/>
          </w:tcPr>
          <w:p w14:paraId="6BDAD99D">
            <w:pPr>
              <w:snapToGrid w:val="0"/>
              <w:rPr>
                <w:rFonts w:ascii="宋体" w:hAnsi="宋体"/>
                <w:color w:val="auto"/>
                <w:sz w:val="24"/>
                <w:highlight w:val="none"/>
              </w:rPr>
            </w:pPr>
          </w:p>
        </w:tc>
        <w:tc>
          <w:tcPr>
            <w:tcW w:w="1785" w:type="dxa"/>
            <w:vAlign w:val="center"/>
          </w:tcPr>
          <w:p w14:paraId="3F727B1A">
            <w:pPr>
              <w:rPr>
                <w:rFonts w:ascii="宋体" w:hAnsi="宋体"/>
                <w:color w:val="auto"/>
                <w:sz w:val="24"/>
                <w:highlight w:val="none"/>
              </w:rPr>
            </w:pPr>
          </w:p>
        </w:tc>
        <w:tc>
          <w:tcPr>
            <w:tcW w:w="1365" w:type="dxa"/>
            <w:vAlign w:val="center"/>
          </w:tcPr>
          <w:p w14:paraId="011A5362">
            <w:pPr>
              <w:rPr>
                <w:rFonts w:ascii="宋体" w:hAnsi="宋体"/>
                <w:color w:val="auto"/>
                <w:sz w:val="24"/>
                <w:highlight w:val="none"/>
              </w:rPr>
            </w:pPr>
          </w:p>
        </w:tc>
        <w:tc>
          <w:tcPr>
            <w:tcW w:w="2625" w:type="dxa"/>
            <w:vAlign w:val="center"/>
          </w:tcPr>
          <w:p w14:paraId="6B7CDB5C">
            <w:pPr>
              <w:rPr>
                <w:rFonts w:ascii="宋体" w:hAnsi="宋体"/>
                <w:color w:val="auto"/>
                <w:sz w:val="24"/>
                <w:highlight w:val="none"/>
              </w:rPr>
            </w:pPr>
          </w:p>
        </w:tc>
      </w:tr>
      <w:tr w14:paraId="5E5E6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156A2A51">
            <w:pPr>
              <w:rPr>
                <w:rFonts w:ascii="宋体" w:hAnsi="宋体"/>
                <w:color w:val="auto"/>
                <w:sz w:val="24"/>
                <w:highlight w:val="none"/>
              </w:rPr>
            </w:pPr>
          </w:p>
        </w:tc>
        <w:tc>
          <w:tcPr>
            <w:tcW w:w="1785" w:type="dxa"/>
          </w:tcPr>
          <w:p w14:paraId="555AEF24">
            <w:pPr>
              <w:snapToGrid w:val="0"/>
              <w:rPr>
                <w:rFonts w:ascii="宋体" w:hAnsi="宋体"/>
                <w:color w:val="auto"/>
                <w:sz w:val="24"/>
                <w:highlight w:val="none"/>
              </w:rPr>
            </w:pPr>
          </w:p>
        </w:tc>
        <w:tc>
          <w:tcPr>
            <w:tcW w:w="1785" w:type="dxa"/>
            <w:vAlign w:val="center"/>
          </w:tcPr>
          <w:p w14:paraId="70C1DB6D">
            <w:pPr>
              <w:rPr>
                <w:rFonts w:ascii="宋体" w:hAnsi="宋体"/>
                <w:color w:val="auto"/>
                <w:sz w:val="24"/>
                <w:highlight w:val="none"/>
              </w:rPr>
            </w:pPr>
          </w:p>
        </w:tc>
        <w:tc>
          <w:tcPr>
            <w:tcW w:w="1365" w:type="dxa"/>
            <w:vAlign w:val="center"/>
          </w:tcPr>
          <w:p w14:paraId="486AFD20">
            <w:pPr>
              <w:rPr>
                <w:rFonts w:ascii="宋体" w:hAnsi="宋体"/>
                <w:color w:val="auto"/>
                <w:sz w:val="24"/>
                <w:highlight w:val="none"/>
              </w:rPr>
            </w:pPr>
          </w:p>
        </w:tc>
        <w:tc>
          <w:tcPr>
            <w:tcW w:w="2625" w:type="dxa"/>
            <w:vAlign w:val="center"/>
          </w:tcPr>
          <w:p w14:paraId="423375EE">
            <w:pPr>
              <w:rPr>
                <w:rFonts w:ascii="宋体" w:hAnsi="宋体"/>
                <w:color w:val="auto"/>
                <w:sz w:val="24"/>
                <w:highlight w:val="none"/>
              </w:rPr>
            </w:pPr>
          </w:p>
        </w:tc>
      </w:tr>
      <w:tr w14:paraId="582A9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00" w:hRule="atLeast"/>
        </w:trPr>
        <w:tc>
          <w:tcPr>
            <w:tcW w:w="735" w:type="dxa"/>
            <w:vAlign w:val="center"/>
          </w:tcPr>
          <w:p w14:paraId="3B32D63D">
            <w:pPr>
              <w:rPr>
                <w:rFonts w:ascii="宋体" w:hAnsi="宋体"/>
                <w:color w:val="auto"/>
                <w:sz w:val="24"/>
                <w:highlight w:val="none"/>
              </w:rPr>
            </w:pPr>
          </w:p>
        </w:tc>
        <w:tc>
          <w:tcPr>
            <w:tcW w:w="1785" w:type="dxa"/>
          </w:tcPr>
          <w:p w14:paraId="199CFF08">
            <w:pPr>
              <w:snapToGrid w:val="0"/>
              <w:rPr>
                <w:rFonts w:ascii="宋体" w:hAnsi="宋体"/>
                <w:color w:val="auto"/>
                <w:sz w:val="24"/>
                <w:highlight w:val="none"/>
              </w:rPr>
            </w:pPr>
          </w:p>
        </w:tc>
        <w:tc>
          <w:tcPr>
            <w:tcW w:w="1785" w:type="dxa"/>
            <w:vAlign w:val="center"/>
          </w:tcPr>
          <w:p w14:paraId="37A16306">
            <w:pPr>
              <w:rPr>
                <w:rFonts w:ascii="宋体" w:hAnsi="宋体"/>
                <w:color w:val="auto"/>
                <w:sz w:val="24"/>
                <w:highlight w:val="none"/>
              </w:rPr>
            </w:pPr>
          </w:p>
        </w:tc>
        <w:tc>
          <w:tcPr>
            <w:tcW w:w="1365" w:type="dxa"/>
            <w:vAlign w:val="center"/>
          </w:tcPr>
          <w:p w14:paraId="5EBB3E16">
            <w:pPr>
              <w:rPr>
                <w:rFonts w:ascii="宋体" w:hAnsi="宋体"/>
                <w:color w:val="auto"/>
                <w:sz w:val="24"/>
                <w:highlight w:val="none"/>
              </w:rPr>
            </w:pPr>
          </w:p>
        </w:tc>
        <w:tc>
          <w:tcPr>
            <w:tcW w:w="2625" w:type="dxa"/>
            <w:vAlign w:val="center"/>
          </w:tcPr>
          <w:p w14:paraId="2B5668E1">
            <w:pPr>
              <w:rPr>
                <w:rFonts w:ascii="宋体" w:hAnsi="宋体"/>
                <w:color w:val="auto"/>
                <w:sz w:val="24"/>
                <w:highlight w:val="none"/>
              </w:rPr>
            </w:pPr>
          </w:p>
        </w:tc>
      </w:tr>
      <w:tr w14:paraId="5FF7C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14:paraId="1C62ACB5">
            <w:pPr>
              <w:rPr>
                <w:rFonts w:ascii="宋体" w:hAnsi="宋体"/>
                <w:color w:val="auto"/>
                <w:sz w:val="24"/>
                <w:highlight w:val="none"/>
              </w:rPr>
            </w:pPr>
          </w:p>
        </w:tc>
        <w:tc>
          <w:tcPr>
            <w:tcW w:w="1785" w:type="dxa"/>
          </w:tcPr>
          <w:p w14:paraId="68F6FD20">
            <w:pPr>
              <w:snapToGrid w:val="0"/>
              <w:rPr>
                <w:rFonts w:ascii="宋体" w:hAnsi="宋体"/>
                <w:color w:val="auto"/>
                <w:sz w:val="24"/>
                <w:highlight w:val="none"/>
              </w:rPr>
            </w:pPr>
          </w:p>
        </w:tc>
        <w:tc>
          <w:tcPr>
            <w:tcW w:w="1785" w:type="dxa"/>
            <w:vAlign w:val="center"/>
          </w:tcPr>
          <w:p w14:paraId="7224EA76">
            <w:pPr>
              <w:rPr>
                <w:rFonts w:ascii="宋体" w:hAnsi="宋体"/>
                <w:color w:val="auto"/>
                <w:sz w:val="24"/>
                <w:highlight w:val="none"/>
              </w:rPr>
            </w:pPr>
          </w:p>
        </w:tc>
        <w:tc>
          <w:tcPr>
            <w:tcW w:w="1365" w:type="dxa"/>
            <w:vAlign w:val="center"/>
          </w:tcPr>
          <w:p w14:paraId="5A14A104">
            <w:pPr>
              <w:rPr>
                <w:rFonts w:ascii="宋体" w:hAnsi="宋体"/>
                <w:color w:val="auto"/>
                <w:sz w:val="24"/>
                <w:highlight w:val="none"/>
              </w:rPr>
            </w:pPr>
          </w:p>
        </w:tc>
        <w:tc>
          <w:tcPr>
            <w:tcW w:w="2625" w:type="dxa"/>
            <w:vAlign w:val="center"/>
          </w:tcPr>
          <w:p w14:paraId="12FCC365">
            <w:pPr>
              <w:rPr>
                <w:rFonts w:ascii="宋体" w:hAnsi="宋体"/>
                <w:color w:val="auto"/>
                <w:sz w:val="24"/>
                <w:highlight w:val="none"/>
              </w:rPr>
            </w:pPr>
          </w:p>
        </w:tc>
      </w:tr>
      <w:tr w14:paraId="22696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2000EE8D">
            <w:pPr>
              <w:rPr>
                <w:rFonts w:ascii="宋体" w:hAnsi="宋体"/>
                <w:color w:val="auto"/>
                <w:sz w:val="24"/>
                <w:highlight w:val="none"/>
              </w:rPr>
            </w:pPr>
          </w:p>
        </w:tc>
        <w:tc>
          <w:tcPr>
            <w:tcW w:w="1785" w:type="dxa"/>
          </w:tcPr>
          <w:p w14:paraId="77FB160A">
            <w:pPr>
              <w:snapToGrid w:val="0"/>
              <w:rPr>
                <w:rFonts w:ascii="宋体" w:hAnsi="宋体"/>
                <w:color w:val="auto"/>
                <w:sz w:val="24"/>
                <w:highlight w:val="none"/>
              </w:rPr>
            </w:pPr>
          </w:p>
        </w:tc>
        <w:tc>
          <w:tcPr>
            <w:tcW w:w="1785" w:type="dxa"/>
            <w:vAlign w:val="center"/>
          </w:tcPr>
          <w:p w14:paraId="6EBCAEED">
            <w:pPr>
              <w:rPr>
                <w:rFonts w:ascii="宋体" w:hAnsi="宋体"/>
                <w:color w:val="auto"/>
                <w:sz w:val="24"/>
                <w:highlight w:val="none"/>
              </w:rPr>
            </w:pPr>
          </w:p>
        </w:tc>
        <w:tc>
          <w:tcPr>
            <w:tcW w:w="1365" w:type="dxa"/>
            <w:vAlign w:val="center"/>
          </w:tcPr>
          <w:p w14:paraId="22E83E64">
            <w:pPr>
              <w:rPr>
                <w:rFonts w:ascii="宋体" w:hAnsi="宋体"/>
                <w:color w:val="auto"/>
                <w:sz w:val="24"/>
                <w:highlight w:val="none"/>
              </w:rPr>
            </w:pPr>
          </w:p>
        </w:tc>
        <w:tc>
          <w:tcPr>
            <w:tcW w:w="2625" w:type="dxa"/>
            <w:vAlign w:val="center"/>
          </w:tcPr>
          <w:p w14:paraId="44479E64">
            <w:pPr>
              <w:rPr>
                <w:rFonts w:ascii="宋体" w:hAnsi="宋体"/>
                <w:color w:val="auto"/>
                <w:sz w:val="24"/>
                <w:highlight w:val="none"/>
              </w:rPr>
            </w:pPr>
          </w:p>
        </w:tc>
      </w:tr>
    </w:tbl>
    <w:p w14:paraId="0B5F4DC8">
      <w:pPr>
        <w:spacing w:line="360" w:lineRule="auto"/>
        <w:rPr>
          <w:rFonts w:ascii="宋体" w:hAnsi="宋体"/>
          <w:color w:val="auto"/>
          <w:sz w:val="24"/>
          <w:highlight w:val="none"/>
        </w:rPr>
      </w:pPr>
      <w:r>
        <w:rPr>
          <w:rFonts w:hint="eastAsia" w:ascii="宋体" w:hAnsi="宋体"/>
          <w:b/>
          <w:color w:val="auto"/>
          <w:szCs w:val="21"/>
          <w:highlight w:val="none"/>
        </w:rPr>
        <w:t>要求：本表“内容”栏根据招标文件第三章招标需求“三、商务需求”内容填写。如全部条款均无偏离，可不需逐条响应，在本表中写明“商务需求全部条款均无偏离，完全响应招标文件要求”，如有条款偏离，则必须逐条填写响应情况。</w:t>
      </w:r>
    </w:p>
    <w:p w14:paraId="3C4BA8F3">
      <w:pPr>
        <w:spacing w:line="360" w:lineRule="auto"/>
        <w:ind w:left="420"/>
        <w:rPr>
          <w:rFonts w:ascii="宋体" w:hAnsi="宋体"/>
          <w:color w:val="auto"/>
          <w:sz w:val="24"/>
          <w:highlight w:val="none"/>
        </w:rPr>
      </w:pPr>
    </w:p>
    <w:p w14:paraId="25AE1F63">
      <w:pPr>
        <w:spacing w:line="360" w:lineRule="auto"/>
        <w:ind w:left="420"/>
        <w:rPr>
          <w:rFonts w:ascii="宋体" w:hAnsi="宋体"/>
          <w:color w:val="auto"/>
          <w:sz w:val="24"/>
          <w:highlight w:val="none"/>
        </w:rPr>
      </w:pPr>
    </w:p>
    <w:p w14:paraId="6364E3F4">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71F4ECD5">
      <w:pPr>
        <w:spacing w:line="360" w:lineRule="auto"/>
        <w:ind w:firstLine="424" w:firstLineChars="177"/>
        <w:rPr>
          <w:rFonts w:ascii="宋体" w:hAnsi="宋体"/>
          <w:color w:val="auto"/>
          <w:sz w:val="24"/>
          <w:highlight w:val="none"/>
        </w:rPr>
      </w:pPr>
    </w:p>
    <w:p w14:paraId="6B95E3C3">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3E8EEDD1">
      <w:pPr>
        <w:pStyle w:val="31"/>
        <w:shd w:val="clear" w:color="auto" w:fill="FFFFFF"/>
        <w:spacing w:before="0" w:beforeAutospacing="0" w:after="0" w:afterAutospacing="0" w:line="360" w:lineRule="auto"/>
        <w:ind w:firstLine="424" w:firstLineChars="177"/>
        <w:rPr>
          <w:color w:val="auto"/>
          <w:highlight w:val="none"/>
        </w:rPr>
      </w:pPr>
    </w:p>
    <w:p w14:paraId="6A027A79">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472FAF00">
      <w:pPr>
        <w:tabs>
          <w:tab w:val="left" w:pos="2460"/>
        </w:tabs>
        <w:spacing w:line="360" w:lineRule="auto"/>
        <w:ind w:firstLine="435"/>
        <w:rPr>
          <w:rFonts w:ascii="宋体" w:hAnsi="宋体"/>
          <w:b/>
          <w:color w:val="auto"/>
          <w:sz w:val="28"/>
          <w:highlight w:val="none"/>
        </w:rPr>
      </w:pPr>
    </w:p>
    <w:p w14:paraId="0CEF69DD">
      <w:pPr>
        <w:widowControl/>
        <w:jc w:val="left"/>
        <w:rPr>
          <w:rFonts w:ascii="宋体" w:hAnsi="宋体"/>
          <w:b/>
          <w:color w:val="auto"/>
          <w:sz w:val="28"/>
          <w:highlight w:val="none"/>
        </w:rPr>
      </w:pPr>
      <w:r>
        <w:rPr>
          <w:rFonts w:ascii="宋体" w:hAnsi="宋体"/>
          <w:b/>
          <w:color w:val="auto"/>
          <w:sz w:val="28"/>
          <w:highlight w:val="none"/>
        </w:rPr>
        <w:br w:type="page"/>
      </w:r>
    </w:p>
    <w:p w14:paraId="139979D2">
      <w:pPr>
        <w:spacing w:line="360" w:lineRule="auto"/>
        <w:ind w:right="-110"/>
        <w:jc w:val="left"/>
        <w:rPr>
          <w:rFonts w:ascii="宋体" w:hAnsi="宋体"/>
          <w:color w:val="auto"/>
          <w:sz w:val="52"/>
          <w:szCs w:val="52"/>
          <w:highlight w:val="none"/>
        </w:rPr>
      </w:pPr>
      <w:r>
        <w:rPr>
          <w:rFonts w:hint="eastAsia" w:ascii="宋体" w:hAnsi="宋体"/>
          <w:b/>
          <w:color w:val="auto"/>
          <w:sz w:val="28"/>
          <w:highlight w:val="none"/>
        </w:rPr>
        <w:t>附件15</w:t>
      </w:r>
    </w:p>
    <w:p w14:paraId="176BD783">
      <w:pPr>
        <w:jc w:val="center"/>
        <w:rPr>
          <w:color w:val="auto"/>
          <w:sz w:val="52"/>
          <w:szCs w:val="52"/>
          <w:highlight w:val="none"/>
        </w:rPr>
      </w:pPr>
      <w:r>
        <w:rPr>
          <w:rFonts w:hint="eastAsia"/>
          <w:color w:val="auto"/>
          <w:sz w:val="52"/>
          <w:szCs w:val="52"/>
          <w:highlight w:val="none"/>
        </w:rPr>
        <w:t>项目名称</w:t>
      </w:r>
    </w:p>
    <w:p w14:paraId="18E75009">
      <w:pPr>
        <w:spacing w:before="312"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r>
        <w:rPr>
          <w:rFonts w:hint="eastAsia" w:ascii="宋体" w:hAnsi="宋体"/>
          <w:color w:val="auto"/>
          <w:sz w:val="36"/>
          <w:szCs w:val="36"/>
          <w:highlight w:val="none"/>
          <w:u w:val="single"/>
        </w:rPr>
        <w:t xml:space="preserve">      </w:t>
      </w:r>
      <w:r>
        <w:rPr>
          <w:rFonts w:hint="eastAsia" w:ascii="宋体" w:hAnsi="宋体"/>
          <w:color w:val="auto"/>
          <w:sz w:val="36"/>
          <w:szCs w:val="36"/>
          <w:highlight w:val="none"/>
        </w:rPr>
        <w:t>）</w:t>
      </w:r>
    </w:p>
    <w:p w14:paraId="4E8D1CB4">
      <w:pPr>
        <w:pStyle w:val="21"/>
        <w:rPr>
          <w:color w:val="auto"/>
          <w:highlight w:val="none"/>
        </w:rPr>
      </w:pPr>
    </w:p>
    <w:p w14:paraId="389D3E39">
      <w:pPr>
        <w:jc w:val="center"/>
        <w:rPr>
          <w:color w:val="auto"/>
          <w:sz w:val="84"/>
          <w:szCs w:val="84"/>
          <w:highlight w:val="none"/>
          <w:lang w:val="zh-CN"/>
        </w:rPr>
      </w:pPr>
      <w:r>
        <w:rPr>
          <w:rFonts w:hint="eastAsia"/>
          <w:color w:val="auto"/>
          <w:sz w:val="84"/>
          <w:szCs w:val="84"/>
          <w:highlight w:val="none"/>
          <w:lang w:val="zh-CN"/>
        </w:rPr>
        <w:t>投</w:t>
      </w:r>
    </w:p>
    <w:p w14:paraId="3F5B8193">
      <w:pPr>
        <w:jc w:val="center"/>
        <w:rPr>
          <w:color w:val="auto"/>
          <w:sz w:val="84"/>
          <w:szCs w:val="84"/>
          <w:highlight w:val="none"/>
          <w:lang w:val="zh-CN"/>
        </w:rPr>
      </w:pPr>
      <w:r>
        <w:rPr>
          <w:rFonts w:hint="eastAsia"/>
          <w:color w:val="auto"/>
          <w:sz w:val="84"/>
          <w:szCs w:val="84"/>
          <w:highlight w:val="none"/>
          <w:lang w:val="zh-CN"/>
        </w:rPr>
        <w:t>标</w:t>
      </w:r>
    </w:p>
    <w:p w14:paraId="2A2CBA81">
      <w:pPr>
        <w:jc w:val="center"/>
        <w:rPr>
          <w:color w:val="auto"/>
          <w:sz w:val="84"/>
          <w:szCs w:val="84"/>
          <w:highlight w:val="none"/>
        </w:rPr>
      </w:pPr>
      <w:r>
        <w:rPr>
          <w:rFonts w:hint="eastAsia"/>
          <w:color w:val="auto"/>
          <w:sz w:val="84"/>
          <w:szCs w:val="84"/>
          <w:highlight w:val="none"/>
          <w:lang w:val="zh-CN"/>
        </w:rPr>
        <w:t>文</w:t>
      </w:r>
    </w:p>
    <w:p w14:paraId="3E3806EB">
      <w:pPr>
        <w:jc w:val="center"/>
        <w:rPr>
          <w:color w:val="auto"/>
          <w:sz w:val="84"/>
          <w:szCs w:val="84"/>
          <w:highlight w:val="none"/>
          <w:lang w:val="zh-CN"/>
        </w:rPr>
      </w:pPr>
      <w:r>
        <w:rPr>
          <w:rFonts w:hint="eastAsia"/>
          <w:color w:val="auto"/>
          <w:sz w:val="84"/>
          <w:szCs w:val="84"/>
          <w:highlight w:val="none"/>
          <w:lang w:val="zh-CN"/>
        </w:rPr>
        <w:t>件</w:t>
      </w:r>
    </w:p>
    <w:p w14:paraId="2592BE3F">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
          <w:color w:val="auto"/>
          <w:sz w:val="28"/>
          <w:szCs w:val="28"/>
          <w:highlight w:val="none"/>
        </w:rPr>
        <w:t>报价文件）</w:t>
      </w:r>
    </w:p>
    <w:p w14:paraId="20EAD5AC">
      <w:pPr>
        <w:pStyle w:val="21"/>
        <w:rPr>
          <w:color w:val="auto"/>
          <w:highlight w:val="none"/>
        </w:rPr>
      </w:pPr>
    </w:p>
    <w:p w14:paraId="050D30C1">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投标供应商全称（电子印章）：</w:t>
      </w:r>
    </w:p>
    <w:p w14:paraId="060CA61D">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14:paraId="03D65025">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14:paraId="55D61BC8">
      <w:pPr>
        <w:spacing w:line="360" w:lineRule="auto"/>
        <w:ind w:right="-108"/>
        <w:jc w:val="center"/>
        <w:rPr>
          <w:rFonts w:ascii="仿宋_GB2312" w:hAnsi="宋体" w:eastAsia="仿宋_GB2312"/>
          <w:b/>
          <w:color w:val="auto"/>
          <w:sz w:val="36"/>
          <w:szCs w:val="36"/>
          <w:highlight w:val="none"/>
        </w:rPr>
      </w:pPr>
    </w:p>
    <w:p w14:paraId="11741184">
      <w:pPr>
        <w:pStyle w:val="21"/>
        <w:rPr>
          <w:color w:val="auto"/>
          <w:highlight w:val="none"/>
        </w:rPr>
      </w:pPr>
    </w:p>
    <w:p w14:paraId="3DD0BD91">
      <w:pPr>
        <w:pStyle w:val="21"/>
        <w:rPr>
          <w:color w:val="auto"/>
          <w:highlight w:val="none"/>
        </w:rPr>
      </w:pPr>
    </w:p>
    <w:p w14:paraId="2CF067E3">
      <w:pPr>
        <w:pStyle w:val="21"/>
        <w:ind w:left="0" w:leftChars="0" w:firstLine="0"/>
        <w:rPr>
          <w:b/>
          <w:color w:val="auto"/>
          <w:sz w:val="24"/>
          <w:highlight w:val="none"/>
        </w:rPr>
      </w:pPr>
      <w:r>
        <w:rPr>
          <w:rFonts w:asciiTheme="minorEastAsia" w:hAnsiTheme="minorEastAsia" w:eastAsiaTheme="minorEastAsia"/>
          <w:b/>
          <w:color w:val="auto"/>
          <w:sz w:val="24"/>
          <w:highlight w:val="none"/>
        </w:rPr>
        <w:t>注：中标供应商提交纸质投标文件时须提供封面，供应商提交电子投标文件时可不提供封面。</w:t>
      </w:r>
    </w:p>
    <w:p w14:paraId="63A0856E">
      <w:pPr>
        <w:pStyle w:val="9"/>
        <w:rPr>
          <w:rFonts w:ascii="仿宋_GB2312" w:hAnsi="宋体" w:eastAsia="仿宋_GB2312"/>
          <w:b/>
          <w:color w:val="auto"/>
          <w:sz w:val="36"/>
          <w:szCs w:val="36"/>
          <w:highlight w:val="none"/>
        </w:rPr>
      </w:pPr>
    </w:p>
    <w:p w14:paraId="1BB6428F">
      <w:pPr>
        <w:jc w:val="center"/>
        <w:rPr>
          <w:b/>
          <w:bCs/>
          <w:color w:val="auto"/>
          <w:sz w:val="32"/>
          <w:szCs w:val="32"/>
          <w:highlight w:val="none"/>
        </w:rPr>
      </w:pPr>
      <w:bookmarkStart w:id="198" w:name="_Toc29537_WPSOffice_Level1"/>
      <w:bookmarkStart w:id="199" w:name="_Toc19972_WPSOffice_Level1"/>
      <w:r>
        <w:rPr>
          <w:rFonts w:hint="eastAsia"/>
          <w:b/>
          <w:bCs/>
          <w:color w:val="auto"/>
          <w:sz w:val="32"/>
          <w:szCs w:val="32"/>
          <w:highlight w:val="none"/>
        </w:rPr>
        <w:t>报价文件目录</w:t>
      </w:r>
      <w:bookmarkEnd w:id="198"/>
      <w:bookmarkEnd w:id="199"/>
    </w:p>
    <w:p w14:paraId="23179A43">
      <w:pPr>
        <w:rPr>
          <w:color w:val="auto"/>
          <w:sz w:val="28"/>
          <w:szCs w:val="28"/>
          <w:highlight w:val="none"/>
        </w:rPr>
      </w:pPr>
    </w:p>
    <w:p w14:paraId="14F21972">
      <w:pPr>
        <w:spacing w:line="360" w:lineRule="auto"/>
        <w:ind w:firstLine="480" w:firstLineChars="200"/>
        <w:rPr>
          <w:color w:val="auto"/>
          <w:sz w:val="24"/>
          <w:highlight w:val="none"/>
        </w:rPr>
      </w:pPr>
      <w:bookmarkStart w:id="200" w:name="_Toc29988_WPSOffice_Level1"/>
      <w:bookmarkStart w:id="201" w:name="_Toc6778_WPSOffice_Level1"/>
      <w:r>
        <w:rPr>
          <w:rFonts w:hint="eastAsia"/>
          <w:color w:val="auto"/>
          <w:sz w:val="24"/>
          <w:highlight w:val="none"/>
        </w:rPr>
        <w:t>1.开标一览表；</w:t>
      </w:r>
      <w:bookmarkEnd w:id="200"/>
      <w:bookmarkEnd w:id="201"/>
    </w:p>
    <w:p w14:paraId="40ADE1BC">
      <w:pPr>
        <w:spacing w:line="360" w:lineRule="auto"/>
        <w:ind w:firstLine="480" w:firstLineChars="200"/>
        <w:rPr>
          <w:color w:val="auto"/>
          <w:sz w:val="24"/>
          <w:highlight w:val="none"/>
        </w:rPr>
      </w:pPr>
      <w:bookmarkStart w:id="202" w:name="_Toc15601_WPSOffice_Level1"/>
      <w:bookmarkStart w:id="203" w:name="_Toc11601_WPSOffice_Level1"/>
      <w:r>
        <w:rPr>
          <w:rFonts w:hint="eastAsia"/>
          <w:color w:val="auto"/>
          <w:sz w:val="24"/>
          <w:highlight w:val="none"/>
        </w:rPr>
        <w:t>2.报价明细表；</w:t>
      </w:r>
      <w:bookmarkEnd w:id="202"/>
      <w:bookmarkEnd w:id="203"/>
    </w:p>
    <w:p w14:paraId="5B4A8521">
      <w:pPr>
        <w:spacing w:line="360" w:lineRule="auto"/>
        <w:ind w:firstLine="480" w:firstLineChars="200"/>
        <w:rPr>
          <w:color w:val="auto"/>
          <w:sz w:val="24"/>
          <w:highlight w:val="none"/>
        </w:rPr>
      </w:pPr>
      <w:r>
        <w:rPr>
          <w:rFonts w:hint="eastAsia"/>
          <w:color w:val="auto"/>
          <w:sz w:val="24"/>
          <w:highlight w:val="none"/>
        </w:rPr>
        <w:t>3.落实政府采购政策需满足资格要求声明函等[提供中小企业声明函或残疾人福利性单位声明函或监狱企业证明文件]；</w:t>
      </w:r>
    </w:p>
    <w:p w14:paraId="35C1DB6C">
      <w:pPr>
        <w:spacing w:line="360" w:lineRule="auto"/>
        <w:ind w:firstLine="480" w:firstLineChars="200"/>
        <w:rPr>
          <w:color w:val="auto"/>
          <w:sz w:val="24"/>
          <w:highlight w:val="none"/>
        </w:rPr>
      </w:pPr>
      <w:bookmarkStart w:id="204" w:name="_Toc14672_WPSOffice_Level1"/>
      <w:bookmarkStart w:id="205" w:name="_Toc3001_WPSOffice_Level1"/>
      <w:r>
        <w:rPr>
          <w:rFonts w:hint="eastAsia"/>
          <w:color w:val="auto"/>
          <w:sz w:val="24"/>
          <w:highlight w:val="none"/>
        </w:rPr>
        <w:t>4.针对报价投标供应商认为其他需要说明的；</w:t>
      </w:r>
      <w:bookmarkEnd w:id="204"/>
      <w:bookmarkEnd w:id="205"/>
    </w:p>
    <w:p w14:paraId="7D81A04F">
      <w:pPr>
        <w:spacing w:line="360" w:lineRule="auto"/>
        <w:ind w:firstLine="480" w:firstLineChars="200"/>
        <w:rPr>
          <w:color w:val="auto"/>
          <w:sz w:val="24"/>
          <w:highlight w:val="none"/>
        </w:rPr>
      </w:pPr>
    </w:p>
    <w:p w14:paraId="55A28B02">
      <w:pPr>
        <w:spacing w:line="360" w:lineRule="auto"/>
        <w:ind w:firstLine="482" w:firstLineChars="200"/>
        <w:rPr>
          <w:rFonts w:ascii="宋体" w:hAnsi="宋体"/>
          <w:b/>
          <w:color w:val="auto"/>
          <w:sz w:val="24"/>
          <w:highlight w:val="none"/>
        </w:rPr>
      </w:pPr>
    </w:p>
    <w:p w14:paraId="69665D02">
      <w:pPr>
        <w:spacing w:line="360" w:lineRule="auto"/>
        <w:ind w:left="480"/>
        <w:rPr>
          <w:rFonts w:ascii="宋体" w:hAnsi="宋体"/>
          <w:b/>
          <w:color w:val="auto"/>
          <w:sz w:val="28"/>
          <w:highlight w:val="none"/>
        </w:rPr>
      </w:pPr>
    </w:p>
    <w:p w14:paraId="37AAEF2B">
      <w:pPr>
        <w:spacing w:line="360" w:lineRule="auto"/>
        <w:ind w:left="480"/>
        <w:rPr>
          <w:rFonts w:ascii="宋体" w:hAnsi="宋体"/>
          <w:b/>
          <w:color w:val="auto"/>
          <w:sz w:val="28"/>
          <w:highlight w:val="none"/>
        </w:rPr>
      </w:pPr>
    </w:p>
    <w:p w14:paraId="4F055CB1">
      <w:pPr>
        <w:spacing w:line="360" w:lineRule="auto"/>
        <w:ind w:left="480"/>
        <w:rPr>
          <w:rFonts w:ascii="宋体" w:hAnsi="宋体"/>
          <w:b/>
          <w:color w:val="auto"/>
          <w:sz w:val="28"/>
          <w:highlight w:val="none"/>
        </w:rPr>
      </w:pPr>
    </w:p>
    <w:p w14:paraId="5B28123B">
      <w:pPr>
        <w:spacing w:line="360" w:lineRule="auto"/>
        <w:ind w:left="480"/>
        <w:rPr>
          <w:rFonts w:ascii="宋体" w:hAnsi="宋体"/>
          <w:b/>
          <w:color w:val="auto"/>
          <w:sz w:val="28"/>
          <w:highlight w:val="none"/>
        </w:rPr>
      </w:pPr>
    </w:p>
    <w:p w14:paraId="25EC0E65">
      <w:pPr>
        <w:spacing w:line="360" w:lineRule="auto"/>
        <w:ind w:left="480"/>
        <w:rPr>
          <w:rFonts w:ascii="宋体" w:hAnsi="宋体"/>
          <w:b/>
          <w:color w:val="auto"/>
          <w:sz w:val="28"/>
          <w:highlight w:val="none"/>
        </w:rPr>
      </w:pPr>
    </w:p>
    <w:p w14:paraId="0B0CE087">
      <w:pPr>
        <w:pStyle w:val="9"/>
        <w:rPr>
          <w:b/>
          <w:color w:val="auto"/>
          <w:sz w:val="24"/>
          <w:szCs w:val="24"/>
          <w:highlight w:val="none"/>
        </w:rPr>
      </w:pPr>
      <w:r>
        <w:rPr>
          <w:b/>
          <w:color w:val="auto"/>
          <w:sz w:val="24"/>
          <w:szCs w:val="24"/>
          <w:highlight w:val="none"/>
        </w:rPr>
        <w:t>注：目录内容以投标供应商实际提供材料为准。</w:t>
      </w:r>
    </w:p>
    <w:p w14:paraId="710E9B24">
      <w:pPr>
        <w:spacing w:line="360" w:lineRule="auto"/>
        <w:ind w:left="480"/>
        <w:rPr>
          <w:rFonts w:ascii="宋体" w:hAnsi="宋体"/>
          <w:b/>
          <w:color w:val="auto"/>
          <w:sz w:val="28"/>
          <w:highlight w:val="none"/>
        </w:rPr>
      </w:pPr>
    </w:p>
    <w:p w14:paraId="57BB1983">
      <w:pPr>
        <w:spacing w:line="360" w:lineRule="auto"/>
        <w:ind w:left="480"/>
        <w:rPr>
          <w:rFonts w:ascii="宋体" w:hAnsi="宋体"/>
          <w:b/>
          <w:color w:val="auto"/>
          <w:sz w:val="28"/>
          <w:highlight w:val="none"/>
        </w:rPr>
      </w:pPr>
    </w:p>
    <w:p w14:paraId="53B2C7FE">
      <w:pPr>
        <w:spacing w:line="360" w:lineRule="auto"/>
        <w:ind w:left="480"/>
        <w:rPr>
          <w:rFonts w:ascii="宋体" w:hAnsi="宋体"/>
          <w:b/>
          <w:color w:val="auto"/>
          <w:sz w:val="28"/>
          <w:highlight w:val="none"/>
        </w:rPr>
      </w:pPr>
    </w:p>
    <w:p w14:paraId="7546021D">
      <w:pPr>
        <w:spacing w:line="360" w:lineRule="auto"/>
        <w:ind w:left="480"/>
        <w:rPr>
          <w:rFonts w:ascii="宋体" w:hAnsi="宋体"/>
          <w:b/>
          <w:color w:val="auto"/>
          <w:sz w:val="28"/>
          <w:highlight w:val="none"/>
        </w:rPr>
      </w:pPr>
    </w:p>
    <w:p w14:paraId="300D684E">
      <w:pPr>
        <w:spacing w:line="360" w:lineRule="auto"/>
        <w:ind w:left="480"/>
        <w:rPr>
          <w:rFonts w:ascii="宋体" w:hAnsi="宋体"/>
          <w:b/>
          <w:color w:val="auto"/>
          <w:sz w:val="28"/>
          <w:highlight w:val="none"/>
        </w:rPr>
      </w:pPr>
    </w:p>
    <w:p w14:paraId="73045D6F">
      <w:pPr>
        <w:spacing w:line="360" w:lineRule="auto"/>
        <w:ind w:left="480"/>
        <w:rPr>
          <w:rFonts w:ascii="宋体" w:hAnsi="宋体"/>
          <w:b/>
          <w:color w:val="auto"/>
          <w:sz w:val="28"/>
          <w:highlight w:val="none"/>
        </w:rPr>
      </w:pPr>
    </w:p>
    <w:p w14:paraId="40FFFBD0">
      <w:pPr>
        <w:spacing w:line="360" w:lineRule="auto"/>
        <w:ind w:left="480"/>
        <w:rPr>
          <w:rFonts w:ascii="宋体" w:hAnsi="宋体"/>
          <w:b/>
          <w:color w:val="auto"/>
          <w:sz w:val="28"/>
          <w:highlight w:val="none"/>
        </w:rPr>
      </w:pPr>
    </w:p>
    <w:p w14:paraId="230F5DC2">
      <w:pPr>
        <w:spacing w:line="360" w:lineRule="auto"/>
        <w:ind w:left="480"/>
        <w:rPr>
          <w:rFonts w:ascii="宋体" w:hAnsi="宋体"/>
          <w:b/>
          <w:color w:val="auto"/>
          <w:sz w:val="28"/>
          <w:highlight w:val="none"/>
        </w:rPr>
      </w:pPr>
    </w:p>
    <w:p w14:paraId="583D9C88">
      <w:pPr>
        <w:rPr>
          <w:color w:val="auto"/>
          <w:highlight w:val="none"/>
        </w:rPr>
      </w:pPr>
    </w:p>
    <w:p w14:paraId="0D9396C3">
      <w:pPr>
        <w:widowControl/>
        <w:jc w:val="left"/>
        <w:rPr>
          <w:rFonts w:ascii="宋体" w:hAnsi="宋体"/>
          <w:b/>
          <w:color w:val="auto"/>
          <w:sz w:val="28"/>
          <w:highlight w:val="none"/>
        </w:rPr>
      </w:pPr>
      <w:r>
        <w:rPr>
          <w:rFonts w:ascii="宋体" w:hAnsi="宋体"/>
          <w:b/>
          <w:color w:val="auto"/>
          <w:sz w:val="28"/>
          <w:highlight w:val="none"/>
        </w:rPr>
        <w:br w:type="page"/>
      </w:r>
    </w:p>
    <w:p w14:paraId="1EA08A10">
      <w:pPr>
        <w:spacing w:line="360" w:lineRule="auto"/>
        <w:rPr>
          <w:rFonts w:ascii="宋体" w:hAnsi="宋体"/>
          <w:b/>
          <w:color w:val="auto"/>
          <w:sz w:val="28"/>
          <w:highlight w:val="none"/>
        </w:rPr>
      </w:pPr>
      <w:r>
        <w:rPr>
          <w:rFonts w:hint="eastAsia" w:ascii="宋体" w:hAnsi="宋体"/>
          <w:b/>
          <w:color w:val="auto"/>
          <w:sz w:val="28"/>
          <w:highlight w:val="none"/>
        </w:rPr>
        <w:t>附件16</w:t>
      </w:r>
    </w:p>
    <w:p w14:paraId="2CF0CB92">
      <w:pPr>
        <w:spacing w:line="360" w:lineRule="auto"/>
        <w:ind w:left="-2" w:hanging="2"/>
        <w:jc w:val="center"/>
        <w:rPr>
          <w:rFonts w:ascii="宋体" w:hAnsi="宋体"/>
          <w:b/>
          <w:color w:val="auto"/>
          <w:sz w:val="32"/>
          <w:szCs w:val="32"/>
          <w:highlight w:val="none"/>
        </w:rPr>
      </w:pPr>
      <w:bookmarkStart w:id="206" w:name="_Toc16144_WPSOffice_Level1"/>
      <w:bookmarkStart w:id="207" w:name="_Toc30363_WPSOffice_Level1"/>
      <w:r>
        <w:rPr>
          <w:rFonts w:hint="eastAsia" w:ascii="宋体" w:hAnsi="宋体"/>
          <w:b/>
          <w:color w:val="auto"/>
          <w:sz w:val="32"/>
          <w:szCs w:val="32"/>
          <w:highlight w:val="none"/>
        </w:rPr>
        <w:t xml:space="preserve">开标一览表 </w:t>
      </w:r>
      <w:bookmarkEnd w:id="206"/>
      <w:bookmarkEnd w:id="207"/>
    </w:p>
    <w:p w14:paraId="30BD25F0">
      <w:pPr>
        <w:spacing w:line="360" w:lineRule="auto"/>
        <w:ind w:left="-2" w:hanging="2"/>
        <w:jc w:val="center"/>
        <w:rPr>
          <w:rFonts w:ascii="宋体" w:hAnsi="宋体"/>
          <w:b/>
          <w:color w:val="auto"/>
          <w:sz w:val="32"/>
          <w:szCs w:val="32"/>
          <w:highlight w:val="none"/>
        </w:rPr>
      </w:pPr>
    </w:p>
    <w:p w14:paraId="51C891A4">
      <w:pPr>
        <w:pStyle w:val="13"/>
        <w:spacing w:line="320" w:lineRule="exact"/>
        <w:ind w:left="0" w:leftChars="0" w:firstLine="0"/>
        <w:rPr>
          <w:rFonts w:hAnsi="宋体"/>
          <w:b/>
          <w:color w:val="auto"/>
          <w:sz w:val="24"/>
          <w:highlight w:val="none"/>
        </w:rPr>
      </w:pPr>
      <w:r>
        <w:rPr>
          <w:rFonts w:hAnsi="宋体"/>
          <w:b/>
          <w:color w:val="auto"/>
          <w:sz w:val="24"/>
          <w:highlight w:val="none"/>
        </w:rPr>
        <w:t>项目编号：ZYZFCG〔2025〕008</w:t>
      </w:r>
    </w:p>
    <w:p w14:paraId="6ECA6796">
      <w:pPr>
        <w:pStyle w:val="40"/>
        <w:spacing w:line="360" w:lineRule="auto"/>
        <w:ind w:right="480"/>
        <w:jc w:val="left"/>
        <w:rPr>
          <w:rFonts w:hAnsi="宋体"/>
          <w:b/>
          <w:color w:val="auto"/>
          <w:sz w:val="24"/>
          <w:highlight w:val="none"/>
        </w:rPr>
      </w:pPr>
      <w:r>
        <w:rPr>
          <w:rFonts w:hAnsi="宋体"/>
          <w:b/>
          <w:color w:val="auto"/>
          <w:sz w:val="24"/>
          <w:highlight w:val="none"/>
        </w:rPr>
        <w:t>项目名称：</w:t>
      </w:r>
      <w:r>
        <w:rPr>
          <w:rFonts w:hint="eastAsia" w:hAnsi="宋体"/>
          <w:b/>
          <w:color w:val="auto"/>
          <w:sz w:val="24"/>
          <w:highlight w:val="none"/>
        </w:rPr>
        <w:t>台州市椒江区白云街道社区卫生服务中心CT采购项目</w:t>
      </w:r>
    </w:p>
    <w:p w14:paraId="5FD9F465">
      <w:pPr>
        <w:pStyle w:val="40"/>
        <w:spacing w:line="360" w:lineRule="auto"/>
        <w:ind w:right="480"/>
        <w:jc w:val="right"/>
        <w:rPr>
          <w:rFonts w:hAnsi="宋体"/>
          <w:color w:val="auto"/>
          <w:sz w:val="24"/>
          <w:highlight w:val="none"/>
        </w:rPr>
      </w:pPr>
      <w:r>
        <w:rPr>
          <w:rFonts w:hint="eastAsia" w:ascii="宋体" w:hAnsi="宋体"/>
          <w:color w:val="auto"/>
          <w:sz w:val="24"/>
          <w:highlight w:val="none"/>
        </w:rPr>
        <w:t>[货币单位：人民币元]</w:t>
      </w:r>
    </w:p>
    <w:tbl>
      <w:tblPr>
        <w:tblStyle w:val="22"/>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14:paraId="54C07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69" w:hRule="atLeast"/>
          <w:jc w:val="center"/>
        </w:trPr>
        <w:tc>
          <w:tcPr>
            <w:tcW w:w="2694" w:type="dxa"/>
            <w:vMerge w:val="restart"/>
            <w:vAlign w:val="center"/>
          </w:tcPr>
          <w:p w14:paraId="6BDF72D8">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投标总报价(元)</w:t>
            </w:r>
          </w:p>
        </w:tc>
        <w:tc>
          <w:tcPr>
            <w:tcW w:w="1349" w:type="dxa"/>
            <w:vAlign w:val="center"/>
          </w:tcPr>
          <w:p w14:paraId="232C3304">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大写</w:t>
            </w:r>
          </w:p>
        </w:tc>
        <w:tc>
          <w:tcPr>
            <w:tcW w:w="4629" w:type="dxa"/>
            <w:vAlign w:val="center"/>
          </w:tcPr>
          <w:p w14:paraId="06F53B96">
            <w:pPr>
              <w:autoSpaceDE w:val="0"/>
              <w:autoSpaceDN w:val="0"/>
              <w:spacing w:line="450" w:lineRule="exact"/>
              <w:jc w:val="center"/>
              <w:textAlignment w:val="bottom"/>
              <w:rPr>
                <w:rFonts w:ascii="宋体" w:hAnsi="宋体"/>
                <w:color w:val="auto"/>
                <w:sz w:val="24"/>
                <w:highlight w:val="none"/>
              </w:rPr>
            </w:pPr>
          </w:p>
        </w:tc>
      </w:tr>
      <w:tr w14:paraId="56D08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30" w:hRule="atLeast"/>
          <w:jc w:val="center"/>
        </w:trPr>
        <w:tc>
          <w:tcPr>
            <w:tcW w:w="2694" w:type="dxa"/>
            <w:vMerge w:val="continue"/>
            <w:vAlign w:val="center"/>
          </w:tcPr>
          <w:p w14:paraId="6815A00C">
            <w:pPr>
              <w:rPr>
                <w:rFonts w:ascii="宋体" w:hAnsi="宋体"/>
                <w:color w:val="auto"/>
                <w:sz w:val="24"/>
                <w:highlight w:val="none"/>
              </w:rPr>
            </w:pPr>
          </w:p>
        </w:tc>
        <w:tc>
          <w:tcPr>
            <w:tcW w:w="1349" w:type="dxa"/>
            <w:vAlign w:val="center"/>
          </w:tcPr>
          <w:p w14:paraId="595CCA2F">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小写</w:t>
            </w:r>
          </w:p>
        </w:tc>
        <w:tc>
          <w:tcPr>
            <w:tcW w:w="4629" w:type="dxa"/>
            <w:vAlign w:val="center"/>
          </w:tcPr>
          <w:p w14:paraId="596F31A0">
            <w:pPr>
              <w:autoSpaceDE w:val="0"/>
              <w:autoSpaceDN w:val="0"/>
              <w:spacing w:line="450" w:lineRule="exact"/>
              <w:jc w:val="center"/>
              <w:textAlignment w:val="bottom"/>
              <w:rPr>
                <w:rFonts w:ascii="宋体" w:hAnsi="宋体"/>
                <w:color w:val="auto"/>
                <w:sz w:val="24"/>
                <w:highlight w:val="none"/>
              </w:rPr>
            </w:pPr>
          </w:p>
        </w:tc>
      </w:tr>
    </w:tbl>
    <w:p w14:paraId="2806CBF3">
      <w:pPr>
        <w:spacing w:line="360" w:lineRule="auto"/>
        <w:rPr>
          <w:rFonts w:ascii="宋体" w:hAnsi="宋体"/>
          <w:b/>
          <w:color w:val="auto"/>
          <w:szCs w:val="21"/>
          <w:highlight w:val="none"/>
        </w:rPr>
      </w:pPr>
      <w:bookmarkStart w:id="208" w:name="OLE_LINK92"/>
      <w:r>
        <w:rPr>
          <w:rFonts w:hint="eastAsia" w:ascii="宋体" w:hAnsi="宋体"/>
          <w:b/>
          <w:color w:val="auto"/>
          <w:szCs w:val="21"/>
          <w:highlight w:val="none"/>
        </w:rPr>
        <w:t>说明：</w:t>
      </w:r>
    </w:p>
    <w:p w14:paraId="78656A82">
      <w:pPr>
        <w:spacing w:line="360" w:lineRule="auto"/>
        <w:ind w:firstLine="480" w:firstLineChars="200"/>
        <w:rPr>
          <w:rFonts w:ascii="宋体" w:hAnsi="宋体"/>
          <w:color w:val="auto"/>
          <w:sz w:val="24"/>
          <w:highlight w:val="none"/>
        </w:rPr>
      </w:pPr>
      <w:bookmarkStart w:id="209" w:name="_Hlk171417480"/>
      <w:r>
        <w:rPr>
          <w:rFonts w:hint="eastAsia" w:ascii="宋体" w:hAnsi="宋体"/>
          <w:color w:val="auto"/>
          <w:sz w:val="24"/>
          <w:highlight w:val="none"/>
        </w:rPr>
        <w:t>1. 投标总报价为完成本项目服务及要求所包含的所有费用。</w:t>
      </w:r>
    </w:p>
    <w:p w14:paraId="7AFE2D4C">
      <w:pPr>
        <w:spacing w:line="360" w:lineRule="auto"/>
        <w:ind w:firstLine="480" w:firstLineChars="200"/>
        <w:rPr>
          <w:rFonts w:ascii="宋体" w:hAnsi="宋体"/>
          <w:b/>
          <w:bCs/>
          <w:i/>
          <w:color w:val="auto"/>
          <w:sz w:val="24"/>
          <w:highlight w:val="none"/>
          <w:u w:val="single"/>
        </w:rPr>
      </w:pPr>
      <w:r>
        <w:rPr>
          <w:rFonts w:hint="eastAsia" w:ascii="宋体" w:hAnsi="宋体"/>
          <w:color w:val="auto"/>
          <w:sz w:val="24"/>
          <w:highlight w:val="none"/>
        </w:rPr>
        <w:t>▲2.报价一经涂改，应在涂改处加盖单位公章，或者由法定代表人或授权委托人签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，否则其投标作无效标处理。</w:t>
      </w:r>
      <w:bookmarkEnd w:id="209"/>
    </w:p>
    <w:bookmarkEnd w:id="208"/>
    <w:p w14:paraId="1F4F2E4C">
      <w:pPr>
        <w:spacing w:line="360" w:lineRule="auto"/>
        <w:ind w:firstLine="424" w:firstLineChars="177"/>
        <w:rPr>
          <w:rFonts w:ascii="宋体" w:hAnsi="宋体"/>
          <w:color w:val="auto"/>
          <w:sz w:val="24"/>
          <w:highlight w:val="none"/>
        </w:rPr>
      </w:pPr>
    </w:p>
    <w:p w14:paraId="7EC893A5">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09DD4F8F">
      <w:pPr>
        <w:spacing w:line="360" w:lineRule="auto"/>
        <w:ind w:firstLine="424" w:firstLineChars="177"/>
        <w:rPr>
          <w:rFonts w:ascii="宋体" w:hAnsi="宋体"/>
          <w:color w:val="auto"/>
          <w:sz w:val="24"/>
          <w:highlight w:val="none"/>
        </w:rPr>
      </w:pPr>
    </w:p>
    <w:p w14:paraId="4DC75ECC">
      <w:pPr>
        <w:spacing w:line="360" w:lineRule="auto"/>
        <w:ind w:firstLine="424" w:firstLineChars="177"/>
        <w:rPr>
          <w:rFonts w:ascii="宋体" w:hAnsi="宋体"/>
          <w:color w:val="auto"/>
          <w:sz w:val="24"/>
          <w:highlight w:val="none"/>
        </w:rPr>
      </w:pPr>
      <w:bookmarkStart w:id="210" w:name="OLE_LINK107"/>
      <w:bookmarkStart w:id="211" w:name="OLE_LINK108"/>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bookmarkEnd w:id="210"/>
      <w:bookmarkEnd w:id="211"/>
      <w:r>
        <w:rPr>
          <w:rFonts w:hint="eastAsia" w:ascii="宋体" w:hAnsi="宋体"/>
          <w:color w:val="auto"/>
          <w:sz w:val="24"/>
          <w:highlight w:val="none"/>
        </w:rPr>
        <w:t>：</w:t>
      </w:r>
    </w:p>
    <w:p w14:paraId="0D20E0A7">
      <w:pPr>
        <w:pStyle w:val="31"/>
        <w:shd w:val="clear" w:color="auto" w:fill="FFFFFF"/>
        <w:spacing w:before="0" w:beforeAutospacing="0" w:after="0" w:afterAutospacing="0" w:line="360" w:lineRule="auto"/>
        <w:ind w:firstLine="424" w:firstLineChars="177"/>
        <w:rPr>
          <w:color w:val="auto"/>
          <w:highlight w:val="none"/>
        </w:rPr>
      </w:pPr>
    </w:p>
    <w:p w14:paraId="437B525F">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7AF88396">
      <w:pPr>
        <w:widowControl/>
        <w:jc w:val="left"/>
        <w:rPr>
          <w:rFonts w:ascii="宋体" w:hAnsi="宋体"/>
          <w:b/>
          <w:color w:val="auto"/>
          <w:sz w:val="28"/>
          <w:highlight w:val="none"/>
        </w:rPr>
      </w:pPr>
      <w:r>
        <w:rPr>
          <w:rFonts w:ascii="宋体" w:hAnsi="宋体"/>
          <w:b/>
          <w:color w:val="auto"/>
          <w:sz w:val="28"/>
          <w:highlight w:val="none"/>
        </w:rPr>
        <w:br w:type="page"/>
      </w:r>
    </w:p>
    <w:p w14:paraId="79AA39F2">
      <w:pPr>
        <w:spacing w:line="360" w:lineRule="auto"/>
        <w:rPr>
          <w:rFonts w:ascii="宋体" w:hAnsi="宋体"/>
          <w:b/>
          <w:color w:val="auto"/>
          <w:sz w:val="28"/>
          <w:highlight w:val="none"/>
        </w:rPr>
      </w:pPr>
      <w:r>
        <w:rPr>
          <w:rFonts w:hint="eastAsia" w:ascii="宋体" w:hAnsi="宋体"/>
          <w:b/>
          <w:color w:val="auto"/>
          <w:sz w:val="28"/>
          <w:highlight w:val="none"/>
        </w:rPr>
        <w:t>附件17</w:t>
      </w:r>
    </w:p>
    <w:p w14:paraId="44AE2B33">
      <w:pPr>
        <w:spacing w:line="360" w:lineRule="auto"/>
        <w:ind w:left="480"/>
        <w:jc w:val="center"/>
        <w:rPr>
          <w:rFonts w:ascii="宋体" w:hAnsi="宋体"/>
          <w:color w:val="auto"/>
          <w:highlight w:val="none"/>
        </w:rPr>
      </w:pPr>
      <w:r>
        <w:rPr>
          <w:rFonts w:hint="eastAsia" w:ascii="宋体" w:hAnsi="宋体"/>
          <w:b/>
          <w:color w:val="auto"/>
          <w:sz w:val="32"/>
          <w:szCs w:val="32"/>
          <w:highlight w:val="none"/>
        </w:rPr>
        <w:t xml:space="preserve">报价明细表 </w:t>
      </w:r>
    </w:p>
    <w:p w14:paraId="7669A2BE">
      <w:pPr>
        <w:pStyle w:val="13"/>
        <w:spacing w:line="320" w:lineRule="exact"/>
        <w:ind w:left="0" w:leftChars="0" w:firstLine="0"/>
        <w:rPr>
          <w:rFonts w:hAnsi="宋体"/>
          <w:b/>
          <w:color w:val="auto"/>
          <w:sz w:val="24"/>
          <w:highlight w:val="none"/>
        </w:rPr>
      </w:pPr>
      <w:r>
        <w:rPr>
          <w:rFonts w:hAnsi="宋体"/>
          <w:b/>
          <w:color w:val="auto"/>
          <w:sz w:val="24"/>
          <w:highlight w:val="none"/>
        </w:rPr>
        <w:t>项目编号：ZYZFCG〔2025〕008</w:t>
      </w:r>
    </w:p>
    <w:p w14:paraId="1126CD30">
      <w:pPr>
        <w:pStyle w:val="13"/>
        <w:spacing w:line="320" w:lineRule="exact"/>
        <w:ind w:left="0" w:leftChars="0" w:firstLine="0"/>
        <w:rPr>
          <w:rFonts w:hAnsi="宋体"/>
          <w:b/>
          <w:color w:val="auto"/>
          <w:sz w:val="24"/>
          <w:highlight w:val="none"/>
        </w:rPr>
      </w:pPr>
      <w:r>
        <w:rPr>
          <w:rFonts w:hAnsi="宋体"/>
          <w:b/>
          <w:color w:val="auto"/>
          <w:sz w:val="24"/>
          <w:highlight w:val="none"/>
        </w:rPr>
        <w:t>项目名称：</w:t>
      </w:r>
      <w:bookmarkStart w:id="212" w:name="OLE_LINK54"/>
      <w:bookmarkStart w:id="213" w:name="OLE_LINK55"/>
      <w:r>
        <w:rPr>
          <w:rFonts w:hint="eastAsia" w:hAnsi="宋体"/>
          <w:b/>
          <w:color w:val="auto"/>
          <w:sz w:val="24"/>
          <w:highlight w:val="none"/>
        </w:rPr>
        <w:t>台州市椒江区白云街道社区卫生服务中心CT采购项目</w:t>
      </w:r>
    </w:p>
    <w:bookmarkEnd w:id="212"/>
    <w:bookmarkEnd w:id="213"/>
    <w:p w14:paraId="69AEAD4E">
      <w:pPr>
        <w:pStyle w:val="40"/>
        <w:spacing w:line="360" w:lineRule="auto"/>
        <w:ind w:right="480"/>
        <w:jc w:val="right"/>
        <w:rPr>
          <w:rFonts w:ascii="宋体" w:hAnsi="宋体"/>
          <w:color w:val="auto"/>
          <w:sz w:val="24"/>
          <w:highlight w:val="none"/>
        </w:rPr>
      </w:pPr>
      <w:r>
        <w:rPr>
          <w:rFonts w:hint="eastAsia" w:ascii="宋体" w:hAnsi="宋体"/>
          <w:color w:val="auto"/>
          <w:sz w:val="24"/>
          <w:highlight w:val="none"/>
        </w:rPr>
        <w:t xml:space="preserve"> [货币单位：人民币元]</w:t>
      </w:r>
    </w:p>
    <w:tbl>
      <w:tblPr>
        <w:tblStyle w:val="2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8"/>
        <w:gridCol w:w="2118"/>
        <w:gridCol w:w="1361"/>
        <w:gridCol w:w="1119"/>
        <w:gridCol w:w="1284"/>
        <w:gridCol w:w="1284"/>
        <w:gridCol w:w="1282"/>
      </w:tblGrid>
      <w:tr w14:paraId="15979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 w:hRule="atLeast"/>
        </w:trPr>
        <w:tc>
          <w:tcPr>
            <w:tcW w:w="257" w:type="pct"/>
            <w:vAlign w:val="center"/>
          </w:tcPr>
          <w:p w14:paraId="77EA1427">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序号</w:t>
            </w:r>
          </w:p>
        </w:tc>
        <w:tc>
          <w:tcPr>
            <w:tcW w:w="1189" w:type="pct"/>
            <w:vAlign w:val="center"/>
          </w:tcPr>
          <w:p w14:paraId="0046749F">
            <w:pPr>
              <w:adjustRightInd w:val="0"/>
              <w:snapToGrid w:val="0"/>
              <w:jc w:val="center"/>
              <w:rPr>
                <w:rFonts w:cs="宋体" w:asciiTheme="minorEastAsia" w:hAnsiTheme="minorEastAsia" w:eastAsiaTheme="minorEastAsia"/>
                <w:b/>
                <w:bCs/>
                <w:color w:val="auto"/>
                <w:szCs w:val="21"/>
                <w:highlight w:val="none"/>
              </w:rPr>
            </w:pPr>
            <w:r>
              <w:rPr>
                <w:rFonts w:cs="宋体" w:asciiTheme="minorEastAsia" w:hAnsiTheme="minorEastAsia" w:eastAsiaTheme="minorEastAsia"/>
                <w:b/>
                <w:bCs/>
                <w:color w:val="auto"/>
                <w:szCs w:val="21"/>
                <w:highlight w:val="none"/>
              </w:rPr>
              <w:t>产品名称</w:t>
            </w:r>
          </w:p>
        </w:tc>
        <w:tc>
          <w:tcPr>
            <w:tcW w:w="764" w:type="pct"/>
            <w:vAlign w:val="center"/>
          </w:tcPr>
          <w:p w14:paraId="203BEAFE">
            <w:pPr>
              <w:adjustRightInd w:val="0"/>
              <w:snapToGrid w:val="0"/>
              <w:jc w:val="center"/>
              <w:rPr>
                <w:rFonts w:cs="宋体" w:asciiTheme="minorEastAsia" w:hAnsiTheme="minorEastAsia" w:eastAsiaTheme="minorEastAsia"/>
                <w:b/>
                <w:bCs/>
                <w:color w:val="auto"/>
                <w:szCs w:val="21"/>
                <w:highlight w:val="none"/>
              </w:rPr>
            </w:pPr>
            <w:r>
              <w:rPr>
                <w:rFonts w:cs="宋体" w:asciiTheme="minorEastAsia" w:hAnsiTheme="minorEastAsia" w:eastAsiaTheme="minorEastAsia"/>
                <w:b/>
                <w:bCs/>
                <w:color w:val="auto"/>
                <w:szCs w:val="21"/>
                <w:highlight w:val="none"/>
              </w:rPr>
              <w:t>品牌</w:t>
            </w:r>
            <w:r>
              <w:rPr>
                <w:rFonts w:hint="eastAsia" w:cs="宋体" w:asciiTheme="minorEastAsia" w:hAnsiTheme="minorEastAsia" w:eastAsiaTheme="minorEastAsia"/>
                <w:b/>
                <w:bCs/>
                <w:color w:val="auto"/>
                <w:szCs w:val="21"/>
                <w:highlight w:val="none"/>
              </w:rPr>
              <w:t>/型号</w:t>
            </w:r>
          </w:p>
        </w:tc>
        <w:tc>
          <w:tcPr>
            <w:tcW w:w="628" w:type="pct"/>
            <w:vAlign w:val="center"/>
          </w:tcPr>
          <w:p w14:paraId="56E9ECA9">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数量</w:t>
            </w:r>
          </w:p>
        </w:tc>
        <w:tc>
          <w:tcPr>
            <w:tcW w:w="721" w:type="pct"/>
            <w:vAlign w:val="center"/>
          </w:tcPr>
          <w:p w14:paraId="2BD67795">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单位</w:t>
            </w:r>
          </w:p>
        </w:tc>
        <w:tc>
          <w:tcPr>
            <w:tcW w:w="721" w:type="pct"/>
            <w:vAlign w:val="center"/>
          </w:tcPr>
          <w:p w14:paraId="0BE0932E">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单价（元）</w:t>
            </w:r>
          </w:p>
        </w:tc>
        <w:tc>
          <w:tcPr>
            <w:tcW w:w="720" w:type="pct"/>
            <w:vAlign w:val="center"/>
          </w:tcPr>
          <w:p w14:paraId="12AC9160">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总价（元）</w:t>
            </w:r>
          </w:p>
        </w:tc>
      </w:tr>
      <w:tr w14:paraId="7BA7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257" w:type="pct"/>
            <w:vAlign w:val="center"/>
          </w:tcPr>
          <w:p w14:paraId="2D3FD730">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w:t>
            </w:r>
          </w:p>
        </w:tc>
        <w:tc>
          <w:tcPr>
            <w:tcW w:w="1189" w:type="pct"/>
            <w:vAlign w:val="center"/>
          </w:tcPr>
          <w:p w14:paraId="2B4CB931">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17A9E01E">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09A55EBE">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4E9A866">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65F724E">
            <w:pPr>
              <w:adjustRightInd w:val="0"/>
              <w:snapToGrid w:val="0"/>
              <w:jc w:val="center"/>
              <w:rPr>
                <w:rFonts w:cs="宋体" w:asciiTheme="minorEastAsia" w:hAnsiTheme="minorEastAsia" w:eastAsiaTheme="minorEastAsia"/>
                <w:color w:val="auto"/>
                <w:szCs w:val="21"/>
                <w:highlight w:val="none"/>
              </w:rPr>
            </w:pPr>
          </w:p>
        </w:tc>
        <w:tc>
          <w:tcPr>
            <w:tcW w:w="720" w:type="pct"/>
            <w:vAlign w:val="center"/>
          </w:tcPr>
          <w:p w14:paraId="474F9B22">
            <w:pPr>
              <w:adjustRightInd w:val="0"/>
              <w:snapToGrid w:val="0"/>
              <w:rPr>
                <w:rFonts w:cs="宋体" w:asciiTheme="minorEastAsia" w:hAnsiTheme="minorEastAsia" w:eastAsiaTheme="minorEastAsia"/>
                <w:color w:val="auto"/>
                <w:szCs w:val="21"/>
                <w:highlight w:val="none"/>
              </w:rPr>
            </w:pPr>
          </w:p>
        </w:tc>
      </w:tr>
      <w:tr w14:paraId="18C76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3853BBD0">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w:t>
            </w:r>
          </w:p>
        </w:tc>
        <w:tc>
          <w:tcPr>
            <w:tcW w:w="1189" w:type="pct"/>
            <w:vAlign w:val="center"/>
          </w:tcPr>
          <w:p w14:paraId="031F8C93">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7762E948">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041FEBB0">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1E62341A">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1666A82">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128C4317">
            <w:pPr>
              <w:adjustRightInd w:val="0"/>
              <w:snapToGrid w:val="0"/>
              <w:rPr>
                <w:rFonts w:cs="宋体" w:asciiTheme="minorEastAsia" w:hAnsiTheme="minorEastAsia" w:eastAsiaTheme="minorEastAsia"/>
                <w:color w:val="auto"/>
                <w:szCs w:val="21"/>
                <w:highlight w:val="none"/>
              </w:rPr>
            </w:pPr>
          </w:p>
        </w:tc>
      </w:tr>
      <w:tr w14:paraId="73FA0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trPr>
        <w:tc>
          <w:tcPr>
            <w:tcW w:w="257" w:type="pct"/>
            <w:vAlign w:val="center"/>
          </w:tcPr>
          <w:p w14:paraId="644C7A61">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w:t>
            </w:r>
          </w:p>
        </w:tc>
        <w:tc>
          <w:tcPr>
            <w:tcW w:w="1189" w:type="pct"/>
            <w:vAlign w:val="center"/>
          </w:tcPr>
          <w:p w14:paraId="5D78997C">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2A2E9A18">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62514707">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725EE4C">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C0202AD">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2EB2E0CD">
            <w:pPr>
              <w:adjustRightInd w:val="0"/>
              <w:snapToGrid w:val="0"/>
              <w:rPr>
                <w:rFonts w:cs="宋体" w:asciiTheme="minorEastAsia" w:hAnsiTheme="minorEastAsia" w:eastAsiaTheme="minorEastAsia"/>
                <w:color w:val="auto"/>
                <w:szCs w:val="21"/>
                <w:highlight w:val="none"/>
              </w:rPr>
            </w:pPr>
          </w:p>
        </w:tc>
      </w:tr>
      <w:tr w14:paraId="2F065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trPr>
        <w:tc>
          <w:tcPr>
            <w:tcW w:w="257" w:type="pct"/>
            <w:vAlign w:val="center"/>
          </w:tcPr>
          <w:p w14:paraId="43830FF4">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w:t>
            </w:r>
          </w:p>
        </w:tc>
        <w:tc>
          <w:tcPr>
            <w:tcW w:w="1189" w:type="pct"/>
            <w:vAlign w:val="center"/>
          </w:tcPr>
          <w:p w14:paraId="7D8014AB">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69B7867B">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389B3FC7">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50BDB578">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16F0764F">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339AA6DE">
            <w:pPr>
              <w:adjustRightInd w:val="0"/>
              <w:snapToGrid w:val="0"/>
              <w:rPr>
                <w:rFonts w:cs="宋体" w:asciiTheme="minorEastAsia" w:hAnsiTheme="minorEastAsia" w:eastAsiaTheme="minorEastAsia"/>
                <w:color w:val="auto"/>
                <w:szCs w:val="21"/>
                <w:highlight w:val="none"/>
              </w:rPr>
            </w:pPr>
          </w:p>
        </w:tc>
      </w:tr>
      <w:tr w14:paraId="030FF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257" w:type="pct"/>
            <w:vAlign w:val="center"/>
          </w:tcPr>
          <w:p w14:paraId="0AB5C324">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1189" w:type="pct"/>
            <w:vAlign w:val="center"/>
          </w:tcPr>
          <w:p w14:paraId="6E57E5BA">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616CEFDC">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1CCBC07A">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5EA8D0BF">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8C7E11C">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62FF720A">
            <w:pPr>
              <w:adjustRightInd w:val="0"/>
              <w:snapToGrid w:val="0"/>
              <w:rPr>
                <w:rFonts w:cs="宋体" w:asciiTheme="minorEastAsia" w:hAnsiTheme="minorEastAsia" w:eastAsiaTheme="minorEastAsia"/>
                <w:color w:val="auto"/>
                <w:szCs w:val="21"/>
                <w:highlight w:val="none"/>
              </w:rPr>
            </w:pPr>
          </w:p>
        </w:tc>
      </w:tr>
      <w:tr w14:paraId="00C84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257" w:type="pct"/>
            <w:vAlign w:val="center"/>
          </w:tcPr>
          <w:p w14:paraId="66BCF743">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w:t>
            </w:r>
          </w:p>
        </w:tc>
        <w:tc>
          <w:tcPr>
            <w:tcW w:w="1189" w:type="pct"/>
            <w:vAlign w:val="center"/>
          </w:tcPr>
          <w:p w14:paraId="0CE5B5A7">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3EE4BBAC">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0CE018CD">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718B395C">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178F4834">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28EA25AD">
            <w:pPr>
              <w:adjustRightInd w:val="0"/>
              <w:snapToGrid w:val="0"/>
              <w:rPr>
                <w:rFonts w:cs="宋体" w:asciiTheme="minorEastAsia" w:hAnsiTheme="minorEastAsia" w:eastAsiaTheme="minorEastAsia"/>
                <w:color w:val="auto"/>
                <w:szCs w:val="21"/>
                <w:highlight w:val="none"/>
              </w:rPr>
            </w:pPr>
          </w:p>
        </w:tc>
      </w:tr>
      <w:tr w14:paraId="438F0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020741AE">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7</w:t>
            </w:r>
          </w:p>
        </w:tc>
        <w:tc>
          <w:tcPr>
            <w:tcW w:w="1189" w:type="pct"/>
            <w:vAlign w:val="center"/>
          </w:tcPr>
          <w:p w14:paraId="20C3B045">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0728F95E">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312A0E5A">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2056CA18">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5919C96C">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62AD22D6">
            <w:pPr>
              <w:adjustRightInd w:val="0"/>
              <w:snapToGrid w:val="0"/>
              <w:rPr>
                <w:rFonts w:cs="宋体" w:asciiTheme="minorEastAsia" w:hAnsiTheme="minorEastAsia" w:eastAsiaTheme="minorEastAsia"/>
                <w:color w:val="auto"/>
                <w:szCs w:val="21"/>
                <w:highlight w:val="none"/>
              </w:rPr>
            </w:pPr>
          </w:p>
        </w:tc>
      </w:tr>
      <w:tr w14:paraId="7F512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4FB27B40">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8</w:t>
            </w:r>
          </w:p>
        </w:tc>
        <w:tc>
          <w:tcPr>
            <w:tcW w:w="1189" w:type="pct"/>
            <w:vAlign w:val="center"/>
          </w:tcPr>
          <w:p w14:paraId="2FFF6F3E">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49A46A63">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73C9D1D8">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5830FED">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27FB84C7">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602C8BB0">
            <w:pPr>
              <w:adjustRightInd w:val="0"/>
              <w:snapToGrid w:val="0"/>
              <w:rPr>
                <w:rFonts w:cs="宋体" w:asciiTheme="minorEastAsia" w:hAnsiTheme="minorEastAsia" w:eastAsiaTheme="minorEastAsia"/>
                <w:color w:val="auto"/>
                <w:szCs w:val="21"/>
                <w:highlight w:val="none"/>
              </w:rPr>
            </w:pPr>
          </w:p>
        </w:tc>
      </w:tr>
      <w:tr w14:paraId="6371B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49890D33">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9</w:t>
            </w:r>
          </w:p>
        </w:tc>
        <w:tc>
          <w:tcPr>
            <w:tcW w:w="1189" w:type="pct"/>
            <w:vAlign w:val="center"/>
          </w:tcPr>
          <w:p w14:paraId="13A44BDC">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661C9E13">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19020992">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79B182BB">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0BA27A98">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757C3142">
            <w:pPr>
              <w:adjustRightInd w:val="0"/>
              <w:snapToGrid w:val="0"/>
              <w:rPr>
                <w:rFonts w:cs="宋体" w:asciiTheme="minorEastAsia" w:hAnsiTheme="minorEastAsia" w:eastAsiaTheme="minorEastAsia"/>
                <w:color w:val="auto"/>
                <w:szCs w:val="21"/>
                <w:highlight w:val="none"/>
              </w:rPr>
            </w:pPr>
          </w:p>
        </w:tc>
      </w:tr>
      <w:tr w14:paraId="7A13F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257" w:type="pct"/>
            <w:vAlign w:val="center"/>
          </w:tcPr>
          <w:p w14:paraId="0EF090E7">
            <w:pPr>
              <w:adjustRightInd w:val="0"/>
              <w:snapToGrid w:val="0"/>
              <w:rPr>
                <w:rFonts w:cs="宋体" w:asciiTheme="minorEastAsia" w:hAnsiTheme="minorEastAsia" w:eastAsiaTheme="minorEastAsia"/>
                <w:color w:val="auto"/>
                <w:szCs w:val="21"/>
                <w:highlight w:val="none"/>
              </w:rPr>
            </w:pPr>
          </w:p>
        </w:tc>
        <w:tc>
          <w:tcPr>
            <w:tcW w:w="1189" w:type="pct"/>
            <w:vAlign w:val="center"/>
          </w:tcPr>
          <w:p w14:paraId="20402564">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p>
        </w:tc>
        <w:tc>
          <w:tcPr>
            <w:tcW w:w="764" w:type="pct"/>
            <w:vAlign w:val="center"/>
          </w:tcPr>
          <w:p w14:paraId="6F8F7986">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0CCC902A">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6AE7981B">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FA64D4D">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2F5692E2">
            <w:pPr>
              <w:adjustRightInd w:val="0"/>
              <w:snapToGrid w:val="0"/>
              <w:rPr>
                <w:rFonts w:cs="宋体" w:asciiTheme="minorEastAsia" w:hAnsiTheme="minorEastAsia" w:eastAsiaTheme="minorEastAsia"/>
                <w:color w:val="auto"/>
                <w:szCs w:val="21"/>
                <w:highlight w:val="none"/>
              </w:rPr>
            </w:pPr>
          </w:p>
        </w:tc>
      </w:tr>
      <w:tr w14:paraId="4CFE0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4280" w:type="pct"/>
            <w:gridSpan w:val="6"/>
            <w:vAlign w:val="center"/>
          </w:tcPr>
          <w:p w14:paraId="7B33B9BB">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合计（元）</w:t>
            </w:r>
          </w:p>
        </w:tc>
        <w:tc>
          <w:tcPr>
            <w:tcW w:w="720" w:type="pct"/>
            <w:vAlign w:val="center"/>
          </w:tcPr>
          <w:p w14:paraId="2D30426A">
            <w:pPr>
              <w:adjustRightInd w:val="0"/>
              <w:snapToGrid w:val="0"/>
              <w:jc w:val="center"/>
              <w:rPr>
                <w:rFonts w:cs="宋体" w:asciiTheme="minorEastAsia" w:hAnsiTheme="minorEastAsia" w:eastAsiaTheme="minorEastAsia"/>
                <w:color w:val="auto"/>
                <w:szCs w:val="21"/>
                <w:highlight w:val="none"/>
              </w:rPr>
            </w:pPr>
          </w:p>
        </w:tc>
      </w:tr>
    </w:tbl>
    <w:p w14:paraId="64AE8982">
      <w:pPr>
        <w:adjustRightInd w:val="0"/>
        <w:snapToGrid w:val="0"/>
        <w:rPr>
          <w:rFonts w:ascii="宋体" w:hAnsi="宋体"/>
          <w:b/>
          <w:color w:val="auto"/>
          <w:sz w:val="18"/>
          <w:szCs w:val="18"/>
          <w:highlight w:val="none"/>
        </w:rPr>
      </w:pPr>
    </w:p>
    <w:p w14:paraId="3851031F">
      <w:pPr>
        <w:adjustRightInd w:val="0"/>
        <w:snapToGrid w:val="0"/>
        <w:rPr>
          <w:rFonts w:ascii="宋体" w:hAnsi="宋体"/>
          <w:b/>
          <w:color w:val="auto"/>
          <w:sz w:val="18"/>
          <w:szCs w:val="18"/>
          <w:highlight w:val="none"/>
        </w:rPr>
      </w:pPr>
      <w:r>
        <w:rPr>
          <w:rFonts w:hint="eastAsia" w:ascii="宋体" w:hAnsi="宋体"/>
          <w:b/>
          <w:color w:val="auto"/>
          <w:sz w:val="18"/>
          <w:szCs w:val="18"/>
          <w:highlight w:val="none"/>
        </w:rPr>
        <w:t>要求：</w:t>
      </w:r>
    </w:p>
    <w:p w14:paraId="273C1CDE">
      <w:pPr>
        <w:adjustRightInd w:val="0"/>
        <w:snapToGrid w:val="0"/>
        <w:ind w:left="435"/>
        <w:rPr>
          <w:rFonts w:ascii="宋体" w:hAnsi="宋体"/>
          <w:color w:val="auto"/>
          <w:sz w:val="18"/>
          <w:szCs w:val="18"/>
          <w:highlight w:val="none"/>
        </w:rPr>
      </w:pPr>
      <w:r>
        <w:rPr>
          <w:rFonts w:hint="eastAsia" w:ascii="宋体" w:hAnsi="宋体"/>
          <w:color w:val="auto"/>
          <w:sz w:val="18"/>
          <w:szCs w:val="18"/>
          <w:highlight w:val="none"/>
        </w:rPr>
        <w:t>1. 本表为《开标一览表》的报价明细表，如有缺项、漏项，视为投标报价中已包含相关费用，采购人无需另外支付任何费用。</w:t>
      </w:r>
    </w:p>
    <w:p w14:paraId="5B90ED16">
      <w:pPr>
        <w:adjustRightInd w:val="0"/>
        <w:snapToGrid w:val="0"/>
        <w:ind w:left="435"/>
        <w:rPr>
          <w:rFonts w:ascii="宋体"/>
          <w:color w:val="auto"/>
          <w:sz w:val="18"/>
          <w:szCs w:val="18"/>
          <w:highlight w:val="none"/>
          <w:lang w:val="zh-CN"/>
        </w:rPr>
      </w:pPr>
      <w:r>
        <w:rPr>
          <w:rFonts w:hint="eastAsia" w:ascii="宋体"/>
          <w:color w:val="auto"/>
          <w:sz w:val="18"/>
          <w:szCs w:val="18"/>
          <w:highlight w:val="none"/>
          <w:lang w:val="zh-CN"/>
        </w:rPr>
        <w:t>▲2.本表中报价材料品牌/型号须与《技术参数响应表》、投标技术方案一致，否则投标无效。</w:t>
      </w:r>
    </w:p>
    <w:p w14:paraId="51A56D62">
      <w:pPr>
        <w:adjustRightInd w:val="0"/>
        <w:snapToGrid w:val="0"/>
        <w:ind w:left="435"/>
        <w:rPr>
          <w:rFonts w:ascii="宋体"/>
          <w:color w:val="auto"/>
          <w:sz w:val="18"/>
          <w:szCs w:val="18"/>
          <w:highlight w:val="none"/>
          <w:lang w:val="zh-CN"/>
        </w:rPr>
      </w:pPr>
      <w:r>
        <w:rPr>
          <w:rFonts w:hint="eastAsia" w:ascii="宋体" w:hAnsi="宋体"/>
          <w:color w:val="auto"/>
          <w:sz w:val="18"/>
          <w:szCs w:val="18"/>
          <w:highlight w:val="none"/>
        </w:rPr>
        <w:t>3.</w:t>
      </w:r>
      <w:r>
        <w:rPr>
          <w:rFonts w:hint="eastAsia" w:ascii="宋体"/>
          <w:color w:val="auto"/>
          <w:sz w:val="18"/>
          <w:szCs w:val="18"/>
          <w:highlight w:val="none"/>
          <w:lang w:val="zh-CN"/>
        </w:rPr>
        <w:t>“报价明细表”中的报价合计应与“开标一览表”中的投标总报价相一致，不一致时，以开标一览表为准调整单价。</w:t>
      </w:r>
    </w:p>
    <w:p w14:paraId="0AF09B0E">
      <w:pPr>
        <w:spacing w:line="360" w:lineRule="auto"/>
        <w:ind w:firstLine="424" w:firstLineChars="177"/>
        <w:rPr>
          <w:rFonts w:ascii="宋体" w:hAnsi="宋体"/>
          <w:color w:val="auto"/>
          <w:sz w:val="24"/>
          <w:highlight w:val="none"/>
        </w:rPr>
      </w:pPr>
    </w:p>
    <w:p w14:paraId="553779F4">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7B33381D">
      <w:pPr>
        <w:spacing w:line="360" w:lineRule="auto"/>
        <w:ind w:firstLine="424" w:firstLineChars="177"/>
        <w:rPr>
          <w:rFonts w:ascii="宋体" w:hAnsi="宋体"/>
          <w:color w:val="auto"/>
          <w:sz w:val="24"/>
          <w:highlight w:val="none"/>
        </w:rPr>
      </w:pPr>
    </w:p>
    <w:p w14:paraId="33D27FFE">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323C6CA2">
      <w:pPr>
        <w:pStyle w:val="31"/>
        <w:shd w:val="clear" w:color="auto" w:fill="FFFFFF"/>
        <w:spacing w:before="0" w:beforeAutospacing="0" w:after="0" w:afterAutospacing="0" w:line="360" w:lineRule="auto"/>
        <w:ind w:firstLine="424" w:firstLineChars="177"/>
        <w:rPr>
          <w:color w:val="auto"/>
          <w:highlight w:val="none"/>
        </w:rPr>
      </w:pPr>
    </w:p>
    <w:p w14:paraId="595A32DB">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67D09C3F">
      <w:pPr>
        <w:widowControl/>
        <w:jc w:val="left"/>
        <w:rPr>
          <w:rFonts w:ascii="宋体" w:hAnsi="宋体" w:cs="宋体"/>
          <w:b/>
          <w:color w:val="auto"/>
          <w:kern w:val="0"/>
          <w:sz w:val="28"/>
          <w:highlight w:val="none"/>
        </w:rPr>
      </w:pPr>
      <w:r>
        <w:rPr>
          <w:b/>
          <w:color w:val="auto"/>
          <w:sz w:val="28"/>
          <w:highlight w:val="none"/>
        </w:rPr>
        <w:br w:type="page"/>
      </w:r>
    </w:p>
    <w:p w14:paraId="3A2AE674">
      <w:pPr>
        <w:pStyle w:val="31"/>
        <w:shd w:val="clear" w:color="auto" w:fill="FFFFFF"/>
        <w:spacing w:before="0" w:beforeAutospacing="0" w:after="0" w:afterAutospacing="0" w:line="360" w:lineRule="auto"/>
        <w:rPr>
          <w:b/>
          <w:color w:val="auto"/>
          <w:sz w:val="28"/>
          <w:highlight w:val="none"/>
        </w:rPr>
      </w:pPr>
      <w:r>
        <w:rPr>
          <w:rFonts w:hint="eastAsia"/>
          <w:b/>
          <w:color w:val="auto"/>
          <w:sz w:val="28"/>
          <w:highlight w:val="none"/>
        </w:rPr>
        <w:t>附件18</w:t>
      </w:r>
    </w:p>
    <w:p w14:paraId="0914EC83">
      <w:pPr>
        <w:pStyle w:val="9"/>
        <w:spacing w:line="360" w:lineRule="auto"/>
        <w:ind w:firstLine="0"/>
        <w:jc w:val="center"/>
        <w:rPr>
          <w:rFonts w:ascii="宋体" w:hAnsi="宋体" w:cs="宋体"/>
          <w:b/>
          <w:color w:val="auto"/>
          <w:sz w:val="32"/>
          <w:szCs w:val="32"/>
          <w:highlight w:val="none"/>
        </w:rPr>
      </w:pPr>
      <w:bookmarkStart w:id="214" w:name="_Toc12654_WPSOffice_Level1"/>
      <w:bookmarkStart w:id="215" w:name="_Toc29357_WPSOffice_Level1"/>
      <w:r>
        <w:rPr>
          <w:rFonts w:hint="eastAsia" w:ascii="宋体" w:hAnsi="宋体" w:cs="宋体"/>
          <w:b/>
          <w:color w:val="auto"/>
          <w:sz w:val="32"/>
          <w:szCs w:val="32"/>
          <w:highlight w:val="none"/>
        </w:rPr>
        <w:t>中小企业声明函（货物）</w:t>
      </w:r>
      <w:bookmarkEnd w:id="214"/>
      <w:bookmarkEnd w:id="215"/>
    </w:p>
    <w:p w14:paraId="01F533A6">
      <w:pPr>
        <w:pStyle w:val="9"/>
        <w:spacing w:line="360" w:lineRule="auto"/>
        <w:ind w:firstLine="643" w:firstLineChars="200"/>
        <w:rPr>
          <w:rFonts w:ascii="宋体" w:hAnsi="宋体" w:cs="宋体"/>
          <w:b/>
          <w:color w:val="auto"/>
          <w:sz w:val="32"/>
          <w:szCs w:val="32"/>
          <w:highlight w:val="none"/>
        </w:rPr>
      </w:pPr>
    </w:p>
    <w:p w14:paraId="03DF485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本公司（联合体）郑重声明，根据《政府采购促进中小企业发展管理办法》（财库〔2020〕46号）的规定，本公司（联合体）参加</w:t>
      </w:r>
      <w:r>
        <w:rPr>
          <w:rFonts w:hint="eastAsia" w:ascii="宋体" w:hAnsi="宋体" w:cs="宋体"/>
          <w:color w:val="auto"/>
          <w:sz w:val="24"/>
          <w:highlight w:val="none"/>
          <w:u w:val="single"/>
        </w:rPr>
        <w:t>（单位名称）</w:t>
      </w:r>
      <w:r>
        <w:rPr>
          <w:rFonts w:hint="eastAsia" w:ascii="宋体" w:hAnsi="宋体" w:cs="宋体"/>
          <w:color w:val="auto"/>
          <w:sz w:val="24"/>
          <w:highlight w:val="none"/>
        </w:rPr>
        <w:t>的</w:t>
      </w:r>
      <w:r>
        <w:rPr>
          <w:rFonts w:hint="eastAsia" w:ascii="宋体" w:hAnsi="宋体" w:cs="宋体"/>
          <w:color w:val="auto"/>
          <w:sz w:val="24"/>
          <w:highlight w:val="none"/>
          <w:u w:val="single"/>
        </w:rPr>
        <w:t>（项目名称）</w:t>
      </w:r>
      <w:r>
        <w:rPr>
          <w:rFonts w:hint="eastAsia" w:ascii="宋体" w:hAnsi="宋体" w:cs="宋体"/>
          <w:color w:val="auto"/>
          <w:sz w:val="24"/>
          <w:highlight w:val="none"/>
        </w:rPr>
        <w:t>采购活动，提供的货物全部由符合政策要求的中小企业制造。相关企业（含联合体中的中小企业、签订分包意向协议的中小企业）的具体情况如下：</w:t>
      </w:r>
    </w:p>
    <w:p w14:paraId="2E35454A">
      <w:pPr>
        <w:wordWrap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bookmarkStart w:id="216" w:name="OLE_LINK53"/>
      <w:bookmarkStart w:id="217" w:name="OLE_LINK52"/>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（招标文件中明确的所属行业）</w:t>
      </w:r>
      <w:r>
        <w:rPr>
          <w:rFonts w:hint="eastAsia" w:ascii="宋体" w:hAnsi="宋体" w:cs="宋体"/>
          <w:color w:val="auto"/>
          <w:sz w:val="24"/>
          <w:highlight w:val="none"/>
        </w:rPr>
        <w:t>行业；制造商为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vertAlign w:val="superscript"/>
        </w:rPr>
        <w:fldChar w:fldCharType="begin"/>
      </w:r>
      <w:r>
        <w:rPr>
          <w:rFonts w:hint="eastAsia" w:ascii="宋体" w:hAnsi="宋体" w:cs="宋体"/>
          <w:color w:val="auto"/>
          <w:sz w:val="24"/>
          <w:highlight w:val="none"/>
          <w:vertAlign w:val="superscript"/>
        </w:rPr>
        <w:instrText xml:space="preserve"> = 1 \* GB3 </w:instrText>
      </w:r>
      <w:r>
        <w:rPr>
          <w:rFonts w:hint="eastAsia" w:ascii="宋体" w:hAnsi="宋体" w:cs="宋体"/>
          <w:color w:val="auto"/>
          <w:sz w:val="24"/>
          <w:highlight w:val="none"/>
          <w:vertAlign w:val="superscript"/>
        </w:rPr>
        <w:fldChar w:fldCharType="separate"/>
      </w:r>
      <w:r>
        <w:rPr>
          <w:rFonts w:hint="eastAsia" w:ascii="宋体" w:hAnsi="宋体" w:cs="宋体"/>
          <w:color w:val="auto"/>
          <w:sz w:val="24"/>
          <w:highlight w:val="none"/>
          <w:vertAlign w:val="superscript"/>
        </w:rPr>
        <w:t>①</w:t>
      </w:r>
      <w:r>
        <w:rPr>
          <w:rFonts w:hint="eastAsia" w:ascii="宋体" w:hAnsi="宋体" w:cs="宋体"/>
          <w:color w:val="auto"/>
          <w:sz w:val="24"/>
          <w:highlight w:val="none"/>
          <w:vertAlign w:val="superscript"/>
        </w:rPr>
        <w:fldChar w:fldCharType="end"/>
      </w:r>
      <w:r>
        <w:rPr>
          <w:rFonts w:hint="eastAsia" w:ascii="宋体" w:hAnsi="宋体" w:cs="宋体"/>
          <w:color w:val="auto"/>
          <w:sz w:val="24"/>
          <w:highlight w:val="none"/>
        </w:rPr>
        <w:t>，属于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w:t>
      </w:r>
    </w:p>
    <w:bookmarkEnd w:id="216"/>
    <w:bookmarkEnd w:id="217"/>
    <w:p w14:paraId="0AA27A3F">
      <w:pPr>
        <w:wordWrap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（招标文件中明确的所属行业）</w:t>
      </w:r>
      <w:r>
        <w:rPr>
          <w:rFonts w:hint="eastAsia" w:ascii="宋体" w:hAnsi="宋体" w:cs="宋体"/>
          <w:color w:val="auto"/>
          <w:sz w:val="24"/>
          <w:highlight w:val="none"/>
        </w:rPr>
        <w:t>行业；制造商为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vertAlign w:val="superscript"/>
        </w:rPr>
        <w:fldChar w:fldCharType="begin"/>
      </w:r>
      <w:r>
        <w:rPr>
          <w:rFonts w:hint="eastAsia" w:ascii="宋体" w:hAnsi="宋体" w:cs="宋体"/>
          <w:color w:val="auto"/>
          <w:sz w:val="24"/>
          <w:highlight w:val="none"/>
          <w:vertAlign w:val="superscript"/>
        </w:rPr>
        <w:instrText xml:space="preserve"> = 1 \* GB3 </w:instrText>
      </w:r>
      <w:r>
        <w:rPr>
          <w:rFonts w:hint="eastAsia" w:ascii="宋体" w:hAnsi="宋体" w:cs="宋体"/>
          <w:color w:val="auto"/>
          <w:sz w:val="24"/>
          <w:highlight w:val="none"/>
          <w:vertAlign w:val="superscript"/>
        </w:rPr>
        <w:fldChar w:fldCharType="separate"/>
      </w:r>
      <w:r>
        <w:rPr>
          <w:rFonts w:hint="eastAsia" w:ascii="宋体" w:hAnsi="宋体" w:cs="宋体"/>
          <w:color w:val="auto"/>
          <w:sz w:val="24"/>
          <w:highlight w:val="none"/>
          <w:vertAlign w:val="superscript"/>
        </w:rPr>
        <w:t>①</w:t>
      </w:r>
      <w:r>
        <w:rPr>
          <w:rFonts w:hint="eastAsia" w:ascii="宋体" w:hAnsi="宋体" w:cs="宋体"/>
          <w:color w:val="auto"/>
          <w:sz w:val="24"/>
          <w:highlight w:val="none"/>
          <w:vertAlign w:val="superscript"/>
        </w:rPr>
        <w:fldChar w:fldCharType="end"/>
      </w:r>
      <w:r>
        <w:rPr>
          <w:rFonts w:hint="eastAsia" w:ascii="宋体" w:hAnsi="宋体" w:cs="宋体"/>
          <w:color w:val="auto"/>
          <w:sz w:val="24"/>
          <w:highlight w:val="none"/>
        </w:rPr>
        <w:t>，属于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w:t>
      </w:r>
    </w:p>
    <w:p w14:paraId="3F31F7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0806C8D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63F594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C7B4750">
      <w:pPr>
        <w:spacing w:line="360" w:lineRule="auto"/>
        <w:rPr>
          <w:rFonts w:ascii="宋体" w:hAnsi="宋体"/>
          <w:b/>
          <w:color w:val="auto"/>
          <w:szCs w:val="21"/>
          <w:highlight w:val="none"/>
        </w:rPr>
      </w:pPr>
      <w:r>
        <w:rPr>
          <w:rFonts w:hint="eastAsia" w:ascii="宋体" w:hAnsi="宋体"/>
          <w:b/>
          <w:color w:val="auto"/>
          <w:szCs w:val="21"/>
          <w:highlight w:val="none"/>
        </w:rPr>
        <w:t>要求：</w:t>
      </w:r>
    </w:p>
    <w:p w14:paraId="21177585">
      <w:pPr>
        <w:spacing w:line="360" w:lineRule="auto"/>
        <w:ind w:left="435"/>
        <w:rPr>
          <w:rFonts w:ascii="宋体" w:hAnsi="宋体"/>
          <w:color w:val="auto"/>
          <w:szCs w:val="21"/>
          <w:highlight w:val="none"/>
        </w:rPr>
      </w:pPr>
      <w:r>
        <w:rPr>
          <w:rFonts w:hint="eastAsia" w:ascii="宋体" w:hAnsi="宋体"/>
          <w:color w:val="auto"/>
          <w:szCs w:val="21"/>
          <w:highlight w:val="none"/>
        </w:rPr>
        <w:t>1.如投标产品由小微企业生产，则需提供中小企业声明函。</w:t>
      </w:r>
    </w:p>
    <w:p w14:paraId="47EF7977">
      <w:pPr>
        <w:spacing w:line="360" w:lineRule="auto"/>
        <w:ind w:left="435"/>
        <w:rPr>
          <w:rFonts w:ascii="宋体" w:hAnsi="宋体"/>
          <w:color w:val="auto"/>
          <w:szCs w:val="21"/>
          <w:highlight w:val="none"/>
        </w:rPr>
      </w:pPr>
      <w:r>
        <w:rPr>
          <w:rFonts w:hint="eastAsia" w:ascii="宋体" w:hAnsi="宋体"/>
          <w:color w:val="auto"/>
          <w:szCs w:val="21"/>
          <w:highlight w:val="none"/>
        </w:rPr>
        <w:t>2.小微企业提供的货物既有中小企业制造货物，也有大型企业制造货物的，不享受中小企业扶持政策。</w:t>
      </w:r>
    </w:p>
    <w:p w14:paraId="77D65042">
      <w:pPr>
        <w:spacing w:line="360" w:lineRule="auto"/>
        <w:ind w:left="435"/>
        <w:rPr>
          <w:rFonts w:ascii="宋体" w:hAnsi="宋体"/>
          <w:color w:val="auto"/>
          <w:szCs w:val="21"/>
          <w:highlight w:val="none"/>
        </w:rPr>
      </w:pPr>
      <w:r>
        <w:rPr>
          <w:rFonts w:hint="eastAsia" w:ascii="宋体" w:hAnsi="宋体"/>
          <w:color w:val="auto"/>
          <w:szCs w:val="21"/>
          <w:highlight w:val="none"/>
        </w:rPr>
        <w:t>3.如中标供应商声明为小微企业，本声明函将随中标结果同时公告，接受社会监督。</w:t>
      </w:r>
    </w:p>
    <w:p w14:paraId="3EF2B957">
      <w:pPr>
        <w:wordWrap w:val="0"/>
        <w:spacing w:line="360" w:lineRule="auto"/>
        <w:rPr>
          <w:rFonts w:ascii="宋体" w:hAnsi="宋体" w:cs="宋体"/>
          <w:color w:val="auto"/>
          <w:sz w:val="24"/>
          <w:highlight w:val="none"/>
        </w:rPr>
      </w:pPr>
    </w:p>
    <w:p w14:paraId="33FBBA43">
      <w:pPr>
        <w:wordWrap w:val="0"/>
        <w:spacing w:line="360" w:lineRule="auto"/>
        <w:ind w:firstLine="480" w:firstLineChars="200"/>
        <w:jc w:val="right"/>
        <w:rPr>
          <w:rFonts w:ascii="宋体" w:hAnsi="宋体" w:cs="宋体"/>
          <w:color w:val="auto"/>
          <w:sz w:val="24"/>
          <w:highlight w:val="none"/>
        </w:rPr>
      </w:pPr>
      <w:r>
        <w:rPr>
          <w:rFonts w:hint="eastAsia" w:ascii="宋体" w:hAnsi="宋体" w:cs="宋体"/>
          <w:color w:val="auto"/>
          <w:sz w:val="24"/>
          <w:highlight w:val="none"/>
        </w:rPr>
        <w:t xml:space="preserve">企业名称（盖章）：        </w:t>
      </w:r>
    </w:p>
    <w:p w14:paraId="71A8480B">
      <w:pPr>
        <w:wordWrap w:val="0"/>
        <w:spacing w:line="360" w:lineRule="auto"/>
        <w:ind w:firstLine="480" w:firstLineChars="200"/>
        <w:jc w:val="right"/>
        <w:rPr>
          <w:rFonts w:ascii="宋体" w:hAnsi="宋体" w:cs="宋体"/>
          <w:color w:val="auto"/>
          <w:sz w:val="24"/>
          <w:highlight w:val="none"/>
        </w:rPr>
      </w:pPr>
    </w:p>
    <w:p w14:paraId="74CA8848">
      <w:pPr>
        <w:wordWrap w:val="0"/>
        <w:spacing w:line="360" w:lineRule="auto"/>
        <w:ind w:firstLine="480" w:firstLineChars="200"/>
        <w:jc w:val="right"/>
        <w:rPr>
          <w:rFonts w:ascii="宋体" w:hAnsi="宋体" w:cs="宋体"/>
          <w:color w:val="auto"/>
          <w:sz w:val="24"/>
          <w:highlight w:val="none"/>
        </w:rPr>
      </w:pPr>
      <w:r>
        <w:rPr>
          <w:rFonts w:hint="eastAsia" w:ascii="宋体" w:hAnsi="宋体" w:cs="宋体"/>
          <w:color w:val="auto"/>
          <w:sz w:val="24"/>
          <w:highlight w:val="none"/>
        </w:rPr>
        <w:t xml:space="preserve">日 期：                  </w:t>
      </w:r>
    </w:p>
    <w:p w14:paraId="641508C6">
      <w:pPr>
        <w:spacing w:line="360" w:lineRule="auto"/>
        <w:rPr>
          <w:rFonts w:ascii="宋体" w:hAnsi="宋体" w:cs="宋体"/>
          <w:color w:val="auto"/>
          <w:sz w:val="24"/>
          <w:highlight w:val="none"/>
        </w:rPr>
      </w:pPr>
      <w:r>
        <w:rPr>
          <w:rFonts w:ascii="宋体" w:hAnsi="宋体" w:cs="宋体"/>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208915</wp:posOffset>
                </wp:positionV>
                <wp:extent cx="2984500" cy="0"/>
                <wp:effectExtent l="0" t="0" r="25400" b="19050"/>
                <wp:wrapNone/>
                <wp:docPr id="9" name="直接连接符 3"/>
                <wp:cNvGraphicFramePr/>
                <a:graphic xmlns:a="http://schemas.openxmlformats.org/drawingml/2006/main">
                  <a:graphicData uri="http://schemas.microsoft.com/office/word/2010/wordprocessingShape">
                    <wps:wsp>
                      <wps:cNvCnPr/>
                      <wps:spPr>
                        <a:xfrm>
                          <a:off x="0" y="0"/>
                          <a:ext cx="298450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直接连接符 3" o:spid="_x0000_s1026" o:spt="20" style="position:absolute;left:0pt;margin-left:0.4pt;margin-top:16.45pt;height:0pt;width:235pt;z-index:251659264;mso-width-relative:page;mso-height-relative:page;" filled="f" stroked="t" coordsize="21600,21600" o:gfxdata="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ywK5L0wAAAAYBAAAPAAAAAAAAAAEAIAAAACIAAABkcnMvZG93bnJldi54bWxQSwECFAAU&#10;AAAACACHTuJAgBYxm/YBAADUAwAADgAAAAAAAAABACAAAAAiAQAAZHJzL2Uyb0RvYy54bWxQSwUG&#10;AAAAAAYABgBZAQAAigUAAAAA&#10;">
                <v:fill on="f" focussize="0,0"/>
                <v:stroke weight="1.25pt" color="#000000" miterlimit="8" joinstyle="miter"/>
                <v:imagedata o:title=""/>
                <o:lock v:ext="edit" aspectratio="f"/>
              </v:line>
            </w:pict>
          </mc:Fallback>
        </mc:AlternateContent>
      </w:r>
    </w:p>
    <w:p w14:paraId="6A272FD4">
      <w:pPr>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从业人员、营业收入、资产总额填报上一年度数据，无上一年度数据的新成立企业可不填报。</w:t>
      </w:r>
    </w:p>
    <w:p w14:paraId="2EB8A30B">
      <w:pPr>
        <w:pStyle w:val="21"/>
        <w:rPr>
          <w:color w:val="auto"/>
          <w:highlight w:val="none"/>
        </w:rPr>
      </w:pPr>
    </w:p>
    <w:p w14:paraId="68D4833A">
      <w:pPr>
        <w:widowControl/>
        <w:jc w:val="left"/>
        <w:rPr>
          <w:rFonts w:ascii="宋体" w:hAnsi="宋体" w:cs="宋体"/>
          <w:b/>
          <w:color w:val="auto"/>
          <w:sz w:val="32"/>
          <w:szCs w:val="32"/>
          <w:highlight w:val="none"/>
        </w:rPr>
      </w:pPr>
    </w:p>
    <w:p w14:paraId="1089A5E2">
      <w:pPr>
        <w:pStyle w:val="9"/>
        <w:spacing w:line="360" w:lineRule="auto"/>
        <w:ind w:firstLine="0"/>
        <w:jc w:val="center"/>
        <w:rPr>
          <w:rFonts w:ascii="宋体" w:hAnsi="宋体" w:cs="宋体"/>
          <w:b/>
          <w:color w:val="auto"/>
          <w:sz w:val="32"/>
          <w:szCs w:val="32"/>
          <w:highlight w:val="none"/>
        </w:rPr>
      </w:pPr>
      <w:r>
        <w:rPr>
          <w:rFonts w:hint="eastAsia" w:ascii="宋体" w:hAnsi="宋体" w:cs="宋体"/>
          <w:b/>
          <w:color w:val="auto"/>
          <w:sz w:val="32"/>
          <w:szCs w:val="32"/>
          <w:highlight w:val="none"/>
        </w:rPr>
        <w:t>残疾人福利性单位声明函</w:t>
      </w:r>
    </w:p>
    <w:p w14:paraId="7DB2244F">
      <w:pPr>
        <w:spacing w:line="360" w:lineRule="auto"/>
        <w:ind w:firstLine="480" w:firstLineChars="200"/>
        <w:rPr>
          <w:rFonts w:ascii="宋体" w:hAnsi="宋体" w:cs="宋体"/>
          <w:color w:val="auto"/>
          <w:sz w:val="24"/>
          <w:highlight w:val="none"/>
          <w:lang w:val="en-GB"/>
        </w:rPr>
      </w:pPr>
    </w:p>
    <w:p w14:paraId="50CFC2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b/>
          <w:color w:val="auto"/>
          <w:sz w:val="24"/>
          <w:highlight w:val="none"/>
          <w:u w:val="single"/>
        </w:rPr>
        <w:t>台州市椒江区白云街道社区卫生服务中心</w:t>
      </w:r>
      <w:r>
        <w:rPr>
          <w:rFonts w:hint="eastAsia" w:ascii="宋体" w:hAnsi="宋体" w:cs="宋体"/>
          <w:color w:val="auto"/>
          <w:sz w:val="24"/>
          <w:highlight w:val="none"/>
        </w:rPr>
        <w:t>单位的</w:t>
      </w:r>
      <w:r>
        <w:rPr>
          <w:rFonts w:hint="eastAsia" w:ascii="宋体" w:hAnsi="宋体" w:cs="宋体"/>
          <w:b/>
          <w:color w:val="auto"/>
          <w:sz w:val="24"/>
          <w:highlight w:val="none"/>
          <w:u w:val="single"/>
        </w:rPr>
        <w:t>台州市椒江区白云街道社区卫生服务中心CT采购项目</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608E34E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0048B8B5">
      <w:pPr>
        <w:tabs>
          <w:tab w:val="left" w:pos="4860"/>
        </w:tabs>
        <w:spacing w:line="588" w:lineRule="exact"/>
        <w:ind w:right="1560" w:firstLine="480" w:firstLineChars="200"/>
        <w:jc w:val="center"/>
        <w:rPr>
          <w:rFonts w:ascii="宋体" w:hAnsi="宋体" w:cs="宋体"/>
          <w:color w:val="auto"/>
          <w:sz w:val="24"/>
          <w:highlight w:val="none"/>
        </w:rPr>
      </w:pPr>
    </w:p>
    <w:p w14:paraId="37CD666C">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单位名称（盖章）：</w:t>
      </w:r>
    </w:p>
    <w:p w14:paraId="4DD6381B">
      <w:pPr>
        <w:tabs>
          <w:tab w:val="left" w:pos="4860"/>
        </w:tabs>
        <w:spacing w:line="588" w:lineRule="exact"/>
        <w:ind w:right="1560" w:firstLine="480" w:firstLineChars="200"/>
        <w:jc w:val="center"/>
        <w:rPr>
          <w:rFonts w:ascii="宋体" w:hAnsi="宋体" w:cs="宋体"/>
          <w:color w:val="auto"/>
          <w:sz w:val="24"/>
          <w:highlight w:val="none"/>
        </w:rPr>
      </w:pPr>
    </w:p>
    <w:p w14:paraId="6CEFE706">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  ：</w:t>
      </w:r>
    </w:p>
    <w:p w14:paraId="7B103AE3">
      <w:pPr>
        <w:spacing w:line="360" w:lineRule="auto"/>
        <w:rPr>
          <w:rFonts w:ascii="宋体" w:hAnsi="宋体" w:cs="宋体"/>
          <w:color w:val="auto"/>
          <w:sz w:val="24"/>
          <w:highlight w:val="none"/>
        </w:rPr>
      </w:pPr>
    </w:p>
    <w:sectPr>
      <w:headerReference r:id="rId3" w:type="default"/>
      <w:footerReference r:id="rId4" w:type="default"/>
      <w:pgSz w:w="11906" w:h="16838"/>
      <w:pgMar w:top="1440" w:right="1416" w:bottom="127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059426">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12065" b="14605"/>
              <wp:wrapNone/>
              <wp:docPr id="1" name="文本框 8"/>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6350">
                        <a:noFill/>
                      </a:ln>
                      <a:effectLst/>
                    </wps:spPr>
                    <wps:txbx>
                      <w:txbxContent>
                        <w:p w14:paraId="00506168">
                          <w:pPr>
                            <w:pStyle w:val="16"/>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8"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pdxhddIAAAADAQAADwAAAAAAAAABACAAAAAiAAAAZHJzL2Rvd25yZXYueG1s&#10;UEsBAhQAFAAAAAgAh07iQKOIMqE3AgAAYQQAAA4AAAAAAAAAAQAgAAAAIQEAAGRycy9lMm9Eb2Mu&#10;eG1sUEsFBgAAAAAGAAYAWQEAAMoFAAAAAA==&#10;">
              <v:fill on="f" focussize="0,0"/>
              <v:stroke on="f" weight="0.5pt"/>
              <v:imagedata o:title=""/>
              <o:lock v:ext="edit" aspectratio="f"/>
              <v:textbox inset="0mm,0mm,0mm,0mm" style="mso-fit-shape-to-text:t;">
                <w:txbxContent>
                  <w:p w14:paraId="00506168">
                    <w:pPr>
                      <w:pStyle w:val="16"/>
                    </w:pPr>
                    <w:r>
                      <w:fldChar w:fldCharType="begin"/>
                    </w:r>
                    <w:r>
                      <w:instrText xml:space="preserve"> PAGE  \* MERGEFORMAT </w:instrText>
                    </w:r>
                    <w:r>
                      <w:fldChar w:fldCharType="separate"/>
                    </w:r>
                    <w:r>
                      <w:t>30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0E4363">
    <w:pPr>
      <w:spacing w:line="20" w:lineRule="atLeast"/>
      <w:rPr>
        <w:b/>
        <w:color w:val="000000" w:themeColor="text1"/>
        <w:sz w:val="10"/>
        <w:u w:val="single"/>
        <w14:textFill>
          <w14:solidFill>
            <w14:schemeClr w14:val="tx1"/>
          </w14:solidFill>
        </w14:textFill>
      </w:rPr>
    </w:pPr>
  </w:p>
  <w:p w14:paraId="17030C98">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3E1766"/>
    <w:multiLevelType w:val="singleLevel"/>
    <w:tmpl w:val="AF3E1766"/>
    <w:lvl w:ilvl="0" w:tentative="0">
      <w:start w:val="1"/>
      <w:numFmt w:val="decimal"/>
      <w:suff w:val="nothing"/>
      <w:lvlText w:val="（%1）"/>
      <w:lvlJc w:val="left"/>
    </w:lvl>
  </w:abstractNum>
  <w:abstractNum w:abstractNumId="1">
    <w:nsid w:val="DF48CB86"/>
    <w:multiLevelType w:val="singleLevel"/>
    <w:tmpl w:val="DF48CB86"/>
    <w:lvl w:ilvl="0" w:tentative="0">
      <w:start w:val="1"/>
      <w:numFmt w:val="chineseCounting"/>
      <w:suff w:val="nothing"/>
      <w:lvlText w:val="（%1）"/>
      <w:lvlJc w:val="left"/>
      <w:rPr>
        <w:rFonts w:hint="eastAsia"/>
      </w:rPr>
    </w:lvl>
  </w:abstractNum>
  <w:abstractNum w:abstractNumId="2">
    <w:nsid w:val="FBBE1756"/>
    <w:multiLevelType w:val="singleLevel"/>
    <w:tmpl w:val="FBBE1756"/>
    <w:lvl w:ilvl="0" w:tentative="0">
      <w:start w:val="8"/>
      <w:numFmt w:val="decimal"/>
      <w:suff w:val="space"/>
      <w:lvlText w:val="%1."/>
      <w:lvlJc w:val="left"/>
    </w:lvl>
  </w:abstractNum>
  <w:abstractNum w:abstractNumId="3">
    <w:nsid w:val="0ED2C79B"/>
    <w:multiLevelType w:val="singleLevel"/>
    <w:tmpl w:val="0ED2C79B"/>
    <w:lvl w:ilvl="0" w:tentative="0">
      <w:start w:val="1"/>
      <w:numFmt w:val="decimal"/>
      <w:pStyle w:val="8"/>
      <w:lvlText w:val="%1."/>
      <w:lvlJc w:val="left"/>
      <w:pPr>
        <w:tabs>
          <w:tab w:val="left" w:pos="360"/>
        </w:tabs>
        <w:ind w:left="360" w:hanging="360"/>
      </w:pPr>
    </w:lvl>
  </w:abstractNum>
  <w:abstractNum w:abstractNumId="4">
    <w:nsid w:val="2C586B3B"/>
    <w:multiLevelType w:val="singleLevel"/>
    <w:tmpl w:val="2C586B3B"/>
    <w:lvl w:ilvl="0" w:tentative="0">
      <w:start w:val="1"/>
      <w:numFmt w:val="decimalEnclosedCircleChinese"/>
      <w:suff w:val="nothing"/>
      <w:lvlText w:val="%1　"/>
      <w:lvlJc w:val="left"/>
      <w:pPr>
        <w:ind w:left="0" w:firstLine="400"/>
      </w:pPr>
      <w:rPr>
        <w:rFonts w:hint="eastAsia"/>
      </w:rPr>
    </w:lvl>
  </w:abstractNum>
  <w:abstractNum w:abstractNumId="5">
    <w:nsid w:val="461E5E94"/>
    <w:multiLevelType w:val="singleLevel"/>
    <w:tmpl w:val="461E5E94"/>
    <w:lvl w:ilvl="0" w:tentative="0">
      <w:start w:val="2"/>
      <w:numFmt w:val="chineseCounting"/>
      <w:suff w:val="space"/>
      <w:lvlText w:val="第%1章"/>
      <w:lvlJc w:val="left"/>
      <w:rPr>
        <w:rFonts w:hint="eastAsia"/>
      </w:rPr>
    </w:lvl>
  </w:abstractNum>
  <w:abstractNum w:abstractNumId="6">
    <w:nsid w:val="49074A7D"/>
    <w:multiLevelType w:val="multilevel"/>
    <w:tmpl w:val="49074A7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50A930BD"/>
    <w:multiLevelType w:val="singleLevel"/>
    <w:tmpl w:val="50A930BD"/>
    <w:lvl w:ilvl="0" w:tentative="0">
      <w:start w:val="1"/>
      <w:numFmt w:val="decimalEnclosedCircleChinese"/>
      <w:suff w:val="nothing"/>
      <w:lvlText w:val="%1　"/>
      <w:lvlJc w:val="left"/>
      <w:pPr>
        <w:ind w:left="0" w:firstLine="400"/>
      </w:pPr>
      <w:rPr>
        <w:rFonts w:hint="eastAsia"/>
      </w:rPr>
    </w:lvl>
  </w:abstractNum>
  <w:abstractNum w:abstractNumId="8">
    <w:nsid w:val="527A7AA0"/>
    <w:multiLevelType w:val="singleLevel"/>
    <w:tmpl w:val="527A7AA0"/>
    <w:lvl w:ilvl="0" w:tentative="0">
      <w:start w:val="2"/>
      <w:numFmt w:val="chineseCounting"/>
      <w:suff w:val="nothing"/>
      <w:lvlText w:val="%1、"/>
      <w:lvlJc w:val="left"/>
      <w:rPr>
        <w:rFonts w:hint="eastAsia"/>
      </w:rPr>
    </w:lvl>
  </w:abstractNum>
  <w:abstractNum w:abstractNumId="9">
    <w:nsid w:val="5AEA19B9"/>
    <w:multiLevelType w:val="singleLevel"/>
    <w:tmpl w:val="5AEA19B9"/>
    <w:lvl w:ilvl="0" w:tentative="0">
      <w:start w:val="1"/>
      <w:numFmt w:val="decimalEnclosedCircleChinese"/>
      <w:suff w:val="nothing"/>
      <w:lvlText w:val="%1　"/>
      <w:lvlJc w:val="left"/>
      <w:pPr>
        <w:ind w:left="0" w:firstLine="400"/>
      </w:pPr>
      <w:rPr>
        <w:rFonts w:hint="eastAsia"/>
      </w:rPr>
    </w:lvl>
  </w:abstractNum>
  <w:abstractNum w:abstractNumId="10">
    <w:nsid w:val="62226C96"/>
    <w:multiLevelType w:val="singleLevel"/>
    <w:tmpl w:val="62226C96"/>
    <w:lvl w:ilvl="0" w:tentative="0">
      <w:start w:val="1"/>
      <w:numFmt w:val="decimalEnclosedCircleChinese"/>
      <w:suff w:val="nothing"/>
      <w:lvlText w:val="%1　"/>
      <w:lvlJc w:val="left"/>
      <w:pPr>
        <w:ind w:left="0" w:firstLine="400"/>
      </w:pPr>
      <w:rPr>
        <w:rFonts w:hint="eastAsia"/>
      </w:rPr>
    </w:lvl>
  </w:abstractNum>
  <w:abstractNum w:abstractNumId="11">
    <w:nsid w:val="636567A2"/>
    <w:multiLevelType w:val="multilevel"/>
    <w:tmpl w:val="636567A2"/>
    <w:lvl w:ilvl="0" w:tentative="0">
      <w:start w:val="1"/>
      <w:numFmt w:val="decimal"/>
      <w:pStyle w:val="4"/>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2">
    <w:nsid w:val="66DDD653"/>
    <w:multiLevelType w:val="singleLevel"/>
    <w:tmpl w:val="66DDD653"/>
    <w:lvl w:ilvl="0" w:tentative="0">
      <w:start w:val="1"/>
      <w:numFmt w:val="chineseCounting"/>
      <w:suff w:val="space"/>
      <w:lvlText w:val="第%1章"/>
      <w:lvlJc w:val="left"/>
      <w:rPr>
        <w:rFonts w:hint="eastAsia"/>
      </w:rPr>
    </w:lvl>
  </w:abstractNum>
  <w:num w:numId="1">
    <w:abstractNumId w:val="11"/>
  </w:num>
  <w:num w:numId="2">
    <w:abstractNumId w:val="3"/>
  </w:num>
  <w:num w:numId="3">
    <w:abstractNumId w:val="12"/>
  </w:num>
  <w:num w:numId="4">
    <w:abstractNumId w:val="5"/>
  </w:num>
  <w:num w:numId="5">
    <w:abstractNumId w:val="1"/>
  </w:num>
  <w:num w:numId="6">
    <w:abstractNumId w:val="2"/>
  </w:num>
  <w:num w:numId="7">
    <w:abstractNumId w:val="0"/>
  </w:num>
  <w:num w:numId="8">
    <w:abstractNumId w:val="9"/>
  </w:num>
  <w:num w:numId="9">
    <w:abstractNumId w:val="10"/>
  </w:num>
  <w:num w:numId="10">
    <w:abstractNumId w:val="8"/>
  </w:num>
  <w:num w:numId="11">
    <w:abstractNumId w:val="6"/>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30"/>
  <w:embedSystemFonts/>
  <w:bordersDoNotSurroundHeader w:val="1"/>
  <w:bordersDoNotSurroundFooter w:val="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Q5YjM4ZTQyMzY3OTg3YzBlZjMzNWE4NDAwYWRkYWEifQ=="/>
  </w:docVars>
  <w:rsids>
    <w:rsidRoot w:val="685F2B0C"/>
    <w:rsid w:val="000008A6"/>
    <w:rsid w:val="000011CB"/>
    <w:rsid w:val="000023D1"/>
    <w:rsid w:val="00002902"/>
    <w:rsid w:val="00005D17"/>
    <w:rsid w:val="0000610C"/>
    <w:rsid w:val="00010D3E"/>
    <w:rsid w:val="00012823"/>
    <w:rsid w:val="000135D2"/>
    <w:rsid w:val="00015E07"/>
    <w:rsid w:val="000201CC"/>
    <w:rsid w:val="00020640"/>
    <w:rsid w:val="00020DFD"/>
    <w:rsid w:val="00021925"/>
    <w:rsid w:val="00024228"/>
    <w:rsid w:val="00025351"/>
    <w:rsid w:val="00025769"/>
    <w:rsid w:val="00025EC6"/>
    <w:rsid w:val="00026658"/>
    <w:rsid w:val="00026E10"/>
    <w:rsid w:val="00027C93"/>
    <w:rsid w:val="00030D77"/>
    <w:rsid w:val="00032004"/>
    <w:rsid w:val="00032411"/>
    <w:rsid w:val="000365FC"/>
    <w:rsid w:val="0003704E"/>
    <w:rsid w:val="00040B2D"/>
    <w:rsid w:val="00040DE5"/>
    <w:rsid w:val="000416A1"/>
    <w:rsid w:val="00044293"/>
    <w:rsid w:val="00044E9D"/>
    <w:rsid w:val="00044EFD"/>
    <w:rsid w:val="00044F94"/>
    <w:rsid w:val="00045369"/>
    <w:rsid w:val="00045B59"/>
    <w:rsid w:val="00050377"/>
    <w:rsid w:val="00051E6E"/>
    <w:rsid w:val="00052118"/>
    <w:rsid w:val="00054CB1"/>
    <w:rsid w:val="00055033"/>
    <w:rsid w:val="00056D95"/>
    <w:rsid w:val="000605CA"/>
    <w:rsid w:val="000614F5"/>
    <w:rsid w:val="00062126"/>
    <w:rsid w:val="00063098"/>
    <w:rsid w:val="00063147"/>
    <w:rsid w:val="0006339A"/>
    <w:rsid w:val="00063BC6"/>
    <w:rsid w:val="00064552"/>
    <w:rsid w:val="0006508F"/>
    <w:rsid w:val="00065526"/>
    <w:rsid w:val="00071BA1"/>
    <w:rsid w:val="000725C2"/>
    <w:rsid w:val="000734A1"/>
    <w:rsid w:val="00074F9C"/>
    <w:rsid w:val="000758AD"/>
    <w:rsid w:val="000772D8"/>
    <w:rsid w:val="0008209C"/>
    <w:rsid w:val="00082BA4"/>
    <w:rsid w:val="00084091"/>
    <w:rsid w:val="00090024"/>
    <w:rsid w:val="00091768"/>
    <w:rsid w:val="00091B94"/>
    <w:rsid w:val="00091C29"/>
    <w:rsid w:val="00091D82"/>
    <w:rsid w:val="00091FE2"/>
    <w:rsid w:val="00092281"/>
    <w:rsid w:val="0009232C"/>
    <w:rsid w:val="00093508"/>
    <w:rsid w:val="000947D5"/>
    <w:rsid w:val="00094E6D"/>
    <w:rsid w:val="000952A6"/>
    <w:rsid w:val="00095B4A"/>
    <w:rsid w:val="00095D0A"/>
    <w:rsid w:val="000965BF"/>
    <w:rsid w:val="000971A3"/>
    <w:rsid w:val="00097D1D"/>
    <w:rsid w:val="00097E2E"/>
    <w:rsid w:val="000A2B60"/>
    <w:rsid w:val="000A56B2"/>
    <w:rsid w:val="000A6004"/>
    <w:rsid w:val="000A68C7"/>
    <w:rsid w:val="000B00DA"/>
    <w:rsid w:val="000B0383"/>
    <w:rsid w:val="000B1772"/>
    <w:rsid w:val="000B1CD7"/>
    <w:rsid w:val="000B3313"/>
    <w:rsid w:val="000B4ED5"/>
    <w:rsid w:val="000B5C1C"/>
    <w:rsid w:val="000B5EFC"/>
    <w:rsid w:val="000B631B"/>
    <w:rsid w:val="000B65FF"/>
    <w:rsid w:val="000B6762"/>
    <w:rsid w:val="000B72ED"/>
    <w:rsid w:val="000B7A91"/>
    <w:rsid w:val="000C1666"/>
    <w:rsid w:val="000C1FE5"/>
    <w:rsid w:val="000C497E"/>
    <w:rsid w:val="000C4AC7"/>
    <w:rsid w:val="000C4D6A"/>
    <w:rsid w:val="000C4E5B"/>
    <w:rsid w:val="000C550C"/>
    <w:rsid w:val="000C58E4"/>
    <w:rsid w:val="000C5CE3"/>
    <w:rsid w:val="000C60C2"/>
    <w:rsid w:val="000C6FD6"/>
    <w:rsid w:val="000D0BD7"/>
    <w:rsid w:val="000D0C01"/>
    <w:rsid w:val="000D1ECF"/>
    <w:rsid w:val="000D2604"/>
    <w:rsid w:val="000D31E0"/>
    <w:rsid w:val="000D31E8"/>
    <w:rsid w:val="000D3A89"/>
    <w:rsid w:val="000D3E53"/>
    <w:rsid w:val="000D68CE"/>
    <w:rsid w:val="000D6C33"/>
    <w:rsid w:val="000D74EF"/>
    <w:rsid w:val="000E5A26"/>
    <w:rsid w:val="000E63FC"/>
    <w:rsid w:val="000E6DF4"/>
    <w:rsid w:val="000E704D"/>
    <w:rsid w:val="000E7A23"/>
    <w:rsid w:val="000F0F0F"/>
    <w:rsid w:val="000F2182"/>
    <w:rsid w:val="000F2E21"/>
    <w:rsid w:val="000F6229"/>
    <w:rsid w:val="000F6DB1"/>
    <w:rsid w:val="000F7121"/>
    <w:rsid w:val="000F7AB7"/>
    <w:rsid w:val="0010057E"/>
    <w:rsid w:val="00102078"/>
    <w:rsid w:val="00102AF6"/>
    <w:rsid w:val="00102EAF"/>
    <w:rsid w:val="00103347"/>
    <w:rsid w:val="0010407E"/>
    <w:rsid w:val="001044A1"/>
    <w:rsid w:val="00104F55"/>
    <w:rsid w:val="001057BE"/>
    <w:rsid w:val="00105C18"/>
    <w:rsid w:val="00106463"/>
    <w:rsid w:val="00106FDC"/>
    <w:rsid w:val="00107943"/>
    <w:rsid w:val="001107A5"/>
    <w:rsid w:val="00110E86"/>
    <w:rsid w:val="001112A3"/>
    <w:rsid w:val="001133E8"/>
    <w:rsid w:val="00113651"/>
    <w:rsid w:val="00113A82"/>
    <w:rsid w:val="00113CCF"/>
    <w:rsid w:val="0011412B"/>
    <w:rsid w:val="0011578E"/>
    <w:rsid w:val="001162DB"/>
    <w:rsid w:val="00117AB2"/>
    <w:rsid w:val="001201F5"/>
    <w:rsid w:val="001208C7"/>
    <w:rsid w:val="0012111D"/>
    <w:rsid w:val="00122404"/>
    <w:rsid w:val="001229D6"/>
    <w:rsid w:val="001237AC"/>
    <w:rsid w:val="00125CC7"/>
    <w:rsid w:val="00125EA6"/>
    <w:rsid w:val="001261B0"/>
    <w:rsid w:val="001273C1"/>
    <w:rsid w:val="00127AAA"/>
    <w:rsid w:val="00131615"/>
    <w:rsid w:val="001345E2"/>
    <w:rsid w:val="00134C11"/>
    <w:rsid w:val="0013558A"/>
    <w:rsid w:val="001367E1"/>
    <w:rsid w:val="001379A7"/>
    <w:rsid w:val="001408B9"/>
    <w:rsid w:val="00140D59"/>
    <w:rsid w:val="00141359"/>
    <w:rsid w:val="00141B96"/>
    <w:rsid w:val="00143668"/>
    <w:rsid w:val="00143861"/>
    <w:rsid w:val="00145466"/>
    <w:rsid w:val="001455A8"/>
    <w:rsid w:val="00153222"/>
    <w:rsid w:val="00153DDE"/>
    <w:rsid w:val="00154987"/>
    <w:rsid w:val="00154D28"/>
    <w:rsid w:val="001567B8"/>
    <w:rsid w:val="00156C78"/>
    <w:rsid w:val="00157475"/>
    <w:rsid w:val="0016041E"/>
    <w:rsid w:val="00160F2A"/>
    <w:rsid w:val="0016159C"/>
    <w:rsid w:val="00163086"/>
    <w:rsid w:val="001636E9"/>
    <w:rsid w:val="00164D15"/>
    <w:rsid w:val="00165EE9"/>
    <w:rsid w:val="00167815"/>
    <w:rsid w:val="00167E61"/>
    <w:rsid w:val="00167F4E"/>
    <w:rsid w:val="001701DB"/>
    <w:rsid w:val="00170A0E"/>
    <w:rsid w:val="00171A8C"/>
    <w:rsid w:val="00172360"/>
    <w:rsid w:val="00172B3A"/>
    <w:rsid w:val="00172DA3"/>
    <w:rsid w:val="00175794"/>
    <w:rsid w:val="0017587E"/>
    <w:rsid w:val="00175CC2"/>
    <w:rsid w:val="0017674E"/>
    <w:rsid w:val="00177E92"/>
    <w:rsid w:val="00180BC2"/>
    <w:rsid w:val="00180D1D"/>
    <w:rsid w:val="00180F80"/>
    <w:rsid w:val="00182009"/>
    <w:rsid w:val="00182E2E"/>
    <w:rsid w:val="00183718"/>
    <w:rsid w:val="0018379D"/>
    <w:rsid w:val="00183A4A"/>
    <w:rsid w:val="00184C83"/>
    <w:rsid w:val="00185730"/>
    <w:rsid w:val="00185DED"/>
    <w:rsid w:val="00186105"/>
    <w:rsid w:val="001870AB"/>
    <w:rsid w:val="00187324"/>
    <w:rsid w:val="001875D0"/>
    <w:rsid w:val="00187705"/>
    <w:rsid w:val="00187844"/>
    <w:rsid w:val="00191A12"/>
    <w:rsid w:val="00191C79"/>
    <w:rsid w:val="00192EDA"/>
    <w:rsid w:val="001948A9"/>
    <w:rsid w:val="00195089"/>
    <w:rsid w:val="001950A3"/>
    <w:rsid w:val="001961FF"/>
    <w:rsid w:val="00196AE1"/>
    <w:rsid w:val="00197544"/>
    <w:rsid w:val="001A0847"/>
    <w:rsid w:val="001A0CFF"/>
    <w:rsid w:val="001A2400"/>
    <w:rsid w:val="001A4BD9"/>
    <w:rsid w:val="001A4E0A"/>
    <w:rsid w:val="001A58D2"/>
    <w:rsid w:val="001A5A6F"/>
    <w:rsid w:val="001A5EB9"/>
    <w:rsid w:val="001A5F60"/>
    <w:rsid w:val="001A6396"/>
    <w:rsid w:val="001A7419"/>
    <w:rsid w:val="001A7F11"/>
    <w:rsid w:val="001B0D0E"/>
    <w:rsid w:val="001B191E"/>
    <w:rsid w:val="001B538C"/>
    <w:rsid w:val="001B5D0D"/>
    <w:rsid w:val="001B61CA"/>
    <w:rsid w:val="001B646E"/>
    <w:rsid w:val="001B68CC"/>
    <w:rsid w:val="001C0967"/>
    <w:rsid w:val="001C304B"/>
    <w:rsid w:val="001C3B4C"/>
    <w:rsid w:val="001C4D30"/>
    <w:rsid w:val="001C550C"/>
    <w:rsid w:val="001C6051"/>
    <w:rsid w:val="001C6CAB"/>
    <w:rsid w:val="001C7833"/>
    <w:rsid w:val="001C7DC0"/>
    <w:rsid w:val="001D11CE"/>
    <w:rsid w:val="001D2116"/>
    <w:rsid w:val="001D30CD"/>
    <w:rsid w:val="001D406D"/>
    <w:rsid w:val="001D4E2E"/>
    <w:rsid w:val="001D53A4"/>
    <w:rsid w:val="001D6A57"/>
    <w:rsid w:val="001D7998"/>
    <w:rsid w:val="001E164E"/>
    <w:rsid w:val="001E4395"/>
    <w:rsid w:val="001E7A86"/>
    <w:rsid w:val="001F03C0"/>
    <w:rsid w:val="001F0A22"/>
    <w:rsid w:val="001F0D4B"/>
    <w:rsid w:val="001F0D71"/>
    <w:rsid w:val="001F1990"/>
    <w:rsid w:val="001F1A6B"/>
    <w:rsid w:val="001F2064"/>
    <w:rsid w:val="001F21EF"/>
    <w:rsid w:val="001F35E4"/>
    <w:rsid w:val="001F368C"/>
    <w:rsid w:val="001F3BC2"/>
    <w:rsid w:val="001F557C"/>
    <w:rsid w:val="001F58A5"/>
    <w:rsid w:val="001F6B19"/>
    <w:rsid w:val="001F788E"/>
    <w:rsid w:val="0020021D"/>
    <w:rsid w:val="00202AC4"/>
    <w:rsid w:val="00202E1B"/>
    <w:rsid w:val="00203B0A"/>
    <w:rsid w:val="00205341"/>
    <w:rsid w:val="00207BF6"/>
    <w:rsid w:val="00207CFA"/>
    <w:rsid w:val="0021103D"/>
    <w:rsid w:val="00213900"/>
    <w:rsid w:val="0021510A"/>
    <w:rsid w:val="002158E7"/>
    <w:rsid w:val="0021788A"/>
    <w:rsid w:val="00222E5A"/>
    <w:rsid w:val="00223312"/>
    <w:rsid w:val="0022454E"/>
    <w:rsid w:val="0022732F"/>
    <w:rsid w:val="002323AA"/>
    <w:rsid w:val="0023325E"/>
    <w:rsid w:val="00233829"/>
    <w:rsid w:val="00235605"/>
    <w:rsid w:val="00235BF1"/>
    <w:rsid w:val="00240AEB"/>
    <w:rsid w:val="00240FC2"/>
    <w:rsid w:val="00243519"/>
    <w:rsid w:val="00243D55"/>
    <w:rsid w:val="002443FC"/>
    <w:rsid w:val="00244D2E"/>
    <w:rsid w:val="0024589F"/>
    <w:rsid w:val="00246762"/>
    <w:rsid w:val="00246853"/>
    <w:rsid w:val="002468A2"/>
    <w:rsid w:val="00246FDE"/>
    <w:rsid w:val="002471F2"/>
    <w:rsid w:val="00250086"/>
    <w:rsid w:val="002502AF"/>
    <w:rsid w:val="002503BC"/>
    <w:rsid w:val="00251891"/>
    <w:rsid w:val="002527E1"/>
    <w:rsid w:val="002554B9"/>
    <w:rsid w:val="002601B5"/>
    <w:rsid w:val="0026033B"/>
    <w:rsid w:val="00261C81"/>
    <w:rsid w:val="00261CCE"/>
    <w:rsid w:val="002629BC"/>
    <w:rsid w:val="0026554A"/>
    <w:rsid w:val="0026655A"/>
    <w:rsid w:val="00272B9C"/>
    <w:rsid w:val="00276155"/>
    <w:rsid w:val="00276C41"/>
    <w:rsid w:val="002806D0"/>
    <w:rsid w:val="00281771"/>
    <w:rsid w:val="00281F2C"/>
    <w:rsid w:val="002826A1"/>
    <w:rsid w:val="002838CC"/>
    <w:rsid w:val="002846F0"/>
    <w:rsid w:val="00284B88"/>
    <w:rsid w:val="00284C79"/>
    <w:rsid w:val="00285C0A"/>
    <w:rsid w:val="00286603"/>
    <w:rsid w:val="0028776F"/>
    <w:rsid w:val="00290732"/>
    <w:rsid w:val="00290A20"/>
    <w:rsid w:val="00291503"/>
    <w:rsid w:val="00291AF0"/>
    <w:rsid w:val="00292769"/>
    <w:rsid w:val="00292FF7"/>
    <w:rsid w:val="00293D51"/>
    <w:rsid w:val="00296406"/>
    <w:rsid w:val="002A0283"/>
    <w:rsid w:val="002A0A50"/>
    <w:rsid w:val="002A1E3E"/>
    <w:rsid w:val="002A25FD"/>
    <w:rsid w:val="002A27E9"/>
    <w:rsid w:val="002A2A65"/>
    <w:rsid w:val="002A35AB"/>
    <w:rsid w:val="002A5147"/>
    <w:rsid w:val="002A5EE6"/>
    <w:rsid w:val="002A7015"/>
    <w:rsid w:val="002A7CDE"/>
    <w:rsid w:val="002B0ED6"/>
    <w:rsid w:val="002B1627"/>
    <w:rsid w:val="002B1EEC"/>
    <w:rsid w:val="002B35F2"/>
    <w:rsid w:val="002B4040"/>
    <w:rsid w:val="002B4462"/>
    <w:rsid w:val="002B5B0A"/>
    <w:rsid w:val="002B6D21"/>
    <w:rsid w:val="002B6F48"/>
    <w:rsid w:val="002B78A9"/>
    <w:rsid w:val="002B79A7"/>
    <w:rsid w:val="002B79F2"/>
    <w:rsid w:val="002C133B"/>
    <w:rsid w:val="002C24AB"/>
    <w:rsid w:val="002C2CBC"/>
    <w:rsid w:val="002C4887"/>
    <w:rsid w:val="002C58A4"/>
    <w:rsid w:val="002D127C"/>
    <w:rsid w:val="002D1DF7"/>
    <w:rsid w:val="002D1ED8"/>
    <w:rsid w:val="002D2C92"/>
    <w:rsid w:val="002D403F"/>
    <w:rsid w:val="002D5182"/>
    <w:rsid w:val="002D7BAF"/>
    <w:rsid w:val="002E01C1"/>
    <w:rsid w:val="002E1636"/>
    <w:rsid w:val="002E193A"/>
    <w:rsid w:val="002E2550"/>
    <w:rsid w:val="002E2DEB"/>
    <w:rsid w:val="002E31BA"/>
    <w:rsid w:val="002E4709"/>
    <w:rsid w:val="002E5EB7"/>
    <w:rsid w:val="002E60FD"/>
    <w:rsid w:val="002E663A"/>
    <w:rsid w:val="002F2721"/>
    <w:rsid w:val="002F4153"/>
    <w:rsid w:val="002F5369"/>
    <w:rsid w:val="002F5DC4"/>
    <w:rsid w:val="002F63E5"/>
    <w:rsid w:val="002F6D9B"/>
    <w:rsid w:val="003012A5"/>
    <w:rsid w:val="003013B4"/>
    <w:rsid w:val="0030501D"/>
    <w:rsid w:val="00307354"/>
    <w:rsid w:val="00307A74"/>
    <w:rsid w:val="00307B35"/>
    <w:rsid w:val="0031005A"/>
    <w:rsid w:val="00310371"/>
    <w:rsid w:val="00312D08"/>
    <w:rsid w:val="00312F8D"/>
    <w:rsid w:val="00314D3C"/>
    <w:rsid w:val="00315916"/>
    <w:rsid w:val="00315B6A"/>
    <w:rsid w:val="0031785A"/>
    <w:rsid w:val="00320028"/>
    <w:rsid w:val="003200FE"/>
    <w:rsid w:val="00320659"/>
    <w:rsid w:val="003238EE"/>
    <w:rsid w:val="003240A9"/>
    <w:rsid w:val="003243EB"/>
    <w:rsid w:val="0032487C"/>
    <w:rsid w:val="00325519"/>
    <w:rsid w:val="003259CB"/>
    <w:rsid w:val="00325CAA"/>
    <w:rsid w:val="00326820"/>
    <w:rsid w:val="00327264"/>
    <w:rsid w:val="003274C9"/>
    <w:rsid w:val="00330834"/>
    <w:rsid w:val="003313BB"/>
    <w:rsid w:val="003340BE"/>
    <w:rsid w:val="00334C00"/>
    <w:rsid w:val="00334C52"/>
    <w:rsid w:val="00336510"/>
    <w:rsid w:val="00337E0A"/>
    <w:rsid w:val="00340B8B"/>
    <w:rsid w:val="00341EDA"/>
    <w:rsid w:val="00343882"/>
    <w:rsid w:val="0034641D"/>
    <w:rsid w:val="00346DAD"/>
    <w:rsid w:val="00347B43"/>
    <w:rsid w:val="00347E0E"/>
    <w:rsid w:val="00350AC7"/>
    <w:rsid w:val="00350F58"/>
    <w:rsid w:val="00351504"/>
    <w:rsid w:val="00352549"/>
    <w:rsid w:val="003525D0"/>
    <w:rsid w:val="00352C59"/>
    <w:rsid w:val="00352E06"/>
    <w:rsid w:val="00353991"/>
    <w:rsid w:val="00353FC7"/>
    <w:rsid w:val="00354996"/>
    <w:rsid w:val="00354AFA"/>
    <w:rsid w:val="00354C69"/>
    <w:rsid w:val="00354D40"/>
    <w:rsid w:val="0035715C"/>
    <w:rsid w:val="003573EA"/>
    <w:rsid w:val="00363C50"/>
    <w:rsid w:val="00364999"/>
    <w:rsid w:val="00364D76"/>
    <w:rsid w:val="003672DD"/>
    <w:rsid w:val="003677B9"/>
    <w:rsid w:val="00367841"/>
    <w:rsid w:val="0037065F"/>
    <w:rsid w:val="00370B2B"/>
    <w:rsid w:val="00371A13"/>
    <w:rsid w:val="00371C15"/>
    <w:rsid w:val="00372EF4"/>
    <w:rsid w:val="003734B5"/>
    <w:rsid w:val="00374382"/>
    <w:rsid w:val="0037468B"/>
    <w:rsid w:val="00375106"/>
    <w:rsid w:val="003801C9"/>
    <w:rsid w:val="003841F2"/>
    <w:rsid w:val="00385A32"/>
    <w:rsid w:val="003863DD"/>
    <w:rsid w:val="00386858"/>
    <w:rsid w:val="0038729C"/>
    <w:rsid w:val="0038764A"/>
    <w:rsid w:val="003911E3"/>
    <w:rsid w:val="0039194B"/>
    <w:rsid w:val="003A0147"/>
    <w:rsid w:val="003A20FC"/>
    <w:rsid w:val="003A4954"/>
    <w:rsid w:val="003A58A5"/>
    <w:rsid w:val="003B080B"/>
    <w:rsid w:val="003B1592"/>
    <w:rsid w:val="003B4A18"/>
    <w:rsid w:val="003B6DB0"/>
    <w:rsid w:val="003B6E1C"/>
    <w:rsid w:val="003B6E9D"/>
    <w:rsid w:val="003B7274"/>
    <w:rsid w:val="003C0D3C"/>
    <w:rsid w:val="003C173C"/>
    <w:rsid w:val="003C1B9A"/>
    <w:rsid w:val="003C2948"/>
    <w:rsid w:val="003C29DF"/>
    <w:rsid w:val="003D0B8B"/>
    <w:rsid w:val="003D1A4C"/>
    <w:rsid w:val="003D2D76"/>
    <w:rsid w:val="003D4D55"/>
    <w:rsid w:val="003D5841"/>
    <w:rsid w:val="003D6ACE"/>
    <w:rsid w:val="003E0D6C"/>
    <w:rsid w:val="003E1261"/>
    <w:rsid w:val="003E3DA8"/>
    <w:rsid w:val="003E5CC4"/>
    <w:rsid w:val="003E7DFB"/>
    <w:rsid w:val="003F2FD4"/>
    <w:rsid w:val="003F5069"/>
    <w:rsid w:val="003F581F"/>
    <w:rsid w:val="003F612C"/>
    <w:rsid w:val="003F613A"/>
    <w:rsid w:val="00403E9E"/>
    <w:rsid w:val="00404792"/>
    <w:rsid w:val="00404AA2"/>
    <w:rsid w:val="00405288"/>
    <w:rsid w:val="00405816"/>
    <w:rsid w:val="00405851"/>
    <w:rsid w:val="004061A8"/>
    <w:rsid w:val="00407A79"/>
    <w:rsid w:val="00411763"/>
    <w:rsid w:val="00412C91"/>
    <w:rsid w:val="00415AB1"/>
    <w:rsid w:val="00415F4A"/>
    <w:rsid w:val="004165DB"/>
    <w:rsid w:val="00417711"/>
    <w:rsid w:val="004212A4"/>
    <w:rsid w:val="00422F5F"/>
    <w:rsid w:val="004232B9"/>
    <w:rsid w:val="00424EBD"/>
    <w:rsid w:val="00426C9E"/>
    <w:rsid w:val="00430515"/>
    <w:rsid w:val="00432372"/>
    <w:rsid w:val="00432639"/>
    <w:rsid w:val="00432B14"/>
    <w:rsid w:val="0043520A"/>
    <w:rsid w:val="00436A09"/>
    <w:rsid w:val="004407AC"/>
    <w:rsid w:val="00440952"/>
    <w:rsid w:val="004415EE"/>
    <w:rsid w:val="004420D4"/>
    <w:rsid w:val="004423C6"/>
    <w:rsid w:val="00442411"/>
    <w:rsid w:val="00443805"/>
    <w:rsid w:val="004439F7"/>
    <w:rsid w:val="00446546"/>
    <w:rsid w:val="00446E3A"/>
    <w:rsid w:val="004474CC"/>
    <w:rsid w:val="004510D1"/>
    <w:rsid w:val="004559FA"/>
    <w:rsid w:val="00455D3A"/>
    <w:rsid w:val="004570CD"/>
    <w:rsid w:val="004574D9"/>
    <w:rsid w:val="004576E1"/>
    <w:rsid w:val="004629B8"/>
    <w:rsid w:val="00463892"/>
    <w:rsid w:val="004645AE"/>
    <w:rsid w:val="004647F9"/>
    <w:rsid w:val="0046501F"/>
    <w:rsid w:val="00467237"/>
    <w:rsid w:val="0047032F"/>
    <w:rsid w:val="00472485"/>
    <w:rsid w:val="00472E2A"/>
    <w:rsid w:val="004731D1"/>
    <w:rsid w:val="0047322C"/>
    <w:rsid w:val="0048006A"/>
    <w:rsid w:val="0048175C"/>
    <w:rsid w:val="0048212C"/>
    <w:rsid w:val="00483432"/>
    <w:rsid w:val="00483440"/>
    <w:rsid w:val="00484DC9"/>
    <w:rsid w:val="0048654D"/>
    <w:rsid w:val="004867A6"/>
    <w:rsid w:val="00487122"/>
    <w:rsid w:val="00487371"/>
    <w:rsid w:val="004913F4"/>
    <w:rsid w:val="00494809"/>
    <w:rsid w:val="00495A30"/>
    <w:rsid w:val="00497F70"/>
    <w:rsid w:val="004A06B0"/>
    <w:rsid w:val="004A1AF5"/>
    <w:rsid w:val="004A2464"/>
    <w:rsid w:val="004A25F7"/>
    <w:rsid w:val="004A40BA"/>
    <w:rsid w:val="004A5B9A"/>
    <w:rsid w:val="004A7239"/>
    <w:rsid w:val="004B03DF"/>
    <w:rsid w:val="004B106E"/>
    <w:rsid w:val="004B18D1"/>
    <w:rsid w:val="004B1A43"/>
    <w:rsid w:val="004B4892"/>
    <w:rsid w:val="004B6B83"/>
    <w:rsid w:val="004C18CE"/>
    <w:rsid w:val="004C199D"/>
    <w:rsid w:val="004C25AC"/>
    <w:rsid w:val="004C6AAC"/>
    <w:rsid w:val="004D071E"/>
    <w:rsid w:val="004D0C72"/>
    <w:rsid w:val="004D38A4"/>
    <w:rsid w:val="004D3AA5"/>
    <w:rsid w:val="004D4146"/>
    <w:rsid w:val="004D4849"/>
    <w:rsid w:val="004D53E2"/>
    <w:rsid w:val="004D5C66"/>
    <w:rsid w:val="004D77B4"/>
    <w:rsid w:val="004E0FD3"/>
    <w:rsid w:val="004E2211"/>
    <w:rsid w:val="004E7C33"/>
    <w:rsid w:val="004E7C71"/>
    <w:rsid w:val="004F04E4"/>
    <w:rsid w:val="004F08A8"/>
    <w:rsid w:val="004F0D00"/>
    <w:rsid w:val="004F2D40"/>
    <w:rsid w:val="004F2E59"/>
    <w:rsid w:val="004F4492"/>
    <w:rsid w:val="004F4528"/>
    <w:rsid w:val="004F4795"/>
    <w:rsid w:val="004F5085"/>
    <w:rsid w:val="004F7A6B"/>
    <w:rsid w:val="0050134D"/>
    <w:rsid w:val="0050143E"/>
    <w:rsid w:val="00501C38"/>
    <w:rsid w:val="00503208"/>
    <w:rsid w:val="0050480F"/>
    <w:rsid w:val="00504BE3"/>
    <w:rsid w:val="00505391"/>
    <w:rsid w:val="00505397"/>
    <w:rsid w:val="0050782E"/>
    <w:rsid w:val="00510BD9"/>
    <w:rsid w:val="00510C7D"/>
    <w:rsid w:val="00510FB8"/>
    <w:rsid w:val="00512AF8"/>
    <w:rsid w:val="0051351F"/>
    <w:rsid w:val="00513CE4"/>
    <w:rsid w:val="00514C00"/>
    <w:rsid w:val="005151AD"/>
    <w:rsid w:val="0051536A"/>
    <w:rsid w:val="00515CBA"/>
    <w:rsid w:val="00516003"/>
    <w:rsid w:val="0051707B"/>
    <w:rsid w:val="0051760F"/>
    <w:rsid w:val="00521B09"/>
    <w:rsid w:val="0052439A"/>
    <w:rsid w:val="00524CA1"/>
    <w:rsid w:val="00525D82"/>
    <w:rsid w:val="005300B1"/>
    <w:rsid w:val="00530345"/>
    <w:rsid w:val="0053071D"/>
    <w:rsid w:val="00531A0E"/>
    <w:rsid w:val="00531CD8"/>
    <w:rsid w:val="00532B71"/>
    <w:rsid w:val="00533B97"/>
    <w:rsid w:val="005352DE"/>
    <w:rsid w:val="00536026"/>
    <w:rsid w:val="00537C30"/>
    <w:rsid w:val="00541D7E"/>
    <w:rsid w:val="0054233F"/>
    <w:rsid w:val="0054274C"/>
    <w:rsid w:val="00542C2B"/>
    <w:rsid w:val="00546691"/>
    <w:rsid w:val="005466B4"/>
    <w:rsid w:val="00546E61"/>
    <w:rsid w:val="00550736"/>
    <w:rsid w:val="00551A8C"/>
    <w:rsid w:val="00553570"/>
    <w:rsid w:val="00554EA3"/>
    <w:rsid w:val="00556404"/>
    <w:rsid w:val="00556ADE"/>
    <w:rsid w:val="00557053"/>
    <w:rsid w:val="005603E8"/>
    <w:rsid w:val="00560D7A"/>
    <w:rsid w:val="00564267"/>
    <w:rsid w:val="0056599B"/>
    <w:rsid w:val="00565EC4"/>
    <w:rsid w:val="0056681C"/>
    <w:rsid w:val="00567696"/>
    <w:rsid w:val="00567950"/>
    <w:rsid w:val="00570516"/>
    <w:rsid w:val="005714E6"/>
    <w:rsid w:val="00571834"/>
    <w:rsid w:val="005718BB"/>
    <w:rsid w:val="00571EA1"/>
    <w:rsid w:val="00572B0E"/>
    <w:rsid w:val="00573CC4"/>
    <w:rsid w:val="0057567E"/>
    <w:rsid w:val="0057617E"/>
    <w:rsid w:val="00580928"/>
    <w:rsid w:val="00580B7E"/>
    <w:rsid w:val="00580EB2"/>
    <w:rsid w:val="0058200F"/>
    <w:rsid w:val="00582383"/>
    <w:rsid w:val="0058399B"/>
    <w:rsid w:val="00583A92"/>
    <w:rsid w:val="00585A2F"/>
    <w:rsid w:val="00590C0B"/>
    <w:rsid w:val="00591DD9"/>
    <w:rsid w:val="00592BCC"/>
    <w:rsid w:val="005947D9"/>
    <w:rsid w:val="0059787B"/>
    <w:rsid w:val="005A1BFE"/>
    <w:rsid w:val="005A1DDD"/>
    <w:rsid w:val="005A232F"/>
    <w:rsid w:val="005A7193"/>
    <w:rsid w:val="005B1BFB"/>
    <w:rsid w:val="005B23D4"/>
    <w:rsid w:val="005B46F9"/>
    <w:rsid w:val="005B4760"/>
    <w:rsid w:val="005B7039"/>
    <w:rsid w:val="005B71FB"/>
    <w:rsid w:val="005B7A28"/>
    <w:rsid w:val="005B7CD3"/>
    <w:rsid w:val="005C0086"/>
    <w:rsid w:val="005C063F"/>
    <w:rsid w:val="005C07F6"/>
    <w:rsid w:val="005C16F3"/>
    <w:rsid w:val="005C3C50"/>
    <w:rsid w:val="005C4FB0"/>
    <w:rsid w:val="005C713B"/>
    <w:rsid w:val="005D0179"/>
    <w:rsid w:val="005D0BF9"/>
    <w:rsid w:val="005D0DD1"/>
    <w:rsid w:val="005D0E1C"/>
    <w:rsid w:val="005D1266"/>
    <w:rsid w:val="005D1A40"/>
    <w:rsid w:val="005D1E20"/>
    <w:rsid w:val="005D24EB"/>
    <w:rsid w:val="005D3347"/>
    <w:rsid w:val="005D5393"/>
    <w:rsid w:val="005E0610"/>
    <w:rsid w:val="005E1ABA"/>
    <w:rsid w:val="005E316D"/>
    <w:rsid w:val="005E4494"/>
    <w:rsid w:val="005E4D34"/>
    <w:rsid w:val="005E51C2"/>
    <w:rsid w:val="005E5988"/>
    <w:rsid w:val="005E5EA6"/>
    <w:rsid w:val="005F0037"/>
    <w:rsid w:val="005F0C8D"/>
    <w:rsid w:val="005F2544"/>
    <w:rsid w:val="005F303F"/>
    <w:rsid w:val="005F3224"/>
    <w:rsid w:val="005F38D9"/>
    <w:rsid w:val="005F3CEF"/>
    <w:rsid w:val="005F585E"/>
    <w:rsid w:val="005F6B77"/>
    <w:rsid w:val="006000F3"/>
    <w:rsid w:val="00600C52"/>
    <w:rsid w:val="0060394F"/>
    <w:rsid w:val="006048CC"/>
    <w:rsid w:val="00604AB7"/>
    <w:rsid w:val="00604D60"/>
    <w:rsid w:val="00605419"/>
    <w:rsid w:val="00607524"/>
    <w:rsid w:val="0061141C"/>
    <w:rsid w:val="0061261C"/>
    <w:rsid w:val="0061429F"/>
    <w:rsid w:val="006144ED"/>
    <w:rsid w:val="006163FA"/>
    <w:rsid w:val="00620BE5"/>
    <w:rsid w:val="006220BB"/>
    <w:rsid w:val="00622162"/>
    <w:rsid w:val="00622E7B"/>
    <w:rsid w:val="00623931"/>
    <w:rsid w:val="00623C67"/>
    <w:rsid w:val="006331FD"/>
    <w:rsid w:val="00633F82"/>
    <w:rsid w:val="00634775"/>
    <w:rsid w:val="00634A91"/>
    <w:rsid w:val="00635531"/>
    <w:rsid w:val="00635E01"/>
    <w:rsid w:val="006416F2"/>
    <w:rsid w:val="006419B9"/>
    <w:rsid w:val="006422AD"/>
    <w:rsid w:val="00644691"/>
    <w:rsid w:val="00644F67"/>
    <w:rsid w:val="00650F4B"/>
    <w:rsid w:val="0065108A"/>
    <w:rsid w:val="00651D25"/>
    <w:rsid w:val="00653C0A"/>
    <w:rsid w:val="006557D1"/>
    <w:rsid w:val="00655CF9"/>
    <w:rsid w:val="00656547"/>
    <w:rsid w:val="00657894"/>
    <w:rsid w:val="00657994"/>
    <w:rsid w:val="00657CF9"/>
    <w:rsid w:val="00660BB4"/>
    <w:rsid w:val="00661E6E"/>
    <w:rsid w:val="006630C0"/>
    <w:rsid w:val="00663BFA"/>
    <w:rsid w:val="00664FA6"/>
    <w:rsid w:val="00667357"/>
    <w:rsid w:val="006705AE"/>
    <w:rsid w:val="006712DB"/>
    <w:rsid w:val="00673779"/>
    <w:rsid w:val="00674F82"/>
    <w:rsid w:val="0067579D"/>
    <w:rsid w:val="0067593A"/>
    <w:rsid w:val="00675C74"/>
    <w:rsid w:val="00676A49"/>
    <w:rsid w:val="00677547"/>
    <w:rsid w:val="00680E87"/>
    <w:rsid w:val="0068385E"/>
    <w:rsid w:val="0068418A"/>
    <w:rsid w:val="00684684"/>
    <w:rsid w:val="0069168B"/>
    <w:rsid w:val="0069173C"/>
    <w:rsid w:val="006924F5"/>
    <w:rsid w:val="00695945"/>
    <w:rsid w:val="0069596D"/>
    <w:rsid w:val="0069731C"/>
    <w:rsid w:val="006973EB"/>
    <w:rsid w:val="006A106B"/>
    <w:rsid w:val="006A26E6"/>
    <w:rsid w:val="006A62FA"/>
    <w:rsid w:val="006A774E"/>
    <w:rsid w:val="006A795C"/>
    <w:rsid w:val="006B12B3"/>
    <w:rsid w:val="006B1B0B"/>
    <w:rsid w:val="006B1BB0"/>
    <w:rsid w:val="006B2249"/>
    <w:rsid w:val="006B2980"/>
    <w:rsid w:val="006B2E98"/>
    <w:rsid w:val="006B2EED"/>
    <w:rsid w:val="006B32B5"/>
    <w:rsid w:val="006B3325"/>
    <w:rsid w:val="006B38DF"/>
    <w:rsid w:val="006B3BC4"/>
    <w:rsid w:val="006B4A22"/>
    <w:rsid w:val="006B4FA8"/>
    <w:rsid w:val="006B557F"/>
    <w:rsid w:val="006B5718"/>
    <w:rsid w:val="006C0397"/>
    <w:rsid w:val="006C1AD5"/>
    <w:rsid w:val="006C1E1B"/>
    <w:rsid w:val="006C3343"/>
    <w:rsid w:val="006C439A"/>
    <w:rsid w:val="006C43D2"/>
    <w:rsid w:val="006C5B6D"/>
    <w:rsid w:val="006C687B"/>
    <w:rsid w:val="006C6E5C"/>
    <w:rsid w:val="006D0D7B"/>
    <w:rsid w:val="006D0F41"/>
    <w:rsid w:val="006D1EA3"/>
    <w:rsid w:val="006D2415"/>
    <w:rsid w:val="006D2917"/>
    <w:rsid w:val="006D2F09"/>
    <w:rsid w:val="006D351B"/>
    <w:rsid w:val="006D3E94"/>
    <w:rsid w:val="006D5793"/>
    <w:rsid w:val="006D5C96"/>
    <w:rsid w:val="006D5D2A"/>
    <w:rsid w:val="006D67F4"/>
    <w:rsid w:val="006E00B6"/>
    <w:rsid w:val="006E2110"/>
    <w:rsid w:val="006E3703"/>
    <w:rsid w:val="006E4BC8"/>
    <w:rsid w:val="006E4D4D"/>
    <w:rsid w:val="006E5265"/>
    <w:rsid w:val="006E5FC6"/>
    <w:rsid w:val="006E61ED"/>
    <w:rsid w:val="006E69CF"/>
    <w:rsid w:val="006F007D"/>
    <w:rsid w:val="006F0601"/>
    <w:rsid w:val="006F24CC"/>
    <w:rsid w:val="006F2A7C"/>
    <w:rsid w:val="006F40E2"/>
    <w:rsid w:val="006F4994"/>
    <w:rsid w:val="006F6482"/>
    <w:rsid w:val="006F64F4"/>
    <w:rsid w:val="006F6D11"/>
    <w:rsid w:val="006F76BC"/>
    <w:rsid w:val="00700AC4"/>
    <w:rsid w:val="007016E4"/>
    <w:rsid w:val="00702DD3"/>
    <w:rsid w:val="00704041"/>
    <w:rsid w:val="00704A69"/>
    <w:rsid w:val="007063A0"/>
    <w:rsid w:val="00706E0F"/>
    <w:rsid w:val="00713075"/>
    <w:rsid w:val="00716E76"/>
    <w:rsid w:val="00717E32"/>
    <w:rsid w:val="00722338"/>
    <w:rsid w:val="00723B97"/>
    <w:rsid w:val="00723C89"/>
    <w:rsid w:val="00726309"/>
    <w:rsid w:val="007269F0"/>
    <w:rsid w:val="007272F8"/>
    <w:rsid w:val="00730022"/>
    <w:rsid w:val="00730392"/>
    <w:rsid w:val="007304B2"/>
    <w:rsid w:val="00731849"/>
    <w:rsid w:val="00731EFE"/>
    <w:rsid w:val="0073288F"/>
    <w:rsid w:val="00735070"/>
    <w:rsid w:val="0073576A"/>
    <w:rsid w:val="0073616F"/>
    <w:rsid w:val="007364BA"/>
    <w:rsid w:val="00736A6D"/>
    <w:rsid w:val="0074033C"/>
    <w:rsid w:val="007408A2"/>
    <w:rsid w:val="007415C5"/>
    <w:rsid w:val="007420F5"/>
    <w:rsid w:val="00742306"/>
    <w:rsid w:val="00742BB3"/>
    <w:rsid w:val="00743280"/>
    <w:rsid w:val="00743327"/>
    <w:rsid w:val="0074469A"/>
    <w:rsid w:val="00744B91"/>
    <w:rsid w:val="007452E0"/>
    <w:rsid w:val="00745D65"/>
    <w:rsid w:val="007469A2"/>
    <w:rsid w:val="00747075"/>
    <w:rsid w:val="007477AD"/>
    <w:rsid w:val="00747831"/>
    <w:rsid w:val="00751E70"/>
    <w:rsid w:val="007527A5"/>
    <w:rsid w:val="00754360"/>
    <w:rsid w:val="00754393"/>
    <w:rsid w:val="007554D1"/>
    <w:rsid w:val="00755D31"/>
    <w:rsid w:val="007611BE"/>
    <w:rsid w:val="007616C3"/>
    <w:rsid w:val="00761822"/>
    <w:rsid w:val="007621A2"/>
    <w:rsid w:val="00762F61"/>
    <w:rsid w:val="007631A9"/>
    <w:rsid w:val="00764DF5"/>
    <w:rsid w:val="00765384"/>
    <w:rsid w:val="0076659D"/>
    <w:rsid w:val="00766613"/>
    <w:rsid w:val="00767084"/>
    <w:rsid w:val="007670F6"/>
    <w:rsid w:val="00770BA3"/>
    <w:rsid w:val="00771A15"/>
    <w:rsid w:val="00772426"/>
    <w:rsid w:val="00773529"/>
    <w:rsid w:val="00774C28"/>
    <w:rsid w:val="007753A4"/>
    <w:rsid w:val="00775FF4"/>
    <w:rsid w:val="007765A5"/>
    <w:rsid w:val="00777474"/>
    <w:rsid w:val="0077767F"/>
    <w:rsid w:val="00777A4A"/>
    <w:rsid w:val="00777F8A"/>
    <w:rsid w:val="00781070"/>
    <w:rsid w:val="007822BA"/>
    <w:rsid w:val="00782798"/>
    <w:rsid w:val="00782D65"/>
    <w:rsid w:val="0078306E"/>
    <w:rsid w:val="00783182"/>
    <w:rsid w:val="0078404F"/>
    <w:rsid w:val="0078596D"/>
    <w:rsid w:val="00785D1C"/>
    <w:rsid w:val="0079101C"/>
    <w:rsid w:val="007915C6"/>
    <w:rsid w:val="00791BD0"/>
    <w:rsid w:val="007932C8"/>
    <w:rsid w:val="00794103"/>
    <w:rsid w:val="00795A4B"/>
    <w:rsid w:val="00797FC7"/>
    <w:rsid w:val="007A2090"/>
    <w:rsid w:val="007A3562"/>
    <w:rsid w:val="007A3690"/>
    <w:rsid w:val="007A3AC3"/>
    <w:rsid w:val="007A47B1"/>
    <w:rsid w:val="007A569A"/>
    <w:rsid w:val="007A56C9"/>
    <w:rsid w:val="007A7E2D"/>
    <w:rsid w:val="007B3A6F"/>
    <w:rsid w:val="007B442F"/>
    <w:rsid w:val="007B46EE"/>
    <w:rsid w:val="007B585C"/>
    <w:rsid w:val="007B679C"/>
    <w:rsid w:val="007B6AE4"/>
    <w:rsid w:val="007B7192"/>
    <w:rsid w:val="007B7AC1"/>
    <w:rsid w:val="007C104D"/>
    <w:rsid w:val="007C1E50"/>
    <w:rsid w:val="007C22CC"/>
    <w:rsid w:val="007C330A"/>
    <w:rsid w:val="007C4B76"/>
    <w:rsid w:val="007C52FA"/>
    <w:rsid w:val="007C55F8"/>
    <w:rsid w:val="007C6E91"/>
    <w:rsid w:val="007C7E76"/>
    <w:rsid w:val="007D18C0"/>
    <w:rsid w:val="007D2E5C"/>
    <w:rsid w:val="007D5847"/>
    <w:rsid w:val="007D6489"/>
    <w:rsid w:val="007E1447"/>
    <w:rsid w:val="007E19BA"/>
    <w:rsid w:val="007E1D89"/>
    <w:rsid w:val="007E2E23"/>
    <w:rsid w:val="007E39CB"/>
    <w:rsid w:val="007E434B"/>
    <w:rsid w:val="007E4C4E"/>
    <w:rsid w:val="007E6D58"/>
    <w:rsid w:val="007E7751"/>
    <w:rsid w:val="007F0083"/>
    <w:rsid w:val="007F123B"/>
    <w:rsid w:val="007F1752"/>
    <w:rsid w:val="007F37E4"/>
    <w:rsid w:val="007F3A3B"/>
    <w:rsid w:val="007F53BA"/>
    <w:rsid w:val="007F77B9"/>
    <w:rsid w:val="007F7EF3"/>
    <w:rsid w:val="008001BE"/>
    <w:rsid w:val="008045FE"/>
    <w:rsid w:val="00804DFD"/>
    <w:rsid w:val="00804E32"/>
    <w:rsid w:val="00804E5A"/>
    <w:rsid w:val="008051E3"/>
    <w:rsid w:val="00805B1D"/>
    <w:rsid w:val="0081072F"/>
    <w:rsid w:val="00810864"/>
    <w:rsid w:val="0081283B"/>
    <w:rsid w:val="00812A1F"/>
    <w:rsid w:val="00812B5B"/>
    <w:rsid w:val="008133EE"/>
    <w:rsid w:val="008141CB"/>
    <w:rsid w:val="00814F54"/>
    <w:rsid w:val="00815028"/>
    <w:rsid w:val="008162AD"/>
    <w:rsid w:val="008177F6"/>
    <w:rsid w:val="00820262"/>
    <w:rsid w:val="0082088E"/>
    <w:rsid w:val="0082524D"/>
    <w:rsid w:val="008264B3"/>
    <w:rsid w:val="00830E0C"/>
    <w:rsid w:val="00831123"/>
    <w:rsid w:val="00831D3C"/>
    <w:rsid w:val="00831E24"/>
    <w:rsid w:val="008331D0"/>
    <w:rsid w:val="008356F6"/>
    <w:rsid w:val="00836E5D"/>
    <w:rsid w:val="00840729"/>
    <w:rsid w:val="0084129D"/>
    <w:rsid w:val="00841D83"/>
    <w:rsid w:val="00841F52"/>
    <w:rsid w:val="00843662"/>
    <w:rsid w:val="00844055"/>
    <w:rsid w:val="00844F9C"/>
    <w:rsid w:val="0084569E"/>
    <w:rsid w:val="00845853"/>
    <w:rsid w:val="00846C99"/>
    <w:rsid w:val="008471EA"/>
    <w:rsid w:val="008479DD"/>
    <w:rsid w:val="008503DB"/>
    <w:rsid w:val="00850CCA"/>
    <w:rsid w:val="00850E8F"/>
    <w:rsid w:val="0085573A"/>
    <w:rsid w:val="00856D4E"/>
    <w:rsid w:val="0085750A"/>
    <w:rsid w:val="008602F8"/>
    <w:rsid w:val="008605E7"/>
    <w:rsid w:val="008628A8"/>
    <w:rsid w:val="008639DC"/>
    <w:rsid w:val="00864002"/>
    <w:rsid w:val="00865673"/>
    <w:rsid w:val="008668D5"/>
    <w:rsid w:val="00866CF1"/>
    <w:rsid w:val="0086743A"/>
    <w:rsid w:val="00867A91"/>
    <w:rsid w:val="008700D9"/>
    <w:rsid w:val="0087161F"/>
    <w:rsid w:val="00871C14"/>
    <w:rsid w:val="0087483F"/>
    <w:rsid w:val="00874E80"/>
    <w:rsid w:val="00875E48"/>
    <w:rsid w:val="0087703C"/>
    <w:rsid w:val="00877E49"/>
    <w:rsid w:val="00881C3A"/>
    <w:rsid w:val="008849F2"/>
    <w:rsid w:val="00884C07"/>
    <w:rsid w:val="008850DC"/>
    <w:rsid w:val="008854EA"/>
    <w:rsid w:val="008872D1"/>
    <w:rsid w:val="008920D9"/>
    <w:rsid w:val="00892368"/>
    <w:rsid w:val="00892ACF"/>
    <w:rsid w:val="00893FC6"/>
    <w:rsid w:val="00897563"/>
    <w:rsid w:val="008A26EA"/>
    <w:rsid w:val="008A3B56"/>
    <w:rsid w:val="008A4392"/>
    <w:rsid w:val="008A5300"/>
    <w:rsid w:val="008A597D"/>
    <w:rsid w:val="008A5A8A"/>
    <w:rsid w:val="008A61EC"/>
    <w:rsid w:val="008A6E17"/>
    <w:rsid w:val="008A7060"/>
    <w:rsid w:val="008A74AE"/>
    <w:rsid w:val="008A770A"/>
    <w:rsid w:val="008A7E3F"/>
    <w:rsid w:val="008B121F"/>
    <w:rsid w:val="008B40C6"/>
    <w:rsid w:val="008B4940"/>
    <w:rsid w:val="008B4E2F"/>
    <w:rsid w:val="008B515A"/>
    <w:rsid w:val="008B53F4"/>
    <w:rsid w:val="008B60DE"/>
    <w:rsid w:val="008B6D1D"/>
    <w:rsid w:val="008B7193"/>
    <w:rsid w:val="008C24C4"/>
    <w:rsid w:val="008C300C"/>
    <w:rsid w:val="008C389D"/>
    <w:rsid w:val="008C6DA3"/>
    <w:rsid w:val="008D07CD"/>
    <w:rsid w:val="008D0F04"/>
    <w:rsid w:val="008D1748"/>
    <w:rsid w:val="008D2CA3"/>
    <w:rsid w:val="008D40A1"/>
    <w:rsid w:val="008D4B43"/>
    <w:rsid w:val="008D6FD8"/>
    <w:rsid w:val="008E1CC2"/>
    <w:rsid w:val="008E23D6"/>
    <w:rsid w:val="008E28EE"/>
    <w:rsid w:val="008E29B3"/>
    <w:rsid w:val="008E377A"/>
    <w:rsid w:val="008E37AF"/>
    <w:rsid w:val="008E3DAF"/>
    <w:rsid w:val="008E3E7F"/>
    <w:rsid w:val="008F0CFD"/>
    <w:rsid w:val="008F13D2"/>
    <w:rsid w:val="008F219A"/>
    <w:rsid w:val="008F3AB9"/>
    <w:rsid w:val="008F49B4"/>
    <w:rsid w:val="008F5065"/>
    <w:rsid w:val="008F6692"/>
    <w:rsid w:val="00900013"/>
    <w:rsid w:val="009011B2"/>
    <w:rsid w:val="009012BD"/>
    <w:rsid w:val="0090290F"/>
    <w:rsid w:val="00902B61"/>
    <w:rsid w:val="00905DA1"/>
    <w:rsid w:val="00906054"/>
    <w:rsid w:val="009064FA"/>
    <w:rsid w:val="00906683"/>
    <w:rsid w:val="009111F2"/>
    <w:rsid w:val="00912665"/>
    <w:rsid w:val="00912DD7"/>
    <w:rsid w:val="00912E55"/>
    <w:rsid w:val="009142EC"/>
    <w:rsid w:val="00914F4C"/>
    <w:rsid w:val="00917B65"/>
    <w:rsid w:val="00917F06"/>
    <w:rsid w:val="009213A1"/>
    <w:rsid w:val="00921883"/>
    <w:rsid w:val="009219DA"/>
    <w:rsid w:val="0092254B"/>
    <w:rsid w:val="00923BDC"/>
    <w:rsid w:val="009249CD"/>
    <w:rsid w:val="009255C9"/>
    <w:rsid w:val="009261B1"/>
    <w:rsid w:val="00927023"/>
    <w:rsid w:val="00927294"/>
    <w:rsid w:val="00930134"/>
    <w:rsid w:val="00930E85"/>
    <w:rsid w:val="00932C25"/>
    <w:rsid w:val="009334C3"/>
    <w:rsid w:val="009349A4"/>
    <w:rsid w:val="009353A0"/>
    <w:rsid w:val="009354DB"/>
    <w:rsid w:val="00940AA7"/>
    <w:rsid w:val="00941B27"/>
    <w:rsid w:val="009431AD"/>
    <w:rsid w:val="00945AFA"/>
    <w:rsid w:val="009460ED"/>
    <w:rsid w:val="00947935"/>
    <w:rsid w:val="00947E4B"/>
    <w:rsid w:val="0095225D"/>
    <w:rsid w:val="00952B28"/>
    <w:rsid w:val="00953049"/>
    <w:rsid w:val="0095363C"/>
    <w:rsid w:val="00954156"/>
    <w:rsid w:val="009556C1"/>
    <w:rsid w:val="00955CB7"/>
    <w:rsid w:val="00955DCB"/>
    <w:rsid w:val="00956DE2"/>
    <w:rsid w:val="00957818"/>
    <w:rsid w:val="00957A7D"/>
    <w:rsid w:val="009622EE"/>
    <w:rsid w:val="0096363F"/>
    <w:rsid w:val="00963A27"/>
    <w:rsid w:val="00964265"/>
    <w:rsid w:val="009649A6"/>
    <w:rsid w:val="0096587B"/>
    <w:rsid w:val="00966EED"/>
    <w:rsid w:val="00967183"/>
    <w:rsid w:val="00967660"/>
    <w:rsid w:val="00967A35"/>
    <w:rsid w:val="00973604"/>
    <w:rsid w:val="00974E65"/>
    <w:rsid w:val="009755BF"/>
    <w:rsid w:val="00975E10"/>
    <w:rsid w:val="0097641E"/>
    <w:rsid w:val="009766C9"/>
    <w:rsid w:val="0097708C"/>
    <w:rsid w:val="00977393"/>
    <w:rsid w:val="00977F01"/>
    <w:rsid w:val="00977F74"/>
    <w:rsid w:val="009800C8"/>
    <w:rsid w:val="00980134"/>
    <w:rsid w:val="009835E6"/>
    <w:rsid w:val="009837F4"/>
    <w:rsid w:val="0098381A"/>
    <w:rsid w:val="009841F0"/>
    <w:rsid w:val="00984689"/>
    <w:rsid w:val="00984F75"/>
    <w:rsid w:val="0098570A"/>
    <w:rsid w:val="0098696B"/>
    <w:rsid w:val="00987EDA"/>
    <w:rsid w:val="00992011"/>
    <w:rsid w:val="00997169"/>
    <w:rsid w:val="00997F5D"/>
    <w:rsid w:val="009A0889"/>
    <w:rsid w:val="009A0F76"/>
    <w:rsid w:val="009A15B0"/>
    <w:rsid w:val="009A1ACA"/>
    <w:rsid w:val="009A220B"/>
    <w:rsid w:val="009A49E1"/>
    <w:rsid w:val="009A52BE"/>
    <w:rsid w:val="009A5CE0"/>
    <w:rsid w:val="009A601D"/>
    <w:rsid w:val="009A6C42"/>
    <w:rsid w:val="009A76FB"/>
    <w:rsid w:val="009B00CF"/>
    <w:rsid w:val="009B0F2A"/>
    <w:rsid w:val="009B26ED"/>
    <w:rsid w:val="009B27D9"/>
    <w:rsid w:val="009B3257"/>
    <w:rsid w:val="009B341B"/>
    <w:rsid w:val="009B3A04"/>
    <w:rsid w:val="009B3BE8"/>
    <w:rsid w:val="009B49F5"/>
    <w:rsid w:val="009B5455"/>
    <w:rsid w:val="009B5F10"/>
    <w:rsid w:val="009B6719"/>
    <w:rsid w:val="009C12CF"/>
    <w:rsid w:val="009C2161"/>
    <w:rsid w:val="009C24D3"/>
    <w:rsid w:val="009C471E"/>
    <w:rsid w:val="009C5FB2"/>
    <w:rsid w:val="009C67BD"/>
    <w:rsid w:val="009C72D1"/>
    <w:rsid w:val="009C7C8B"/>
    <w:rsid w:val="009C7D68"/>
    <w:rsid w:val="009D12AF"/>
    <w:rsid w:val="009D2DE2"/>
    <w:rsid w:val="009D31C9"/>
    <w:rsid w:val="009D3C63"/>
    <w:rsid w:val="009D3E60"/>
    <w:rsid w:val="009D41ED"/>
    <w:rsid w:val="009D46C4"/>
    <w:rsid w:val="009D6A9E"/>
    <w:rsid w:val="009D73EB"/>
    <w:rsid w:val="009E0E2B"/>
    <w:rsid w:val="009E295C"/>
    <w:rsid w:val="009E3011"/>
    <w:rsid w:val="009E3FAA"/>
    <w:rsid w:val="009E4B28"/>
    <w:rsid w:val="009E526F"/>
    <w:rsid w:val="009E6BE7"/>
    <w:rsid w:val="009E7AB0"/>
    <w:rsid w:val="009F1430"/>
    <w:rsid w:val="009F3891"/>
    <w:rsid w:val="009F43F8"/>
    <w:rsid w:val="009F5F5B"/>
    <w:rsid w:val="009F66A1"/>
    <w:rsid w:val="009F7282"/>
    <w:rsid w:val="00A0011D"/>
    <w:rsid w:val="00A0023E"/>
    <w:rsid w:val="00A01FEE"/>
    <w:rsid w:val="00A024C9"/>
    <w:rsid w:val="00A03F09"/>
    <w:rsid w:val="00A0670F"/>
    <w:rsid w:val="00A11684"/>
    <w:rsid w:val="00A13525"/>
    <w:rsid w:val="00A146D5"/>
    <w:rsid w:val="00A151DF"/>
    <w:rsid w:val="00A1527E"/>
    <w:rsid w:val="00A22252"/>
    <w:rsid w:val="00A235A9"/>
    <w:rsid w:val="00A23E66"/>
    <w:rsid w:val="00A26F0A"/>
    <w:rsid w:val="00A3174F"/>
    <w:rsid w:val="00A318BA"/>
    <w:rsid w:val="00A32866"/>
    <w:rsid w:val="00A333C1"/>
    <w:rsid w:val="00A334B4"/>
    <w:rsid w:val="00A348CD"/>
    <w:rsid w:val="00A34D8F"/>
    <w:rsid w:val="00A354DC"/>
    <w:rsid w:val="00A35DB8"/>
    <w:rsid w:val="00A374F0"/>
    <w:rsid w:val="00A37641"/>
    <w:rsid w:val="00A3790E"/>
    <w:rsid w:val="00A42919"/>
    <w:rsid w:val="00A433BB"/>
    <w:rsid w:val="00A435E3"/>
    <w:rsid w:val="00A43BEF"/>
    <w:rsid w:val="00A45A86"/>
    <w:rsid w:val="00A45AD5"/>
    <w:rsid w:val="00A478CD"/>
    <w:rsid w:val="00A50568"/>
    <w:rsid w:val="00A509E2"/>
    <w:rsid w:val="00A50A72"/>
    <w:rsid w:val="00A524D8"/>
    <w:rsid w:val="00A52C43"/>
    <w:rsid w:val="00A52CA3"/>
    <w:rsid w:val="00A53A61"/>
    <w:rsid w:val="00A53FE3"/>
    <w:rsid w:val="00A544B2"/>
    <w:rsid w:val="00A54B28"/>
    <w:rsid w:val="00A54CEA"/>
    <w:rsid w:val="00A54D32"/>
    <w:rsid w:val="00A556E1"/>
    <w:rsid w:val="00A5590E"/>
    <w:rsid w:val="00A55B33"/>
    <w:rsid w:val="00A56816"/>
    <w:rsid w:val="00A56DD0"/>
    <w:rsid w:val="00A60F02"/>
    <w:rsid w:val="00A61BA4"/>
    <w:rsid w:val="00A61CCE"/>
    <w:rsid w:val="00A63FC0"/>
    <w:rsid w:val="00A6633B"/>
    <w:rsid w:val="00A667A5"/>
    <w:rsid w:val="00A67BC4"/>
    <w:rsid w:val="00A71516"/>
    <w:rsid w:val="00A7284B"/>
    <w:rsid w:val="00A728A6"/>
    <w:rsid w:val="00A72C64"/>
    <w:rsid w:val="00A72EE9"/>
    <w:rsid w:val="00A73AD7"/>
    <w:rsid w:val="00A73C78"/>
    <w:rsid w:val="00A74766"/>
    <w:rsid w:val="00A80B01"/>
    <w:rsid w:val="00A81679"/>
    <w:rsid w:val="00A816C2"/>
    <w:rsid w:val="00A8204A"/>
    <w:rsid w:val="00A8233D"/>
    <w:rsid w:val="00A82F50"/>
    <w:rsid w:val="00A840EE"/>
    <w:rsid w:val="00A85AC9"/>
    <w:rsid w:val="00A866CE"/>
    <w:rsid w:val="00A8729D"/>
    <w:rsid w:val="00A87B29"/>
    <w:rsid w:val="00A90206"/>
    <w:rsid w:val="00A90510"/>
    <w:rsid w:val="00A9056F"/>
    <w:rsid w:val="00A9088C"/>
    <w:rsid w:val="00A90A94"/>
    <w:rsid w:val="00A917CB"/>
    <w:rsid w:val="00A917EF"/>
    <w:rsid w:val="00A9181B"/>
    <w:rsid w:val="00A921FD"/>
    <w:rsid w:val="00A92601"/>
    <w:rsid w:val="00A93B87"/>
    <w:rsid w:val="00A9534F"/>
    <w:rsid w:val="00A959E9"/>
    <w:rsid w:val="00A973B8"/>
    <w:rsid w:val="00AA079C"/>
    <w:rsid w:val="00AA0EE1"/>
    <w:rsid w:val="00AA1D9C"/>
    <w:rsid w:val="00AA32C7"/>
    <w:rsid w:val="00AA3DC8"/>
    <w:rsid w:val="00AA447B"/>
    <w:rsid w:val="00AA49FB"/>
    <w:rsid w:val="00AA5032"/>
    <w:rsid w:val="00AA509E"/>
    <w:rsid w:val="00AA5C5E"/>
    <w:rsid w:val="00AA5D53"/>
    <w:rsid w:val="00AA62F4"/>
    <w:rsid w:val="00AA671D"/>
    <w:rsid w:val="00AB05E2"/>
    <w:rsid w:val="00AB072A"/>
    <w:rsid w:val="00AB27D2"/>
    <w:rsid w:val="00AB2AAA"/>
    <w:rsid w:val="00AB2F32"/>
    <w:rsid w:val="00AB348F"/>
    <w:rsid w:val="00AB40AE"/>
    <w:rsid w:val="00AB49B7"/>
    <w:rsid w:val="00AB55F8"/>
    <w:rsid w:val="00AB5620"/>
    <w:rsid w:val="00AB5E99"/>
    <w:rsid w:val="00AB7307"/>
    <w:rsid w:val="00AC1B7D"/>
    <w:rsid w:val="00AC1CC1"/>
    <w:rsid w:val="00AC3596"/>
    <w:rsid w:val="00AC4224"/>
    <w:rsid w:val="00AC551D"/>
    <w:rsid w:val="00AC56DB"/>
    <w:rsid w:val="00AC74BE"/>
    <w:rsid w:val="00AD0FB3"/>
    <w:rsid w:val="00AD10D0"/>
    <w:rsid w:val="00AD17A5"/>
    <w:rsid w:val="00AD18C3"/>
    <w:rsid w:val="00AD22B0"/>
    <w:rsid w:val="00AD33BE"/>
    <w:rsid w:val="00AD36BD"/>
    <w:rsid w:val="00AD37FB"/>
    <w:rsid w:val="00AD3ADD"/>
    <w:rsid w:val="00AD4676"/>
    <w:rsid w:val="00AD49EC"/>
    <w:rsid w:val="00AD7488"/>
    <w:rsid w:val="00AD7581"/>
    <w:rsid w:val="00AD77A7"/>
    <w:rsid w:val="00AD7D74"/>
    <w:rsid w:val="00AE0151"/>
    <w:rsid w:val="00AE1DD7"/>
    <w:rsid w:val="00AE4FD1"/>
    <w:rsid w:val="00AE506A"/>
    <w:rsid w:val="00AE695F"/>
    <w:rsid w:val="00AE745C"/>
    <w:rsid w:val="00AE78AD"/>
    <w:rsid w:val="00AE7CB5"/>
    <w:rsid w:val="00AF0288"/>
    <w:rsid w:val="00AF04FF"/>
    <w:rsid w:val="00AF09DB"/>
    <w:rsid w:val="00AF2246"/>
    <w:rsid w:val="00AF2773"/>
    <w:rsid w:val="00AF3141"/>
    <w:rsid w:val="00AF3A5F"/>
    <w:rsid w:val="00AF3C0C"/>
    <w:rsid w:val="00AF446A"/>
    <w:rsid w:val="00AF50D4"/>
    <w:rsid w:val="00AF5698"/>
    <w:rsid w:val="00AF6DBF"/>
    <w:rsid w:val="00AF74C6"/>
    <w:rsid w:val="00B0229B"/>
    <w:rsid w:val="00B033FB"/>
    <w:rsid w:val="00B061C0"/>
    <w:rsid w:val="00B07D2B"/>
    <w:rsid w:val="00B07D9F"/>
    <w:rsid w:val="00B11568"/>
    <w:rsid w:val="00B117E0"/>
    <w:rsid w:val="00B11C8F"/>
    <w:rsid w:val="00B14F4E"/>
    <w:rsid w:val="00B152D5"/>
    <w:rsid w:val="00B16952"/>
    <w:rsid w:val="00B16A10"/>
    <w:rsid w:val="00B17A10"/>
    <w:rsid w:val="00B17BAA"/>
    <w:rsid w:val="00B17CC4"/>
    <w:rsid w:val="00B17FA3"/>
    <w:rsid w:val="00B20AE9"/>
    <w:rsid w:val="00B216DA"/>
    <w:rsid w:val="00B2207C"/>
    <w:rsid w:val="00B220FC"/>
    <w:rsid w:val="00B23059"/>
    <w:rsid w:val="00B238FF"/>
    <w:rsid w:val="00B2580A"/>
    <w:rsid w:val="00B258FF"/>
    <w:rsid w:val="00B25DDC"/>
    <w:rsid w:val="00B27BE9"/>
    <w:rsid w:val="00B30CEC"/>
    <w:rsid w:val="00B3131B"/>
    <w:rsid w:val="00B31D5A"/>
    <w:rsid w:val="00B31DA2"/>
    <w:rsid w:val="00B32BFC"/>
    <w:rsid w:val="00B32FB0"/>
    <w:rsid w:val="00B33C87"/>
    <w:rsid w:val="00B33CEA"/>
    <w:rsid w:val="00B33DD3"/>
    <w:rsid w:val="00B35632"/>
    <w:rsid w:val="00B40131"/>
    <w:rsid w:val="00B408FA"/>
    <w:rsid w:val="00B41D37"/>
    <w:rsid w:val="00B41E6B"/>
    <w:rsid w:val="00B42405"/>
    <w:rsid w:val="00B427D0"/>
    <w:rsid w:val="00B42AB0"/>
    <w:rsid w:val="00B42CD0"/>
    <w:rsid w:val="00B43F4B"/>
    <w:rsid w:val="00B4407A"/>
    <w:rsid w:val="00B47D92"/>
    <w:rsid w:val="00B47F8C"/>
    <w:rsid w:val="00B5006E"/>
    <w:rsid w:val="00B50A98"/>
    <w:rsid w:val="00B525AD"/>
    <w:rsid w:val="00B54B5F"/>
    <w:rsid w:val="00B54B92"/>
    <w:rsid w:val="00B60DC7"/>
    <w:rsid w:val="00B62256"/>
    <w:rsid w:val="00B635C4"/>
    <w:rsid w:val="00B641A8"/>
    <w:rsid w:val="00B65828"/>
    <w:rsid w:val="00B6686A"/>
    <w:rsid w:val="00B71396"/>
    <w:rsid w:val="00B7448C"/>
    <w:rsid w:val="00B74B1D"/>
    <w:rsid w:val="00B76F4F"/>
    <w:rsid w:val="00B774BB"/>
    <w:rsid w:val="00B77EB5"/>
    <w:rsid w:val="00B77F8D"/>
    <w:rsid w:val="00B81DD9"/>
    <w:rsid w:val="00B8768A"/>
    <w:rsid w:val="00B876A1"/>
    <w:rsid w:val="00B876F4"/>
    <w:rsid w:val="00B9112A"/>
    <w:rsid w:val="00B91413"/>
    <w:rsid w:val="00B91A86"/>
    <w:rsid w:val="00B932DE"/>
    <w:rsid w:val="00B95458"/>
    <w:rsid w:val="00B95899"/>
    <w:rsid w:val="00B96410"/>
    <w:rsid w:val="00BA1835"/>
    <w:rsid w:val="00BA1F0A"/>
    <w:rsid w:val="00BA35F2"/>
    <w:rsid w:val="00BA4589"/>
    <w:rsid w:val="00BA51E3"/>
    <w:rsid w:val="00BA5327"/>
    <w:rsid w:val="00BA66B8"/>
    <w:rsid w:val="00BB09E0"/>
    <w:rsid w:val="00BB1B53"/>
    <w:rsid w:val="00BB2512"/>
    <w:rsid w:val="00BB3390"/>
    <w:rsid w:val="00BB451F"/>
    <w:rsid w:val="00BB5805"/>
    <w:rsid w:val="00BB5859"/>
    <w:rsid w:val="00BB6A08"/>
    <w:rsid w:val="00BC0DE1"/>
    <w:rsid w:val="00BC115B"/>
    <w:rsid w:val="00BC2B4F"/>
    <w:rsid w:val="00BC31B8"/>
    <w:rsid w:val="00BC4441"/>
    <w:rsid w:val="00BD0238"/>
    <w:rsid w:val="00BD0856"/>
    <w:rsid w:val="00BD2AA9"/>
    <w:rsid w:val="00BE00B6"/>
    <w:rsid w:val="00BE4204"/>
    <w:rsid w:val="00BE48C0"/>
    <w:rsid w:val="00BF1F56"/>
    <w:rsid w:val="00BF40F9"/>
    <w:rsid w:val="00BF58D0"/>
    <w:rsid w:val="00BF6EED"/>
    <w:rsid w:val="00BF7689"/>
    <w:rsid w:val="00C0042E"/>
    <w:rsid w:val="00C01BDD"/>
    <w:rsid w:val="00C023C1"/>
    <w:rsid w:val="00C02E0F"/>
    <w:rsid w:val="00C0475D"/>
    <w:rsid w:val="00C05789"/>
    <w:rsid w:val="00C0605C"/>
    <w:rsid w:val="00C060CA"/>
    <w:rsid w:val="00C061A0"/>
    <w:rsid w:val="00C07C01"/>
    <w:rsid w:val="00C10096"/>
    <w:rsid w:val="00C117E5"/>
    <w:rsid w:val="00C12058"/>
    <w:rsid w:val="00C13B82"/>
    <w:rsid w:val="00C13BA8"/>
    <w:rsid w:val="00C13BBB"/>
    <w:rsid w:val="00C15432"/>
    <w:rsid w:val="00C175B1"/>
    <w:rsid w:val="00C209A5"/>
    <w:rsid w:val="00C20AE4"/>
    <w:rsid w:val="00C20BB0"/>
    <w:rsid w:val="00C222D7"/>
    <w:rsid w:val="00C23511"/>
    <w:rsid w:val="00C23FAC"/>
    <w:rsid w:val="00C25A0E"/>
    <w:rsid w:val="00C25B76"/>
    <w:rsid w:val="00C27D49"/>
    <w:rsid w:val="00C301E2"/>
    <w:rsid w:val="00C34A4F"/>
    <w:rsid w:val="00C3746A"/>
    <w:rsid w:val="00C37C69"/>
    <w:rsid w:val="00C41424"/>
    <w:rsid w:val="00C42250"/>
    <w:rsid w:val="00C428C1"/>
    <w:rsid w:val="00C43864"/>
    <w:rsid w:val="00C439DD"/>
    <w:rsid w:val="00C44013"/>
    <w:rsid w:val="00C50B60"/>
    <w:rsid w:val="00C53535"/>
    <w:rsid w:val="00C53CCE"/>
    <w:rsid w:val="00C54C18"/>
    <w:rsid w:val="00C55066"/>
    <w:rsid w:val="00C556F1"/>
    <w:rsid w:val="00C55A23"/>
    <w:rsid w:val="00C602D2"/>
    <w:rsid w:val="00C6157D"/>
    <w:rsid w:val="00C62245"/>
    <w:rsid w:val="00C627C1"/>
    <w:rsid w:val="00C6282D"/>
    <w:rsid w:val="00C633EA"/>
    <w:rsid w:val="00C643C9"/>
    <w:rsid w:val="00C6511C"/>
    <w:rsid w:val="00C66021"/>
    <w:rsid w:val="00C66D50"/>
    <w:rsid w:val="00C67F81"/>
    <w:rsid w:val="00C707B9"/>
    <w:rsid w:val="00C747B9"/>
    <w:rsid w:val="00C75E4C"/>
    <w:rsid w:val="00C76011"/>
    <w:rsid w:val="00C77BFA"/>
    <w:rsid w:val="00C80ABE"/>
    <w:rsid w:val="00C80B83"/>
    <w:rsid w:val="00C83D7B"/>
    <w:rsid w:val="00C8430F"/>
    <w:rsid w:val="00C84D46"/>
    <w:rsid w:val="00C854A1"/>
    <w:rsid w:val="00C85F62"/>
    <w:rsid w:val="00C860B6"/>
    <w:rsid w:val="00C87992"/>
    <w:rsid w:val="00C93249"/>
    <w:rsid w:val="00C93425"/>
    <w:rsid w:val="00C939D9"/>
    <w:rsid w:val="00C94795"/>
    <w:rsid w:val="00CA07E1"/>
    <w:rsid w:val="00CA0ED1"/>
    <w:rsid w:val="00CA1C35"/>
    <w:rsid w:val="00CA5777"/>
    <w:rsid w:val="00CA5D9C"/>
    <w:rsid w:val="00CB03BB"/>
    <w:rsid w:val="00CB09AF"/>
    <w:rsid w:val="00CB1B0B"/>
    <w:rsid w:val="00CB2177"/>
    <w:rsid w:val="00CB2332"/>
    <w:rsid w:val="00CB6881"/>
    <w:rsid w:val="00CB7099"/>
    <w:rsid w:val="00CB714A"/>
    <w:rsid w:val="00CB7F3C"/>
    <w:rsid w:val="00CC06C8"/>
    <w:rsid w:val="00CC1771"/>
    <w:rsid w:val="00CC37F5"/>
    <w:rsid w:val="00CC3ED8"/>
    <w:rsid w:val="00CC7DF3"/>
    <w:rsid w:val="00CD02D8"/>
    <w:rsid w:val="00CD08B7"/>
    <w:rsid w:val="00CD20F3"/>
    <w:rsid w:val="00CD4610"/>
    <w:rsid w:val="00CD5BE1"/>
    <w:rsid w:val="00CD6089"/>
    <w:rsid w:val="00CD62B7"/>
    <w:rsid w:val="00CD69FD"/>
    <w:rsid w:val="00CD70AA"/>
    <w:rsid w:val="00CE0F1D"/>
    <w:rsid w:val="00CE3108"/>
    <w:rsid w:val="00CE44E2"/>
    <w:rsid w:val="00CE4820"/>
    <w:rsid w:val="00CE713B"/>
    <w:rsid w:val="00CE76EB"/>
    <w:rsid w:val="00CE7DB5"/>
    <w:rsid w:val="00CE7FA2"/>
    <w:rsid w:val="00CF0431"/>
    <w:rsid w:val="00CF088B"/>
    <w:rsid w:val="00CF0965"/>
    <w:rsid w:val="00CF2332"/>
    <w:rsid w:val="00CF2662"/>
    <w:rsid w:val="00CF4635"/>
    <w:rsid w:val="00CF6387"/>
    <w:rsid w:val="00CF6937"/>
    <w:rsid w:val="00CF7896"/>
    <w:rsid w:val="00D00365"/>
    <w:rsid w:val="00D00430"/>
    <w:rsid w:val="00D00E5F"/>
    <w:rsid w:val="00D033B8"/>
    <w:rsid w:val="00D03BCF"/>
    <w:rsid w:val="00D041E4"/>
    <w:rsid w:val="00D04B1F"/>
    <w:rsid w:val="00D060F1"/>
    <w:rsid w:val="00D1082B"/>
    <w:rsid w:val="00D113B9"/>
    <w:rsid w:val="00D11A14"/>
    <w:rsid w:val="00D120FE"/>
    <w:rsid w:val="00D139CE"/>
    <w:rsid w:val="00D13DBC"/>
    <w:rsid w:val="00D14385"/>
    <w:rsid w:val="00D14AD5"/>
    <w:rsid w:val="00D15CD1"/>
    <w:rsid w:val="00D1627D"/>
    <w:rsid w:val="00D17442"/>
    <w:rsid w:val="00D17D8E"/>
    <w:rsid w:val="00D21394"/>
    <w:rsid w:val="00D21481"/>
    <w:rsid w:val="00D227DB"/>
    <w:rsid w:val="00D22905"/>
    <w:rsid w:val="00D238C2"/>
    <w:rsid w:val="00D23997"/>
    <w:rsid w:val="00D23C6A"/>
    <w:rsid w:val="00D250E9"/>
    <w:rsid w:val="00D25709"/>
    <w:rsid w:val="00D259CA"/>
    <w:rsid w:val="00D26224"/>
    <w:rsid w:val="00D268CD"/>
    <w:rsid w:val="00D27B51"/>
    <w:rsid w:val="00D30EE6"/>
    <w:rsid w:val="00D3181C"/>
    <w:rsid w:val="00D3288C"/>
    <w:rsid w:val="00D32AED"/>
    <w:rsid w:val="00D32E0D"/>
    <w:rsid w:val="00D36451"/>
    <w:rsid w:val="00D379FD"/>
    <w:rsid w:val="00D4092C"/>
    <w:rsid w:val="00D40EBF"/>
    <w:rsid w:val="00D420D5"/>
    <w:rsid w:val="00D43D7F"/>
    <w:rsid w:val="00D4534B"/>
    <w:rsid w:val="00D461EF"/>
    <w:rsid w:val="00D4667C"/>
    <w:rsid w:val="00D467F3"/>
    <w:rsid w:val="00D46C6E"/>
    <w:rsid w:val="00D508C3"/>
    <w:rsid w:val="00D514A0"/>
    <w:rsid w:val="00D5402F"/>
    <w:rsid w:val="00D562B2"/>
    <w:rsid w:val="00D56863"/>
    <w:rsid w:val="00D57C41"/>
    <w:rsid w:val="00D605DC"/>
    <w:rsid w:val="00D610D3"/>
    <w:rsid w:val="00D61B02"/>
    <w:rsid w:val="00D62639"/>
    <w:rsid w:val="00D63882"/>
    <w:rsid w:val="00D701E5"/>
    <w:rsid w:val="00D7256E"/>
    <w:rsid w:val="00D7269A"/>
    <w:rsid w:val="00D74BD1"/>
    <w:rsid w:val="00D74FD5"/>
    <w:rsid w:val="00D76274"/>
    <w:rsid w:val="00D81728"/>
    <w:rsid w:val="00D81B79"/>
    <w:rsid w:val="00D84CE0"/>
    <w:rsid w:val="00D84F84"/>
    <w:rsid w:val="00D864A7"/>
    <w:rsid w:val="00D86D57"/>
    <w:rsid w:val="00D86D8C"/>
    <w:rsid w:val="00D87512"/>
    <w:rsid w:val="00D90D02"/>
    <w:rsid w:val="00D914D0"/>
    <w:rsid w:val="00D9485E"/>
    <w:rsid w:val="00D94C6C"/>
    <w:rsid w:val="00D958BB"/>
    <w:rsid w:val="00D95A91"/>
    <w:rsid w:val="00D95A96"/>
    <w:rsid w:val="00D96B2E"/>
    <w:rsid w:val="00D97ADC"/>
    <w:rsid w:val="00D97B0B"/>
    <w:rsid w:val="00DA21AC"/>
    <w:rsid w:val="00DA38AA"/>
    <w:rsid w:val="00DA3ADB"/>
    <w:rsid w:val="00DA40A0"/>
    <w:rsid w:val="00DA63BF"/>
    <w:rsid w:val="00DA6A97"/>
    <w:rsid w:val="00DA77A2"/>
    <w:rsid w:val="00DA78CF"/>
    <w:rsid w:val="00DA7A10"/>
    <w:rsid w:val="00DA7E93"/>
    <w:rsid w:val="00DB027E"/>
    <w:rsid w:val="00DB1951"/>
    <w:rsid w:val="00DB260F"/>
    <w:rsid w:val="00DB28A8"/>
    <w:rsid w:val="00DB2B57"/>
    <w:rsid w:val="00DB2C23"/>
    <w:rsid w:val="00DB2F9F"/>
    <w:rsid w:val="00DB5AB8"/>
    <w:rsid w:val="00DB78DE"/>
    <w:rsid w:val="00DC1188"/>
    <w:rsid w:val="00DC23E9"/>
    <w:rsid w:val="00DC2A5D"/>
    <w:rsid w:val="00DC5412"/>
    <w:rsid w:val="00DC71C5"/>
    <w:rsid w:val="00DD0855"/>
    <w:rsid w:val="00DD215D"/>
    <w:rsid w:val="00DD2183"/>
    <w:rsid w:val="00DD4595"/>
    <w:rsid w:val="00DD648A"/>
    <w:rsid w:val="00DD68A2"/>
    <w:rsid w:val="00DE06C9"/>
    <w:rsid w:val="00DE0D7A"/>
    <w:rsid w:val="00DE299E"/>
    <w:rsid w:val="00DE2F5C"/>
    <w:rsid w:val="00DE358B"/>
    <w:rsid w:val="00DE4116"/>
    <w:rsid w:val="00DE44F4"/>
    <w:rsid w:val="00DE5D9D"/>
    <w:rsid w:val="00DE6F9B"/>
    <w:rsid w:val="00DE78E7"/>
    <w:rsid w:val="00DF13EF"/>
    <w:rsid w:val="00DF1915"/>
    <w:rsid w:val="00DF278E"/>
    <w:rsid w:val="00DF293C"/>
    <w:rsid w:val="00DF5A80"/>
    <w:rsid w:val="00DF5D83"/>
    <w:rsid w:val="00DF6482"/>
    <w:rsid w:val="00DF64FF"/>
    <w:rsid w:val="00DF7371"/>
    <w:rsid w:val="00E02558"/>
    <w:rsid w:val="00E03325"/>
    <w:rsid w:val="00E03D07"/>
    <w:rsid w:val="00E06FB3"/>
    <w:rsid w:val="00E11A7E"/>
    <w:rsid w:val="00E12978"/>
    <w:rsid w:val="00E206D5"/>
    <w:rsid w:val="00E208F8"/>
    <w:rsid w:val="00E21C87"/>
    <w:rsid w:val="00E21DC8"/>
    <w:rsid w:val="00E23C33"/>
    <w:rsid w:val="00E24D13"/>
    <w:rsid w:val="00E24D86"/>
    <w:rsid w:val="00E25EC2"/>
    <w:rsid w:val="00E277DF"/>
    <w:rsid w:val="00E27964"/>
    <w:rsid w:val="00E31C52"/>
    <w:rsid w:val="00E32242"/>
    <w:rsid w:val="00E328A0"/>
    <w:rsid w:val="00E355F8"/>
    <w:rsid w:val="00E35670"/>
    <w:rsid w:val="00E366BC"/>
    <w:rsid w:val="00E3758D"/>
    <w:rsid w:val="00E37795"/>
    <w:rsid w:val="00E37D3E"/>
    <w:rsid w:val="00E409D1"/>
    <w:rsid w:val="00E42018"/>
    <w:rsid w:val="00E43267"/>
    <w:rsid w:val="00E433A0"/>
    <w:rsid w:val="00E442F8"/>
    <w:rsid w:val="00E47DB6"/>
    <w:rsid w:val="00E50189"/>
    <w:rsid w:val="00E50E5B"/>
    <w:rsid w:val="00E5149A"/>
    <w:rsid w:val="00E5189A"/>
    <w:rsid w:val="00E51EAB"/>
    <w:rsid w:val="00E52034"/>
    <w:rsid w:val="00E5234D"/>
    <w:rsid w:val="00E5379A"/>
    <w:rsid w:val="00E53EBA"/>
    <w:rsid w:val="00E5428A"/>
    <w:rsid w:val="00E56795"/>
    <w:rsid w:val="00E56F28"/>
    <w:rsid w:val="00E60773"/>
    <w:rsid w:val="00E60BE8"/>
    <w:rsid w:val="00E6155E"/>
    <w:rsid w:val="00E63C04"/>
    <w:rsid w:val="00E63D11"/>
    <w:rsid w:val="00E67A67"/>
    <w:rsid w:val="00E712FD"/>
    <w:rsid w:val="00E71D9A"/>
    <w:rsid w:val="00E723D0"/>
    <w:rsid w:val="00E7269A"/>
    <w:rsid w:val="00E73280"/>
    <w:rsid w:val="00E73D94"/>
    <w:rsid w:val="00E756EB"/>
    <w:rsid w:val="00E75916"/>
    <w:rsid w:val="00E765E7"/>
    <w:rsid w:val="00E77159"/>
    <w:rsid w:val="00E80918"/>
    <w:rsid w:val="00E82EA8"/>
    <w:rsid w:val="00E84094"/>
    <w:rsid w:val="00E84CCF"/>
    <w:rsid w:val="00E8622F"/>
    <w:rsid w:val="00E86D75"/>
    <w:rsid w:val="00E870B0"/>
    <w:rsid w:val="00E90AA5"/>
    <w:rsid w:val="00E93BAE"/>
    <w:rsid w:val="00E94EA7"/>
    <w:rsid w:val="00E97186"/>
    <w:rsid w:val="00E97559"/>
    <w:rsid w:val="00E977BF"/>
    <w:rsid w:val="00E97F94"/>
    <w:rsid w:val="00EA01C9"/>
    <w:rsid w:val="00EA027B"/>
    <w:rsid w:val="00EA0C14"/>
    <w:rsid w:val="00EA1712"/>
    <w:rsid w:val="00EA1BEF"/>
    <w:rsid w:val="00EA1D8D"/>
    <w:rsid w:val="00EA2B01"/>
    <w:rsid w:val="00EA2B1E"/>
    <w:rsid w:val="00EA49F7"/>
    <w:rsid w:val="00EA5C91"/>
    <w:rsid w:val="00EA6533"/>
    <w:rsid w:val="00EA6DFB"/>
    <w:rsid w:val="00EA6ED8"/>
    <w:rsid w:val="00EA6FA7"/>
    <w:rsid w:val="00EA7FC4"/>
    <w:rsid w:val="00EB076B"/>
    <w:rsid w:val="00EB33A1"/>
    <w:rsid w:val="00EB45A7"/>
    <w:rsid w:val="00EB4622"/>
    <w:rsid w:val="00EB487B"/>
    <w:rsid w:val="00EB5410"/>
    <w:rsid w:val="00EB5800"/>
    <w:rsid w:val="00EB5E1C"/>
    <w:rsid w:val="00EB76E0"/>
    <w:rsid w:val="00EC0CFE"/>
    <w:rsid w:val="00EC21EF"/>
    <w:rsid w:val="00EC53A9"/>
    <w:rsid w:val="00EC55FD"/>
    <w:rsid w:val="00EC5B3C"/>
    <w:rsid w:val="00EC5EAC"/>
    <w:rsid w:val="00EC6B85"/>
    <w:rsid w:val="00EC6BA2"/>
    <w:rsid w:val="00EC7E87"/>
    <w:rsid w:val="00ED2072"/>
    <w:rsid w:val="00ED222C"/>
    <w:rsid w:val="00ED3337"/>
    <w:rsid w:val="00ED4026"/>
    <w:rsid w:val="00ED5604"/>
    <w:rsid w:val="00ED5E5F"/>
    <w:rsid w:val="00ED6DED"/>
    <w:rsid w:val="00EE24B1"/>
    <w:rsid w:val="00EE24D1"/>
    <w:rsid w:val="00EE263B"/>
    <w:rsid w:val="00EE377F"/>
    <w:rsid w:val="00EE3BC6"/>
    <w:rsid w:val="00EE3FE1"/>
    <w:rsid w:val="00EE4085"/>
    <w:rsid w:val="00EE5788"/>
    <w:rsid w:val="00EE59C5"/>
    <w:rsid w:val="00EE6673"/>
    <w:rsid w:val="00EE7CE1"/>
    <w:rsid w:val="00EF1531"/>
    <w:rsid w:val="00EF49AC"/>
    <w:rsid w:val="00EF4BF4"/>
    <w:rsid w:val="00EF6C0D"/>
    <w:rsid w:val="00F0174A"/>
    <w:rsid w:val="00F02807"/>
    <w:rsid w:val="00F02927"/>
    <w:rsid w:val="00F02A06"/>
    <w:rsid w:val="00F04CD7"/>
    <w:rsid w:val="00F055AF"/>
    <w:rsid w:val="00F0589E"/>
    <w:rsid w:val="00F06BDB"/>
    <w:rsid w:val="00F1149E"/>
    <w:rsid w:val="00F116E6"/>
    <w:rsid w:val="00F11877"/>
    <w:rsid w:val="00F1276B"/>
    <w:rsid w:val="00F1277D"/>
    <w:rsid w:val="00F12ED7"/>
    <w:rsid w:val="00F138AB"/>
    <w:rsid w:val="00F15B8A"/>
    <w:rsid w:val="00F16260"/>
    <w:rsid w:val="00F17825"/>
    <w:rsid w:val="00F17ADF"/>
    <w:rsid w:val="00F17EB9"/>
    <w:rsid w:val="00F20145"/>
    <w:rsid w:val="00F20DFF"/>
    <w:rsid w:val="00F2150D"/>
    <w:rsid w:val="00F22A7B"/>
    <w:rsid w:val="00F239B9"/>
    <w:rsid w:val="00F24D0B"/>
    <w:rsid w:val="00F2622A"/>
    <w:rsid w:val="00F2647E"/>
    <w:rsid w:val="00F26CCE"/>
    <w:rsid w:val="00F26DA7"/>
    <w:rsid w:val="00F275B2"/>
    <w:rsid w:val="00F27BF4"/>
    <w:rsid w:val="00F30588"/>
    <w:rsid w:val="00F30AF1"/>
    <w:rsid w:val="00F312F8"/>
    <w:rsid w:val="00F34C84"/>
    <w:rsid w:val="00F36123"/>
    <w:rsid w:val="00F36C55"/>
    <w:rsid w:val="00F41575"/>
    <w:rsid w:val="00F41692"/>
    <w:rsid w:val="00F43D41"/>
    <w:rsid w:val="00F466A3"/>
    <w:rsid w:val="00F467B5"/>
    <w:rsid w:val="00F46A05"/>
    <w:rsid w:val="00F46F3D"/>
    <w:rsid w:val="00F500F0"/>
    <w:rsid w:val="00F501CB"/>
    <w:rsid w:val="00F50C0F"/>
    <w:rsid w:val="00F50C6A"/>
    <w:rsid w:val="00F538FA"/>
    <w:rsid w:val="00F55B89"/>
    <w:rsid w:val="00F57D5E"/>
    <w:rsid w:val="00F6058A"/>
    <w:rsid w:val="00F6149C"/>
    <w:rsid w:val="00F6173E"/>
    <w:rsid w:val="00F6523B"/>
    <w:rsid w:val="00F6559E"/>
    <w:rsid w:val="00F709CE"/>
    <w:rsid w:val="00F71986"/>
    <w:rsid w:val="00F71A05"/>
    <w:rsid w:val="00F73061"/>
    <w:rsid w:val="00F736AC"/>
    <w:rsid w:val="00F74F83"/>
    <w:rsid w:val="00F7629D"/>
    <w:rsid w:val="00F7732B"/>
    <w:rsid w:val="00F81AEC"/>
    <w:rsid w:val="00F83411"/>
    <w:rsid w:val="00F843AB"/>
    <w:rsid w:val="00F84767"/>
    <w:rsid w:val="00F85934"/>
    <w:rsid w:val="00F85EEC"/>
    <w:rsid w:val="00F866CF"/>
    <w:rsid w:val="00F86F18"/>
    <w:rsid w:val="00F875DF"/>
    <w:rsid w:val="00F900CA"/>
    <w:rsid w:val="00F90385"/>
    <w:rsid w:val="00F916C4"/>
    <w:rsid w:val="00F91C63"/>
    <w:rsid w:val="00F93358"/>
    <w:rsid w:val="00F945C8"/>
    <w:rsid w:val="00F9478F"/>
    <w:rsid w:val="00F94BF3"/>
    <w:rsid w:val="00F956A1"/>
    <w:rsid w:val="00F9739F"/>
    <w:rsid w:val="00F9798D"/>
    <w:rsid w:val="00FA3522"/>
    <w:rsid w:val="00FA3895"/>
    <w:rsid w:val="00FA4098"/>
    <w:rsid w:val="00FA429B"/>
    <w:rsid w:val="00FA49B5"/>
    <w:rsid w:val="00FA4FAB"/>
    <w:rsid w:val="00FA5ADA"/>
    <w:rsid w:val="00FB1E48"/>
    <w:rsid w:val="00FB216C"/>
    <w:rsid w:val="00FB4469"/>
    <w:rsid w:val="00FB44C8"/>
    <w:rsid w:val="00FB6B48"/>
    <w:rsid w:val="00FB764E"/>
    <w:rsid w:val="00FC101D"/>
    <w:rsid w:val="00FC1E7F"/>
    <w:rsid w:val="00FC2F8E"/>
    <w:rsid w:val="00FC51C9"/>
    <w:rsid w:val="00FC6768"/>
    <w:rsid w:val="00FC6AD3"/>
    <w:rsid w:val="00FC6DBF"/>
    <w:rsid w:val="00FC7C57"/>
    <w:rsid w:val="00FC7F7D"/>
    <w:rsid w:val="00FD072A"/>
    <w:rsid w:val="00FD33D2"/>
    <w:rsid w:val="00FD4D8B"/>
    <w:rsid w:val="00FD4E6F"/>
    <w:rsid w:val="00FD5D17"/>
    <w:rsid w:val="00FD69D5"/>
    <w:rsid w:val="00FE0614"/>
    <w:rsid w:val="00FE061F"/>
    <w:rsid w:val="00FE1A52"/>
    <w:rsid w:val="00FE284E"/>
    <w:rsid w:val="00FE2BB8"/>
    <w:rsid w:val="00FF1508"/>
    <w:rsid w:val="00FF1604"/>
    <w:rsid w:val="00FF4AD3"/>
    <w:rsid w:val="00FF5526"/>
    <w:rsid w:val="00FF5E19"/>
    <w:rsid w:val="00FF7A94"/>
    <w:rsid w:val="010742D5"/>
    <w:rsid w:val="010F7B98"/>
    <w:rsid w:val="01270A4D"/>
    <w:rsid w:val="01851778"/>
    <w:rsid w:val="01A729ED"/>
    <w:rsid w:val="01AE11E6"/>
    <w:rsid w:val="01B729F0"/>
    <w:rsid w:val="01E96BCD"/>
    <w:rsid w:val="01F53A09"/>
    <w:rsid w:val="02222883"/>
    <w:rsid w:val="02A01370"/>
    <w:rsid w:val="02C62BA9"/>
    <w:rsid w:val="034C79A8"/>
    <w:rsid w:val="035E327D"/>
    <w:rsid w:val="03624C71"/>
    <w:rsid w:val="037171B2"/>
    <w:rsid w:val="03723D7D"/>
    <w:rsid w:val="03A55E37"/>
    <w:rsid w:val="04071573"/>
    <w:rsid w:val="04357EE7"/>
    <w:rsid w:val="043E0AAC"/>
    <w:rsid w:val="044F2C90"/>
    <w:rsid w:val="045B2245"/>
    <w:rsid w:val="04604D98"/>
    <w:rsid w:val="04762FE4"/>
    <w:rsid w:val="048361AE"/>
    <w:rsid w:val="048962DE"/>
    <w:rsid w:val="04C403D8"/>
    <w:rsid w:val="04DA625A"/>
    <w:rsid w:val="04EF476C"/>
    <w:rsid w:val="0528054A"/>
    <w:rsid w:val="05287815"/>
    <w:rsid w:val="052D2D41"/>
    <w:rsid w:val="0538232A"/>
    <w:rsid w:val="0552233D"/>
    <w:rsid w:val="05782C43"/>
    <w:rsid w:val="05903056"/>
    <w:rsid w:val="05B01B1D"/>
    <w:rsid w:val="05E17C80"/>
    <w:rsid w:val="05E55725"/>
    <w:rsid w:val="05E5760D"/>
    <w:rsid w:val="06066F04"/>
    <w:rsid w:val="0639353C"/>
    <w:rsid w:val="06474E34"/>
    <w:rsid w:val="06484055"/>
    <w:rsid w:val="065949DD"/>
    <w:rsid w:val="06653EC4"/>
    <w:rsid w:val="0699402C"/>
    <w:rsid w:val="069C64C8"/>
    <w:rsid w:val="06A0112C"/>
    <w:rsid w:val="06A81BEC"/>
    <w:rsid w:val="06DC60DB"/>
    <w:rsid w:val="06F44F8B"/>
    <w:rsid w:val="06F84851"/>
    <w:rsid w:val="06FB0045"/>
    <w:rsid w:val="077B362D"/>
    <w:rsid w:val="079A6E72"/>
    <w:rsid w:val="079F3EE7"/>
    <w:rsid w:val="07AA1AB7"/>
    <w:rsid w:val="07DF5164"/>
    <w:rsid w:val="07E50580"/>
    <w:rsid w:val="07EE133F"/>
    <w:rsid w:val="08065B86"/>
    <w:rsid w:val="08274ACF"/>
    <w:rsid w:val="08310251"/>
    <w:rsid w:val="084703F0"/>
    <w:rsid w:val="08696EDC"/>
    <w:rsid w:val="08705B4A"/>
    <w:rsid w:val="087A7753"/>
    <w:rsid w:val="08814CE3"/>
    <w:rsid w:val="08884C10"/>
    <w:rsid w:val="08986544"/>
    <w:rsid w:val="08BB6846"/>
    <w:rsid w:val="08D55A74"/>
    <w:rsid w:val="08DC3175"/>
    <w:rsid w:val="08E052CE"/>
    <w:rsid w:val="08FD3C48"/>
    <w:rsid w:val="09161D47"/>
    <w:rsid w:val="093D3ABC"/>
    <w:rsid w:val="09CE19BC"/>
    <w:rsid w:val="09E70A54"/>
    <w:rsid w:val="09E84CCD"/>
    <w:rsid w:val="0A051115"/>
    <w:rsid w:val="0A3A5C5D"/>
    <w:rsid w:val="0A8528D5"/>
    <w:rsid w:val="0A8A0A3A"/>
    <w:rsid w:val="0AB52BD8"/>
    <w:rsid w:val="0AD56F1F"/>
    <w:rsid w:val="0AEA3C8C"/>
    <w:rsid w:val="0B1E0CF0"/>
    <w:rsid w:val="0B1E2894"/>
    <w:rsid w:val="0B3A637F"/>
    <w:rsid w:val="0BCE1370"/>
    <w:rsid w:val="0BCF240A"/>
    <w:rsid w:val="0BD84E5C"/>
    <w:rsid w:val="0BE34CD8"/>
    <w:rsid w:val="0BE83010"/>
    <w:rsid w:val="0BF47D4E"/>
    <w:rsid w:val="0BF86799"/>
    <w:rsid w:val="0C377F1F"/>
    <w:rsid w:val="0C516743"/>
    <w:rsid w:val="0C5D1BDB"/>
    <w:rsid w:val="0C7E2237"/>
    <w:rsid w:val="0CA34118"/>
    <w:rsid w:val="0CA758F8"/>
    <w:rsid w:val="0CCD457A"/>
    <w:rsid w:val="0CED2959"/>
    <w:rsid w:val="0CEF3BF8"/>
    <w:rsid w:val="0D000761"/>
    <w:rsid w:val="0D3F7F2E"/>
    <w:rsid w:val="0D6344EC"/>
    <w:rsid w:val="0D705EC6"/>
    <w:rsid w:val="0D7446FA"/>
    <w:rsid w:val="0DB14507"/>
    <w:rsid w:val="0DB757B9"/>
    <w:rsid w:val="0DE545F3"/>
    <w:rsid w:val="0DE7555E"/>
    <w:rsid w:val="0E072513"/>
    <w:rsid w:val="0F0D0D2C"/>
    <w:rsid w:val="0F385060"/>
    <w:rsid w:val="0F58781F"/>
    <w:rsid w:val="0F5D7625"/>
    <w:rsid w:val="0F6147A2"/>
    <w:rsid w:val="0F86061B"/>
    <w:rsid w:val="0FC27645"/>
    <w:rsid w:val="0FD4645C"/>
    <w:rsid w:val="1007199F"/>
    <w:rsid w:val="101A3630"/>
    <w:rsid w:val="102C199B"/>
    <w:rsid w:val="105576A8"/>
    <w:rsid w:val="10BE1B05"/>
    <w:rsid w:val="10C64B9C"/>
    <w:rsid w:val="10CB7C05"/>
    <w:rsid w:val="10CF3933"/>
    <w:rsid w:val="10FD1FE7"/>
    <w:rsid w:val="113A3727"/>
    <w:rsid w:val="115B5C4F"/>
    <w:rsid w:val="118A244C"/>
    <w:rsid w:val="11A2124C"/>
    <w:rsid w:val="11C20C82"/>
    <w:rsid w:val="11D0460B"/>
    <w:rsid w:val="11DE5C79"/>
    <w:rsid w:val="12101447"/>
    <w:rsid w:val="12215961"/>
    <w:rsid w:val="125F1817"/>
    <w:rsid w:val="128D04EC"/>
    <w:rsid w:val="12AA2320"/>
    <w:rsid w:val="12DB53B1"/>
    <w:rsid w:val="12E81B94"/>
    <w:rsid w:val="13257C63"/>
    <w:rsid w:val="133707C2"/>
    <w:rsid w:val="13441C72"/>
    <w:rsid w:val="134C77A5"/>
    <w:rsid w:val="13731B39"/>
    <w:rsid w:val="13732205"/>
    <w:rsid w:val="137F0CE3"/>
    <w:rsid w:val="13C30E6E"/>
    <w:rsid w:val="141B13D5"/>
    <w:rsid w:val="141C741E"/>
    <w:rsid w:val="14234B06"/>
    <w:rsid w:val="149D3DC9"/>
    <w:rsid w:val="149E1778"/>
    <w:rsid w:val="14AD4839"/>
    <w:rsid w:val="14EA3450"/>
    <w:rsid w:val="14F767B6"/>
    <w:rsid w:val="15287486"/>
    <w:rsid w:val="15840A84"/>
    <w:rsid w:val="15AF033B"/>
    <w:rsid w:val="16031113"/>
    <w:rsid w:val="160C1329"/>
    <w:rsid w:val="16332D75"/>
    <w:rsid w:val="16502A53"/>
    <w:rsid w:val="16725D01"/>
    <w:rsid w:val="16777B9F"/>
    <w:rsid w:val="168F227C"/>
    <w:rsid w:val="169A575C"/>
    <w:rsid w:val="16AD5C51"/>
    <w:rsid w:val="16C11894"/>
    <w:rsid w:val="16C377D3"/>
    <w:rsid w:val="171F0861"/>
    <w:rsid w:val="1731374B"/>
    <w:rsid w:val="173B1F0E"/>
    <w:rsid w:val="173D243C"/>
    <w:rsid w:val="17534ECF"/>
    <w:rsid w:val="17DC7BF0"/>
    <w:rsid w:val="180053F0"/>
    <w:rsid w:val="181011F1"/>
    <w:rsid w:val="18215959"/>
    <w:rsid w:val="185F5F75"/>
    <w:rsid w:val="188227EF"/>
    <w:rsid w:val="189220EE"/>
    <w:rsid w:val="189E4B47"/>
    <w:rsid w:val="18E36CFC"/>
    <w:rsid w:val="19000C71"/>
    <w:rsid w:val="192A06DB"/>
    <w:rsid w:val="193028F8"/>
    <w:rsid w:val="19800DAF"/>
    <w:rsid w:val="198218DD"/>
    <w:rsid w:val="198D1B84"/>
    <w:rsid w:val="198E4D52"/>
    <w:rsid w:val="19923F06"/>
    <w:rsid w:val="19A54577"/>
    <w:rsid w:val="19AF2729"/>
    <w:rsid w:val="19E51688"/>
    <w:rsid w:val="19EE2A8B"/>
    <w:rsid w:val="19EE41FA"/>
    <w:rsid w:val="1A1830B1"/>
    <w:rsid w:val="1A2F4589"/>
    <w:rsid w:val="1A4C1D4A"/>
    <w:rsid w:val="1A587B66"/>
    <w:rsid w:val="1A5A6066"/>
    <w:rsid w:val="1A5B78E2"/>
    <w:rsid w:val="1A647FAE"/>
    <w:rsid w:val="1A777345"/>
    <w:rsid w:val="1A813E1F"/>
    <w:rsid w:val="1A8357FC"/>
    <w:rsid w:val="1A9F2503"/>
    <w:rsid w:val="1AA3486A"/>
    <w:rsid w:val="1ACE692C"/>
    <w:rsid w:val="1AE33064"/>
    <w:rsid w:val="1AF357C2"/>
    <w:rsid w:val="1B3B15AA"/>
    <w:rsid w:val="1B6A3FBF"/>
    <w:rsid w:val="1B8C6B7B"/>
    <w:rsid w:val="1B9E29B4"/>
    <w:rsid w:val="1BBF65FB"/>
    <w:rsid w:val="1BC2281C"/>
    <w:rsid w:val="1BF657FB"/>
    <w:rsid w:val="1C374515"/>
    <w:rsid w:val="1C4235A6"/>
    <w:rsid w:val="1C4F222F"/>
    <w:rsid w:val="1CA86A15"/>
    <w:rsid w:val="1CBB4247"/>
    <w:rsid w:val="1CFA7EEF"/>
    <w:rsid w:val="1CFB1146"/>
    <w:rsid w:val="1D1338EC"/>
    <w:rsid w:val="1D37062D"/>
    <w:rsid w:val="1D3B199E"/>
    <w:rsid w:val="1D5B6D2E"/>
    <w:rsid w:val="1DC84F72"/>
    <w:rsid w:val="1DEC270F"/>
    <w:rsid w:val="1DF10281"/>
    <w:rsid w:val="1E0672A1"/>
    <w:rsid w:val="1E0D3D46"/>
    <w:rsid w:val="1E331E3B"/>
    <w:rsid w:val="1E370C0B"/>
    <w:rsid w:val="1E4E212D"/>
    <w:rsid w:val="1E561B49"/>
    <w:rsid w:val="1E5A2895"/>
    <w:rsid w:val="1E5B5B74"/>
    <w:rsid w:val="1E847B39"/>
    <w:rsid w:val="1E860C88"/>
    <w:rsid w:val="1EAD27E8"/>
    <w:rsid w:val="1ED462A6"/>
    <w:rsid w:val="1ED734FA"/>
    <w:rsid w:val="1EDB21B2"/>
    <w:rsid w:val="1EE21D29"/>
    <w:rsid w:val="1EE72005"/>
    <w:rsid w:val="1F2F246F"/>
    <w:rsid w:val="1F3E1D5D"/>
    <w:rsid w:val="1F6E3177"/>
    <w:rsid w:val="1F6F04BA"/>
    <w:rsid w:val="1F8129BD"/>
    <w:rsid w:val="20027E74"/>
    <w:rsid w:val="2024650C"/>
    <w:rsid w:val="204663FA"/>
    <w:rsid w:val="20624FA2"/>
    <w:rsid w:val="206A1137"/>
    <w:rsid w:val="20835E3C"/>
    <w:rsid w:val="20AA1825"/>
    <w:rsid w:val="20BB1EB1"/>
    <w:rsid w:val="21144C23"/>
    <w:rsid w:val="212A75E7"/>
    <w:rsid w:val="21593740"/>
    <w:rsid w:val="215C6880"/>
    <w:rsid w:val="2163612C"/>
    <w:rsid w:val="217039C6"/>
    <w:rsid w:val="21754AF5"/>
    <w:rsid w:val="217E7700"/>
    <w:rsid w:val="218158E0"/>
    <w:rsid w:val="218F0080"/>
    <w:rsid w:val="21BA53F5"/>
    <w:rsid w:val="220B781D"/>
    <w:rsid w:val="2220525E"/>
    <w:rsid w:val="224449F5"/>
    <w:rsid w:val="225D16C1"/>
    <w:rsid w:val="2266010D"/>
    <w:rsid w:val="226E674C"/>
    <w:rsid w:val="22712A0D"/>
    <w:rsid w:val="22734646"/>
    <w:rsid w:val="22B609EC"/>
    <w:rsid w:val="22C23296"/>
    <w:rsid w:val="22CF4727"/>
    <w:rsid w:val="23280561"/>
    <w:rsid w:val="2330019D"/>
    <w:rsid w:val="235E2799"/>
    <w:rsid w:val="23666663"/>
    <w:rsid w:val="23693289"/>
    <w:rsid w:val="23795972"/>
    <w:rsid w:val="239147E1"/>
    <w:rsid w:val="23BB34F7"/>
    <w:rsid w:val="23CB333E"/>
    <w:rsid w:val="23F91B39"/>
    <w:rsid w:val="243A5F83"/>
    <w:rsid w:val="244702BD"/>
    <w:rsid w:val="247E0687"/>
    <w:rsid w:val="24A20628"/>
    <w:rsid w:val="24B45D14"/>
    <w:rsid w:val="24FE0E05"/>
    <w:rsid w:val="25171BA0"/>
    <w:rsid w:val="251B18C1"/>
    <w:rsid w:val="25222461"/>
    <w:rsid w:val="25501E67"/>
    <w:rsid w:val="25524FA6"/>
    <w:rsid w:val="25532EC3"/>
    <w:rsid w:val="25925077"/>
    <w:rsid w:val="25AF3989"/>
    <w:rsid w:val="25B24E51"/>
    <w:rsid w:val="25C73339"/>
    <w:rsid w:val="25C86149"/>
    <w:rsid w:val="25D62822"/>
    <w:rsid w:val="25F16B68"/>
    <w:rsid w:val="260663DB"/>
    <w:rsid w:val="26546373"/>
    <w:rsid w:val="26841C6E"/>
    <w:rsid w:val="26934343"/>
    <w:rsid w:val="26B424FB"/>
    <w:rsid w:val="26B73D93"/>
    <w:rsid w:val="26E62133"/>
    <w:rsid w:val="277F68D2"/>
    <w:rsid w:val="27870FB2"/>
    <w:rsid w:val="278F0AAA"/>
    <w:rsid w:val="27B84345"/>
    <w:rsid w:val="27CB7A47"/>
    <w:rsid w:val="27CF31D6"/>
    <w:rsid w:val="27E53B63"/>
    <w:rsid w:val="27F52A10"/>
    <w:rsid w:val="280E4470"/>
    <w:rsid w:val="283E405F"/>
    <w:rsid w:val="28D9203E"/>
    <w:rsid w:val="29270D84"/>
    <w:rsid w:val="295E1181"/>
    <w:rsid w:val="29B00B02"/>
    <w:rsid w:val="29B661A7"/>
    <w:rsid w:val="29DB1483"/>
    <w:rsid w:val="29DC3277"/>
    <w:rsid w:val="29FA460F"/>
    <w:rsid w:val="2A0B6D48"/>
    <w:rsid w:val="2A397DF9"/>
    <w:rsid w:val="2A7C5019"/>
    <w:rsid w:val="2A8E3410"/>
    <w:rsid w:val="2AC017A8"/>
    <w:rsid w:val="2B3677A4"/>
    <w:rsid w:val="2B7F5D7B"/>
    <w:rsid w:val="2B9073EB"/>
    <w:rsid w:val="2BAD682D"/>
    <w:rsid w:val="2BEE5A9C"/>
    <w:rsid w:val="2C6B41B7"/>
    <w:rsid w:val="2CAF7AE9"/>
    <w:rsid w:val="2CB550EC"/>
    <w:rsid w:val="2CF947D9"/>
    <w:rsid w:val="2CFA06CC"/>
    <w:rsid w:val="2D3F090C"/>
    <w:rsid w:val="2D473273"/>
    <w:rsid w:val="2D8167C0"/>
    <w:rsid w:val="2D9C1D44"/>
    <w:rsid w:val="2DAB174B"/>
    <w:rsid w:val="2DAC3053"/>
    <w:rsid w:val="2DB40F04"/>
    <w:rsid w:val="2DB55317"/>
    <w:rsid w:val="2DD04A2C"/>
    <w:rsid w:val="2E1A2D69"/>
    <w:rsid w:val="2E1C2312"/>
    <w:rsid w:val="2E617376"/>
    <w:rsid w:val="2ED13170"/>
    <w:rsid w:val="2F011E82"/>
    <w:rsid w:val="2F415E64"/>
    <w:rsid w:val="2F6858EF"/>
    <w:rsid w:val="2F7674B4"/>
    <w:rsid w:val="2FC51659"/>
    <w:rsid w:val="2FCB2DE8"/>
    <w:rsid w:val="30082C17"/>
    <w:rsid w:val="301A6B35"/>
    <w:rsid w:val="30385048"/>
    <w:rsid w:val="30400DE6"/>
    <w:rsid w:val="3046030C"/>
    <w:rsid w:val="30577166"/>
    <w:rsid w:val="30A8450A"/>
    <w:rsid w:val="30B147B2"/>
    <w:rsid w:val="30FE64F4"/>
    <w:rsid w:val="310D00D7"/>
    <w:rsid w:val="314A5A0E"/>
    <w:rsid w:val="31682139"/>
    <w:rsid w:val="319957F6"/>
    <w:rsid w:val="31C036D0"/>
    <w:rsid w:val="31D953B1"/>
    <w:rsid w:val="31EC1741"/>
    <w:rsid w:val="31EF6CF0"/>
    <w:rsid w:val="31F7619B"/>
    <w:rsid w:val="321F0CAE"/>
    <w:rsid w:val="321F3505"/>
    <w:rsid w:val="322B0318"/>
    <w:rsid w:val="32494369"/>
    <w:rsid w:val="324C0B81"/>
    <w:rsid w:val="32517D1E"/>
    <w:rsid w:val="329B0438"/>
    <w:rsid w:val="32B63AAA"/>
    <w:rsid w:val="33091096"/>
    <w:rsid w:val="33232830"/>
    <w:rsid w:val="3341533E"/>
    <w:rsid w:val="33843CA1"/>
    <w:rsid w:val="344D764F"/>
    <w:rsid w:val="34690455"/>
    <w:rsid w:val="34AA1765"/>
    <w:rsid w:val="34D7618A"/>
    <w:rsid w:val="34FE589B"/>
    <w:rsid w:val="3529493E"/>
    <w:rsid w:val="35330B48"/>
    <w:rsid w:val="353B29E7"/>
    <w:rsid w:val="355D4407"/>
    <w:rsid w:val="3562042D"/>
    <w:rsid w:val="35850AE6"/>
    <w:rsid w:val="35A74497"/>
    <w:rsid w:val="35A74E2B"/>
    <w:rsid w:val="35A94199"/>
    <w:rsid w:val="35B05630"/>
    <w:rsid w:val="35C33EC5"/>
    <w:rsid w:val="35C81BD5"/>
    <w:rsid w:val="35CF6801"/>
    <w:rsid w:val="35DE1818"/>
    <w:rsid w:val="35ED404E"/>
    <w:rsid w:val="36243C2B"/>
    <w:rsid w:val="36475152"/>
    <w:rsid w:val="365674EF"/>
    <w:rsid w:val="367134DE"/>
    <w:rsid w:val="36787E34"/>
    <w:rsid w:val="368848BE"/>
    <w:rsid w:val="3692435D"/>
    <w:rsid w:val="36FC06E4"/>
    <w:rsid w:val="370B0055"/>
    <w:rsid w:val="374976F8"/>
    <w:rsid w:val="37533A9C"/>
    <w:rsid w:val="37821544"/>
    <w:rsid w:val="3787676D"/>
    <w:rsid w:val="37953793"/>
    <w:rsid w:val="37A53093"/>
    <w:rsid w:val="37CEC1AC"/>
    <w:rsid w:val="37E702EC"/>
    <w:rsid w:val="38727414"/>
    <w:rsid w:val="38AF4648"/>
    <w:rsid w:val="38B3392D"/>
    <w:rsid w:val="38B37C06"/>
    <w:rsid w:val="38E50A97"/>
    <w:rsid w:val="391E370A"/>
    <w:rsid w:val="392F5095"/>
    <w:rsid w:val="393C7ED6"/>
    <w:rsid w:val="39465433"/>
    <w:rsid w:val="39581B4E"/>
    <w:rsid w:val="395B6912"/>
    <w:rsid w:val="39A56F77"/>
    <w:rsid w:val="39BE4A11"/>
    <w:rsid w:val="3A27520A"/>
    <w:rsid w:val="3A3F6C87"/>
    <w:rsid w:val="3A465FD4"/>
    <w:rsid w:val="3A956A72"/>
    <w:rsid w:val="3AD70862"/>
    <w:rsid w:val="3AE76311"/>
    <w:rsid w:val="3B1109C9"/>
    <w:rsid w:val="3B2552D7"/>
    <w:rsid w:val="3B3F7D03"/>
    <w:rsid w:val="3B970D6B"/>
    <w:rsid w:val="3BE51125"/>
    <w:rsid w:val="3BE90506"/>
    <w:rsid w:val="3BEB6832"/>
    <w:rsid w:val="3BF178CC"/>
    <w:rsid w:val="3BFA2E9E"/>
    <w:rsid w:val="3C40766B"/>
    <w:rsid w:val="3C476B61"/>
    <w:rsid w:val="3C583A62"/>
    <w:rsid w:val="3C813EBD"/>
    <w:rsid w:val="3CB702EA"/>
    <w:rsid w:val="3CBD35C8"/>
    <w:rsid w:val="3CCF0F73"/>
    <w:rsid w:val="3CE437F4"/>
    <w:rsid w:val="3D386985"/>
    <w:rsid w:val="3D3906B1"/>
    <w:rsid w:val="3D584E9B"/>
    <w:rsid w:val="3D7C1FDB"/>
    <w:rsid w:val="3D880E45"/>
    <w:rsid w:val="3D9C69C1"/>
    <w:rsid w:val="3DA0424A"/>
    <w:rsid w:val="3DA419D7"/>
    <w:rsid w:val="3DDA6370"/>
    <w:rsid w:val="3DDD2C1B"/>
    <w:rsid w:val="3DFF5060"/>
    <w:rsid w:val="3E136870"/>
    <w:rsid w:val="3E5D5F3B"/>
    <w:rsid w:val="3E615282"/>
    <w:rsid w:val="3E8429B9"/>
    <w:rsid w:val="3EBE7D18"/>
    <w:rsid w:val="3ECC547A"/>
    <w:rsid w:val="3EE01AD6"/>
    <w:rsid w:val="3F1A1718"/>
    <w:rsid w:val="3F4E5041"/>
    <w:rsid w:val="3F506818"/>
    <w:rsid w:val="3FE36C1C"/>
    <w:rsid w:val="3FEB19D5"/>
    <w:rsid w:val="40340044"/>
    <w:rsid w:val="40661E5E"/>
    <w:rsid w:val="406E45AD"/>
    <w:rsid w:val="407C0CAD"/>
    <w:rsid w:val="40924D64"/>
    <w:rsid w:val="40963A57"/>
    <w:rsid w:val="40D16C5D"/>
    <w:rsid w:val="410A3110"/>
    <w:rsid w:val="41310CA2"/>
    <w:rsid w:val="417E2272"/>
    <w:rsid w:val="41893506"/>
    <w:rsid w:val="419915A4"/>
    <w:rsid w:val="41A82FD1"/>
    <w:rsid w:val="41C35995"/>
    <w:rsid w:val="41CF7D38"/>
    <w:rsid w:val="41FC4A89"/>
    <w:rsid w:val="420F1D94"/>
    <w:rsid w:val="422C362E"/>
    <w:rsid w:val="423E5ED2"/>
    <w:rsid w:val="424441F1"/>
    <w:rsid w:val="425E0F00"/>
    <w:rsid w:val="426D5149"/>
    <w:rsid w:val="427E3E3A"/>
    <w:rsid w:val="428917B7"/>
    <w:rsid w:val="430B7DA4"/>
    <w:rsid w:val="430D4AC0"/>
    <w:rsid w:val="431E047F"/>
    <w:rsid w:val="431E65EF"/>
    <w:rsid w:val="435A4BBF"/>
    <w:rsid w:val="436A6565"/>
    <w:rsid w:val="437A019F"/>
    <w:rsid w:val="43891F34"/>
    <w:rsid w:val="43B21221"/>
    <w:rsid w:val="43C63987"/>
    <w:rsid w:val="43FB7AE7"/>
    <w:rsid w:val="4400649E"/>
    <w:rsid w:val="441426C6"/>
    <w:rsid w:val="441466E5"/>
    <w:rsid w:val="4421734C"/>
    <w:rsid w:val="44437D45"/>
    <w:rsid w:val="44460A9F"/>
    <w:rsid w:val="4478624B"/>
    <w:rsid w:val="4493367B"/>
    <w:rsid w:val="44A72843"/>
    <w:rsid w:val="44AB74B4"/>
    <w:rsid w:val="44B2771E"/>
    <w:rsid w:val="44B8368E"/>
    <w:rsid w:val="452905F3"/>
    <w:rsid w:val="4531085A"/>
    <w:rsid w:val="456A35B3"/>
    <w:rsid w:val="45A45439"/>
    <w:rsid w:val="45CA7348"/>
    <w:rsid w:val="45CB72CE"/>
    <w:rsid w:val="461F4864"/>
    <w:rsid w:val="462B6DAB"/>
    <w:rsid w:val="46977D08"/>
    <w:rsid w:val="469B5592"/>
    <w:rsid w:val="46A5400A"/>
    <w:rsid w:val="46C67C71"/>
    <w:rsid w:val="46DB6342"/>
    <w:rsid w:val="46F207EA"/>
    <w:rsid w:val="46F40267"/>
    <w:rsid w:val="46F87058"/>
    <w:rsid w:val="47283388"/>
    <w:rsid w:val="4750618B"/>
    <w:rsid w:val="477A20CD"/>
    <w:rsid w:val="479F5743"/>
    <w:rsid w:val="47C35102"/>
    <w:rsid w:val="47C90408"/>
    <w:rsid w:val="47CA3491"/>
    <w:rsid w:val="47DE0285"/>
    <w:rsid w:val="47EA0372"/>
    <w:rsid w:val="47F77566"/>
    <w:rsid w:val="48131737"/>
    <w:rsid w:val="481C1F20"/>
    <w:rsid w:val="482932B2"/>
    <w:rsid w:val="48452D6C"/>
    <w:rsid w:val="48490177"/>
    <w:rsid w:val="48734131"/>
    <w:rsid w:val="48801F0A"/>
    <w:rsid w:val="489C4879"/>
    <w:rsid w:val="489C7EA5"/>
    <w:rsid w:val="49276E58"/>
    <w:rsid w:val="494B4338"/>
    <w:rsid w:val="497C5511"/>
    <w:rsid w:val="49B65DC9"/>
    <w:rsid w:val="4A131AB1"/>
    <w:rsid w:val="4A34760C"/>
    <w:rsid w:val="4A64259A"/>
    <w:rsid w:val="4AA4128B"/>
    <w:rsid w:val="4AAA7028"/>
    <w:rsid w:val="4AD50D4A"/>
    <w:rsid w:val="4ADC75C4"/>
    <w:rsid w:val="4B2977E3"/>
    <w:rsid w:val="4B3A3263"/>
    <w:rsid w:val="4B404F96"/>
    <w:rsid w:val="4B5F395F"/>
    <w:rsid w:val="4BB73A13"/>
    <w:rsid w:val="4BE22955"/>
    <w:rsid w:val="4C60411D"/>
    <w:rsid w:val="4C9743B6"/>
    <w:rsid w:val="4CA56DBD"/>
    <w:rsid w:val="4CCD70EB"/>
    <w:rsid w:val="4CD15334"/>
    <w:rsid w:val="4CDC2AC2"/>
    <w:rsid w:val="4CEF194A"/>
    <w:rsid w:val="4D123D13"/>
    <w:rsid w:val="4D4473CA"/>
    <w:rsid w:val="4D594184"/>
    <w:rsid w:val="4D670A85"/>
    <w:rsid w:val="4D80617B"/>
    <w:rsid w:val="4D806473"/>
    <w:rsid w:val="4DB87F6B"/>
    <w:rsid w:val="4DF85FC0"/>
    <w:rsid w:val="4E1074C8"/>
    <w:rsid w:val="4E2B1D2E"/>
    <w:rsid w:val="4E527CB0"/>
    <w:rsid w:val="4E6F1EF6"/>
    <w:rsid w:val="4E7B029B"/>
    <w:rsid w:val="4E9C2A45"/>
    <w:rsid w:val="4ECB07EA"/>
    <w:rsid w:val="4EDA18B9"/>
    <w:rsid w:val="4F216F20"/>
    <w:rsid w:val="4F573543"/>
    <w:rsid w:val="4F6D467A"/>
    <w:rsid w:val="4FED507D"/>
    <w:rsid w:val="4FFB62E9"/>
    <w:rsid w:val="501C4E89"/>
    <w:rsid w:val="502B325D"/>
    <w:rsid w:val="505D795E"/>
    <w:rsid w:val="50630959"/>
    <w:rsid w:val="50DD3BA3"/>
    <w:rsid w:val="50E61CAB"/>
    <w:rsid w:val="5132754D"/>
    <w:rsid w:val="513564CC"/>
    <w:rsid w:val="514E3A09"/>
    <w:rsid w:val="517C3AF1"/>
    <w:rsid w:val="51915B3D"/>
    <w:rsid w:val="519F5121"/>
    <w:rsid w:val="5229273F"/>
    <w:rsid w:val="52547228"/>
    <w:rsid w:val="529432E6"/>
    <w:rsid w:val="52A8026E"/>
    <w:rsid w:val="532C197B"/>
    <w:rsid w:val="534C6115"/>
    <w:rsid w:val="53561F88"/>
    <w:rsid w:val="536B5C40"/>
    <w:rsid w:val="53BC34C4"/>
    <w:rsid w:val="53CE29B7"/>
    <w:rsid w:val="53E93F16"/>
    <w:rsid w:val="53F04BF7"/>
    <w:rsid w:val="540337E7"/>
    <w:rsid w:val="54142032"/>
    <w:rsid w:val="54143B82"/>
    <w:rsid w:val="54451376"/>
    <w:rsid w:val="545D0F3A"/>
    <w:rsid w:val="54776BE8"/>
    <w:rsid w:val="547B2C44"/>
    <w:rsid w:val="547F7066"/>
    <w:rsid w:val="548C0083"/>
    <w:rsid w:val="54BC10AE"/>
    <w:rsid w:val="54DE257B"/>
    <w:rsid w:val="54F82DE2"/>
    <w:rsid w:val="55091415"/>
    <w:rsid w:val="5533415E"/>
    <w:rsid w:val="553D5A1E"/>
    <w:rsid w:val="555B4C1C"/>
    <w:rsid w:val="55665E4B"/>
    <w:rsid w:val="557C6AE7"/>
    <w:rsid w:val="55A0704C"/>
    <w:rsid w:val="55A923B9"/>
    <w:rsid w:val="55DD38ED"/>
    <w:rsid w:val="561A3EA2"/>
    <w:rsid w:val="56434C8D"/>
    <w:rsid w:val="568A68D9"/>
    <w:rsid w:val="56A438D4"/>
    <w:rsid w:val="56BA5C7F"/>
    <w:rsid w:val="56EA1F97"/>
    <w:rsid w:val="570F0FFB"/>
    <w:rsid w:val="574E065D"/>
    <w:rsid w:val="575B7C13"/>
    <w:rsid w:val="576E7E03"/>
    <w:rsid w:val="578A5B09"/>
    <w:rsid w:val="57AA5D1A"/>
    <w:rsid w:val="57BE32DB"/>
    <w:rsid w:val="57D631F8"/>
    <w:rsid w:val="58082218"/>
    <w:rsid w:val="581028EA"/>
    <w:rsid w:val="58344161"/>
    <w:rsid w:val="585D0DF7"/>
    <w:rsid w:val="587316C8"/>
    <w:rsid w:val="58AD641D"/>
    <w:rsid w:val="58B420E4"/>
    <w:rsid w:val="59135C67"/>
    <w:rsid w:val="593C1329"/>
    <w:rsid w:val="595A34E9"/>
    <w:rsid w:val="595B7937"/>
    <w:rsid w:val="597C7365"/>
    <w:rsid w:val="597F7369"/>
    <w:rsid w:val="59997155"/>
    <w:rsid w:val="59A2414B"/>
    <w:rsid w:val="59FE08FA"/>
    <w:rsid w:val="5A060D86"/>
    <w:rsid w:val="5A886394"/>
    <w:rsid w:val="5A9F6060"/>
    <w:rsid w:val="5ACF7403"/>
    <w:rsid w:val="5AE215FD"/>
    <w:rsid w:val="5B46719F"/>
    <w:rsid w:val="5B737DCF"/>
    <w:rsid w:val="5BA42A14"/>
    <w:rsid w:val="5BB47CCC"/>
    <w:rsid w:val="5BD05B9D"/>
    <w:rsid w:val="5BD343E6"/>
    <w:rsid w:val="5BE00F61"/>
    <w:rsid w:val="5BFB5206"/>
    <w:rsid w:val="5CB65A64"/>
    <w:rsid w:val="5CD26BB3"/>
    <w:rsid w:val="5CEB063E"/>
    <w:rsid w:val="5D0B0214"/>
    <w:rsid w:val="5D1A0A42"/>
    <w:rsid w:val="5D4F1710"/>
    <w:rsid w:val="5D71045F"/>
    <w:rsid w:val="5DA55EAC"/>
    <w:rsid w:val="5DAC626B"/>
    <w:rsid w:val="5E146811"/>
    <w:rsid w:val="5E3F1ED0"/>
    <w:rsid w:val="5E4A015A"/>
    <w:rsid w:val="5E4E1E2F"/>
    <w:rsid w:val="5E7E280E"/>
    <w:rsid w:val="5EA343F9"/>
    <w:rsid w:val="5F164D5E"/>
    <w:rsid w:val="5F2D2E3D"/>
    <w:rsid w:val="5F511649"/>
    <w:rsid w:val="5F741C71"/>
    <w:rsid w:val="5F884475"/>
    <w:rsid w:val="5F940261"/>
    <w:rsid w:val="5FBE713C"/>
    <w:rsid w:val="5FDA399F"/>
    <w:rsid w:val="5FFA79ED"/>
    <w:rsid w:val="606D0EF6"/>
    <w:rsid w:val="60806A99"/>
    <w:rsid w:val="60B442A8"/>
    <w:rsid w:val="60FD7810"/>
    <w:rsid w:val="61013040"/>
    <w:rsid w:val="610E310A"/>
    <w:rsid w:val="611C35B8"/>
    <w:rsid w:val="611D1C0E"/>
    <w:rsid w:val="61A25580"/>
    <w:rsid w:val="61AE7556"/>
    <w:rsid w:val="61C55F7F"/>
    <w:rsid w:val="61D41854"/>
    <w:rsid w:val="61F46458"/>
    <w:rsid w:val="62282B27"/>
    <w:rsid w:val="623E288C"/>
    <w:rsid w:val="625A6442"/>
    <w:rsid w:val="626F0CA2"/>
    <w:rsid w:val="62C31135"/>
    <w:rsid w:val="62C76106"/>
    <w:rsid w:val="62CC474C"/>
    <w:rsid w:val="637B0B27"/>
    <w:rsid w:val="63874046"/>
    <w:rsid w:val="638B4892"/>
    <w:rsid w:val="63BB45AD"/>
    <w:rsid w:val="63C73E6D"/>
    <w:rsid w:val="63DD4529"/>
    <w:rsid w:val="63FC0611"/>
    <w:rsid w:val="641222ED"/>
    <w:rsid w:val="642B5582"/>
    <w:rsid w:val="644878A5"/>
    <w:rsid w:val="64516BFF"/>
    <w:rsid w:val="64643953"/>
    <w:rsid w:val="64963CFA"/>
    <w:rsid w:val="64B31A3E"/>
    <w:rsid w:val="64BB7086"/>
    <w:rsid w:val="64DF720B"/>
    <w:rsid w:val="64FB2F8F"/>
    <w:rsid w:val="6502750F"/>
    <w:rsid w:val="655769D7"/>
    <w:rsid w:val="658C66C4"/>
    <w:rsid w:val="65B76CC0"/>
    <w:rsid w:val="65C86337"/>
    <w:rsid w:val="65DC6542"/>
    <w:rsid w:val="65FE3124"/>
    <w:rsid w:val="66475BEE"/>
    <w:rsid w:val="66921396"/>
    <w:rsid w:val="669A00A1"/>
    <w:rsid w:val="669A0A1D"/>
    <w:rsid w:val="66C77EC3"/>
    <w:rsid w:val="66CD32EE"/>
    <w:rsid w:val="66EF31C1"/>
    <w:rsid w:val="67286643"/>
    <w:rsid w:val="67340A1D"/>
    <w:rsid w:val="67415D12"/>
    <w:rsid w:val="67645CC5"/>
    <w:rsid w:val="679D0438"/>
    <w:rsid w:val="679F14A6"/>
    <w:rsid w:val="67A7594A"/>
    <w:rsid w:val="67F71CAA"/>
    <w:rsid w:val="68374646"/>
    <w:rsid w:val="6851003F"/>
    <w:rsid w:val="68532F31"/>
    <w:rsid w:val="685F2B0C"/>
    <w:rsid w:val="686A5890"/>
    <w:rsid w:val="686E4CA0"/>
    <w:rsid w:val="68CD56D6"/>
    <w:rsid w:val="68CE0878"/>
    <w:rsid w:val="68DF3F07"/>
    <w:rsid w:val="68E14DD2"/>
    <w:rsid w:val="68FF17F8"/>
    <w:rsid w:val="691F6273"/>
    <w:rsid w:val="6938799E"/>
    <w:rsid w:val="69875626"/>
    <w:rsid w:val="69A773FE"/>
    <w:rsid w:val="69AC4EE2"/>
    <w:rsid w:val="69B15060"/>
    <w:rsid w:val="69B72806"/>
    <w:rsid w:val="69C21FC2"/>
    <w:rsid w:val="69CB7528"/>
    <w:rsid w:val="69CC5602"/>
    <w:rsid w:val="69DE1C53"/>
    <w:rsid w:val="69DF0F70"/>
    <w:rsid w:val="69F431E5"/>
    <w:rsid w:val="69FB05D9"/>
    <w:rsid w:val="6A21429B"/>
    <w:rsid w:val="6A317FEC"/>
    <w:rsid w:val="6A395739"/>
    <w:rsid w:val="6A667351"/>
    <w:rsid w:val="6A690452"/>
    <w:rsid w:val="6AC86B5F"/>
    <w:rsid w:val="6AD5470C"/>
    <w:rsid w:val="6AF1512E"/>
    <w:rsid w:val="6B372870"/>
    <w:rsid w:val="6B4C78DC"/>
    <w:rsid w:val="6B6D4BD4"/>
    <w:rsid w:val="6B736C65"/>
    <w:rsid w:val="6B884223"/>
    <w:rsid w:val="6BCC6A33"/>
    <w:rsid w:val="6BE94680"/>
    <w:rsid w:val="6C1648A2"/>
    <w:rsid w:val="6C2B5B56"/>
    <w:rsid w:val="6C405A24"/>
    <w:rsid w:val="6C4C1DDE"/>
    <w:rsid w:val="6C7360A2"/>
    <w:rsid w:val="6C98271E"/>
    <w:rsid w:val="6CB357D4"/>
    <w:rsid w:val="6CD6095A"/>
    <w:rsid w:val="6D09664F"/>
    <w:rsid w:val="6D1A3ED2"/>
    <w:rsid w:val="6D1C5D45"/>
    <w:rsid w:val="6D2052F1"/>
    <w:rsid w:val="6D2A1AE4"/>
    <w:rsid w:val="6D2C0363"/>
    <w:rsid w:val="6D4556BC"/>
    <w:rsid w:val="6D7C6B86"/>
    <w:rsid w:val="6D886D51"/>
    <w:rsid w:val="6D98425A"/>
    <w:rsid w:val="6D9C4CB2"/>
    <w:rsid w:val="6DAC52D8"/>
    <w:rsid w:val="6DCC4C0D"/>
    <w:rsid w:val="6DE52F24"/>
    <w:rsid w:val="6E0D5193"/>
    <w:rsid w:val="6E2B38B7"/>
    <w:rsid w:val="6E42100A"/>
    <w:rsid w:val="6E4341AC"/>
    <w:rsid w:val="6E9D5BDB"/>
    <w:rsid w:val="6F436F8F"/>
    <w:rsid w:val="6F4D5562"/>
    <w:rsid w:val="6F663712"/>
    <w:rsid w:val="6F6D69E8"/>
    <w:rsid w:val="6F8B29B5"/>
    <w:rsid w:val="6F9B0752"/>
    <w:rsid w:val="6FD156E3"/>
    <w:rsid w:val="6FED75FB"/>
    <w:rsid w:val="70041560"/>
    <w:rsid w:val="703467FC"/>
    <w:rsid w:val="7040732E"/>
    <w:rsid w:val="7086364B"/>
    <w:rsid w:val="70A42103"/>
    <w:rsid w:val="710B27AB"/>
    <w:rsid w:val="712C6F85"/>
    <w:rsid w:val="71320E55"/>
    <w:rsid w:val="71321C7C"/>
    <w:rsid w:val="71340B64"/>
    <w:rsid w:val="71546F0E"/>
    <w:rsid w:val="7170146E"/>
    <w:rsid w:val="717268C8"/>
    <w:rsid w:val="71802D0E"/>
    <w:rsid w:val="718F5890"/>
    <w:rsid w:val="719323BF"/>
    <w:rsid w:val="71BF5087"/>
    <w:rsid w:val="71C23C59"/>
    <w:rsid w:val="71C57971"/>
    <w:rsid w:val="71EC11CD"/>
    <w:rsid w:val="720506A4"/>
    <w:rsid w:val="72143E26"/>
    <w:rsid w:val="722B6EAC"/>
    <w:rsid w:val="7235573F"/>
    <w:rsid w:val="723629FF"/>
    <w:rsid w:val="726C56B8"/>
    <w:rsid w:val="7288771C"/>
    <w:rsid w:val="728D4961"/>
    <w:rsid w:val="72911F34"/>
    <w:rsid w:val="72A458E1"/>
    <w:rsid w:val="72CE592F"/>
    <w:rsid w:val="72F838AA"/>
    <w:rsid w:val="73134385"/>
    <w:rsid w:val="731726EC"/>
    <w:rsid w:val="73197AE0"/>
    <w:rsid w:val="73221860"/>
    <w:rsid w:val="73272805"/>
    <w:rsid w:val="7338174B"/>
    <w:rsid w:val="733A4EF6"/>
    <w:rsid w:val="733D0234"/>
    <w:rsid w:val="733E33D3"/>
    <w:rsid w:val="733F0360"/>
    <w:rsid w:val="73773239"/>
    <w:rsid w:val="73835DC4"/>
    <w:rsid w:val="73C761B5"/>
    <w:rsid w:val="73C97C37"/>
    <w:rsid w:val="73D872D7"/>
    <w:rsid w:val="73FA14E3"/>
    <w:rsid w:val="740A7F35"/>
    <w:rsid w:val="742D4CA1"/>
    <w:rsid w:val="74336AF3"/>
    <w:rsid w:val="74613585"/>
    <w:rsid w:val="747D3462"/>
    <w:rsid w:val="74812030"/>
    <w:rsid w:val="74886161"/>
    <w:rsid w:val="74A039B1"/>
    <w:rsid w:val="74E66F49"/>
    <w:rsid w:val="74EB245C"/>
    <w:rsid w:val="753C15BB"/>
    <w:rsid w:val="75585493"/>
    <w:rsid w:val="755E6626"/>
    <w:rsid w:val="75841DF5"/>
    <w:rsid w:val="758C4CA2"/>
    <w:rsid w:val="75D40046"/>
    <w:rsid w:val="75D96E3B"/>
    <w:rsid w:val="762F29E5"/>
    <w:rsid w:val="764374F1"/>
    <w:rsid w:val="76944E76"/>
    <w:rsid w:val="769A26CA"/>
    <w:rsid w:val="76C34928"/>
    <w:rsid w:val="76D17FE1"/>
    <w:rsid w:val="76DF15B8"/>
    <w:rsid w:val="76FB601C"/>
    <w:rsid w:val="7708778F"/>
    <w:rsid w:val="770B7BD2"/>
    <w:rsid w:val="778364BE"/>
    <w:rsid w:val="7799548D"/>
    <w:rsid w:val="77ED1FBE"/>
    <w:rsid w:val="787764A6"/>
    <w:rsid w:val="78867CFB"/>
    <w:rsid w:val="78D06FA5"/>
    <w:rsid w:val="78F044C0"/>
    <w:rsid w:val="793D3D59"/>
    <w:rsid w:val="795F47C4"/>
    <w:rsid w:val="795F4B87"/>
    <w:rsid w:val="799447B2"/>
    <w:rsid w:val="79993DEC"/>
    <w:rsid w:val="79D33A4B"/>
    <w:rsid w:val="79EA1578"/>
    <w:rsid w:val="79F9227E"/>
    <w:rsid w:val="7A03141B"/>
    <w:rsid w:val="7A2F68CB"/>
    <w:rsid w:val="7A532F6D"/>
    <w:rsid w:val="7A9E603E"/>
    <w:rsid w:val="7AA163B3"/>
    <w:rsid w:val="7AB01F3D"/>
    <w:rsid w:val="7AC66A85"/>
    <w:rsid w:val="7ACE4950"/>
    <w:rsid w:val="7ADB04CF"/>
    <w:rsid w:val="7ADD1DF2"/>
    <w:rsid w:val="7AFE0D18"/>
    <w:rsid w:val="7B4B5341"/>
    <w:rsid w:val="7B5B1A0B"/>
    <w:rsid w:val="7B70050C"/>
    <w:rsid w:val="7B856E03"/>
    <w:rsid w:val="7BB31608"/>
    <w:rsid w:val="7BD95DD9"/>
    <w:rsid w:val="7BE50BC8"/>
    <w:rsid w:val="7BF9716D"/>
    <w:rsid w:val="7C077508"/>
    <w:rsid w:val="7C1F4334"/>
    <w:rsid w:val="7C42078B"/>
    <w:rsid w:val="7C5713BA"/>
    <w:rsid w:val="7C695398"/>
    <w:rsid w:val="7C6D2C5C"/>
    <w:rsid w:val="7C867073"/>
    <w:rsid w:val="7C8D2D58"/>
    <w:rsid w:val="7CB302CB"/>
    <w:rsid w:val="7D1948FD"/>
    <w:rsid w:val="7D2C6F9F"/>
    <w:rsid w:val="7D543264"/>
    <w:rsid w:val="7D6D7156"/>
    <w:rsid w:val="7D7115AD"/>
    <w:rsid w:val="7D7362EB"/>
    <w:rsid w:val="7DAE4568"/>
    <w:rsid w:val="7DC85A4E"/>
    <w:rsid w:val="7DF550BA"/>
    <w:rsid w:val="7E531FFF"/>
    <w:rsid w:val="7E5E764B"/>
    <w:rsid w:val="7ECB55B8"/>
    <w:rsid w:val="7EE626A2"/>
    <w:rsid w:val="7EF54C4F"/>
    <w:rsid w:val="7EFB3937"/>
    <w:rsid w:val="7F020EC4"/>
    <w:rsid w:val="7F381A2F"/>
    <w:rsid w:val="7F5957B0"/>
    <w:rsid w:val="7F657DC7"/>
    <w:rsid w:val="7F9846AE"/>
    <w:rsid w:val="7F9A7F46"/>
    <w:rsid w:val="7FAD0277"/>
    <w:rsid w:val="7FBD28C5"/>
    <w:rsid w:val="7FC50214"/>
    <w:rsid w:val="7FEF71EF"/>
    <w:rsid w:val="BDBF23DD"/>
    <w:rsid w:val="D5EDDDDF"/>
    <w:rsid w:val="FBF3A22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99"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5">
    <w:name w:val="heading 2"/>
    <w:basedOn w:val="1"/>
    <w:next w:val="1"/>
    <w:autoRedefine/>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6">
    <w:name w:val="heading 3"/>
    <w:basedOn w:val="1"/>
    <w:next w:val="1"/>
    <w:autoRedefine/>
    <w:semiHidden/>
    <w:unhideWhenUsed/>
    <w:qFormat/>
    <w:uiPriority w:val="0"/>
    <w:pPr>
      <w:keepNext/>
      <w:keepLines/>
      <w:tabs>
        <w:tab w:val="left" w:pos="8280"/>
      </w:tabs>
      <w:spacing w:before="260" w:after="260" w:line="416" w:lineRule="auto"/>
      <w:outlineLvl w:val="2"/>
    </w:pPr>
    <w:rPr>
      <w:bCs/>
      <w:szCs w:val="32"/>
    </w:rPr>
  </w:style>
  <w:style w:type="paragraph" w:styleId="7">
    <w:name w:val="heading 4"/>
    <w:basedOn w:val="1"/>
    <w:next w:val="1"/>
    <w:link w:val="53"/>
    <w:autoRedefine/>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pPr>
      <w:spacing w:line="360" w:lineRule="exact"/>
    </w:pPr>
    <w:rPr>
      <w:b/>
      <w:sz w:val="24"/>
    </w:rPr>
  </w:style>
  <w:style w:type="paragraph" w:styleId="3">
    <w:name w:val="Body Text First Indent"/>
    <w:basedOn w:val="2"/>
    <w:link w:val="51"/>
    <w:autoRedefine/>
    <w:qFormat/>
    <w:uiPriority w:val="99"/>
    <w:pPr>
      <w:ind w:firstLine="200" w:firstLineChars="200"/>
    </w:pPr>
  </w:style>
  <w:style w:type="paragraph" w:styleId="8">
    <w:name w:val="List Number"/>
    <w:basedOn w:val="1"/>
    <w:autoRedefine/>
    <w:qFormat/>
    <w:uiPriority w:val="99"/>
    <w:pPr>
      <w:numPr>
        <w:ilvl w:val="0"/>
        <w:numId w:val="2"/>
      </w:numPr>
    </w:pPr>
  </w:style>
  <w:style w:type="paragraph" w:styleId="9">
    <w:name w:val="Normal Indent"/>
    <w:basedOn w:val="1"/>
    <w:link w:val="63"/>
    <w:autoRedefine/>
    <w:qFormat/>
    <w:uiPriority w:val="0"/>
    <w:pPr>
      <w:ind w:firstLine="420"/>
    </w:pPr>
    <w:rPr>
      <w:szCs w:val="20"/>
    </w:rPr>
  </w:style>
  <w:style w:type="paragraph" w:styleId="10">
    <w:name w:val="annotation text"/>
    <w:basedOn w:val="1"/>
    <w:link w:val="57"/>
    <w:autoRedefine/>
    <w:qFormat/>
    <w:uiPriority w:val="0"/>
    <w:pPr>
      <w:jc w:val="left"/>
    </w:pPr>
  </w:style>
  <w:style w:type="paragraph" w:styleId="11">
    <w:name w:val="Body Text Indent"/>
    <w:basedOn w:val="1"/>
    <w:next w:val="1"/>
    <w:autoRedefine/>
    <w:qFormat/>
    <w:uiPriority w:val="0"/>
    <w:pPr>
      <w:spacing w:after="120"/>
      <w:ind w:left="420" w:leftChars="200"/>
    </w:pPr>
  </w:style>
  <w:style w:type="paragraph" w:styleId="12">
    <w:name w:val="Block Text"/>
    <w:basedOn w:val="1"/>
    <w:next w:val="7"/>
    <w:autoRedefine/>
    <w:qFormat/>
    <w:uiPriority w:val="0"/>
    <w:pPr>
      <w:spacing w:after="120"/>
    </w:pPr>
    <w:rPr>
      <w:rFonts w:asciiTheme="minorHAnsi" w:hAnsiTheme="minorHAnsi" w:eastAsiaTheme="minorEastAsia" w:cstheme="minorBidi"/>
    </w:rPr>
  </w:style>
  <w:style w:type="paragraph" w:styleId="13">
    <w:name w:val="Plain Text"/>
    <w:basedOn w:val="1"/>
    <w:next w:val="1"/>
    <w:link w:val="55"/>
    <w:autoRedefine/>
    <w:qFormat/>
    <w:uiPriority w:val="0"/>
    <w:pPr>
      <w:snapToGrid w:val="0"/>
      <w:spacing w:before="120" w:after="120" w:line="360" w:lineRule="auto"/>
      <w:ind w:left="1275" w:leftChars="607" w:firstLine="574"/>
      <w:jc w:val="left"/>
    </w:pPr>
    <w:rPr>
      <w:rFonts w:ascii="宋体" w:hAnsi="Courier New" w:cstheme="minorBidi"/>
    </w:rPr>
  </w:style>
  <w:style w:type="paragraph" w:styleId="14">
    <w:name w:val="Date"/>
    <w:basedOn w:val="1"/>
    <w:next w:val="1"/>
    <w:link w:val="56"/>
    <w:autoRedefine/>
    <w:qFormat/>
    <w:uiPriority w:val="99"/>
    <w:pPr>
      <w:ind w:left="2500" w:leftChars="2500"/>
    </w:pPr>
    <w:rPr>
      <w:rFonts w:eastAsia="楷体_GB2312" w:asciiTheme="minorHAnsi" w:hAnsiTheme="minorHAnsi" w:cstheme="minorBidi"/>
      <w:sz w:val="32"/>
      <w:szCs w:val="22"/>
    </w:rPr>
  </w:style>
  <w:style w:type="paragraph" w:styleId="15">
    <w:name w:val="Balloon Text"/>
    <w:basedOn w:val="1"/>
    <w:link w:val="50"/>
    <w:autoRedefine/>
    <w:qFormat/>
    <w:uiPriority w:val="0"/>
    <w:rPr>
      <w:sz w:val="18"/>
      <w:szCs w:val="18"/>
    </w:rPr>
  </w:style>
  <w:style w:type="paragraph" w:styleId="16">
    <w:name w:val="footer"/>
    <w:basedOn w:val="1"/>
    <w:link w:val="64"/>
    <w:autoRedefine/>
    <w:qFormat/>
    <w:uiPriority w:val="99"/>
    <w:pPr>
      <w:tabs>
        <w:tab w:val="center" w:pos="4153"/>
        <w:tab w:val="right" w:pos="8306"/>
      </w:tabs>
      <w:snapToGrid w:val="0"/>
      <w:jc w:val="left"/>
    </w:pPr>
    <w:rPr>
      <w:sz w:val="18"/>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Normal (Web)"/>
    <w:basedOn w:val="1"/>
    <w:autoRedefine/>
    <w:qFormat/>
    <w:uiPriority w:val="0"/>
    <w:pPr>
      <w:widowControl/>
      <w:spacing w:before="100" w:beforeAutospacing="1" w:after="100" w:afterAutospacing="1"/>
      <w:jc w:val="left"/>
    </w:pPr>
    <w:rPr>
      <w:rFonts w:hint="eastAsia" w:ascii="宋体" w:hAnsi="宋体"/>
      <w:kern w:val="0"/>
      <w:sz w:val="24"/>
    </w:rPr>
  </w:style>
  <w:style w:type="paragraph" w:styleId="19">
    <w:name w:val="Title"/>
    <w:basedOn w:val="1"/>
    <w:next w:val="1"/>
    <w:link w:val="54"/>
    <w:autoRedefine/>
    <w:qFormat/>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0">
    <w:name w:val="annotation subject"/>
    <w:basedOn w:val="10"/>
    <w:next w:val="10"/>
    <w:link w:val="59"/>
    <w:autoRedefine/>
    <w:qFormat/>
    <w:uiPriority w:val="0"/>
    <w:rPr>
      <w:b/>
      <w:bCs/>
    </w:rPr>
  </w:style>
  <w:style w:type="paragraph" w:styleId="21">
    <w:name w:val="Body Text First Indent 2"/>
    <w:basedOn w:val="11"/>
    <w:link w:val="66"/>
    <w:autoRedefine/>
    <w:qFormat/>
    <w:uiPriority w:val="0"/>
    <w:pPr>
      <w:ind w:firstLine="420"/>
    </w:pPr>
  </w:style>
  <w:style w:type="table" w:styleId="23">
    <w:name w:val="Table Grid"/>
    <w:basedOn w:val="22"/>
    <w:autoRedefine/>
    <w:qFormat/>
    <w:uiPriority w:val="0"/>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5">
    <w:name w:val="Hyperlink"/>
    <w:autoRedefine/>
    <w:qFormat/>
    <w:uiPriority w:val="0"/>
    <w:rPr>
      <w:color w:val="0000FF"/>
      <w:u w:val="single"/>
    </w:rPr>
  </w:style>
  <w:style w:type="character" w:styleId="26">
    <w:name w:val="annotation reference"/>
    <w:basedOn w:val="24"/>
    <w:autoRedefine/>
    <w:qFormat/>
    <w:uiPriority w:val="0"/>
    <w:rPr>
      <w:sz w:val="21"/>
      <w:szCs w:val="21"/>
    </w:rPr>
  </w:style>
  <w:style w:type="paragraph" w:customStyle="1" w:styleId="27">
    <w:name w:val="无间隔1"/>
    <w:autoRedefine/>
    <w:qFormat/>
    <w:uiPriority w:val="99"/>
    <w:pPr>
      <w:adjustRightInd w:val="0"/>
      <w:snapToGrid w:val="0"/>
    </w:pPr>
    <w:rPr>
      <w:rFonts w:ascii="Tahoma" w:hAnsi="Tahoma" w:eastAsia="微软雅黑" w:cstheme="minorBidi"/>
      <w:sz w:val="22"/>
      <w:szCs w:val="22"/>
      <w:lang w:val="en-US" w:eastAsia="zh-CN" w:bidi="ar-SA"/>
    </w:rPr>
  </w:style>
  <w:style w:type="paragraph" w:styleId="28">
    <w:name w:val="List Paragraph"/>
    <w:basedOn w:val="1"/>
    <w:autoRedefine/>
    <w:qFormat/>
    <w:uiPriority w:val="34"/>
    <w:pPr>
      <w:ind w:firstLine="420" w:firstLineChars="200"/>
    </w:pPr>
    <w:rPr>
      <w:rFonts w:ascii="Calibri" w:hAnsi="Calibri"/>
      <w:szCs w:val="22"/>
    </w:rPr>
  </w:style>
  <w:style w:type="paragraph" w:customStyle="1" w:styleId="29">
    <w:name w:val="_Style 2"/>
    <w:autoRedefine/>
    <w:qFormat/>
    <w:uiPriority w:val="99"/>
    <w:pPr>
      <w:adjustRightInd w:val="0"/>
      <w:snapToGrid w:val="0"/>
    </w:pPr>
    <w:rPr>
      <w:rFonts w:ascii="Tahoma" w:hAnsi="Tahoma" w:eastAsia="微软雅黑" w:cs="Tahoma"/>
      <w:sz w:val="22"/>
      <w:szCs w:val="22"/>
      <w:lang w:val="en-US" w:eastAsia="zh-CN" w:bidi="ar-SA"/>
    </w:rPr>
  </w:style>
  <w:style w:type="paragraph" w:customStyle="1" w:styleId="30">
    <w:name w:val="无间隔11"/>
    <w:autoRedefine/>
    <w:qFormat/>
    <w:uiPriority w:val="0"/>
    <w:pPr>
      <w:adjustRightInd w:val="0"/>
      <w:snapToGrid w:val="0"/>
    </w:pPr>
    <w:rPr>
      <w:rFonts w:ascii="Tahoma" w:hAnsi="Tahoma" w:eastAsia="微软雅黑" w:cstheme="minorBidi"/>
      <w:sz w:val="22"/>
      <w:szCs w:val="22"/>
      <w:lang w:val="en-US" w:eastAsia="zh-CN" w:bidi="ar-SA"/>
    </w:rPr>
  </w:style>
  <w:style w:type="paragraph" w:customStyle="1" w:styleId="31">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2">
    <w:name w:val="正文_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正文_14"/>
    <w:autoRedefine/>
    <w:qFormat/>
    <w:uiPriority w:val="0"/>
    <w:rPr>
      <w:rFonts w:ascii="Times New Roman" w:hAnsi="Times New Roman" w:eastAsia="宋体" w:cs="Times New Roman"/>
      <w:sz w:val="21"/>
      <w:szCs w:val="22"/>
      <w:lang w:val="en-US" w:eastAsia="zh-CN" w:bidi="ar-SA"/>
    </w:rPr>
  </w:style>
  <w:style w:type="paragraph" w:customStyle="1" w:styleId="34">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纯文本_3"/>
    <w:basedOn w:val="36"/>
    <w:autoRedefine/>
    <w:qFormat/>
    <w:uiPriority w:val="0"/>
    <w:pPr>
      <w:widowControl/>
      <w:jc w:val="left"/>
    </w:pPr>
    <w:rPr>
      <w:rFonts w:ascii="宋体" w:hAnsi="Courier New" w:eastAsiaTheme="minorEastAsia" w:cstheme="minorBidi"/>
      <w:szCs w:val="21"/>
    </w:rPr>
  </w:style>
  <w:style w:type="paragraph" w:customStyle="1" w:styleId="38">
    <w:name w:val="纯文本_0_1"/>
    <w:basedOn w:val="1"/>
    <w:autoRedefine/>
    <w:qFormat/>
    <w:uiPriority w:val="0"/>
    <w:pPr>
      <w:widowControl/>
      <w:jc w:val="left"/>
    </w:pPr>
    <w:rPr>
      <w:rFonts w:ascii="宋体" w:hAnsi="Courier New" w:eastAsiaTheme="minorEastAsia" w:cstheme="minorBidi"/>
      <w:szCs w:val="21"/>
    </w:rPr>
  </w:style>
  <w:style w:type="paragraph" w:customStyle="1" w:styleId="3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2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Normal_15"/>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43">
    <w:name w:val="font21"/>
    <w:basedOn w:val="24"/>
    <w:qFormat/>
    <w:uiPriority w:val="0"/>
    <w:rPr>
      <w:rFonts w:hint="default" w:ascii="Arial" w:hAnsi="Arial" w:cs="Arial"/>
      <w:color w:val="000000"/>
      <w:sz w:val="20"/>
      <w:szCs w:val="20"/>
      <w:u w:val="none"/>
    </w:rPr>
  </w:style>
  <w:style w:type="character" w:customStyle="1" w:styleId="44">
    <w:name w:val="font01"/>
    <w:basedOn w:val="24"/>
    <w:autoRedefine/>
    <w:qFormat/>
    <w:uiPriority w:val="0"/>
    <w:rPr>
      <w:rFonts w:hint="eastAsia" w:ascii="宋体" w:hAnsi="宋体" w:eastAsia="宋体" w:cs="宋体"/>
      <w:color w:val="000000"/>
      <w:sz w:val="20"/>
      <w:szCs w:val="20"/>
      <w:u w:val="none"/>
    </w:rPr>
  </w:style>
  <w:style w:type="paragraph" w:customStyle="1" w:styleId="45">
    <w:name w:val="纯文本1"/>
    <w:basedOn w:val="46"/>
    <w:autoRedefine/>
    <w:qFormat/>
    <w:uiPriority w:val="0"/>
    <w:pPr>
      <w:widowControl/>
      <w:jc w:val="left"/>
    </w:pPr>
    <w:rPr>
      <w:rFonts w:ascii="宋体" w:hAnsi="Courier New"/>
    </w:rPr>
  </w:style>
  <w:style w:type="paragraph" w:customStyle="1" w:styleId="46">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7">
    <w:name w:val="Table Paragraph"/>
    <w:basedOn w:val="1"/>
    <w:qFormat/>
    <w:uiPriority w:val="1"/>
    <w:rPr>
      <w:rFonts w:ascii="宋体" w:hAnsi="宋体" w:cs="宋体"/>
    </w:rPr>
  </w:style>
  <w:style w:type="paragraph" w:customStyle="1" w:styleId="48">
    <w:name w:val="WPSOffice手动目录 1"/>
    <w:autoRedefine/>
    <w:qFormat/>
    <w:uiPriority w:val="0"/>
    <w:rPr>
      <w:rFonts w:ascii="Times New Roman" w:hAnsi="Times New Roman" w:eastAsia="宋体" w:cs="Times New Roman"/>
      <w:lang w:val="en-US" w:eastAsia="zh-CN" w:bidi="ar-SA"/>
    </w:rPr>
  </w:style>
  <w:style w:type="paragraph" w:customStyle="1" w:styleId="49">
    <w:name w:val="默认段落字体 Para Char Char Char Char Char Char Char Char Char1 Char Char Char Char"/>
    <w:basedOn w:val="1"/>
    <w:autoRedefine/>
    <w:qFormat/>
    <w:uiPriority w:val="0"/>
    <w:rPr>
      <w:rFonts w:ascii="Tahoma" w:hAnsi="Tahoma"/>
      <w:sz w:val="24"/>
      <w:szCs w:val="20"/>
    </w:rPr>
  </w:style>
  <w:style w:type="character" w:customStyle="1" w:styleId="50">
    <w:name w:val="批注框文本 Char"/>
    <w:basedOn w:val="24"/>
    <w:link w:val="15"/>
    <w:autoRedefine/>
    <w:qFormat/>
    <w:uiPriority w:val="0"/>
    <w:rPr>
      <w:kern w:val="2"/>
      <w:sz w:val="18"/>
      <w:szCs w:val="18"/>
    </w:rPr>
  </w:style>
  <w:style w:type="character" w:customStyle="1" w:styleId="51">
    <w:name w:val="正文首行缩进 Char"/>
    <w:basedOn w:val="24"/>
    <w:link w:val="3"/>
    <w:autoRedefine/>
    <w:qFormat/>
    <w:uiPriority w:val="99"/>
    <w:rPr>
      <w:kern w:val="2"/>
      <w:sz w:val="21"/>
      <w:szCs w:val="24"/>
    </w:rPr>
  </w:style>
  <w:style w:type="paragraph" w:customStyle="1" w:styleId="5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3">
    <w:name w:val="标题 4 Char"/>
    <w:basedOn w:val="24"/>
    <w:link w:val="7"/>
    <w:autoRedefine/>
    <w:qFormat/>
    <w:uiPriority w:val="0"/>
    <w:rPr>
      <w:rFonts w:asciiTheme="majorHAnsi" w:hAnsiTheme="majorHAnsi" w:eastAsiaTheme="majorEastAsia" w:cstheme="majorBidi"/>
      <w:b/>
      <w:bCs/>
      <w:kern w:val="2"/>
      <w:sz w:val="28"/>
      <w:szCs w:val="28"/>
    </w:rPr>
  </w:style>
  <w:style w:type="character" w:customStyle="1" w:styleId="54">
    <w:name w:val="标题 Char"/>
    <w:basedOn w:val="24"/>
    <w:link w:val="19"/>
    <w:autoRedefine/>
    <w:qFormat/>
    <w:uiPriority w:val="0"/>
    <w:rPr>
      <w:rFonts w:ascii="Cambria" w:hAnsi="Cambria"/>
      <w:b/>
      <w:color w:val="000000"/>
      <w:sz w:val="32"/>
      <w:szCs w:val="32"/>
    </w:rPr>
  </w:style>
  <w:style w:type="character" w:customStyle="1" w:styleId="55">
    <w:name w:val="纯文本 Char"/>
    <w:link w:val="13"/>
    <w:autoRedefine/>
    <w:qFormat/>
    <w:uiPriority w:val="0"/>
    <w:rPr>
      <w:rFonts w:ascii="宋体" w:hAnsi="Courier New" w:cstheme="minorBidi"/>
      <w:kern w:val="2"/>
      <w:sz w:val="21"/>
      <w:szCs w:val="24"/>
    </w:rPr>
  </w:style>
  <w:style w:type="character" w:customStyle="1" w:styleId="56">
    <w:name w:val="日期 Char"/>
    <w:basedOn w:val="24"/>
    <w:link w:val="14"/>
    <w:autoRedefine/>
    <w:qFormat/>
    <w:uiPriority w:val="99"/>
    <w:rPr>
      <w:rFonts w:eastAsia="楷体_GB2312" w:asciiTheme="minorHAnsi" w:hAnsiTheme="minorHAnsi" w:cstheme="minorBidi"/>
      <w:kern w:val="2"/>
      <w:sz w:val="32"/>
      <w:szCs w:val="22"/>
    </w:rPr>
  </w:style>
  <w:style w:type="character" w:customStyle="1" w:styleId="57">
    <w:name w:val="批注文字 Char"/>
    <w:basedOn w:val="24"/>
    <w:link w:val="10"/>
    <w:autoRedefine/>
    <w:qFormat/>
    <w:uiPriority w:val="99"/>
    <w:rPr>
      <w:kern w:val="2"/>
      <w:sz w:val="21"/>
      <w:szCs w:val="24"/>
    </w:rPr>
  </w:style>
  <w:style w:type="paragraph" w:customStyle="1" w:styleId="58">
    <w:name w:val="列出段落1"/>
    <w:basedOn w:val="1"/>
    <w:link w:val="62"/>
    <w:autoRedefine/>
    <w:qFormat/>
    <w:uiPriority w:val="34"/>
    <w:pPr>
      <w:widowControl/>
      <w:ind w:firstLine="420" w:firstLineChars="200"/>
      <w:jc w:val="left"/>
    </w:pPr>
    <w:rPr>
      <w:rFonts w:asciiTheme="minorHAnsi" w:hAnsiTheme="minorHAnsi" w:eastAsiaTheme="minorEastAsia" w:cstheme="minorBidi"/>
      <w:sz w:val="24"/>
      <w:szCs w:val="22"/>
    </w:rPr>
  </w:style>
  <w:style w:type="character" w:customStyle="1" w:styleId="59">
    <w:name w:val="批注主题 Char"/>
    <w:basedOn w:val="57"/>
    <w:link w:val="20"/>
    <w:autoRedefine/>
    <w:qFormat/>
    <w:uiPriority w:val="0"/>
    <w:rPr>
      <w:b/>
      <w:bCs/>
      <w:kern w:val="2"/>
      <w:sz w:val="21"/>
      <w:szCs w:val="24"/>
    </w:rPr>
  </w:style>
  <w:style w:type="paragraph" w:customStyle="1" w:styleId="60">
    <w:name w:val="修订1"/>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61">
    <w:name w:val="列出段落3"/>
    <w:basedOn w:val="1"/>
    <w:autoRedefine/>
    <w:qFormat/>
    <w:uiPriority w:val="34"/>
    <w:pPr>
      <w:ind w:firstLine="420" w:firstLineChars="200"/>
    </w:pPr>
  </w:style>
  <w:style w:type="character" w:customStyle="1" w:styleId="62">
    <w:name w:val="List Paragraph Char"/>
    <w:link w:val="58"/>
    <w:autoRedefine/>
    <w:qFormat/>
    <w:locked/>
    <w:uiPriority w:val="34"/>
    <w:rPr>
      <w:rFonts w:asciiTheme="minorHAnsi" w:hAnsiTheme="minorHAnsi" w:eastAsiaTheme="minorEastAsia" w:cstheme="minorBidi"/>
      <w:kern w:val="2"/>
      <w:sz w:val="24"/>
      <w:szCs w:val="22"/>
    </w:rPr>
  </w:style>
  <w:style w:type="character" w:customStyle="1" w:styleId="63">
    <w:name w:val="正文缩进 Char"/>
    <w:link w:val="9"/>
    <w:autoRedefine/>
    <w:qFormat/>
    <w:uiPriority w:val="0"/>
    <w:rPr>
      <w:kern w:val="2"/>
      <w:sz w:val="21"/>
    </w:rPr>
  </w:style>
  <w:style w:type="character" w:customStyle="1" w:styleId="64">
    <w:name w:val="页脚 Char"/>
    <w:basedOn w:val="24"/>
    <w:link w:val="16"/>
    <w:qFormat/>
    <w:uiPriority w:val="99"/>
    <w:rPr>
      <w:kern w:val="2"/>
      <w:sz w:val="18"/>
      <w:szCs w:val="24"/>
    </w:rPr>
  </w:style>
  <w:style w:type="paragraph" w:customStyle="1" w:styleId="65">
    <w:name w:val="表格文字"/>
    <w:basedOn w:val="1"/>
    <w:next w:val="2"/>
    <w:qFormat/>
    <w:uiPriority w:val="99"/>
    <w:pPr>
      <w:adjustRightInd w:val="0"/>
      <w:spacing w:line="420" w:lineRule="atLeast"/>
      <w:jc w:val="left"/>
      <w:textAlignment w:val="baseline"/>
    </w:pPr>
    <w:rPr>
      <w:kern w:val="0"/>
      <w:szCs w:val="21"/>
    </w:rPr>
  </w:style>
  <w:style w:type="character" w:customStyle="1" w:styleId="66">
    <w:name w:val="正文首行缩进 2 Char"/>
    <w:basedOn w:val="24"/>
    <w:link w:val="21"/>
    <w:qFormat/>
    <w:uiPriority w:val="0"/>
    <w:rPr>
      <w:kern w:val="2"/>
      <w:sz w:val="21"/>
      <w:szCs w:val="24"/>
    </w:rPr>
  </w:style>
  <w:style w:type="paragraph" w:customStyle="1" w:styleId="67">
    <w:name w:val="列出段落11"/>
    <w:basedOn w:val="1"/>
    <w:qFormat/>
    <w:uiPriority w:val="34"/>
    <w:pPr>
      <w:ind w:firstLine="420" w:firstLineChars="200"/>
    </w:pPr>
  </w:style>
  <w:style w:type="paragraph" w:customStyle="1" w:styleId="68">
    <w:name w:val="样式1"/>
    <w:basedOn w:val="1"/>
    <w:qFormat/>
    <w:uiPriority w:val="0"/>
    <w:pPr>
      <w:spacing w:line="360" w:lineRule="exact"/>
      <w:ind w:firstLine="200" w:firstLineChars="200"/>
    </w:pPr>
    <w:rPr>
      <w:rFonts w:ascii="Arial" w:hAnsi="Arial"/>
    </w:rPr>
  </w:style>
  <w:style w:type="paragraph" w:customStyle="1" w:styleId="69">
    <w:name w:val="Fließtext"/>
    <w:basedOn w:val="1"/>
    <w:qFormat/>
    <w:uiPriority w:val="0"/>
    <w:pPr>
      <w:overflowPunct w:val="0"/>
      <w:autoSpaceDE w:val="0"/>
      <w:autoSpaceDN w:val="0"/>
      <w:adjustRightInd w:val="0"/>
      <w:textAlignment w:val="baseline"/>
    </w:pPr>
    <w:rPr>
      <w:kern w:val="28"/>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tyleName="APA" SelectedStyle="\APA.XSL"/>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A1A89CA-9C04-4D29-9864-8320EE9FC57E}">
  <ds:schemaRefs/>
</ds:datastoreItem>
</file>

<file path=docProps/app.xml><?xml version="1.0" encoding="utf-8"?>
<Properties xmlns="http://schemas.openxmlformats.org/officeDocument/2006/extended-properties" xmlns:vt="http://schemas.openxmlformats.org/officeDocument/2006/docPropsVTypes">
  <Template>Normal</Template>
  <Company>Organization</Company>
  <Pages>61</Pages>
  <Words>1458</Words>
  <Characters>1727</Characters>
  <Lines>265</Lines>
  <Paragraphs>74</Paragraphs>
  <TotalTime>6</TotalTime>
  <ScaleCrop>false</ScaleCrop>
  <LinksUpToDate>false</LinksUpToDate>
  <CharactersWithSpaces>1773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2025-04-07T03:29:00Z</dcterms:created>
  <dc:creator>Thorpe521</dc:creator>
  <cp:lastModifiedBy>章林志</cp:lastModifiedBy>
  <cp:lastPrinted>2024-05-30T08:43:00Z</cp:lastPrinted>
  <dcterms:modified xsi:type="dcterms:W3CDTF">2025-04-07T14:42:55Z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eyJoZGlkIjoiZDUwMDI5MTg3NWZiMjU0NGUxZDA5ZWFkZDY2MTZkODMifQ==</vt:lpwstr>
  </property>
  <property fmtid="{D5CDD505-2E9C-101B-9397-08002B2CF9AE}" pid="3" name="KSOProductBuildVer">
    <vt:lpwstr>2052-12.1.0.20305</vt:lpwstr>
  </property>
  <property fmtid="{D5CDD505-2E9C-101B-9397-08002B2CF9AE}" pid="4" name="ICV">
    <vt:lpwstr>3F6447B9760343E1AD86AF99A1F742BD_13</vt:lpwstr>
  </property>
</Properties>
</file>