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47A0F482">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7F2769C4">
      <w:pPr>
        <w:adjustRightInd w:val="0"/>
        <w:snapToGrid w:val="0"/>
        <w:jc w:val="center"/>
        <w:rPr>
          <w:rFonts w:ascii="宋体" w:hAnsi="宋体" w:cs="Arial"/>
          <w:bCs/>
          <w:color w:val="FF0000"/>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5C0A2FA2">
      <w:pPr>
        <w:adjustRightInd w:val="0"/>
        <w:snapToGrid w:val="0"/>
        <w:spacing w:line="360" w:lineRule="auto"/>
        <w:ind w:left="1521" w:hanging="1521" w:hangingChars="541"/>
        <w:jc w:val="center"/>
        <w:rPr>
          <w:rFonts w:hint="eastAsia" w:ascii="宋体" w:hAnsi="宋体"/>
          <w:b/>
          <w:bCs/>
          <w:color w:val="000000"/>
          <w:sz w:val="28"/>
          <w:szCs w:val="28"/>
        </w:rPr>
      </w:pPr>
    </w:p>
    <w:p w14:paraId="5A947BFA">
      <w:pPr>
        <w:adjustRightInd w:val="0"/>
        <w:snapToGrid w:val="0"/>
        <w:spacing w:line="360" w:lineRule="auto"/>
        <w:ind w:left="1521" w:hanging="1521" w:hangingChars="541"/>
        <w:jc w:val="center"/>
        <w:rPr>
          <w:rFonts w:hint="eastAsia" w:ascii="宋体" w:hAnsi="宋体"/>
          <w:b/>
          <w:bCs/>
          <w:color w:val="000000"/>
          <w:sz w:val="28"/>
          <w:szCs w:val="28"/>
        </w:rPr>
      </w:pPr>
    </w:p>
    <w:p w14:paraId="11E1201F">
      <w:pPr>
        <w:adjustRightInd w:val="0"/>
        <w:snapToGrid w:val="0"/>
        <w:spacing w:line="360" w:lineRule="auto"/>
        <w:ind w:left="1521" w:hanging="1521" w:hangingChars="541"/>
        <w:jc w:val="center"/>
        <w:rPr>
          <w:rFonts w:ascii="宋体" w:hAnsi="宋体"/>
          <w:b/>
          <w:bCs/>
          <w:color w:val="000000"/>
          <w:sz w:val="28"/>
          <w:szCs w:val="28"/>
        </w:rPr>
      </w:pPr>
      <w:r>
        <w:rPr>
          <w:rFonts w:hint="eastAsia" w:ascii="宋体" w:hAnsi="宋体"/>
          <w:b/>
          <w:bCs/>
          <w:color w:val="000000"/>
          <w:sz w:val="28"/>
          <w:szCs w:val="28"/>
        </w:rPr>
        <w:t>项目名称：临海市废气治理设施低效失效排查整治技术服务项目</w:t>
      </w:r>
    </w:p>
    <w:p w14:paraId="08E7909C">
      <w:pPr>
        <w:adjustRightInd w:val="0"/>
        <w:snapToGrid w:val="0"/>
        <w:spacing w:line="360" w:lineRule="auto"/>
        <w:ind w:left="1521" w:hanging="1521" w:hangingChars="541"/>
        <w:jc w:val="center"/>
        <w:rPr>
          <w:rFonts w:ascii="宋体" w:hAnsi="宋体" w:cs="Arial"/>
          <w:bCs/>
          <w:color w:val="000000"/>
          <w:sz w:val="28"/>
          <w:szCs w:val="28"/>
        </w:rPr>
      </w:pPr>
      <w:r>
        <w:rPr>
          <w:rFonts w:hint="eastAsia" w:ascii="宋体" w:hAnsi="宋体"/>
          <w:b/>
          <w:bCs/>
          <w:color w:val="000000"/>
          <w:sz w:val="28"/>
          <w:szCs w:val="28"/>
        </w:rPr>
        <w:t>项目编号：</w:t>
      </w:r>
      <w:r>
        <w:rPr>
          <w:rFonts w:hint="eastAsia" w:ascii="宋体" w:hAnsi="宋体"/>
          <w:b/>
          <w:bCs/>
          <w:sz w:val="28"/>
          <w:szCs w:val="28"/>
        </w:rPr>
        <w:t>TZYA[2025]1号</w:t>
      </w:r>
    </w:p>
    <w:p w14:paraId="48A2CA54">
      <w:pPr>
        <w:jc w:val="center"/>
        <w:rPr>
          <w:rFonts w:ascii="宋体" w:hAnsi="宋体"/>
          <w:color w:val="000000"/>
          <w:sz w:val="24"/>
        </w:rPr>
      </w:pPr>
    </w:p>
    <w:p w14:paraId="49D2D32E">
      <w:pPr>
        <w:jc w:val="center"/>
        <w:rPr>
          <w:rFonts w:ascii="宋体" w:hAnsi="宋体"/>
          <w:color w:val="000000"/>
          <w:sz w:val="24"/>
        </w:rPr>
      </w:pPr>
    </w:p>
    <w:p w14:paraId="2B8B8687">
      <w:pPr>
        <w:jc w:val="center"/>
        <w:rPr>
          <w:rFonts w:ascii="宋体" w:hAnsi="宋体"/>
          <w:color w:val="000000"/>
          <w:sz w:val="24"/>
        </w:rPr>
      </w:pPr>
    </w:p>
    <w:p w14:paraId="4BEAFCA4">
      <w:pPr>
        <w:jc w:val="center"/>
        <w:rPr>
          <w:rFonts w:ascii="宋体" w:hAnsi="宋体"/>
          <w:color w:val="000000"/>
          <w:sz w:val="24"/>
        </w:rPr>
      </w:pPr>
    </w:p>
    <w:p w14:paraId="3D56EC1F">
      <w:pPr>
        <w:jc w:val="center"/>
        <w:rPr>
          <w:rFonts w:ascii="宋体" w:hAnsi="宋体"/>
          <w:color w:val="000000"/>
          <w:sz w:val="24"/>
        </w:rPr>
      </w:pPr>
    </w:p>
    <w:p w14:paraId="21112196">
      <w:pPr>
        <w:jc w:val="center"/>
        <w:rPr>
          <w:rFonts w:ascii="宋体" w:hAnsi="宋体"/>
          <w:color w:val="000000"/>
          <w:sz w:val="24"/>
        </w:rPr>
      </w:pPr>
    </w:p>
    <w:p w14:paraId="05D07E9D">
      <w:pPr>
        <w:jc w:val="center"/>
        <w:rPr>
          <w:rFonts w:ascii="宋体" w:hAnsi="宋体"/>
          <w:color w:val="000000"/>
          <w:sz w:val="24"/>
        </w:rPr>
      </w:pPr>
    </w:p>
    <w:p w14:paraId="38E40F32">
      <w:pPr>
        <w:adjustRightInd w:val="0"/>
        <w:snapToGrid w:val="0"/>
        <w:spacing w:line="360" w:lineRule="auto"/>
        <w:jc w:val="center"/>
        <w:rPr>
          <w:rFonts w:ascii="宋体" w:hAnsi="宋体"/>
          <w:b/>
          <w:bCs/>
          <w:color w:val="000000"/>
          <w:sz w:val="28"/>
          <w:szCs w:val="28"/>
        </w:rPr>
      </w:pPr>
    </w:p>
    <w:p w14:paraId="0BE44BAB">
      <w:pPr>
        <w:adjustRightInd w:val="0"/>
        <w:snapToGrid w:val="0"/>
        <w:spacing w:line="360" w:lineRule="auto"/>
        <w:jc w:val="center"/>
        <w:rPr>
          <w:rFonts w:ascii="宋体" w:hAnsi="宋体"/>
          <w:b/>
          <w:bCs/>
          <w:color w:val="auto"/>
          <w:sz w:val="28"/>
          <w:szCs w:val="28"/>
          <w:highlight w:val="none"/>
        </w:rPr>
      </w:pPr>
      <w:r>
        <w:rPr>
          <w:rFonts w:hint="eastAsia" w:ascii="宋体" w:hAnsi="宋体"/>
          <w:b/>
          <w:bCs/>
          <w:sz w:val="28"/>
          <w:szCs w:val="28"/>
        </w:rPr>
        <w:t>采购单位</w:t>
      </w:r>
      <w:r>
        <w:rPr>
          <w:rFonts w:hint="eastAsia" w:ascii="宋体" w:hAnsi="宋体"/>
          <w:b/>
          <w:bCs/>
          <w:color w:val="auto"/>
          <w:sz w:val="28"/>
          <w:szCs w:val="28"/>
          <w:highlight w:val="none"/>
        </w:rPr>
        <w:t>：台州市生态环境局临海分局</w:t>
      </w:r>
    </w:p>
    <w:p w14:paraId="3DA3EC31">
      <w:pPr>
        <w:adjustRightInd w:val="0"/>
        <w:snapToGrid w:val="0"/>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代理机构：台州永安工程咨询有限公司</w:t>
      </w:r>
    </w:p>
    <w:p w14:paraId="67C285EB">
      <w:pPr>
        <w:spacing w:line="500" w:lineRule="atLeast"/>
        <w:jc w:val="center"/>
        <w:rPr>
          <w:rFonts w:ascii="宋体" w:hAnsi="宋体"/>
          <w:b/>
          <w:bCs/>
          <w:color w:val="auto"/>
          <w:sz w:val="30"/>
          <w:highlight w:val="none"/>
        </w:rPr>
      </w:pPr>
    </w:p>
    <w:p w14:paraId="3A8F1642">
      <w:pPr>
        <w:spacing w:line="500" w:lineRule="atLeast"/>
        <w:jc w:val="center"/>
        <w:rPr>
          <w:rFonts w:ascii="宋体" w:hAnsi="宋体"/>
          <w:b/>
          <w:bCs/>
          <w:color w:val="auto"/>
          <w:sz w:val="30"/>
          <w:highlight w:val="none"/>
        </w:rPr>
      </w:pPr>
    </w:p>
    <w:p w14:paraId="55FC9967">
      <w:pPr>
        <w:spacing w:line="500" w:lineRule="atLeast"/>
        <w:jc w:val="center"/>
        <w:rPr>
          <w:rFonts w:ascii="宋体" w:hAnsi="宋体"/>
          <w:b/>
          <w:bCs/>
          <w:color w:val="auto"/>
          <w:sz w:val="30"/>
          <w:highlight w:val="none"/>
        </w:rPr>
      </w:pPr>
    </w:p>
    <w:p w14:paraId="45591F9D">
      <w:pPr>
        <w:spacing w:line="500" w:lineRule="atLeast"/>
        <w:jc w:val="center"/>
        <w:rPr>
          <w:rFonts w:ascii="宋体" w:hAnsi="宋体"/>
          <w:b/>
          <w:bCs/>
          <w:color w:val="auto"/>
          <w:sz w:val="30"/>
          <w:highlight w:val="none"/>
        </w:rPr>
      </w:pPr>
    </w:p>
    <w:p w14:paraId="5B251B08">
      <w:pPr>
        <w:spacing w:line="500" w:lineRule="atLeast"/>
        <w:jc w:val="center"/>
        <w:rPr>
          <w:rFonts w:ascii="宋体" w:hAnsi="宋体"/>
          <w:b/>
          <w:bCs/>
          <w:color w:val="auto"/>
          <w:sz w:val="30"/>
          <w:highlight w:val="none"/>
        </w:rPr>
      </w:pPr>
    </w:p>
    <w:p w14:paraId="15C14249">
      <w:pPr>
        <w:spacing w:line="500" w:lineRule="atLeast"/>
        <w:ind w:firstLine="3204" w:firstLineChars="1140"/>
        <w:rPr>
          <w:rFonts w:ascii="创艺简标宋" w:hAnsi="宋体" w:eastAsia="创艺简标宋"/>
          <w:color w:val="auto"/>
          <w:sz w:val="44"/>
          <w:szCs w:val="44"/>
          <w:highlight w:val="none"/>
        </w:rPr>
      </w:pPr>
      <w:r>
        <w:rPr>
          <w:rFonts w:hint="eastAsia" w:ascii="宋体" w:hAnsi="宋体"/>
          <w:b/>
          <w:bCs/>
          <w:color w:val="auto"/>
          <w:sz w:val="28"/>
          <w:szCs w:val="28"/>
          <w:highlight w:val="none"/>
        </w:rPr>
        <w:t>二0二</w:t>
      </w:r>
      <w:r>
        <w:rPr>
          <w:rFonts w:hint="eastAsia" w:ascii="宋体" w:hAnsi="宋体"/>
          <w:b/>
          <w:bCs/>
          <w:color w:val="auto"/>
          <w:sz w:val="28"/>
          <w:szCs w:val="28"/>
          <w:highlight w:val="none"/>
          <w:lang w:val="en-US" w:eastAsia="zh-CN"/>
        </w:rPr>
        <w:t>五</w:t>
      </w:r>
      <w:r>
        <w:rPr>
          <w:rFonts w:hint="eastAsia" w:ascii="宋体" w:hAnsi="宋体"/>
          <w:b/>
          <w:bCs/>
          <w:color w:val="auto"/>
          <w:sz w:val="28"/>
          <w:szCs w:val="28"/>
          <w:highlight w:val="none"/>
        </w:rPr>
        <w:t xml:space="preserve">年三月 </w:t>
      </w:r>
    </w:p>
    <w:p w14:paraId="6681EA7C">
      <w:pPr>
        <w:pStyle w:val="28"/>
        <w:spacing w:beforeLines="0" w:afterLines="0" w:line="360" w:lineRule="auto"/>
        <w:rPr>
          <w:rFonts w:ascii="创艺简标宋" w:hAnsi="宋体" w:eastAsia="创艺简标宋"/>
          <w:color w:val="auto"/>
          <w:sz w:val="44"/>
          <w:szCs w:val="44"/>
          <w:highlight w:val="none"/>
        </w:rPr>
      </w:pPr>
      <w:r>
        <w:rPr>
          <w:rFonts w:ascii="创艺简标宋" w:hAnsi="宋体" w:eastAsia="创艺简标宋"/>
          <w:color w:val="auto"/>
          <w:sz w:val="44"/>
          <w:szCs w:val="44"/>
          <w:highlight w:val="none"/>
        </w:rPr>
        <w:br w:type="page"/>
      </w:r>
    </w:p>
    <w:p w14:paraId="7258FE74">
      <w:pPr>
        <w:pStyle w:val="28"/>
        <w:spacing w:beforeLines="0" w:afterLines="0" w:line="360" w:lineRule="auto"/>
        <w:rPr>
          <w:rFonts w:hAnsi="宋体"/>
          <w:color w:val="auto"/>
          <w:sz w:val="30"/>
          <w:szCs w:val="30"/>
          <w:highlight w:val="none"/>
        </w:rPr>
      </w:pPr>
    </w:p>
    <w:p w14:paraId="699C50C1">
      <w:pPr>
        <w:pStyle w:val="28"/>
        <w:spacing w:beforeLines="0" w:afterLines="0" w:line="360" w:lineRule="auto"/>
        <w:ind w:firstLine="600" w:firstLineChars="200"/>
        <w:rPr>
          <w:rFonts w:hAnsi="宋体"/>
          <w:color w:val="auto"/>
          <w:sz w:val="30"/>
          <w:szCs w:val="30"/>
          <w:highlight w:val="none"/>
        </w:rPr>
      </w:pPr>
    </w:p>
    <w:p w14:paraId="7A4EF5E1">
      <w:pPr>
        <w:pStyle w:val="28"/>
        <w:spacing w:beforeLines="0" w:afterLines="0" w:line="360" w:lineRule="auto"/>
        <w:rPr>
          <w:rFonts w:ascii="创艺简标宋" w:hAnsi="宋体" w:eastAsia="创艺简标宋"/>
          <w:color w:val="auto"/>
          <w:sz w:val="44"/>
          <w:szCs w:val="44"/>
          <w:highlight w:val="none"/>
        </w:rPr>
      </w:pPr>
    </w:p>
    <w:p w14:paraId="6C571AD1">
      <w:pPr>
        <w:pStyle w:val="28"/>
        <w:spacing w:beforeLines="0" w:afterLines="0" w:line="360" w:lineRule="auto"/>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rPr>
        <w:t>目    录</w:t>
      </w:r>
    </w:p>
    <w:p w14:paraId="36F51BA7">
      <w:pPr>
        <w:pStyle w:val="35"/>
        <w:spacing w:line="480" w:lineRule="auto"/>
        <w:rPr>
          <w:rFonts w:ascii="宋体" w:hAnsi="宋体"/>
          <w:b/>
          <w:color w:val="auto"/>
          <w:sz w:val="28"/>
          <w:szCs w:val="28"/>
          <w:highlight w:val="none"/>
        </w:rPr>
      </w:pPr>
    </w:p>
    <w:p w14:paraId="52D1B1C4">
      <w:pPr>
        <w:pStyle w:val="35"/>
        <w:tabs>
          <w:tab w:val="right" w:leader="dot" w:pos="8720"/>
        </w:tabs>
        <w:spacing w:line="480" w:lineRule="auto"/>
        <w:rPr>
          <w:rFonts w:ascii="宋体" w:hAnsi="宋体" w:cstheme="minorBidi"/>
          <w:color w:val="auto"/>
          <w:sz w:val="24"/>
          <w:highlight w:val="none"/>
        </w:rPr>
      </w:pPr>
      <w:r>
        <w:rPr>
          <w:rFonts w:hint="eastAsia" w:ascii="宋体" w:hAnsi="宋体"/>
          <w:color w:val="auto"/>
          <w:sz w:val="24"/>
          <w:highlight w:val="none"/>
        </w:rPr>
        <w:fldChar w:fldCharType="begin"/>
      </w:r>
      <w:r>
        <w:rPr>
          <w:rFonts w:ascii="宋体" w:hAnsi="宋体"/>
          <w:color w:val="auto"/>
          <w:sz w:val="24"/>
          <w:highlight w:val="none"/>
        </w:rPr>
        <w:instrText xml:space="preserve"> TOC \o "1-3" \h \z \u </w:instrText>
      </w:r>
      <w:r>
        <w:rPr>
          <w:rFonts w:hint="eastAsia" w:ascii="宋体" w:hAnsi="宋体"/>
          <w:color w:val="auto"/>
          <w:sz w:val="24"/>
          <w:highlight w:val="none"/>
        </w:rPr>
        <w:fldChar w:fldCharType="separate"/>
      </w:r>
      <w:r>
        <w:rPr>
          <w:color w:val="auto"/>
          <w:highlight w:val="none"/>
        </w:rPr>
        <w:fldChar w:fldCharType="begin"/>
      </w:r>
      <w:r>
        <w:rPr>
          <w:color w:val="auto"/>
          <w:highlight w:val="none"/>
        </w:rPr>
        <w:instrText xml:space="preserve"> HYPERLINK \l "_Toc48835711" </w:instrText>
      </w:r>
      <w:r>
        <w:rPr>
          <w:color w:val="auto"/>
          <w:highlight w:val="none"/>
        </w:rPr>
        <w:fldChar w:fldCharType="separate"/>
      </w:r>
      <w:r>
        <w:rPr>
          <w:rStyle w:val="55"/>
          <w:rFonts w:ascii="宋体" w:hAnsi="宋体"/>
          <w:color w:val="auto"/>
          <w:sz w:val="24"/>
          <w:highlight w:val="none"/>
        </w:rPr>
        <w:t>第一章 竞争性磋商公告</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_Toc48835711 \h </w:instrText>
      </w:r>
      <w:r>
        <w:rPr>
          <w:rFonts w:ascii="宋体" w:hAnsi="宋体"/>
          <w:color w:val="auto"/>
          <w:sz w:val="24"/>
          <w:highlight w:val="none"/>
        </w:rPr>
        <w:fldChar w:fldCharType="separate"/>
      </w:r>
      <w:r>
        <w:rPr>
          <w:rFonts w:ascii="宋体" w:hAnsi="宋体"/>
          <w:color w:val="auto"/>
          <w:sz w:val="24"/>
          <w:highlight w:val="none"/>
        </w:rPr>
        <w:t>3</w:t>
      </w:r>
      <w:r>
        <w:rPr>
          <w:rFonts w:ascii="宋体" w:hAnsi="宋体"/>
          <w:color w:val="auto"/>
          <w:sz w:val="24"/>
          <w:highlight w:val="none"/>
        </w:rPr>
        <w:fldChar w:fldCharType="end"/>
      </w:r>
      <w:r>
        <w:rPr>
          <w:rFonts w:ascii="宋体" w:hAnsi="宋体"/>
          <w:color w:val="auto"/>
          <w:sz w:val="24"/>
          <w:highlight w:val="none"/>
        </w:rPr>
        <w:fldChar w:fldCharType="end"/>
      </w:r>
    </w:p>
    <w:p w14:paraId="579E1862">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"_Toc48835712" </w:instrText>
      </w:r>
      <w:r>
        <w:rPr>
          <w:color w:val="auto"/>
          <w:highlight w:val="none"/>
        </w:rPr>
        <w:fldChar w:fldCharType="separate"/>
      </w:r>
      <w:r>
        <w:rPr>
          <w:rStyle w:val="55"/>
          <w:rFonts w:ascii="宋体" w:hAnsi="宋体"/>
          <w:color w:val="auto"/>
          <w:sz w:val="24"/>
          <w:highlight w:val="none"/>
        </w:rPr>
        <w:t>第二章  采购需求</w:t>
      </w:r>
      <w:r>
        <w:rPr>
          <w:rFonts w:ascii="宋体" w:hAnsi="宋体"/>
          <w:color w:val="auto"/>
          <w:sz w:val="24"/>
          <w:highlight w:val="none"/>
        </w:rPr>
        <w:tab/>
      </w:r>
      <w:r>
        <w:rPr>
          <w:rFonts w:ascii="宋体" w:hAnsi="宋体"/>
          <w:color w:val="auto"/>
          <w:sz w:val="24"/>
          <w:highlight w:val="none"/>
        </w:rPr>
        <w:t>8</w:t>
      </w:r>
      <w:r>
        <w:rPr>
          <w:rFonts w:ascii="宋体" w:hAnsi="宋体"/>
          <w:color w:val="auto"/>
          <w:sz w:val="24"/>
          <w:highlight w:val="none"/>
        </w:rPr>
        <w:fldChar w:fldCharType="end"/>
      </w:r>
    </w:p>
    <w:p w14:paraId="358C0579">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"_Toc48835713" </w:instrText>
      </w:r>
      <w:r>
        <w:rPr>
          <w:color w:val="auto"/>
          <w:highlight w:val="none"/>
        </w:rPr>
        <w:fldChar w:fldCharType="separate"/>
      </w:r>
      <w:r>
        <w:rPr>
          <w:rStyle w:val="55"/>
          <w:rFonts w:ascii="宋体" w:hAnsi="宋体"/>
          <w:color w:val="auto"/>
          <w:sz w:val="24"/>
          <w:highlight w:val="none"/>
        </w:rPr>
        <w:t>第三章  供应商磋商须知</w:t>
      </w:r>
      <w:r>
        <w:rPr>
          <w:rFonts w:ascii="宋体" w:hAnsi="宋体"/>
          <w:color w:val="auto"/>
          <w:sz w:val="24"/>
          <w:highlight w:val="none"/>
        </w:rPr>
        <w:tab/>
      </w:r>
      <w:r>
        <w:rPr>
          <w:rFonts w:ascii="宋体" w:hAnsi="宋体"/>
          <w:color w:val="auto"/>
          <w:sz w:val="24"/>
          <w:highlight w:val="none"/>
        </w:rPr>
        <w:t>9</w:t>
      </w:r>
      <w:r>
        <w:rPr>
          <w:rFonts w:ascii="宋体" w:hAnsi="宋体"/>
          <w:color w:val="auto"/>
          <w:sz w:val="24"/>
          <w:highlight w:val="none"/>
        </w:rPr>
        <w:fldChar w:fldCharType="end"/>
      </w:r>
    </w:p>
    <w:p w14:paraId="44DDE6AF">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"_Toc48835714" </w:instrText>
      </w:r>
      <w:r>
        <w:rPr>
          <w:color w:val="auto"/>
          <w:highlight w:val="none"/>
        </w:rPr>
        <w:fldChar w:fldCharType="separate"/>
      </w:r>
      <w:r>
        <w:rPr>
          <w:rStyle w:val="55"/>
          <w:rFonts w:ascii="宋体" w:hAnsi="宋体"/>
          <w:color w:val="auto"/>
          <w:sz w:val="24"/>
          <w:highlight w:val="none"/>
        </w:rPr>
        <w:t>第四章 评标办法及评分标准</w:t>
      </w:r>
      <w:r>
        <w:rPr>
          <w:rFonts w:ascii="宋体" w:hAnsi="宋体"/>
          <w:color w:val="auto"/>
          <w:sz w:val="24"/>
          <w:highlight w:val="none"/>
        </w:rPr>
        <w:tab/>
      </w:r>
      <w:r>
        <w:rPr>
          <w:rFonts w:ascii="宋体" w:hAnsi="宋体"/>
          <w:color w:val="auto"/>
          <w:sz w:val="24"/>
          <w:highlight w:val="none"/>
        </w:rPr>
        <w:t>20</w:t>
      </w:r>
      <w:r>
        <w:rPr>
          <w:rFonts w:ascii="宋体" w:hAnsi="宋体"/>
          <w:color w:val="auto"/>
          <w:sz w:val="24"/>
          <w:highlight w:val="none"/>
        </w:rPr>
        <w:fldChar w:fldCharType="end"/>
      </w:r>
    </w:p>
    <w:p w14:paraId="44BAB3EF">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"_Toc48835715" </w:instrText>
      </w:r>
      <w:r>
        <w:rPr>
          <w:color w:val="auto"/>
          <w:highlight w:val="none"/>
        </w:rPr>
        <w:fldChar w:fldCharType="separate"/>
      </w:r>
      <w:r>
        <w:rPr>
          <w:rStyle w:val="55"/>
          <w:rFonts w:ascii="宋体" w:hAnsi="宋体"/>
          <w:color w:val="auto"/>
          <w:sz w:val="24"/>
          <w:highlight w:val="none"/>
        </w:rPr>
        <w:t>第五章  合同主要条款</w:t>
      </w:r>
      <w:r>
        <w:rPr>
          <w:rFonts w:ascii="宋体" w:hAnsi="宋体"/>
          <w:color w:val="auto"/>
          <w:sz w:val="24"/>
          <w:highlight w:val="none"/>
        </w:rPr>
        <w:tab/>
      </w:r>
      <w:r>
        <w:rPr>
          <w:rFonts w:ascii="宋体" w:hAnsi="宋体"/>
          <w:color w:val="auto"/>
          <w:sz w:val="24"/>
          <w:highlight w:val="none"/>
        </w:rPr>
        <w:t>25</w:t>
      </w:r>
      <w:r>
        <w:rPr>
          <w:rFonts w:ascii="宋体" w:hAnsi="宋体"/>
          <w:color w:val="auto"/>
          <w:sz w:val="24"/>
          <w:highlight w:val="none"/>
        </w:rPr>
        <w:fldChar w:fldCharType="end"/>
      </w:r>
    </w:p>
    <w:p w14:paraId="433BE71C">
      <w:pPr>
        <w:pStyle w:val="35"/>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"_Toc48835716" </w:instrText>
      </w:r>
      <w:r>
        <w:rPr>
          <w:color w:val="auto"/>
          <w:highlight w:val="none"/>
        </w:rPr>
        <w:fldChar w:fldCharType="separate"/>
      </w:r>
      <w:r>
        <w:rPr>
          <w:rStyle w:val="55"/>
          <w:rFonts w:ascii="宋体" w:hAnsi="宋体"/>
          <w:color w:val="auto"/>
          <w:sz w:val="24"/>
          <w:highlight w:val="none"/>
        </w:rPr>
        <w:t>第六章　响应文件格式</w:t>
      </w:r>
      <w:r>
        <w:rPr>
          <w:rFonts w:ascii="宋体" w:hAnsi="宋体"/>
          <w:color w:val="auto"/>
          <w:sz w:val="24"/>
          <w:highlight w:val="none"/>
        </w:rPr>
        <w:tab/>
      </w:r>
      <w:r>
        <w:rPr>
          <w:rFonts w:ascii="宋体" w:hAnsi="宋体"/>
          <w:color w:val="auto"/>
          <w:sz w:val="24"/>
          <w:highlight w:val="none"/>
        </w:rPr>
        <w:t>29</w:t>
      </w:r>
      <w:r>
        <w:rPr>
          <w:rFonts w:ascii="宋体" w:hAnsi="宋体"/>
          <w:color w:val="auto"/>
          <w:sz w:val="24"/>
          <w:highlight w:val="none"/>
        </w:rPr>
        <w:fldChar w:fldCharType="end"/>
      </w:r>
    </w:p>
    <w:p w14:paraId="176D2AB7">
      <w:pPr>
        <w:pStyle w:val="41"/>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"_Toc48835717" </w:instrText>
      </w:r>
      <w:r>
        <w:rPr>
          <w:color w:val="auto"/>
          <w:highlight w:val="none"/>
        </w:rPr>
        <w:fldChar w:fldCharType="separate"/>
      </w:r>
      <w:r>
        <w:rPr>
          <w:rStyle w:val="55"/>
          <w:rFonts w:ascii="宋体" w:hAnsi="宋体"/>
          <w:color w:val="auto"/>
          <w:sz w:val="24"/>
          <w:highlight w:val="none"/>
        </w:rPr>
        <w:t>一、</w:t>
      </w:r>
      <w:r>
        <w:rPr>
          <w:rStyle w:val="55"/>
          <w:rFonts w:hint="eastAsia" w:ascii="宋体" w:hAnsi="宋体"/>
          <w:color w:val="auto"/>
          <w:sz w:val="24"/>
          <w:highlight w:val="none"/>
        </w:rPr>
        <w:t>资格</w:t>
      </w:r>
      <w:r>
        <w:rPr>
          <w:rStyle w:val="55"/>
          <w:rFonts w:ascii="宋体" w:hAnsi="宋体"/>
          <w:color w:val="auto"/>
          <w:sz w:val="24"/>
          <w:highlight w:val="none"/>
        </w:rPr>
        <w:t>响应文件格式</w:t>
      </w:r>
      <w:r>
        <w:rPr>
          <w:rFonts w:ascii="宋体" w:hAnsi="宋体"/>
          <w:color w:val="auto"/>
          <w:sz w:val="24"/>
          <w:highlight w:val="none"/>
        </w:rPr>
        <w:tab/>
      </w:r>
      <w:r>
        <w:rPr>
          <w:rFonts w:ascii="宋体" w:hAnsi="宋体"/>
          <w:color w:val="auto"/>
          <w:sz w:val="24"/>
          <w:highlight w:val="none"/>
        </w:rPr>
        <w:t>2</w:t>
      </w:r>
      <w:r>
        <w:rPr>
          <w:rFonts w:ascii="宋体" w:hAnsi="宋体"/>
          <w:color w:val="auto"/>
          <w:sz w:val="24"/>
          <w:highlight w:val="none"/>
        </w:rPr>
        <w:fldChar w:fldCharType="end"/>
      </w:r>
      <w:r>
        <w:rPr>
          <w:rFonts w:ascii="宋体" w:hAnsi="宋体"/>
          <w:color w:val="auto"/>
          <w:sz w:val="24"/>
          <w:highlight w:val="none"/>
        </w:rPr>
        <w:t>9</w:t>
      </w:r>
    </w:p>
    <w:p w14:paraId="065367EE">
      <w:pPr>
        <w:pStyle w:val="41"/>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"_Toc48835718" </w:instrText>
      </w:r>
      <w:r>
        <w:rPr>
          <w:color w:val="auto"/>
          <w:highlight w:val="none"/>
        </w:rPr>
        <w:fldChar w:fldCharType="separate"/>
      </w:r>
      <w:r>
        <w:rPr>
          <w:rStyle w:val="55"/>
          <w:rFonts w:ascii="宋体" w:hAnsi="宋体"/>
          <w:color w:val="auto"/>
          <w:sz w:val="24"/>
          <w:highlight w:val="none"/>
        </w:rPr>
        <w:t>二、商务技术文件格式</w:t>
      </w:r>
      <w:r>
        <w:rPr>
          <w:rFonts w:ascii="宋体" w:hAnsi="宋体"/>
          <w:color w:val="auto"/>
          <w:sz w:val="24"/>
          <w:highlight w:val="none"/>
        </w:rPr>
        <w:tab/>
      </w:r>
      <w:r>
        <w:rPr>
          <w:rFonts w:ascii="宋体" w:hAnsi="宋体"/>
          <w:color w:val="auto"/>
          <w:sz w:val="24"/>
          <w:highlight w:val="none"/>
        </w:rPr>
        <w:t>33</w:t>
      </w:r>
      <w:r>
        <w:rPr>
          <w:rFonts w:ascii="宋体" w:hAnsi="宋体"/>
          <w:color w:val="auto"/>
          <w:sz w:val="24"/>
          <w:highlight w:val="none"/>
        </w:rPr>
        <w:fldChar w:fldCharType="end"/>
      </w:r>
    </w:p>
    <w:p w14:paraId="7A00CB42">
      <w:pPr>
        <w:pStyle w:val="41"/>
        <w:tabs>
          <w:tab w:val="right" w:leader="dot" w:pos="8720"/>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"_Toc48835719" </w:instrText>
      </w:r>
      <w:r>
        <w:rPr>
          <w:color w:val="auto"/>
          <w:highlight w:val="none"/>
        </w:rPr>
        <w:fldChar w:fldCharType="separate"/>
      </w:r>
      <w:r>
        <w:rPr>
          <w:rStyle w:val="55"/>
          <w:rFonts w:ascii="宋体" w:hAnsi="宋体"/>
          <w:color w:val="auto"/>
          <w:sz w:val="24"/>
          <w:highlight w:val="none"/>
        </w:rPr>
        <w:t>三、报价文件格式</w:t>
      </w:r>
      <w:r>
        <w:rPr>
          <w:rFonts w:ascii="宋体" w:hAnsi="宋体"/>
          <w:color w:val="auto"/>
          <w:sz w:val="24"/>
          <w:highlight w:val="none"/>
        </w:rPr>
        <w:tab/>
      </w:r>
      <w:r>
        <w:rPr>
          <w:rFonts w:ascii="宋体" w:hAnsi="宋体"/>
          <w:color w:val="auto"/>
          <w:sz w:val="24"/>
          <w:highlight w:val="none"/>
        </w:rPr>
        <w:t>42</w:t>
      </w:r>
      <w:r>
        <w:rPr>
          <w:rFonts w:ascii="宋体" w:hAnsi="宋体"/>
          <w:color w:val="auto"/>
          <w:sz w:val="24"/>
          <w:highlight w:val="none"/>
        </w:rPr>
        <w:fldChar w:fldCharType="end"/>
      </w:r>
    </w:p>
    <w:p w14:paraId="495F74F6">
      <w:pPr>
        <w:pStyle w:val="35"/>
        <w:spacing w:line="480" w:lineRule="auto"/>
        <w:rPr>
          <w:rFonts w:ascii="宋体" w:hAnsi="宋体"/>
          <w:color w:val="auto"/>
          <w:sz w:val="24"/>
          <w:highlight w:val="none"/>
        </w:rPr>
      </w:pPr>
      <w:r>
        <w:rPr>
          <w:rFonts w:hint="eastAsia" w:ascii="宋体" w:hAnsi="宋体"/>
          <w:color w:val="auto"/>
          <w:sz w:val="24"/>
          <w:highlight w:val="none"/>
        </w:rPr>
        <w:fldChar w:fldCharType="end"/>
      </w:r>
    </w:p>
    <w:p w14:paraId="6B66040B">
      <w:pPr>
        <w:pStyle w:val="35"/>
        <w:tabs>
          <w:tab w:val="right" w:leader="dot" w:pos="8720"/>
        </w:tabs>
        <w:spacing w:line="800" w:lineRule="exact"/>
        <w:rPr>
          <w:rFonts w:ascii="Calibri" w:hAnsi="Calibri"/>
          <w:color w:val="auto"/>
          <w:szCs w:val="22"/>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TOC \o "1-3" \h \z \u </w:instrText>
      </w:r>
      <w:r>
        <w:rPr>
          <w:rFonts w:hint="eastAsia" w:ascii="宋体" w:hAnsi="宋体"/>
          <w:color w:val="auto"/>
          <w:sz w:val="28"/>
          <w:szCs w:val="28"/>
          <w:highlight w:val="none"/>
        </w:rPr>
        <w:fldChar w:fldCharType="separate"/>
      </w:r>
      <w:r>
        <w:rPr>
          <w:rFonts w:hint="eastAsia"/>
          <w:color w:val="auto"/>
          <w:sz w:val="28"/>
          <w:szCs w:val="28"/>
          <w:highlight w:val="none"/>
        </w:rPr>
        <w:t xml:space="preserve">  </w:t>
      </w:r>
    </w:p>
    <w:p w14:paraId="2BB3EEE2">
      <w:pPr>
        <w:spacing w:before="120" w:beforeLines="50" w:line="360" w:lineRule="auto"/>
        <w:rPr>
          <w:rFonts w:ascii="宋体" w:hAnsi="宋体"/>
          <w:b/>
          <w:color w:val="auto"/>
          <w:sz w:val="28"/>
          <w:szCs w:val="28"/>
          <w:highlight w:val="none"/>
        </w:rPr>
      </w:pPr>
      <w:r>
        <w:rPr>
          <w:rFonts w:hint="eastAsia" w:ascii="宋体" w:hAnsi="宋体"/>
          <w:color w:val="auto"/>
          <w:sz w:val="28"/>
          <w:szCs w:val="28"/>
          <w:highlight w:val="none"/>
        </w:rPr>
        <w:fldChar w:fldCharType="end"/>
      </w:r>
    </w:p>
    <w:p w14:paraId="605F835D">
      <w:pPr>
        <w:pStyle w:val="28"/>
        <w:snapToGrid w:val="0"/>
        <w:spacing w:beforeLines="0" w:afterLines="0" w:line="240" w:lineRule="auto"/>
        <w:jc w:val="center"/>
        <w:outlineLvl w:val="0"/>
        <w:rPr>
          <w:rFonts w:hAnsi="宋体"/>
          <w:color w:val="auto"/>
          <w:highlight w:val="none"/>
        </w:rPr>
      </w:pPr>
    </w:p>
    <w:p w14:paraId="6DCB5B45">
      <w:pPr>
        <w:rPr>
          <w:color w:val="auto"/>
          <w:highlight w:val="none"/>
        </w:rPr>
      </w:pPr>
    </w:p>
    <w:p w14:paraId="05648748">
      <w:pPr>
        <w:rPr>
          <w:color w:val="auto"/>
          <w:highlight w:val="none"/>
        </w:rPr>
      </w:pPr>
    </w:p>
    <w:p w14:paraId="71B00E1B">
      <w:pPr>
        <w:rPr>
          <w:color w:val="auto"/>
          <w:highlight w:val="none"/>
        </w:rPr>
      </w:pPr>
    </w:p>
    <w:p w14:paraId="009E25F7">
      <w:pPr>
        <w:rPr>
          <w:color w:val="auto"/>
          <w:highlight w:val="none"/>
        </w:rPr>
      </w:pPr>
    </w:p>
    <w:p w14:paraId="65DB6306">
      <w:pPr>
        <w:rPr>
          <w:color w:val="auto"/>
          <w:highlight w:val="none"/>
        </w:rPr>
      </w:pPr>
    </w:p>
    <w:p w14:paraId="607E6B33">
      <w:pPr>
        <w:rPr>
          <w:color w:val="auto"/>
          <w:highlight w:val="none"/>
        </w:rPr>
      </w:pPr>
    </w:p>
    <w:p w14:paraId="623CC1FC">
      <w:pPr>
        <w:rPr>
          <w:color w:val="auto"/>
          <w:highlight w:val="none"/>
        </w:rPr>
      </w:pPr>
    </w:p>
    <w:p w14:paraId="0DE632B8">
      <w:pPr>
        <w:pStyle w:val="28"/>
        <w:snapToGrid w:val="0"/>
        <w:spacing w:beforeLines="0" w:afterLines="0" w:line="240" w:lineRule="auto"/>
        <w:jc w:val="center"/>
        <w:outlineLvl w:val="0"/>
        <w:rPr>
          <w:rFonts w:ascii="黑体" w:hAnsi="宋体" w:eastAsia="黑体"/>
          <w:b/>
          <w:color w:val="auto"/>
          <w:sz w:val="30"/>
          <w:szCs w:val="30"/>
          <w:highlight w:val="none"/>
        </w:rPr>
      </w:pPr>
      <w:r>
        <w:rPr>
          <w:rFonts w:hint="eastAsia"/>
          <w:color w:val="auto"/>
          <w:highlight w:val="none"/>
        </w:rPr>
        <w:br w:type="page"/>
      </w:r>
      <w:bookmarkStart w:id="0" w:name="_Toc466534747"/>
      <w:bookmarkStart w:id="1" w:name="_Toc48835711"/>
      <w:r>
        <w:rPr>
          <w:rFonts w:hint="eastAsia"/>
          <w:b/>
          <w:color w:val="auto"/>
          <w:sz w:val="30"/>
          <w:szCs w:val="30"/>
          <w:highlight w:val="none"/>
        </w:rPr>
        <w:t xml:space="preserve">第一章 </w:t>
      </w:r>
      <w:bookmarkEnd w:id="0"/>
      <w:r>
        <w:rPr>
          <w:rFonts w:hint="eastAsia"/>
          <w:b/>
          <w:color w:val="auto"/>
          <w:sz w:val="30"/>
          <w:szCs w:val="30"/>
          <w:highlight w:val="none"/>
        </w:rPr>
        <w:t>竞争性磋商公告</w:t>
      </w:r>
      <w:bookmarkEnd w:id="1"/>
    </w:p>
    <w:p w14:paraId="0032F20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p>
    <w:p w14:paraId="5459929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根据《中华人民共和国政府采购法》、《中华人民共和国政府采购法实施条例》、</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szCs w:val="24"/>
          <w:highlight w:val="none"/>
        </w:rPr>
        <w:t>政府采购竞争性磋商采购方式管理暂行办法》</w:t>
      </w:r>
      <w:r>
        <w:rPr>
          <w:rFonts w:hint="eastAsia" w:ascii="宋体" w:hAnsi="宋体" w:eastAsia="宋体" w:cs="宋体"/>
          <w:color w:val="auto"/>
          <w:sz w:val="24"/>
          <w:szCs w:val="24"/>
          <w:highlight w:val="none"/>
        </w:rPr>
        <w:t>等规定，受</w:t>
      </w:r>
      <w:r>
        <w:rPr>
          <w:rFonts w:hint="eastAsia" w:ascii="宋体" w:hAnsi="宋体" w:eastAsia="宋体" w:cs="宋体"/>
          <w:b/>
          <w:bCs/>
          <w:color w:val="auto"/>
          <w:sz w:val="24"/>
          <w:szCs w:val="24"/>
          <w:highlight w:val="none"/>
          <w:u w:val="single"/>
        </w:rPr>
        <w:t>台州市生态环境局临海分局</w:t>
      </w:r>
      <w:r>
        <w:rPr>
          <w:rFonts w:hint="eastAsia" w:ascii="宋体" w:hAnsi="宋体" w:eastAsia="宋体" w:cs="宋体"/>
          <w:color w:val="auto"/>
          <w:sz w:val="24"/>
          <w:szCs w:val="24"/>
          <w:highlight w:val="none"/>
        </w:rPr>
        <w:t>委托，现就</w:t>
      </w:r>
      <w:r>
        <w:rPr>
          <w:rFonts w:hint="eastAsia" w:ascii="宋体" w:hAnsi="宋体" w:eastAsia="宋体" w:cs="宋体"/>
          <w:b/>
          <w:bCs/>
          <w:color w:val="auto"/>
          <w:sz w:val="24"/>
          <w:szCs w:val="24"/>
          <w:highlight w:val="none"/>
          <w:u w:val="single"/>
        </w:rPr>
        <w:t>临海市废气治理设施低效失效排查整治技术服务项目</w:t>
      </w:r>
      <w:r>
        <w:rPr>
          <w:rFonts w:hint="eastAsia" w:ascii="宋体" w:hAnsi="宋体" w:eastAsia="宋体" w:cs="宋体"/>
          <w:b/>
          <w:color w:val="auto"/>
          <w:sz w:val="24"/>
          <w:szCs w:val="24"/>
          <w:highlight w:val="none"/>
        </w:rPr>
        <w:t>采购</w:t>
      </w:r>
      <w:r>
        <w:rPr>
          <w:rFonts w:hint="eastAsia" w:ascii="宋体" w:hAnsi="宋体" w:eastAsia="宋体" w:cs="宋体"/>
          <w:color w:val="auto"/>
          <w:sz w:val="24"/>
          <w:szCs w:val="24"/>
          <w:highlight w:val="none"/>
        </w:rPr>
        <w:t>进行竞争性磋商，</w:t>
      </w:r>
      <w:r>
        <w:rPr>
          <w:rFonts w:hint="eastAsia" w:ascii="宋体" w:hAnsi="宋体" w:eastAsia="宋体" w:cs="宋体"/>
          <w:color w:val="auto"/>
          <w:kern w:val="0"/>
          <w:sz w:val="24"/>
          <w:szCs w:val="24"/>
          <w:highlight w:val="none"/>
        </w:rPr>
        <w:t>欢迎具备本项目供应商的资格要求且能够及时提供相关服务的供应商前来参加竞争性磋商活动。</w:t>
      </w:r>
    </w:p>
    <w:p w14:paraId="2A194FD5">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项目概况</w:t>
      </w:r>
    </w:p>
    <w:p w14:paraId="0AC78C3D">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bookmarkStart w:id="2" w:name="OLE_LINK1"/>
      <w:r>
        <w:rPr>
          <w:rFonts w:hint="eastAsia" w:ascii="宋体" w:hAnsi="宋体" w:eastAsia="宋体" w:cs="宋体"/>
          <w:color w:val="auto"/>
          <w:sz w:val="24"/>
          <w:szCs w:val="24"/>
          <w:highlight w:val="none"/>
        </w:rPr>
        <w:t>临海市废气治理设施低效失效排查整治技术服务项目</w:t>
      </w:r>
    </w:p>
    <w:bookmarkEnd w:id="2"/>
    <w:p w14:paraId="3AD3B240">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w:t>
      </w:r>
      <w:bookmarkStart w:id="3" w:name="_Hlk48832935"/>
      <w:r>
        <w:rPr>
          <w:rFonts w:hint="eastAsia" w:ascii="宋体" w:hAnsi="宋体" w:eastAsia="宋体" w:cs="宋体"/>
          <w:color w:val="auto"/>
          <w:sz w:val="24"/>
          <w:szCs w:val="24"/>
          <w:highlight w:val="none"/>
        </w:rPr>
        <w:t xml:space="preserve">台州市生态环境局临海分局 </w:t>
      </w:r>
      <w:bookmarkEnd w:id="3"/>
      <w:r>
        <w:rPr>
          <w:rFonts w:hint="eastAsia" w:ascii="宋体" w:hAnsi="宋体" w:eastAsia="宋体" w:cs="宋体"/>
          <w:color w:val="auto"/>
          <w:sz w:val="24"/>
          <w:szCs w:val="24"/>
          <w:highlight w:val="none"/>
        </w:rPr>
        <w:t xml:space="preserve"> </w:t>
      </w:r>
    </w:p>
    <w:p w14:paraId="1D6CEA93">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采购规模及内容概述： </w:t>
      </w:r>
    </w:p>
    <w:p w14:paraId="349A5936">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万元</w:t>
      </w:r>
    </w:p>
    <w:p w14:paraId="020D271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采购组织类型：分散采购</w:t>
      </w:r>
    </w:p>
    <w:p w14:paraId="43463F67">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采购标段数：1</w:t>
      </w:r>
    </w:p>
    <w:p w14:paraId="702092FA">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bookmarkStart w:id="4" w:name="OLE_LINK5"/>
      <w:r>
        <w:rPr>
          <w:rFonts w:hint="eastAsia" w:ascii="宋体" w:hAnsi="宋体" w:eastAsia="宋体" w:cs="宋体"/>
          <w:color w:val="auto"/>
          <w:sz w:val="24"/>
          <w:szCs w:val="24"/>
          <w:highlight w:val="none"/>
        </w:rPr>
        <w:t>竞争性磋商</w:t>
      </w:r>
      <w:bookmarkEnd w:id="4"/>
    </w:p>
    <w:p w14:paraId="275E5986">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shd w:val="pct10" w:color="auto" w:fill="FFFFFF"/>
        </w:rPr>
        <w:t>▲</w:t>
      </w:r>
      <w:r>
        <w:rPr>
          <w:rFonts w:hint="eastAsia" w:ascii="宋体" w:hAnsi="宋体" w:eastAsia="宋体" w:cs="宋体"/>
          <w:b/>
          <w:color w:val="auto"/>
          <w:sz w:val="24"/>
          <w:szCs w:val="24"/>
          <w:highlight w:val="none"/>
        </w:rPr>
        <w:t>服务期：</w:t>
      </w:r>
      <w:r>
        <w:rPr>
          <w:rFonts w:hint="eastAsia" w:ascii="宋体" w:hAnsi="宋体" w:eastAsia="宋体" w:cs="宋体"/>
          <w:bCs/>
          <w:color w:val="auto"/>
          <w:sz w:val="24"/>
          <w:szCs w:val="24"/>
          <w:highlight w:val="none"/>
          <w:lang w:val="en-US" w:eastAsia="zh-CN"/>
        </w:rPr>
        <w:t>合同签订之日起至2025年11月30日，或期间内排查整治评估报告通过审核，满足以上两个条件之一时合同自动终止。</w:t>
      </w:r>
    </w:p>
    <w:p w14:paraId="6EBD1055">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磋商</w:t>
      </w:r>
      <w:r>
        <w:rPr>
          <w:rFonts w:hint="eastAsia" w:ascii="宋体" w:hAnsi="宋体" w:eastAsia="宋体" w:cs="宋体"/>
          <w:b/>
          <w:color w:val="auto"/>
          <w:sz w:val="24"/>
          <w:szCs w:val="24"/>
          <w:highlight w:val="none"/>
        </w:rPr>
        <w:t>文件公告期限：</w:t>
      </w:r>
      <w:r>
        <w:rPr>
          <w:rFonts w:hint="eastAsia" w:cs="宋体"/>
          <w:b/>
          <w:color w:val="auto"/>
          <w:sz w:val="24"/>
          <w:szCs w:val="24"/>
          <w:highlight w:val="none"/>
          <w:lang w:val="en-US" w:eastAsia="zh-CN"/>
        </w:rPr>
        <w:t>3</w:t>
      </w:r>
      <w:r>
        <w:rPr>
          <w:rFonts w:hint="eastAsia" w:ascii="宋体" w:hAnsi="宋体" w:eastAsia="宋体" w:cs="宋体"/>
          <w:b/>
          <w:color w:val="auto"/>
          <w:sz w:val="24"/>
          <w:szCs w:val="24"/>
          <w:highlight w:val="none"/>
        </w:rPr>
        <w:t>个工作日</w:t>
      </w:r>
    </w:p>
    <w:p w14:paraId="056A0E31">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该项目已具备条件，现对该项目进行竞争性磋商。</w:t>
      </w:r>
    </w:p>
    <w:p w14:paraId="77B94284">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2.合格磋商供应商的资格要求</w:t>
      </w:r>
    </w:p>
    <w:p w14:paraId="53F5A90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（1）符合《中华人民共和国政府采购法》第二十二条规定；未被“信用中国”（www.creditchina.gov.cn)、中国政府采购网（www.ccgp.gov.cn）列入失信被执行人、税收违法黑名单、政府采购严重违法失信行为记录名单。</w:t>
      </w:r>
    </w:p>
    <w:p w14:paraId="66ACE1F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（2）具有与本采购项目相适应的商品经营或服务能力的供应商；</w:t>
      </w:r>
    </w:p>
    <w:p w14:paraId="28402ED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（3）本项目不接受联合体投标。</w:t>
      </w:r>
    </w:p>
    <w:p w14:paraId="1101CC26">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19D1E7FA">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3.报名</w:t>
      </w:r>
    </w:p>
    <w:p w14:paraId="3FC5FB3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u w:val="single"/>
          <w:shd w:val="pct10" w:color="auto" w:fill="FFFFFF"/>
        </w:rPr>
      </w:pPr>
      <w:r>
        <w:rPr>
          <w:rFonts w:hint="eastAsia" w:ascii="宋体" w:hAnsi="宋体" w:eastAsia="宋体" w:cs="宋体"/>
          <w:b/>
          <w:bCs/>
          <w:color w:val="auto"/>
          <w:kern w:val="0"/>
          <w:sz w:val="24"/>
          <w:szCs w:val="24"/>
          <w:highlight w:val="none"/>
          <w:u w:val="single"/>
          <w:shd w:val="pct10" w:color="auto" w:fill="FFFFFF"/>
        </w:rPr>
        <w:t>本项目无需报名，</w:t>
      </w:r>
      <w:bookmarkStart w:id="5" w:name="_Hlk59307647"/>
      <w:r>
        <w:rPr>
          <w:rFonts w:hint="eastAsia" w:ascii="宋体" w:hAnsi="宋体" w:eastAsia="宋体" w:cs="宋体"/>
          <w:b/>
          <w:bCs/>
          <w:color w:val="auto"/>
          <w:kern w:val="0"/>
          <w:sz w:val="24"/>
          <w:szCs w:val="24"/>
          <w:highlight w:val="none"/>
          <w:u w:val="single"/>
          <w:shd w:val="pct10" w:color="auto" w:fill="FFFFFF"/>
        </w:rPr>
        <w:t>供应商须到临海市公共资源交易中心网站</w:t>
      </w:r>
    </w:p>
    <w:p w14:paraId="3392935B">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u w:val="single"/>
          <w:shd w:val="pct10" w:color="auto" w:fill="FFFFFF"/>
        </w:rPr>
      </w:pPr>
      <w:r>
        <w:rPr>
          <w:rFonts w:hint="eastAsia" w:ascii="宋体" w:hAnsi="宋体" w:eastAsia="宋体" w:cs="宋体"/>
          <w:b/>
          <w:bCs/>
          <w:color w:val="auto"/>
          <w:kern w:val="0"/>
          <w:sz w:val="24"/>
          <w:szCs w:val="24"/>
          <w:highlight w:val="none"/>
          <w:u w:val="single"/>
          <w:shd w:val="pct10" w:color="auto" w:fill="FFFFFF"/>
        </w:rPr>
        <w:t>（http://www.linhai.gov.cn/ggzyjy/）注册</w:t>
      </w:r>
      <w:bookmarkEnd w:id="5"/>
      <w:r>
        <w:rPr>
          <w:rFonts w:hint="eastAsia" w:ascii="宋体" w:hAnsi="宋体" w:eastAsia="宋体" w:cs="宋体"/>
          <w:b/>
          <w:bCs/>
          <w:color w:val="auto"/>
          <w:kern w:val="0"/>
          <w:sz w:val="24"/>
          <w:szCs w:val="24"/>
          <w:highlight w:val="none"/>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4.磋商文件的获取</w:t>
      </w:r>
    </w:p>
    <w:p w14:paraId="4F75845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采购文件售价：免费</w:t>
      </w:r>
    </w:p>
    <w:p w14:paraId="744F17D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获取方式：凡有意参加投标者，在</w:t>
      </w:r>
      <w:r>
        <w:rPr>
          <w:rFonts w:hint="eastAsia" w:ascii="宋体" w:hAnsi="宋体" w:cs="宋体"/>
          <w:bCs/>
          <w:color w:val="auto"/>
          <w:sz w:val="24"/>
          <w:szCs w:val="24"/>
          <w:highlight w:val="none"/>
          <w:lang w:eastAsia="zh-CN"/>
        </w:rPr>
        <w:t>2025年4月11日</w:t>
      </w:r>
      <w:r>
        <w:rPr>
          <w:rFonts w:hint="eastAsia" w:ascii="宋体" w:hAnsi="宋体" w:eastAsia="宋体" w:cs="宋体"/>
          <w:bCs/>
          <w:color w:val="auto"/>
          <w:sz w:val="24"/>
          <w:szCs w:val="24"/>
          <w:highlight w:val="none"/>
        </w:rPr>
        <w:t>8:30前，到临海市公共资源交易中心网站注册审核通过后可自行下载采购文件或到浙江政府采购网（网址</w:t>
      </w:r>
      <w:r>
        <w:rPr>
          <w:rFonts w:hint="eastAsia" w:ascii="宋体" w:hAnsi="宋体" w:eastAsia="宋体" w:cs="宋体"/>
          <w:color w:val="auto"/>
          <w:sz w:val="24"/>
          <w:szCs w:val="24"/>
          <w:highlight w:val="none"/>
          <w:u w:val="none"/>
        </w:rPr>
        <w:t xml:space="preserve"> </w:t>
      </w:r>
      <w:r>
        <w:rPr>
          <w:rFonts w:hint="eastAsia" w:ascii="宋体" w:hAnsi="宋体" w:eastAsia="宋体" w:cs="宋体"/>
          <w:bCs/>
          <w:color w:val="auto"/>
          <w:sz w:val="24"/>
          <w:szCs w:val="24"/>
          <w:highlight w:val="none"/>
          <w:u w:val="none"/>
        </w:rPr>
        <w:t>https://zfcg.czt.zj.gov.cn/</w:t>
      </w:r>
      <w:r>
        <w:rPr>
          <w:rFonts w:hint="eastAsia" w:ascii="宋体" w:hAnsi="宋体" w:eastAsia="宋体" w:cs="宋体"/>
          <w:bCs/>
          <w:color w:val="auto"/>
          <w:sz w:val="24"/>
          <w:szCs w:val="24"/>
          <w:highlight w:val="none"/>
        </w:rPr>
        <w:t>）上获取。</w:t>
      </w:r>
    </w:p>
    <w:p w14:paraId="72BDB46E">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磋商文件答疑：供应商对磋商文件提出质疑的，应当在获取磋商文件或者磋商文件公告期限届满之日</w:t>
      </w:r>
      <w:r>
        <w:rPr>
          <w:rFonts w:hint="eastAsia" w:ascii="宋体" w:hAnsi="宋体" w:eastAsia="宋体" w:cs="宋体"/>
          <w:b/>
          <w:color w:val="auto"/>
          <w:sz w:val="24"/>
          <w:szCs w:val="24"/>
          <w:highlight w:val="none"/>
        </w:rPr>
        <w:t>（公告期限届满后获取采购文件的，以公告期限届满之日为准）</w:t>
      </w:r>
      <w:r>
        <w:rPr>
          <w:rFonts w:hint="eastAsia" w:ascii="宋体" w:hAnsi="宋体" w:eastAsia="宋体" w:cs="宋体"/>
          <w:b/>
          <w:bCs/>
          <w:color w:val="auto"/>
          <w:sz w:val="24"/>
          <w:szCs w:val="24"/>
          <w:highlight w:val="none"/>
        </w:rPr>
        <w:t>起7个工作日内以书面形式提出，且应当在采购响应截止时间之前在政采云平台的质疑系统一次性提出</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否则被质疑人可不予接受。</w:t>
      </w:r>
    </w:p>
    <w:p w14:paraId="0EFF474E">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5.投标保证金</w:t>
      </w:r>
    </w:p>
    <w:p w14:paraId="432EB50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本项目不收取投标保证金。</w:t>
      </w:r>
    </w:p>
    <w:p w14:paraId="0DAECD4C">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bCs/>
          <w:color w:val="auto"/>
          <w:kern w:val="0"/>
          <w:sz w:val="24"/>
          <w:szCs w:val="24"/>
          <w:highlight w:val="none"/>
        </w:rPr>
        <w:t>.投标说明</w:t>
      </w:r>
    </w:p>
    <w:p w14:paraId="4B026D5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95763。</w:t>
      </w:r>
    </w:p>
    <w:p w14:paraId="65144EF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（2）供应商通过政采云平台电子投标工具制作响应文件，电子投标工具请供应商自行前往浙江政府采购网下载并安装，（下载网址：</w:t>
      </w:r>
      <w:r>
        <w:rPr>
          <w:rFonts w:hint="eastAsia" w:ascii="宋体" w:hAnsi="宋体" w:eastAsia="宋体" w:cs="宋体"/>
          <w:color w:val="auto"/>
          <w:kern w:val="0"/>
          <w:sz w:val="24"/>
          <w:szCs w:val="24"/>
          <w:highlight w:val="none"/>
          <w:u w:val="none"/>
        </w:rPr>
        <w:t>https://customer.zcygov.cn/CA-driver-download?utm=web-login-front.75ab4087.0.0.f8e5d230c7c411ea9e54c97a8e384567</w:t>
      </w:r>
      <w:r>
        <w:rPr>
          <w:rFonts w:hint="eastAsia" w:ascii="宋体" w:hAnsi="宋体" w:eastAsia="宋体" w:cs="宋体"/>
          <w:color w:val="auto"/>
          <w:kern w:val="0"/>
          <w:sz w:val="24"/>
          <w:szCs w:val="24"/>
          <w:highlight w:val="none"/>
          <w:u w:val="single"/>
        </w:rPr>
        <w:t>）电子投标具体流程详见本招标公告附件：“政采云供应商项目采购-电子招投标操作指南.pdf”。</w:t>
      </w:r>
    </w:p>
    <w:p w14:paraId="1019BA5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（3）供应商应在开标前完成CA数字证书办理。（办理流程详见</w:t>
      </w:r>
      <w:r>
        <w:rPr>
          <w:rFonts w:hint="eastAsia" w:ascii="宋体" w:hAnsi="宋体" w:eastAsia="宋体" w:cs="宋体"/>
          <w:color w:val="auto"/>
          <w:kern w:val="0"/>
          <w:sz w:val="24"/>
          <w:szCs w:val="24"/>
          <w:highlight w:val="none"/>
          <w:u w:val="none"/>
        </w:rPr>
        <w:t>https://middle.zcygov.cn/ca/apply/edit</w:t>
      </w:r>
      <w:r>
        <w:rPr>
          <w:rFonts w:hint="eastAsia" w:ascii="宋体" w:hAnsi="宋体" w:eastAsia="宋体" w:cs="宋体"/>
          <w:color w:val="auto"/>
          <w:kern w:val="0"/>
          <w:sz w:val="24"/>
          <w:szCs w:val="24"/>
          <w:highlight w:val="none"/>
          <w:u w:val="single"/>
        </w:rPr>
        <w:t>，完成CA数字证书办理预计一周左右，请各供应商自行把握时间，汇信客服电话：400-888-4636，天谷客服电话：400-087-8198）。</w:t>
      </w:r>
    </w:p>
    <w:p w14:paraId="34ACD95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u w:val="single"/>
        </w:rPr>
        <w:t>（4）供应商应当在投标截止时间前完成电子响应文件的传输递交，并可以补充、修改或者撤回电子响应文件。补充或者修改电子响应文件的，应当先行撤回原文件，补充、修改后重新传输递交。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eastAsia="宋体" w:cs="宋体"/>
          <w:b/>
          <w:bCs/>
          <w:color w:val="auto"/>
          <w:kern w:val="0"/>
          <w:sz w:val="24"/>
          <w:szCs w:val="24"/>
          <w:highlight w:val="none"/>
          <w:u w:val="single"/>
        </w:rPr>
        <w:t>投标截止时间后传输、递交的响应文件，将被拒收。</w:t>
      </w:r>
    </w:p>
    <w:p w14:paraId="7B3176C7">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u w:val="single"/>
          <w:shd w:val="pct10" w:color="auto" w:fill="FFFFFF"/>
        </w:rPr>
      </w:pPr>
      <w:r>
        <w:rPr>
          <w:rFonts w:hint="eastAsia" w:ascii="宋体" w:hAnsi="宋体" w:eastAsia="宋体" w:cs="宋体"/>
          <w:b/>
          <w:bCs/>
          <w:color w:val="auto"/>
          <w:kern w:val="0"/>
          <w:sz w:val="24"/>
          <w:szCs w:val="24"/>
          <w:highlight w:val="none"/>
          <w:u w:val="single"/>
          <w:shd w:val="pct10" w:color="auto" w:fill="FFFFFF"/>
        </w:rPr>
        <w:t>（5）本磋商文件中关于电子招投标内容、流程如与政采云系统中最新的内容、操作不一致的，以政采云系统中的要求为准。</w:t>
      </w:r>
    </w:p>
    <w:p w14:paraId="46BAB93C">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b/>
          <w:color w:val="auto"/>
          <w:kern w:val="0"/>
          <w:sz w:val="24"/>
          <w:szCs w:val="24"/>
          <w:highlight w:val="none"/>
        </w:rPr>
        <w:t>.</w:t>
      </w:r>
      <w:r>
        <w:rPr>
          <w:rFonts w:hint="eastAsia" w:ascii="宋体" w:hAnsi="宋体" w:eastAsia="宋体" w:cs="宋体"/>
          <w:b/>
          <w:color w:val="auto"/>
          <w:sz w:val="24"/>
          <w:szCs w:val="24"/>
          <w:highlight w:val="none"/>
        </w:rPr>
        <w:t>响应文件的组成、效力</w:t>
      </w:r>
    </w:p>
    <w:p w14:paraId="5A0EA2E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（1）本项目实行电子投标，供应商应准备电子响应文件，本项目线下无需提供任何备份响应文件。电子响应文件，按政采云平台项目采购--电子招投标操作指南及本磋商文件要求编制。</w:t>
      </w:r>
    </w:p>
    <w:p w14:paraId="1D0F2F3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（2）未在</w:t>
      </w:r>
      <w:r>
        <w:rPr>
          <w:rFonts w:hint="eastAsia" w:ascii="宋体" w:hAnsi="宋体" w:eastAsia="宋体" w:cs="宋体"/>
          <w:color w:val="auto"/>
          <w:kern w:val="0"/>
          <w:sz w:val="24"/>
          <w:szCs w:val="24"/>
          <w:highlight w:val="none"/>
          <w:u w:val="single"/>
        </w:rPr>
        <w:t>“政府采购云平台”</w:t>
      </w:r>
      <w:r>
        <w:rPr>
          <w:rFonts w:hint="eastAsia" w:ascii="宋体" w:hAnsi="宋体" w:eastAsia="宋体" w:cs="宋体"/>
          <w:color w:val="auto"/>
          <w:sz w:val="24"/>
          <w:szCs w:val="24"/>
          <w:highlight w:val="none"/>
          <w:u w:val="single"/>
        </w:rPr>
        <w:t>传输递交电子响应文件的，投标无效。</w:t>
      </w:r>
    </w:p>
    <w:p w14:paraId="542923FA">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8.投标截止时间及电子响应文件的递交</w:t>
      </w:r>
    </w:p>
    <w:p w14:paraId="15B2F3F6">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电子响应文件</w:t>
      </w:r>
      <w:r>
        <w:rPr>
          <w:rFonts w:hint="eastAsia" w:ascii="宋体" w:hAnsi="宋体" w:eastAsia="宋体" w:cs="宋体"/>
          <w:b/>
          <w:color w:val="auto"/>
          <w:sz w:val="24"/>
          <w:szCs w:val="24"/>
          <w:highlight w:val="none"/>
        </w:rPr>
        <w:t>投标截止时间：</w:t>
      </w:r>
      <w:r>
        <w:rPr>
          <w:rFonts w:hint="eastAsia" w:ascii="宋体" w:hAnsi="宋体" w:cs="宋体"/>
          <w:b/>
          <w:bCs w:val="0"/>
          <w:color w:val="auto"/>
          <w:sz w:val="24"/>
          <w:szCs w:val="24"/>
          <w:highlight w:val="none"/>
          <w:lang w:eastAsia="zh-CN"/>
        </w:rPr>
        <w:t>2025年4月11日</w:t>
      </w:r>
      <w:r>
        <w:rPr>
          <w:rFonts w:hint="eastAsia" w:ascii="宋体" w:hAnsi="宋体" w:eastAsia="宋体" w:cs="宋体"/>
          <w:b/>
          <w:color w:val="auto"/>
          <w:sz w:val="24"/>
          <w:szCs w:val="24"/>
          <w:highlight w:val="none"/>
        </w:rPr>
        <w:t>8:30分00秒，</w:t>
      </w:r>
      <w:r>
        <w:rPr>
          <w:rFonts w:hint="eastAsia" w:ascii="宋体" w:hAnsi="宋体" w:eastAsia="宋体" w:cs="宋体"/>
          <w:color w:val="auto"/>
          <w:kern w:val="0"/>
          <w:sz w:val="24"/>
          <w:szCs w:val="24"/>
          <w:highlight w:val="none"/>
        </w:rPr>
        <w:t>供应商应于投标截止时间之前将电子响应文件上传到“政府采购云平台”。</w:t>
      </w:r>
      <w:r>
        <w:rPr>
          <w:rFonts w:hint="eastAsia" w:ascii="宋体" w:hAnsi="宋体" w:eastAsia="宋体" w:cs="宋体"/>
          <w:b/>
          <w:bCs/>
          <w:color w:val="auto"/>
          <w:kern w:val="0"/>
          <w:sz w:val="24"/>
          <w:szCs w:val="24"/>
          <w:highlight w:val="none"/>
          <w:u w:val="single"/>
        </w:rPr>
        <w:t>投标截止时间前未完成传输电子响应文件的</w:t>
      </w:r>
      <w:r>
        <w:rPr>
          <w:rFonts w:hint="eastAsia" w:ascii="宋体" w:hAnsi="宋体" w:eastAsia="宋体" w:cs="宋体"/>
          <w:b/>
          <w:bCs/>
          <w:color w:val="auto"/>
          <w:sz w:val="24"/>
          <w:szCs w:val="24"/>
          <w:highlight w:val="none"/>
          <w:u w:val="single"/>
        </w:rPr>
        <w:t>，投标无效。</w:t>
      </w:r>
    </w:p>
    <w:p w14:paraId="60FDDD23">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9.临海市公共资源交易办公管理系统及开评标期间出现网络故障或停电时的应急处理措施：      </w:t>
      </w:r>
    </w:p>
    <w:p w14:paraId="6225A1E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10.开标</w:t>
      </w:r>
    </w:p>
    <w:p w14:paraId="55871A0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b/>
          <w:bCs w:val="0"/>
          <w:color w:val="auto"/>
          <w:sz w:val="24"/>
          <w:szCs w:val="24"/>
          <w:highlight w:val="none"/>
          <w:lang w:eastAsia="zh-CN"/>
        </w:rPr>
        <w:t>2025年4月11日</w:t>
      </w:r>
      <w:r>
        <w:rPr>
          <w:rFonts w:hint="eastAsia" w:ascii="宋体" w:hAnsi="宋体" w:eastAsia="宋体" w:cs="宋体"/>
          <w:b/>
          <w:color w:val="auto"/>
          <w:sz w:val="24"/>
          <w:szCs w:val="24"/>
          <w:highlight w:val="none"/>
        </w:rPr>
        <w:t>8:30时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开标地点：“政府采购云平台”线上开标、线下直播开标室：临海市公共资源交易中心一楼</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号开标室（临海市巾山中路18号，移动公司对面）</w:t>
      </w:r>
    </w:p>
    <w:p w14:paraId="514EF31E">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rPr>
        <w:t>开标时间后30分钟内（具体时间以政采云系统</w:t>
      </w:r>
      <w:bookmarkStart w:id="6" w:name="_Hlk59625364"/>
      <w:r>
        <w:rPr>
          <w:rFonts w:hint="eastAsia" w:ascii="宋体" w:hAnsi="宋体" w:eastAsia="宋体" w:cs="宋体"/>
          <w:b/>
          <w:color w:val="auto"/>
          <w:sz w:val="24"/>
          <w:szCs w:val="24"/>
          <w:highlight w:val="none"/>
          <w:u w:val="single"/>
          <w:shd w:val="pct10" w:color="auto" w:fill="FFFFFF"/>
        </w:rPr>
        <w:t>显示的</w:t>
      </w:r>
      <w:bookmarkEnd w:id="6"/>
      <w:r>
        <w:rPr>
          <w:rFonts w:hint="eastAsia" w:ascii="宋体" w:hAnsi="宋体" w:eastAsia="宋体" w:cs="宋体"/>
          <w:b/>
          <w:color w:val="auto"/>
          <w:sz w:val="24"/>
          <w:szCs w:val="24"/>
          <w:highlight w:val="none"/>
          <w:u w:val="single"/>
          <w:shd w:val="pct10" w:color="auto" w:fill="FFFFFF"/>
        </w:rPr>
        <w:t>解密截止时间为准），供应商须登录“政采云”平台，用“项目采购-开标评标”功能解密响应文件，供应商未按时解密或解密失败的，其响应文件为无效标。</w:t>
      </w:r>
    </w:p>
    <w:p w14:paraId="501CE93C">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11.发布公告的媒介</w:t>
      </w:r>
    </w:p>
    <w:p w14:paraId="178E433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本次招标公告同时在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"http://www.zjzfcg.gov.cn/new/" </w:instrText>
      </w:r>
      <w:r>
        <w:rPr>
          <w:rFonts w:hint="eastAsia" w:ascii="宋体" w:hAnsi="宋体" w:eastAsia="宋体" w:cs="宋体"/>
          <w:color w:val="auto"/>
          <w:sz w:val="24"/>
          <w:szCs w:val="24"/>
          <w:highlight w:val="none"/>
        </w:rPr>
        <w:fldChar w:fldCharType="separate"/>
      </w:r>
      <w:r>
        <w:rPr>
          <w:rStyle w:val="55"/>
          <w:rFonts w:hint="eastAsia" w:ascii="宋体" w:hAnsi="宋体" w:eastAsia="宋体" w:cs="宋体"/>
          <w:color w:val="auto"/>
          <w:sz w:val="24"/>
          <w:szCs w:val="24"/>
          <w:highlight w:val="none"/>
        </w:rPr>
        <w:t>浙江省政府采购网</w:t>
      </w:r>
      <w:r>
        <w:rPr>
          <w:rStyle w:val="55"/>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"http://www.lhzfcg.gov.cn"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u w:val="single"/>
        </w:rPr>
        <w:t>临海市公共资源交易中心</w:t>
      </w:r>
      <w:r>
        <w:rPr>
          <w:rStyle w:val="55"/>
          <w:rFonts w:hint="eastAsia" w:ascii="宋体" w:hAnsi="宋体" w:eastAsia="宋体" w:cs="宋体"/>
          <w:color w:val="auto"/>
          <w:sz w:val="24"/>
          <w:szCs w:val="24"/>
          <w:highlight w:val="none"/>
        </w:rPr>
        <w:t>网</w:t>
      </w:r>
      <w:r>
        <w:rPr>
          <w:rStyle w:val="55"/>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上发布。</w:t>
      </w:r>
    </w:p>
    <w:p w14:paraId="004F9D12">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12.其他事项</w:t>
      </w:r>
    </w:p>
    <w:p w14:paraId="0BF90E4B">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rPr>
        <w:t>（1）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136942B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（2）除注明要求进口产品外,投标时进口产品比例不得超过50%；</w:t>
      </w:r>
    </w:p>
    <w:p w14:paraId="5B0C1E7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（3）根据《浙江省政府采购供应商注册及诚信管理暂行办法》浙财采监字【2009】28号文件，请各投标供应商及时办理浙江政府采购网“政府采购正式供应商”的注册手续。</w:t>
      </w:r>
    </w:p>
    <w:p w14:paraId="3EBC009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13.对本次采购提出询问、质疑、投诉，请按以下方式联系</w:t>
      </w:r>
    </w:p>
    <w:p w14:paraId="6C3A49F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（1）采购人信息</w:t>
      </w:r>
    </w:p>
    <w:p w14:paraId="69AE94E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名称：台州市生态环境局临海分局</w:t>
      </w:r>
    </w:p>
    <w:p w14:paraId="61F4C4D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地址：临海市临海大道399号 </w:t>
      </w:r>
    </w:p>
    <w:p w14:paraId="7BC631B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项目联系人（询问）：李女士 </w:t>
      </w:r>
    </w:p>
    <w:p w14:paraId="6A0DA9B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项目联系方式：0576-85308585</w:t>
      </w:r>
    </w:p>
    <w:p w14:paraId="63CF885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质疑联系人：</w:t>
      </w:r>
      <w:r>
        <w:rPr>
          <w:rFonts w:hint="eastAsia" w:ascii="宋体" w:hAnsi="宋体" w:eastAsia="宋体" w:cs="宋体"/>
          <w:b w:val="0"/>
          <w:bCs w:val="0"/>
          <w:color w:val="auto"/>
          <w:sz w:val="24"/>
          <w:szCs w:val="24"/>
          <w:highlight w:val="none"/>
        </w:rPr>
        <w:t>尹</w:t>
      </w:r>
      <w:r>
        <w:rPr>
          <w:rFonts w:hint="eastAsia" w:ascii="宋体" w:hAnsi="宋体" w:cs="宋体"/>
          <w:b w:val="0"/>
          <w:bCs w:val="0"/>
          <w:color w:val="auto"/>
          <w:sz w:val="24"/>
          <w:szCs w:val="24"/>
          <w:highlight w:val="none"/>
          <w:lang w:val="en-US" w:eastAsia="zh-CN"/>
        </w:rPr>
        <w:t>先生</w:t>
      </w:r>
    </w:p>
    <w:p w14:paraId="20CCC15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质疑联系方式：</w:t>
      </w:r>
      <w:r>
        <w:rPr>
          <w:rFonts w:hint="eastAsia" w:ascii="宋体" w:hAnsi="宋体" w:cs="宋体"/>
          <w:bCs/>
          <w:color w:val="auto"/>
          <w:sz w:val="24"/>
          <w:szCs w:val="24"/>
          <w:highlight w:val="none"/>
          <w:lang w:val="en-US" w:eastAsia="zh-CN"/>
        </w:rPr>
        <w:t>0576-85221653</w:t>
      </w:r>
    </w:p>
    <w:p w14:paraId="04E0B6C8">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（2）采购代理机构信息</w:t>
      </w:r>
    </w:p>
    <w:p w14:paraId="2D3A340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 称：</w:t>
      </w:r>
      <w:r>
        <w:rPr>
          <w:rFonts w:hint="eastAsia" w:ascii="宋体" w:hAnsi="宋体" w:eastAsia="宋体" w:cs="宋体"/>
          <w:bCs/>
          <w:color w:val="auto"/>
          <w:sz w:val="24"/>
          <w:szCs w:val="24"/>
          <w:highlight w:val="none"/>
          <w:lang w:val="en-US" w:eastAsia="zh-CN"/>
        </w:rPr>
        <w:t>台州永安工程咨询有限公司</w:t>
      </w:r>
      <w:r>
        <w:rPr>
          <w:rFonts w:hint="eastAsia" w:ascii="宋体" w:hAnsi="宋体" w:eastAsia="宋体" w:cs="宋体"/>
          <w:bCs/>
          <w:color w:val="auto"/>
          <w:sz w:val="24"/>
          <w:szCs w:val="24"/>
          <w:highlight w:val="none"/>
        </w:rPr>
        <w:t xml:space="preserve"> </w:t>
      </w:r>
    </w:p>
    <w:p w14:paraId="61D81D0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地址:台州市椒江区中环世纪6幢801室（交通银行台州分行楼上） </w:t>
      </w:r>
    </w:p>
    <w:p w14:paraId="381C368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项目联系人（询问）：</w:t>
      </w:r>
      <w:r>
        <w:rPr>
          <w:rFonts w:hint="eastAsia" w:ascii="宋体" w:hAnsi="宋体" w:eastAsia="宋体" w:cs="宋体"/>
          <w:bCs/>
          <w:color w:val="auto"/>
          <w:sz w:val="24"/>
          <w:szCs w:val="24"/>
          <w:highlight w:val="none"/>
          <w:lang w:val="en-US" w:eastAsia="zh-CN"/>
        </w:rPr>
        <w:t>林女士</w:t>
      </w:r>
      <w:r>
        <w:rPr>
          <w:rFonts w:hint="eastAsia" w:ascii="宋体" w:hAnsi="宋体" w:eastAsia="宋体" w:cs="宋体"/>
          <w:bCs/>
          <w:color w:val="auto"/>
          <w:sz w:val="24"/>
          <w:szCs w:val="24"/>
          <w:highlight w:val="none"/>
        </w:rPr>
        <w:t xml:space="preserve"> </w:t>
      </w:r>
    </w:p>
    <w:p w14:paraId="4DC31E4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w:t>
      </w:r>
      <w:r>
        <w:rPr>
          <w:rFonts w:hint="eastAsia" w:ascii="宋体" w:hAnsi="宋体" w:eastAsia="宋体" w:cs="宋体"/>
          <w:bCs/>
          <w:color w:val="auto"/>
          <w:sz w:val="24"/>
          <w:szCs w:val="24"/>
          <w:highlight w:val="none"/>
          <w:lang w:val="en-US" w:eastAsia="zh-CN"/>
        </w:rPr>
        <w:t>联系方式：0576-88882270 15757696186</w:t>
      </w:r>
    </w:p>
    <w:p w14:paraId="1DCA6D7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质疑联系人：叶先生</w:t>
      </w:r>
    </w:p>
    <w:p w14:paraId="231D9DE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质疑联系方式：</w:t>
      </w:r>
      <w:r>
        <w:rPr>
          <w:rFonts w:hint="eastAsia" w:ascii="宋体" w:hAnsi="宋体" w:eastAsia="宋体" w:cs="宋体"/>
          <w:bCs/>
          <w:color w:val="auto"/>
          <w:sz w:val="24"/>
          <w:szCs w:val="24"/>
          <w:highlight w:val="none"/>
          <w:lang w:val="en-US" w:eastAsia="zh-CN"/>
        </w:rPr>
        <w:t>13857637980</w:t>
      </w:r>
    </w:p>
    <w:p w14:paraId="700AFD8E">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 xml:space="preserve">电子邮箱: </w:t>
      </w:r>
      <w:r>
        <w:rPr>
          <w:rFonts w:hint="eastAsia" w:ascii="宋体" w:hAnsi="宋体" w:eastAsia="宋体" w:cs="宋体"/>
          <w:color w:val="auto"/>
          <w:spacing w:val="-4"/>
          <w:sz w:val="24"/>
          <w:szCs w:val="24"/>
          <w:highlight w:val="none"/>
          <w:lang w:val="en-US" w:eastAsia="zh-CN"/>
        </w:rPr>
        <w:t>tzyazb@163.com</w:t>
      </w:r>
    </w:p>
    <w:p w14:paraId="5C9B2A7D">
      <w:pPr>
        <w:keepNext w:val="0"/>
        <w:keepLines w:val="0"/>
        <w:pageBreakBefore w:val="0"/>
        <w:widowControl w:val="0"/>
        <w:kinsoku/>
        <w:wordWrap w:val="0"/>
        <w:overflowPunct/>
        <w:topLinePunct w:val="0"/>
        <w:autoSpaceDE/>
        <w:autoSpaceDN/>
        <w:bidi w:val="0"/>
        <w:adjustRightInd/>
        <w:snapToGrid/>
        <w:spacing w:line="360" w:lineRule="auto"/>
        <w:ind w:firstLine="466"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（3）同级政府采购监管机构信息</w:t>
      </w:r>
    </w:p>
    <w:p w14:paraId="2CAA48F9">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名 称：临海市财政局                   </w:t>
      </w:r>
    </w:p>
    <w:p w14:paraId="11CCBF8F">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 址：</w:t>
      </w:r>
      <w:r>
        <w:rPr>
          <w:rFonts w:hint="eastAsia" w:ascii="宋体" w:hAnsi="宋体" w:eastAsia="宋体" w:cs="宋体"/>
          <w:bCs/>
          <w:color w:val="auto"/>
          <w:sz w:val="24"/>
          <w:szCs w:val="24"/>
          <w:highlight w:val="none"/>
        </w:rPr>
        <w:t>临海市巾山东路112号</w:t>
      </w:r>
      <w:r>
        <w:rPr>
          <w:rFonts w:hint="eastAsia" w:ascii="宋体" w:hAnsi="宋体" w:eastAsia="宋体" w:cs="宋体"/>
          <w:color w:val="auto"/>
          <w:spacing w:val="-4"/>
          <w:sz w:val="24"/>
          <w:szCs w:val="24"/>
          <w:highlight w:val="none"/>
        </w:rPr>
        <w:t xml:space="preserve">   </w:t>
      </w:r>
    </w:p>
    <w:p w14:paraId="53EC656B">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联系人：政府采购监管科</w:t>
      </w:r>
    </w:p>
    <w:p w14:paraId="1E3C06D5">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监督、投诉</w:t>
      </w:r>
      <w:r>
        <w:rPr>
          <w:rFonts w:hint="eastAsia" w:ascii="宋体" w:hAnsi="宋体" w:eastAsia="宋体" w:cs="宋体"/>
          <w:color w:val="auto"/>
          <w:spacing w:val="-4"/>
          <w:sz w:val="24"/>
          <w:szCs w:val="24"/>
          <w:highlight w:val="none"/>
        </w:rPr>
        <w:t xml:space="preserve">联系电话：0576-85188034 </w:t>
      </w:r>
    </w:p>
    <w:p w14:paraId="61DD6410">
      <w:pPr>
        <w:keepNext w:val="0"/>
        <w:keepLines w:val="0"/>
        <w:pageBreakBefore w:val="0"/>
        <w:widowControl w:val="0"/>
        <w:kinsoku/>
        <w:wordWrap w:val="0"/>
        <w:overflowPunct/>
        <w:topLinePunct w:val="0"/>
        <w:autoSpaceDE/>
        <w:autoSpaceDN/>
        <w:bidi w:val="0"/>
        <w:adjustRightInd/>
        <w:snapToGrid/>
        <w:spacing w:line="360" w:lineRule="auto"/>
        <w:ind w:firstLine="466"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（4）政采云平台信息</w:t>
      </w:r>
    </w:p>
    <w:p w14:paraId="38497BB7">
      <w:pPr>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highlight w:val="none"/>
        </w:rPr>
      </w:pPr>
      <w:r>
        <w:rPr>
          <w:rFonts w:hint="eastAsia" w:ascii="宋体" w:hAnsi="宋体" w:eastAsia="宋体" w:cs="宋体"/>
          <w:color w:val="auto"/>
          <w:spacing w:val="-4"/>
          <w:sz w:val="24"/>
          <w:szCs w:val="24"/>
          <w:highlight w:val="none"/>
        </w:rPr>
        <w:t xml:space="preserve">联系电话：95763  </w:t>
      </w:r>
      <w:r>
        <w:rPr>
          <w:rFonts w:hint="eastAsia" w:ascii="宋体" w:hAnsi="宋体" w:eastAsia="宋体" w:cs="宋体"/>
          <w:color w:val="auto"/>
          <w:spacing w:val="-4"/>
          <w:sz w:val="24"/>
          <w:highlight w:val="none"/>
        </w:rPr>
        <w:t xml:space="preserve"> </w:t>
      </w:r>
    </w:p>
    <w:p w14:paraId="0E43BAA5">
      <w:pPr>
        <w:spacing w:line="400" w:lineRule="exact"/>
        <w:rPr>
          <w:rFonts w:ascii="宋体" w:hAnsi="宋体"/>
          <w:color w:val="auto"/>
          <w:spacing w:val="-4"/>
          <w:sz w:val="24"/>
          <w:highlight w:val="none"/>
        </w:rPr>
      </w:pPr>
    </w:p>
    <w:p w14:paraId="7E340501">
      <w:pPr>
        <w:rPr>
          <w:rFonts w:ascii="宋体" w:hAnsi="宋体"/>
          <w:b/>
          <w:color w:val="auto"/>
          <w:sz w:val="24"/>
          <w:highlight w:val="none"/>
        </w:rPr>
      </w:pPr>
      <w:r>
        <w:rPr>
          <w:rFonts w:ascii="宋体" w:hAnsi="宋体"/>
          <w:b/>
          <w:color w:val="auto"/>
          <w:sz w:val="24"/>
          <w:highlight w:val="none"/>
        </w:rPr>
        <w:br w:type="page"/>
      </w:r>
    </w:p>
    <w:p w14:paraId="27AE4EA6">
      <w:pPr>
        <w:rPr>
          <w:rFonts w:ascii="宋体" w:hAnsi="宋体"/>
          <w:color w:val="auto"/>
          <w:highlight w:val="none"/>
        </w:rPr>
      </w:pPr>
      <w:r>
        <w:rPr>
          <w:rFonts w:hint="eastAsia" w:ascii="宋体" w:hAnsi="宋体"/>
          <w:b/>
          <w:color w:val="auto"/>
          <w:sz w:val="24"/>
          <w:highlight w:val="none"/>
        </w:rPr>
        <w:t>附件</w:t>
      </w:r>
    </w:p>
    <w:p w14:paraId="7B660F22">
      <w:pPr>
        <w:spacing w:line="400" w:lineRule="exact"/>
        <w:ind w:firstLine="723" w:firstLineChars="300"/>
        <w:jc w:val="center"/>
        <w:rPr>
          <w:rFonts w:ascii="宋体" w:hAnsi="宋体"/>
          <w:b/>
          <w:color w:val="auto"/>
          <w:sz w:val="24"/>
          <w:highlight w:val="none"/>
        </w:rPr>
      </w:pPr>
      <w:r>
        <w:rPr>
          <w:rFonts w:hint="eastAsia" w:ascii="宋体" w:hAnsi="宋体"/>
          <w:b/>
          <w:color w:val="auto"/>
          <w:sz w:val="24"/>
          <w:highlight w:val="none"/>
        </w:rPr>
        <w:t>政府采购支持中小企业信用融资相关事项的通知</w:t>
      </w:r>
    </w:p>
    <w:p w14:paraId="2F9A104F">
      <w:pPr>
        <w:spacing w:line="400" w:lineRule="exact"/>
        <w:ind w:firstLine="720" w:firstLineChars="300"/>
        <w:jc w:val="center"/>
        <w:rPr>
          <w:rFonts w:ascii="宋体" w:hAnsi="宋体"/>
          <w:bCs/>
          <w:color w:val="auto"/>
          <w:sz w:val="24"/>
          <w:highlight w:val="none"/>
        </w:rPr>
      </w:pPr>
    </w:p>
    <w:p w14:paraId="0E38E5FB">
      <w:pPr>
        <w:spacing w:line="400" w:lineRule="exact"/>
        <w:ind w:firstLine="720" w:firstLineChars="300"/>
        <w:rPr>
          <w:rFonts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75AFA6E">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341" w:type="dxa"/>
            <w:vAlign w:val="center"/>
          </w:tcPr>
          <w:p w14:paraId="512D51B4">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134" w:type="dxa"/>
            <w:vAlign w:val="center"/>
          </w:tcPr>
          <w:p w14:paraId="06296AFA">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751" w:type="dxa"/>
            <w:vAlign w:val="center"/>
          </w:tcPr>
          <w:p w14:paraId="2D91387C">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2E530499">
      <w:pPr>
        <w:rPr>
          <w:rFonts w:ascii="宋体" w:hAnsi="宋体"/>
          <w:b/>
          <w:color w:val="auto"/>
          <w:highlight w:val="none"/>
        </w:rPr>
      </w:pPr>
    </w:p>
    <w:p w14:paraId="5E50B9F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48"/>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026"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026"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13736200193</w:t>
            </w:r>
          </w:p>
        </w:tc>
      </w:tr>
    </w:tbl>
    <w:p w14:paraId="1CB108BB">
      <w:pPr>
        <w:rPr>
          <w:rFonts w:ascii="宋体" w:hAnsi="宋体"/>
          <w:b/>
          <w:color w:val="auto"/>
          <w:highlight w:val="none"/>
        </w:rPr>
      </w:pPr>
    </w:p>
    <w:p w14:paraId="483FCB45">
      <w:pPr>
        <w:rPr>
          <w:rFonts w:ascii="宋体" w:hAnsi="宋体"/>
          <w:b/>
          <w:color w:val="auto"/>
          <w:highlight w:val="none"/>
        </w:rPr>
      </w:pPr>
    </w:p>
    <w:p w14:paraId="52AB6561">
      <w:pPr>
        <w:rPr>
          <w:rFonts w:ascii="宋体" w:hAnsi="宋体"/>
          <w:b/>
          <w:color w:val="auto"/>
          <w:highlight w:val="none"/>
        </w:rPr>
      </w:pPr>
    </w:p>
    <w:p w14:paraId="10AC2EB2">
      <w:pPr>
        <w:ind w:firstLine="5145" w:firstLineChars="2450"/>
        <w:rPr>
          <w:color w:val="auto"/>
          <w:highlight w:val="none"/>
        </w:rPr>
      </w:pPr>
    </w:p>
    <w:p w14:paraId="33A9D3FD">
      <w:pPr>
        <w:spacing w:line="400" w:lineRule="exact"/>
        <w:jc w:val="center"/>
        <w:rPr>
          <w:rFonts w:ascii="宋体" w:hAnsi="宋体"/>
          <w:color w:val="auto"/>
          <w:sz w:val="36"/>
          <w:szCs w:val="36"/>
          <w:highlight w:val="none"/>
        </w:rPr>
      </w:pPr>
      <w:r>
        <w:rPr>
          <w:rFonts w:ascii="宋体" w:hAnsi="宋体"/>
          <w:color w:val="auto"/>
          <w:sz w:val="24"/>
          <w:highlight w:val="none"/>
        </w:rPr>
        <w:br w:type="page"/>
      </w:r>
      <w:bookmarkStart w:id="7" w:name="_Toc48835712"/>
      <w:bookmarkStart w:id="8" w:name="_Toc467749357"/>
      <w:bookmarkStart w:id="9" w:name="_Toc466534748"/>
      <w:r>
        <w:rPr>
          <w:rFonts w:hint="eastAsia" w:ascii="宋体" w:hAnsi="宋体"/>
          <w:b/>
          <w:bCs/>
          <w:color w:val="auto"/>
          <w:sz w:val="30"/>
          <w:szCs w:val="30"/>
          <w:highlight w:val="none"/>
        </w:rPr>
        <w:t>第二章  采购内容、需求及</w:t>
      </w:r>
      <w:bookmarkEnd w:id="7"/>
      <w:bookmarkEnd w:id="8"/>
      <w:bookmarkEnd w:id="9"/>
      <w:r>
        <w:rPr>
          <w:rFonts w:hint="eastAsia" w:ascii="宋体" w:hAnsi="宋体"/>
          <w:b/>
          <w:bCs/>
          <w:color w:val="auto"/>
          <w:sz w:val="30"/>
          <w:szCs w:val="30"/>
          <w:highlight w:val="none"/>
        </w:rPr>
        <w:t>要求</w:t>
      </w:r>
    </w:p>
    <w:p w14:paraId="6601867E">
      <w:pPr>
        <w:spacing w:line="400" w:lineRule="exact"/>
        <w:jc w:val="center"/>
        <w:rPr>
          <w:rFonts w:ascii="宋体" w:hAnsi="宋体"/>
          <w:color w:val="auto"/>
          <w:sz w:val="36"/>
          <w:szCs w:val="36"/>
          <w:highlight w:val="none"/>
        </w:rPr>
      </w:pPr>
    </w:p>
    <w:p w14:paraId="3E322662">
      <w:pPr>
        <w:spacing w:line="360" w:lineRule="auto"/>
        <w:ind w:firstLine="241" w:firstLineChars="1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采购内容一览表</w:t>
      </w:r>
    </w:p>
    <w:tbl>
      <w:tblPr>
        <w:tblStyle w:val="48"/>
        <w:tblW w:w="9638"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57"/>
        <w:gridCol w:w="1012"/>
        <w:gridCol w:w="600"/>
        <w:gridCol w:w="788"/>
        <w:gridCol w:w="1106"/>
        <w:gridCol w:w="2640"/>
        <w:gridCol w:w="1167"/>
      </w:tblGrid>
      <w:tr w14:paraId="2CBF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68" w:type="dxa"/>
            <w:noWrap w:val="0"/>
            <w:vAlign w:val="center"/>
          </w:tcPr>
          <w:p w14:paraId="30C56643">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标项号</w:t>
            </w:r>
          </w:p>
        </w:tc>
        <w:tc>
          <w:tcPr>
            <w:tcW w:w="1557" w:type="dxa"/>
            <w:noWrap w:val="0"/>
            <w:vAlign w:val="center"/>
          </w:tcPr>
          <w:p w14:paraId="0324846A">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012" w:type="dxa"/>
            <w:noWrap w:val="0"/>
            <w:vAlign w:val="center"/>
          </w:tcPr>
          <w:p w14:paraId="0788DF2F">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技术要求</w:t>
            </w:r>
          </w:p>
        </w:tc>
        <w:tc>
          <w:tcPr>
            <w:tcW w:w="600" w:type="dxa"/>
            <w:noWrap w:val="0"/>
            <w:vAlign w:val="center"/>
          </w:tcPr>
          <w:p w14:paraId="4CB81330">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788" w:type="dxa"/>
            <w:noWrap w:val="0"/>
            <w:vAlign w:val="center"/>
          </w:tcPr>
          <w:p w14:paraId="049BBEF6">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1106" w:type="dxa"/>
            <w:noWrap w:val="0"/>
            <w:vAlign w:val="center"/>
          </w:tcPr>
          <w:p w14:paraId="7DA59FA9">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预算</w:t>
            </w:r>
          </w:p>
          <w:p w14:paraId="5CE529B7">
            <w:pPr>
              <w:tabs>
                <w:tab w:val="left" w:pos="8280"/>
              </w:tabs>
              <w:autoSpaceDE w:val="0"/>
              <w:autoSpaceDN w:val="0"/>
              <w:adjustRightInd w:val="0"/>
              <w:ind w:right="25"/>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2640" w:type="dxa"/>
            <w:noWrap w:val="0"/>
            <w:vAlign w:val="center"/>
          </w:tcPr>
          <w:p w14:paraId="3233EF06">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服务期限</w:t>
            </w:r>
          </w:p>
        </w:tc>
        <w:tc>
          <w:tcPr>
            <w:tcW w:w="1167" w:type="dxa"/>
            <w:noWrap w:val="0"/>
            <w:vAlign w:val="center"/>
          </w:tcPr>
          <w:p w14:paraId="396F6C4B">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服务地点</w:t>
            </w:r>
          </w:p>
        </w:tc>
      </w:tr>
      <w:tr w14:paraId="4C01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768" w:type="dxa"/>
            <w:noWrap w:val="0"/>
            <w:vAlign w:val="center"/>
          </w:tcPr>
          <w:p w14:paraId="31194A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557" w:type="dxa"/>
            <w:noWrap w:val="0"/>
            <w:vAlign w:val="center"/>
          </w:tcPr>
          <w:p w14:paraId="2706E7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临海市废气治理设施低效失效排查整治技术服务项目</w:t>
            </w:r>
          </w:p>
        </w:tc>
        <w:tc>
          <w:tcPr>
            <w:tcW w:w="1012" w:type="dxa"/>
            <w:noWrap w:val="0"/>
            <w:vAlign w:val="center"/>
          </w:tcPr>
          <w:p w14:paraId="7E523E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详见服务需求</w:t>
            </w:r>
          </w:p>
        </w:tc>
        <w:tc>
          <w:tcPr>
            <w:tcW w:w="600" w:type="dxa"/>
            <w:noWrap w:val="0"/>
            <w:vAlign w:val="center"/>
          </w:tcPr>
          <w:p w14:paraId="3CC17E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8" w:type="dxa"/>
            <w:noWrap w:val="0"/>
            <w:vAlign w:val="center"/>
          </w:tcPr>
          <w:p w14:paraId="5EC185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106" w:type="dxa"/>
            <w:noWrap w:val="0"/>
            <w:vAlign w:val="center"/>
          </w:tcPr>
          <w:p w14:paraId="031339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2640" w:type="dxa"/>
            <w:noWrap w:val="0"/>
            <w:vAlign w:val="center"/>
          </w:tcPr>
          <w:p w14:paraId="1710BA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合同签订之日起至2025年11月30日，或期间内排查整治评估报告通过审核，满足以上两个条件之一时合同自动终止。</w:t>
            </w:r>
          </w:p>
        </w:tc>
        <w:tc>
          <w:tcPr>
            <w:tcW w:w="1167" w:type="dxa"/>
            <w:noWrap w:val="0"/>
            <w:vAlign w:val="center"/>
          </w:tcPr>
          <w:p w14:paraId="03E138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临海市</w:t>
            </w:r>
          </w:p>
        </w:tc>
      </w:tr>
    </w:tbl>
    <w:p w14:paraId="03AA0AC6">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项目背景</w:t>
      </w:r>
    </w:p>
    <w:p w14:paraId="0620DDC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浙江省空气质量持续改善行动计划》有关要求，深入挖掘大气污染物减排潜力，加快解决当前工业企业大气污染治理存在的突出问题，推动大气污染治理设备更新和技术改造，根据《浙江省低效失效大气污染治理设施排查整治实施方案》（浙环发〔2025〕4号）文件要求，我市需按照《全省低效失效大气污染治理设施排查整治参考手册（试行版）》，开展辖区内组织开展相关企业脱硫、脱硝、除尘设施和VOCs治理设施、监测监控设施全面排查整治。</w:t>
      </w:r>
    </w:p>
    <w:p w14:paraId="2E093D57">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、项目内容</w:t>
      </w:r>
    </w:p>
    <w:p w14:paraId="7959F50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根据《全省低效失效大气污染治理设施排查整治参考手册（试行版）》，指导涉气企业对照各项大气污染防治法律法规、相关排放标准、技术规范及企业排污许可证等要求开展自查，并评估是否存在低效失效类治理设施，汇总形成辖区内企业自查问题清单；2025年5月底前结合企业自查问题清单，以及排查重点范围和排污许可信息、重点排污单位名单、重污染天气应急减排清单、大气污染源排放清单等，确定排查企业名单，对列入排查名单的企业开展现场排查，针对排查中发现的治理设施低效失效、装备质量低劣、运行维护水平差、自动监测设备应装未装、监测监控不规范等问题建立清单台账。结合企业自查和重点排查结果，形成全市低效失效大气污染治理设施排查问题清单，制定针对性整改方案；2025年9月底前指导督促企业基本完成整改落实。</w:t>
      </w:r>
    </w:p>
    <w:p w14:paraId="44593DF9">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SA"/>
        </w:rPr>
        <w:t>四、项目要求</w:t>
      </w:r>
    </w:p>
    <w:tbl>
      <w:tblPr>
        <w:tblStyle w:val="48"/>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
        <w:gridCol w:w="1856"/>
        <w:gridCol w:w="3111"/>
        <w:gridCol w:w="3155"/>
      </w:tblGrid>
      <w:tr w14:paraId="50C9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661" w:type="dxa"/>
            <w:noWrap w:val="0"/>
            <w:tcMar>
              <w:top w:w="15" w:type="dxa"/>
              <w:left w:w="15" w:type="dxa"/>
              <w:right w:w="15" w:type="dxa"/>
            </w:tcMar>
            <w:vAlign w:val="center"/>
          </w:tcPr>
          <w:p w14:paraId="22FF2115">
            <w:pPr>
              <w:widowControl/>
              <w:spacing w:line="300" w:lineRule="exact"/>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序号</w:t>
            </w:r>
          </w:p>
        </w:tc>
        <w:tc>
          <w:tcPr>
            <w:tcW w:w="1856" w:type="dxa"/>
            <w:noWrap w:val="0"/>
            <w:tcMar>
              <w:top w:w="15" w:type="dxa"/>
              <w:left w:w="15" w:type="dxa"/>
              <w:right w:w="15" w:type="dxa"/>
            </w:tcMar>
            <w:vAlign w:val="center"/>
          </w:tcPr>
          <w:p w14:paraId="54A4EA4C">
            <w:pPr>
              <w:widowControl/>
              <w:spacing w:line="300" w:lineRule="exact"/>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内容</w:t>
            </w:r>
          </w:p>
        </w:tc>
        <w:tc>
          <w:tcPr>
            <w:tcW w:w="3111" w:type="dxa"/>
            <w:noWrap w:val="0"/>
            <w:tcMar>
              <w:top w:w="15" w:type="dxa"/>
              <w:left w:w="15" w:type="dxa"/>
              <w:right w:w="15" w:type="dxa"/>
            </w:tcMar>
            <w:vAlign w:val="center"/>
          </w:tcPr>
          <w:p w14:paraId="7AE7AA67">
            <w:pPr>
              <w:widowControl/>
              <w:spacing w:line="300" w:lineRule="exact"/>
              <w:jc w:val="center"/>
              <w:textAlignment w:val="center"/>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val="en-US" w:eastAsia="zh-CN" w:bidi="ar"/>
              </w:rPr>
              <w:t>最高限单价（元/家）</w:t>
            </w:r>
          </w:p>
        </w:tc>
        <w:tc>
          <w:tcPr>
            <w:tcW w:w="3155" w:type="dxa"/>
            <w:noWrap w:val="0"/>
            <w:vAlign w:val="center"/>
          </w:tcPr>
          <w:p w14:paraId="2E3753A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lang w:bidi="ar"/>
              </w:rPr>
            </w:pPr>
            <w:r>
              <w:rPr>
                <w:rFonts w:hint="eastAsia" w:ascii="宋体" w:hAnsi="宋体" w:eastAsia="宋体" w:cs="宋体"/>
                <w:b/>
                <w:bCs/>
                <w:color w:val="auto"/>
                <w:kern w:val="0"/>
                <w:sz w:val="24"/>
                <w:szCs w:val="24"/>
                <w:highlight w:val="none"/>
                <w:lang w:bidi="ar"/>
              </w:rPr>
              <w:t>数量</w:t>
            </w:r>
            <w:r>
              <w:rPr>
                <w:rFonts w:hint="eastAsia" w:ascii="宋体" w:hAnsi="宋体" w:eastAsia="宋体" w:cs="宋体"/>
                <w:b/>
                <w:bCs/>
                <w:color w:val="auto"/>
                <w:kern w:val="0"/>
                <w:sz w:val="24"/>
                <w:szCs w:val="24"/>
                <w:highlight w:val="none"/>
                <w:shd w:val="clear" w:color="auto" w:fill="FFFFFF"/>
              </w:rPr>
              <w:t>（暂定）</w:t>
            </w:r>
          </w:p>
        </w:tc>
      </w:tr>
      <w:tr w14:paraId="1B4E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61" w:type="dxa"/>
            <w:noWrap w:val="0"/>
            <w:tcMar>
              <w:top w:w="15" w:type="dxa"/>
              <w:left w:w="15" w:type="dxa"/>
              <w:right w:w="15" w:type="dxa"/>
            </w:tcMar>
            <w:vAlign w:val="center"/>
          </w:tcPr>
          <w:p w14:paraId="74E2C440">
            <w:pPr>
              <w:widowControl/>
              <w:spacing w:line="3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56" w:type="dxa"/>
            <w:noWrap w:val="0"/>
            <w:tcMar>
              <w:top w:w="15" w:type="dxa"/>
              <w:left w:w="15" w:type="dxa"/>
              <w:right w:w="15" w:type="dxa"/>
            </w:tcMar>
            <w:vAlign w:val="center"/>
          </w:tcPr>
          <w:p w14:paraId="3C12BB72">
            <w:pPr>
              <w:spacing w:line="3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shd w:val="clear" w:color="auto" w:fill="FFFFFF"/>
                <w:lang w:val="en-US" w:eastAsia="zh-CN"/>
              </w:rPr>
              <w:t>排查企业</w:t>
            </w:r>
          </w:p>
        </w:tc>
        <w:tc>
          <w:tcPr>
            <w:tcW w:w="3111" w:type="dxa"/>
            <w:noWrap w:val="0"/>
            <w:tcMar>
              <w:top w:w="15" w:type="dxa"/>
              <w:left w:w="15" w:type="dxa"/>
              <w:right w:w="15" w:type="dxa"/>
            </w:tcMar>
            <w:vAlign w:val="center"/>
          </w:tcPr>
          <w:p w14:paraId="49DB41B2">
            <w:pPr>
              <w:widowControl/>
              <w:spacing w:line="3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3000</w:t>
            </w:r>
          </w:p>
        </w:tc>
        <w:tc>
          <w:tcPr>
            <w:tcW w:w="3155" w:type="dxa"/>
            <w:noWrap w:val="0"/>
            <w:vAlign w:val="center"/>
          </w:tcPr>
          <w:p w14:paraId="72E2298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100家</w:t>
            </w:r>
          </w:p>
        </w:tc>
      </w:tr>
    </w:tbl>
    <w:p w14:paraId="53DCA839">
      <w:pPr>
        <w:keepNext w:val="0"/>
        <w:keepLines w:val="0"/>
        <w:pageBreakBefore w:val="0"/>
        <w:widowControl w:val="0"/>
        <w:kinsoku/>
        <w:wordWrap w:val="0"/>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排查企业家数以实际为准，若超过100家，服务总金额不超过</w:t>
      </w:r>
      <w:r>
        <w:rPr>
          <w:rFonts w:hint="eastAsia" w:ascii="宋体" w:hAnsi="宋体" w:eastAsia="宋体" w:cs="宋体"/>
          <w:b/>
          <w:bCs/>
          <w:color w:val="auto"/>
          <w:sz w:val="24"/>
          <w:szCs w:val="24"/>
          <w:highlight w:val="none"/>
          <w:lang w:val="en-US" w:eastAsia="zh-CN"/>
        </w:rPr>
        <w:t>成交金额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若少于100家，以实际家数计。</w:t>
      </w:r>
    </w:p>
    <w:p w14:paraId="7733D2C6">
      <w:pPr>
        <w:keepNext w:val="0"/>
        <w:keepLines w:val="0"/>
        <w:pageBreakBefore w:val="0"/>
        <w:widowControl w:val="0"/>
        <w:kinsoku/>
        <w:wordWrap w:val="0"/>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五、项目成果</w:t>
      </w:r>
    </w:p>
    <w:p w14:paraId="6D5FC0A2">
      <w:pPr>
        <w:pStyle w:val="2"/>
        <w:keepNext w:val="0"/>
        <w:keepLines w:val="0"/>
        <w:pageBreakBefore w:val="0"/>
        <w:widowControl w:val="0"/>
        <w:kinsoku/>
        <w:wordWrap w:val="0"/>
        <w:overflowPunct/>
        <w:topLinePunct w:val="0"/>
        <w:autoSpaceDE/>
        <w:autoSpaceDN/>
        <w:bidi w:val="0"/>
        <w:adjustRightInd/>
        <w:snapToGrid/>
        <w:spacing w:beforeLines="0" w:after="0"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建立“排查整治问题清单一张表”，提交《排查整治评估报告》。</w:t>
      </w:r>
    </w:p>
    <w:p w14:paraId="322EF7F9">
      <w:pPr>
        <w:keepNext w:val="0"/>
        <w:keepLines w:val="0"/>
        <w:pageBreakBefore w:val="0"/>
        <w:widowControl w:val="0"/>
        <w:kinsoku/>
        <w:wordWrap w:val="0"/>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六、其他</w:t>
      </w:r>
      <w:r>
        <w:rPr>
          <w:rFonts w:hint="eastAsia" w:ascii="宋体" w:hAnsi="宋体" w:eastAsia="宋体" w:cs="宋体"/>
          <w:b/>
          <w:bCs/>
          <w:color w:val="auto"/>
          <w:sz w:val="24"/>
          <w:szCs w:val="24"/>
          <w:highlight w:val="none"/>
        </w:rPr>
        <w:t>要求</w:t>
      </w:r>
    </w:p>
    <w:p w14:paraId="4A72676E">
      <w:pPr>
        <w:keepNext w:val="0"/>
        <w:keepLines w:val="0"/>
        <w:pageBreakBefore w:val="0"/>
        <w:widowControl w:val="0"/>
        <w:kinsoku/>
        <w:wordWrap w:val="0"/>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napToGrid/>
          <w:color w:val="auto"/>
          <w:kern w:val="0"/>
          <w:sz w:val="24"/>
          <w:szCs w:val="24"/>
          <w:highlight w:val="none"/>
          <w:lang w:val="en-US" w:eastAsia="zh-CN" w:bidi="en-US"/>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bCs/>
          <w:color w:val="auto"/>
          <w:kern w:val="0"/>
          <w:sz w:val="24"/>
          <w:szCs w:val="24"/>
          <w:highlight w:val="none"/>
          <w:lang w:val="en-US" w:eastAsia="zh-CN" w:bidi="ar-SA"/>
        </w:rPr>
        <w:t>服务期限：</w:t>
      </w:r>
      <w:r>
        <w:rPr>
          <w:rFonts w:hint="eastAsia" w:ascii="宋体" w:hAnsi="宋体" w:eastAsia="宋体" w:cs="宋体"/>
          <w:bCs/>
          <w:color w:val="auto"/>
          <w:sz w:val="24"/>
          <w:szCs w:val="24"/>
          <w:highlight w:val="none"/>
          <w:lang w:val="en-US" w:eastAsia="zh-CN"/>
        </w:rPr>
        <w:t>合同签订之日起至2025年11月30日，或期间内排查整治评估报告通过审核，满足以上两个条件之一时合同自动终止。</w:t>
      </w:r>
    </w:p>
    <w:p w14:paraId="7917E5D0">
      <w:pPr>
        <w:keepNext w:val="0"/>
        <w:keepLines w:val="0"/>
        <w:pageBreakBefore w:val="0"/>
        <w:widowControl w:val="0"/>
        <w:kinsoku/>
        <w:wordWrap w:val="0"/>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bidi="en-US"/>
        </w:rPr>
        <w:t>2、</w:t>
      </w:r>
      <w:r>
        <w:rPr>
          <w:rFonts w:hint="eastAsia" w:ascii="宋体" w:hAnsi="宋体" w:eastAsia="宋体" w:cs="宋体"/>
          <w:b/>
          <w:bCs/>
          <w:color w:val="auto"/>
          <w:sz w:val="24"/>
          <w:szCs w:val="24"/>
          <w:highlight w:val="none"/>
        </w:rPr>
        <w:t>付款方式：</w:t>
      </w:r>
      <w:r>
        <w:rPr>
          <w:rFonts w:hint="eastAsia" w:ascii="宋体" w:hAnsi="宋体" w:eastAsia="宋体" w:cs="宋体"/>
          <w:b w:val="0"/>
          <w:bCs w:val="0"/>
          <w:color w:val="auto"/>
          <w:kern w:val="2"/>
          <w:sz w:val="24"/>
          <w:szCs w:val="24"/>
          <w:highlight w:val="none"/>
          <w:lang w:val="en-US" w:eastAsia="zh-CN" w:bidi="ar-SA"/>
        </w:rPr>
        <w:t>合同生效以及具备实施条件后7个工作日内</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合同金</w:t>
      </w:r>
      <w:r>
        <w:rPr>
          <w:rFonts w:hint="eastAsia" w:ascii="宋体" w:hAnsi="宋体" w:eastAsia="宋体" w:cs="宋体"/>
          <w:color w:val="auto"/>
          <w:sz w:val="24"/>
          <w:szCs w:val="24"/>
          <w:highlight w:val="none"/>
        </w:rPr>
        <w:t>额的40%</w:t>
      </w:r>
      <w:r>
        <w:rPr>
          <w:rFonts w:hint="eastAsia" w:ascii="宋体" w:hAnsi="宋体" w:eastAsia="宋体" w:cs="宋体"/>
          <w:color w:val="auto"/>
          <w:sz w:val="24"/>
          <w:szCs w:val="24"/>
          <w:highlight w:val="none"/>
          <w:lang w:val="en-US" w:eastAsia="zh-CN"/>
        </w:rPr>
        <w:t>作为预付款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服务期满</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val="en-US" w:eastAsia="zh-CN"/>
        </w:rPr>
        <w:t>按实结算，支付剩余款项</w:t>
      </w:r>
      <w:r>
        <w:rPr>
          <w:rFonts w:hint="eastAsia" w:ascii="宋体" w:hAnsi="宋体" w:eastAsia="宋体" w:cs="宋体"/>
          <w:color w:val="auto"/>
          <w:sz w:val="24"/>
          <w:szCs w:val="24"/>
          <w:highlight w:val="none"/>
        </w:rPr>
        <w:t>。</w:t>
      </w:r>
    </w:p>
    <w:p w14:paraId="2517A2A9">
      <w:pPr>
        <w:keepNext w:val="0"/>
        <w:keepLines w:val="0"/>
        <w:pageBreakBefore w:val="0"/>
        <w:widowControl w:val="0"/>
        <w:kinsoku/>
        <w:wordWrap w:val="0"/>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本项目中标（成交）供应商应在浙江省政府采购网（https://zfcg.czt.zj.gov.cn/）上注册成为“政府采购供应商”，如不按要求注册的，采购方有权延期发布中标（成交）通知书和中标（成交）公告，后果由供应商自行承担。</w:t>
      </w:r>
    </w:p>
    <w:p w14:paraId="6CDF0B8F">
      <w:pPr>
        <w:keepNext w:val="0"/>
        <w:keepLines w:val="0"/>
        <w:pageBreakBefore w:val="0"/>
        <w:widowControl w:val="0"/>
        <w:kinsoku/>
        <w:wordWrap w:val="0"/>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p>
    <w:p w14:paraId="747CD32D">
      <w:pPr>
        <w:keepNext w:val="0"/>
        <w:keepLines w:val="0"/>
        <w:pageBreakBefore w:val="0"/>
        <w:widowControl w:val="0"/>
        <w:kinsoku/>
        <w:wordWrap w:val="0"/>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color w:val="auto"/>
          <w:spacing w:val="0"/>
          <w:sz w:val="24"/>
          <w:szCs w:val="24"/>
          <w:highlight w:val="none"/>
          <w:u w:val="single"/>
        </w:rPr>
        <w:t>本采购标的对应的中小企业划分标准所属行业为：租赁和商务服务业</w:t>
      </w:r>
      <w:r>
        <w:rPr>
          <w:rFonts w:hint="eastAsia" w:ascii="宋体" w:hAnsi="宋体" w:cs="宋体"/>
          <w:b/>
          <w:color w:val="auto"/>
          <w:spacing w:val="0"/>
          <w:sz w:val="24"/>
          <w:szCs w:val="24"/>
          <w:highlight w:val="none"/>
          <w:u w:val="single"/>
          <w:lang w:eastAsia="zh-CN"/>
        </w:rPr>
        <w:t>。</w:t>
      </w:r>
    </w:p>
    <w:p w14:paraId="58B9B930">
      <w:pPr>
        <w:keepNext w:val="0"/>
        <w:keepLines w:val="0"/>
        <w:pageBreakBefore w:val="0"/>
        <w:widowControl w:val="0"/>
        <w:kinsoku/>
        <w:wordWrap w:val="0"/>
        <w:overflowPunct/>
        <w:topLinePunct w:val="0"/>
        <w:autoSpaceDE/>
        <w:autoSpaceDN/>
        <w:bidi w:val="0"/>
        <w:adjustRightInd/>
        <w:snapToGrid/>
        <w:spacing w:line="360" w:lineRule="auto"/>
        <w:ind w:right="0"/>
        <w:jc w:val="left"/>
        <w:textAlignment w:val="auto"/>
        <w:rPr>
          <w:rFonts w:hint="eastAsia" w:ascii="宋体" w:hAnsi="宋体" w:eastAsia="宋体" w:cs="宋体"/>
          <w:b/>
          <w:bCs/>
          <w:color w:val="auto"/>
          <w:sz w:val="24"/>
          <w:szCs w:val="24"/>
          <w:highlight w:val="none"/>
          <w:lang w:eastAsia="zh-CN"/>
        </w:rPr>
      </w:pPr>
    </w:p>
    <w:p w14:paraId="721427D6">
      <w:pPr>
        <w:spacing w:line="440" w:lineRule="exact"/>
        <w:rPr>
          <w:rFonts w:ascii="宋体" w:hAnsi="宋体"/>
          <w:b/>
          <w:bCs/>
          <w:color w:val="auto"/>
          <w:sz w:val="28"/>
          <w:szCs w:val="28"/>
          <w:highlight w:val="none"/>
        </w:rPr>
      </w:pPr>
    </w:p>
    <w:p w14:paraId="6EBF00F2">
      <w:pPr>
        <w:spacing w:line="440" w:lineRule="exact"/>
        <w:rPr>
          <w:rFonts w:ascii="宋体" w:hAnsi="宋体"/>
          <w:b/>
          <w:bCs/>
          <w:color w:val="auto"/>
          <w:sz w:val="28"/>
          <w:szCs w:val="28"/>
          <w:highlight w:val="none"/>
        </w:rPr>
      </w:pPr>
      <w:r>
        <w:rPr>
          <w:rFonts w:ascii="宋体" w:hAnsi="宋体"/>
          <w:b/>
          <w:bCs/>
          <w:color w:val="auto"/>
          <w:sz w:val="28"/>
          <w:szCs w:val="28"/>
          <w:highlight w:val="none"/>
        </w:rPr>
        <w:t xml:space="preserve"> </w:t>
      </w:r>
    </w:p>
    <w:p w14:paraId="61CE2FCB">
      <w:pPr>
        <w:spacing w:line="440" w:lineRule="exact"/>
        <w:rPr>
          <w:rFonts w:ascii="宋体" w:hAnsi="宋体"/>
          <w:color w:val="auto"/>
          <w:sz w:val="24"/>
          <w:highlight w:val="none"/>
        </w:rPr>
      </w:pPr>
      <w:r>
        <w:rPr>
          <w:rFonts w:ascii="宋体" w:hAnsi="宋体"/>
          <w:color w:val="auto"/>
          <w:sz w:val="24"/>
          <w:highlight w:val="none"/>
        </w:rPr>
        <w:t xml:space="preserve"> </w:t>
      </w:r>
    </w:p>
    <w:p w14:paraId="0C1A6D96">
      <w:pPr>
        <w:spacing w:line="440" w:lineRule="exact"/>
        <w:rPr>
          <w:rFonts w:cs="宋体" w:asciiTheme="minorEastAsia" w:hAnsiTheme="minorEastAsia" w:eastAsiaTheme="minorEastAsia"/>
          <w:bCs/>
          <w:color w:val="auto"/>
          <w:sz w:val="24"/>
          <w:highlight w:val="none"/>
        </w:rPr>
      </w:pPr>
      <w:bookmarkStart w:id="10" w:name="_Toc466534749"/>
      <w:bookmarkStart w:id="11" w:name="_Toc48835713"/>
      <w:r>
        <w:rPr>
          <w:rFonts w:ascii="宋体" w:hAnsi="宋体"/>
          <w:color w:val="auto"/>
          <w:sz w:val="30"/>
          <w:szCs w:val="30"/>
          <w:highlight w:val="none"/>
        </w:rPr>
        <w:br w:type="page"/>
      </w:r>
    </w:p>
    <w:bookmarkEnd w:id="10"/>
    <w:bookmarkEnd w:id="11"/>
    <w:p w14:paraId="4D688BBA">
      <w:pPr>
        <w:jc w:val="center"/>
        <w:rPr>
          <w:b/>
          <w:color w:val="auto"/>
          <w:sz w:val="30"/>
          <w:szCs w:val="30"/>
          <w:highlight w:val="none"/>
        </w:rPr>
      </w:pPr>
      <w:r>
        <w:rPr>
          <w:rFonts w:hint="eastAsia"/>
          <w:b/>
          <w:color w:val="auto"/>
          <w:sz w:val="30"/>
          <w:szCs w:val="30"/>
          <w:highlight w:val="none"/>
        </w:rPr>
        <w:t>第三章</w:t>
      </w:r>
      <w:r>
        <w:rPr>
          <w:b/>
          <w:color w:val="auto"/>
          <w:sz w:val="30"/>
          <w:szCs w:val="30"/>
          <w:highlight w:val="none"/>
        </w:rPr>
        <w:t xml:space="preserve">  供应商磋商须知</w:t>
      </w:r>
      <w:r>
        <w:rPr>
          <w:rFonts w:hint="eastAsia"/>
          <w:b/>
          <w:color w:val="auto"/>
          <w:sz w:val="30"/>
          <w:szCs w:val="30"/>
          <w:highlight w:val="none"/>
        </w:rPr>
        <w:t xml:space="preserve"> </w:t>
      </w:r>
      <w:r>
        <w:rPr>
          <w:b/>
          <w:color w:val="auto"/>
          <w:sz w:val="30"/>
          <w:szCs w:val="30"/>
          <w:highlight w:val="none"/>
        </w:rPr>
        <w:t xml:space="preserve"> </w:t>
      </w:r>
    </w:p>
    <w:p w14:paraId="22CB1FC2">
      <w:pPr>
        <w:jc w:val="center"/>
        <w:rPr>
          <w:b/>
          <w:color w:val="auto"/>
          <w:sz w:val="30"/>
          <w:szCs w:val="30"/>
          <w:highlight w:val="none"/>
        </w:rPr>
      </w:pPr>
      <w:r>
        <w:rPr>
          <w:rFonts w:hint="eastAsia"/>
          <w:b/>
          <w:color w:val="auto"/>
          <w:sz w:val="30"/>
          <w:szCs w:val="30"/>
          <w:highlight w:val="none"/>
        </w:rPr>
        <w:t>前附表</w:t>
      </w:r>
    </w:p>
    <w:tbl>
      <w:tblPr>
        <w:tblStyle w:val="48"/>
        <w:tblW w:w="10787" w:type="dxa"/>
        <w:tblInd w:w="-1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3872BDA8">
            <w:pPr>
              <w:snapToGrid w:val="0"/>
              <w:spacing w:line="48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2D0DE751">
            <w:pPr>
              <w:snapToGrid w:val="0"/>
              <w:spacing w:line="480" w:lineRule="exact"/>
              <w:jc w:val="center"/>
              <w:rPr>
                <w:rFonts w:ascii="宋体" w:hAnsi="宋体"/>
                <w:b/>
                <w:color w:val="auto"/>
                <w:sz w:val="24"/>
                <w:highlight w:val="none"/>
              </w:rPr>
            </w:pPr>
            <w:r>
              <w:rPr>
                <w:rFonts w:hint="eastAsia" w:ascii="宋体" w:hAnsi="宋体"/>
                <w:b/>
                <w:color w:val="auto"/>
                <w:sz w:val="24"/>
                <w:highlight w:val="none"/>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44BB4D06">
            <w:pPr>
              <w:keepNext w:val="0"/>
              <w:keepLines w:val="0"/>
              <w:pageBreakBefore w:val="0"/>
              <w:kinsoku/>
              <w:wordWrap/>
              <w:overflowPunct/>
              <w:topLinePunct w:val="0"/>
              <w:bidi w:val="0"/>
              <w:adjustRightInd/>
              <w:snapToGrid/>
              <w:spacing w:line="460" w:lineRule="exact"/>
              <w:jc w:val="center"/>
              <w:rPr>
                <w:rFonts w:ascii="宋体" w:hAnsi="宋体"/>
                <w:color w:val="auto"/>
                <w:sz w:val="24"/>
                <w:highlight w:val="none"/>
              </w:rPr>
            </w:pPr>
            <w:r>
              <w:rPr>
                <w:rFonts w:hint="eastAsia" w:ascii="宋体" w:hAnsi="宋体"/>
                <w:color w:val="auto"/>
                <w:sz w:val="24"/>
                <w:highlight w:val="none"/>
              </w:rPr>
              <w:t>1</w:t>
            </w:r>
          </w:p>
        </w:tc>
        <w:tc>
          <w:tcPr>
            <w:tcW w:w="10079" w:type="dxa"/>
            <w:tcBorders>
              <w:top w:val="single" w:color="auto" w:sz="4" w:space="0"/>
              <w:left w:val="single" w:color="auto" w:sz="4" w:space="0"/>
              <w:bottom w:val="single" w:color="auto" w:sz="4" w:space="0"/>
              <w:right w:val="single" w:color="auto" w:sz="4" w:space="0"/>
            </w:tcBorders>
            <w:vAlign w:val="center"/>
          </w:tcPr>
          <w:p w14:paraId="2FF51229">
            <w:pPr>
              <w:pStyle w:val="44"/>
              <w:keepNext w:val="0"/>
              <w:keepLines w:val="0"/>
              <w:pageBreakBefore w:val="0"/>
              <w:kinsoku/>
              <w:wordWrap/>
              <w:overflowPunct/>
              <w:topLinePunct w:val="0"/>
              <w:bidi w:val="0"/>
              <w:adjustRightInd/>
              <w:snapToGrid/>
              <w:spacing w:before="0" w:beforeAutospacing="0" w:after="0" w:afterAutospacing="0" w:line="460" w:lineRule="exact"/>
              <w:rPr>
                <w:color w:val="auto"/>
                <w:kern w:val="2"/>
                <w:highlight w:val="none"/>
              </w:rPr>
            </w:pPr>
            <w:r>
              <w:rPr>
                <w:rFonts w:hint="eastAsia"/>
                <w:color w:val="auto"/>
                <w:kern w:val="2"/>
                <w:highlight w:val="none"/>
              </w:rPr>
              <w:t>项目名称：临海市废气治理设施低效失效排查整治技术服务项目</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CB96B49">
            <w:pPr>
              <w:keepNext w:val="0"/>
              <w:keepLines w:val="0"/>
              <w:pageBreakBefore w:val="0"/>
              <w:kinsoku/>
              <w:wordWrap/>
              <w:overflowPunct/>
              <w:topLinePunct w:val="0"/>
              <w:bidi w:val="0"/>
              <w:adjustRightInd/>
              <w:snapToGrid/>
              <w:spacing w:line="460" w:lineRule="exact"/>
              <w:jc w:val="center"/>
              <w:rPr>
                <w:rFonts w:ascii="宋体" w:hAnsi="宋体"/>
                <w:color w:val="auto"/>
                <w:sz w:val="24"/>
                <w:highlight w:val="none"/>
              </w:rPr>
            </w:pPr>
            <w:r>
              <w:rPr>
                <w:rFonts w:hint="eastAsia" w:ascii="宋体" w:hAnsi="宋体"/>
                <w:color w:val="auto"/>
                <w:sz w:val="24"/>
                <w:highlight w:val="none"/>
              </w:rPr>
              <w:t>2</w:t>
            </w:r>
          </w:p>
        </w:tc>
        <w:tc>
          <w:tcPr>
            <w:tcW w:w="10079" w:type="dxa"/>
            <w:tcBorders>
              <w:top w:val="single" w:color="auto" w:sz="4" w:space="0"/>
              <w:left w:val="single" w:color="auto" w:sz="4" w:space="0"/>
              <w:bottom w:val="single" w:color="auto" w:sz="4" w:space="0"/>
              <w:right w:val="single" w:color="auto" w:sz="4" w:space="0"/>
            </w:tcBorders>
            <w:vAlign w:val="center"/>
          </w:tcPr>
          <w:p w14:paraId="7538170A">
            <w:pPr>
              <w:keepNext w:val="0"/>
              <w:keepLines w:val="0"/>
              <w:pageBreakBefore w:val="0"/>
              <w:kinsoku/>
              <w:wordWrap/>
              <w:overflowPunct/>
              <w:topLinePunct w:val="0"/>
              <w:bidi w:val="0"/>
              <w:adjustRightInd/>
              <w:snapToGrid/>
              <w:spacing w:line="460" w:lineRule="exact"/>
              <w:rPr>
                <w:rFonts w:ascii="宋体" w:hAnsi="宋体"/>
                <w:color w:val="auto"/>
                <w:sz w:val="24"/>
                <w:highlight w:val="none"/>
              </w:rPr>
            </w:pPr>
            <w:r>
              <w:rPr>
                <w:rFonts w:hint="eastAsia" w:ascii="宋体" w:hAnsi="宋体"/>
                <w:color w:val="auto"/>
                <w:sz w:val="24"/>
                <w:highlight w:val="none"/>
              </w:rPr>
              <w:t>采购内容及数量：详见“第二章 采购内容、需求及要求”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721EE1EF">
            <w:pPr>
              <w:keepNext w:val="0"/>
              <w:keepLines w:val="0"/>
              <w:pageBreakBefore w:val="0"/>
              <w:kinsoku/>
              <w:wordWrap/>
              <w:overflowPunct/>
              <w:topLinePunct w:val="0"/>
              <w:bidi w:val="0"/>
              <w:adjustRightInd/>
              <w:snapToGrid/>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079" w:type="dxa"/>
            <w:tcBorders>
              <w:top w:val="single" w:color="auto" w:sz="4" w:space="0"/>
              <w:left w:val="single" w:color="auto" w:sz="4" w:space="0"/>
              <w:bottom w:val="single" w:color="auto" w:sz="4" w:space="0"/>
              <w:right w:val="single" w:color="auto" w:sz="4" w:space="0"/>
            </w:tcBorders>
            <w:vAlign w:val="center"/>
          </w:tcPr>
          <w:p w14:paraId="3A40F3D5">
            <w:pPr>
              <w:keepNext w:val="0"/>
              <w:keepLines w:val="0"/>
              <w:pageBreakBefore w:val="0"/>
              <w:kinsoku/>
              <w:wordWrap/>
              <w:overflowPunct/>
              <w:topLinePunct w:val="0"/>
              <w:bidi w:val="0"/>
              <w:adjustRightInd/>
              <w:snapToGrid/>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投标报价及费用：1、本项目投标应以人民币报价；2、不论投标结果如何，供应商均应自行承担所有与投标有关的全部费用； </w:t>
            </w:r>
          </w:p>
          <w:p w14:paraId="4DB8EF5D">
            <w:pPr>
              <w:keepNext w:val="0"/>
              <w:keepLines w:val="0"/>
              <w:pageBreakBefore w:val="0"/>
              <w:numPr>
                <w:ilvl w:val="0"/>
                <w:numId w:val="0"/>
              </w:numPr>
              <w:kinsoku/>
              <w:wordWrap/>
              <w:overflowPunct/>
              <w:topLinePunct w:val="0"/>
              <w:bidi w:val="0"/>
              <w:adjustRightInd/>
              <w:snapToGrid/>
              <w:spacing w:line="460" w:lineRule="exact"/>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3、</w:t>
            </w:r>
            <w:r>
              <w:rPr>
                <w:rFonts w:hint="eastAsia" w:ascii="宋体" w:hAnsi="宋体" w:eastAsia="宋体" w:cs="宋体"/>
                <w:b/>
                <w:bCs/>
                <w:color w:val="auto"/>
                <w:sz w:val="24"/>
                <w:szCs w:val="24"/>
                <w:highlight w:val="none"/>
              </w:rPr>
              <w:t>本项目招标代理服务费根据中标价由成交供应商支付给采购代理机构，在采购代理机构发出成交通知书前一次性付清招标代理服务费用，收费采用差额定率累进计费方式，具体标准如下：中标价500万以内的计算公式为：100万元*1.5%*80%+（500-100）万元*0.8%*80%</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174E101">
            <w:pPr>
              <w:keepNext w:val="0"/>
              <w:keepLines w:val="0"/>
              <w:pageBreakBefore w:val="0"/>
              <w:kinsoku/>
              <w:wordWrap/>
              <w:overflowPunct/>
              <w:topLinePunct w:val="0"/>
              <w:bidi w:val="0"/>
              <w:adjustRightInd/>
              <w:snapToGrid/>
              <w:spacing w:line="460" w:lineRule="exact"/>
              <w:jc w:val="center"/>
              <w:rPr>
                <w:rFonts w:ascii="宋体" w:hAnsi="宋体"/>
                <w:color w:val="auto"/>
                <w:sz w:val="24"/>
                <w:highlight w:val="none"/>
              </w:rPr>
            </w:pPr>
            <w:r>
              <w:rPr>
                <w:rFonts w:hint="eastAsia" w:ascii="宋体" w:hAnsi="宋体"/>
                <w:color w:val="auto"/>
                <w:sz w:val="24"/>
                <w:highlight w:val="none"/>
              </w:rPr>
              <w:t>4</w:t>
            </w:r>
          </w:p>
        </w:tc>
        <w:tc>
          <w:tcPr>
            <w:tcW w:w="10079" w:type="dxa"/>
            <w:tcBorders>
              <w:top w:val="single" w:color="auto" w:sz="4" w:space="0"/>
              <w:left w:val="single" w:color="auto" w:sz="4" w:space="0"/>
              <w:bottom w:val="single" w:color="auto" w:sz="4" w:space="0"/>
              <w:right w:val="single" w:color="auto" w:sz="4" w:space="0"/>
            </w:tcBorders>
            <w:vAlign w:val="center"/>
          </w:tcPr>
          <w:p w14:paraId="6C96EB49">
            <w:pPr>
              <w:keepNext w:val="0"/>
              <w:keepLines w:val="0"/>
              <w:pageBreakBefore w:val="0"/>
              <w:kinsoku/>
              <w:wordWrap/>
              <w:overflowPunct/>
              <w:topLinePunct w:val="0"/>
              <w:bidi w:val="0"/>
              <w:adjustRightInd/>
              <w:snapToGrid/>
              <w:spacing w:line="460" w:lineRule="exact"/>
              <w:rPr>
                <w:rFonts w:ascii="宋体" w:hAnsi="宋体"/>
                <w:color w:val="auto"/>
                <w:sz w:val="24"/>
                <w:highlight w:val="none"/>
              </w:rPr>
            </w:pPr>
            <w:r>
              <w:rPr>
                <w:rFonts w:hint="eastAsia" w:ascii="宋体" w:hAnsi="宋体"/>
                <w:b/>
                <w:bCs/>
                <w:color w:val="auto"/>
                <w:sz w:val="24"/>
                <w:highlight w:val="none"/>
              </w:rPr>
              <w:t>现场踏勘</w:t>
            </w:r>
            <w:r>
              <w:rPr>
                <w:rFonts w:hint="eastAsia" w:ascii="宋体" w:hAnsi="宋体"/>
                <w:color w:val="auto"/>
                <w:sz w:val="24"/>
                <w:highlight w:val="none"/>
              </w:rPr>
              <w:t>：供应商可对</w:t>
            </w:r>
            <w:r>
              <w:rPr>
                <w:rFonts w:ascii="宋体" w:hAnsi="宋体"/>
                <w:color w:val="auto"/>
                <w:sz w:val="24"/>
                <w:highlight w:val="none"/>
              </w:rPr>
              <w:t>项目</w:t>
            </w:r>
            <w:r>
              <w:rPr>
                <w:rFonts w:hint="eastAsia" w:ascii="宋体" w:hAnsi="宋体"/>
                <w:color w:val="auto"/>
                <w:sz w:val="24"/>
                <w:highlight w:val="none"/>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574F7706">
            <w:pPr>
              <w:keepNext w:val="0"/>
              <w:keepLines w:val="0"/>
              <w:pageBreakBefore w:val="0"/>
              <w:kinsoku/>
              <w:wordWrap/>
              <w:overflowPunct/>
              <w:topLinePunct w:val="0"/>
              <w:bidi w:val="0"/>
              <w:adjustRightInd/>
              <w:snapToGrid/>
              <w:spacing w:line="460" w:lineRule="exact"/>
              <w:jc w:val="center"/>
              <w:rPr>
                <w:rFonts w:ascii="宋体" w:hAnsi="宋体"/>
                <w:color w:val="auto"/>
                <w:sz w:val="24"/>
                <w:highlight w:val="none"/>
              </w:rPr>
            </w:pPr>
            <w:r>
              <w:rPr>
                <w:rFonts w:hint="eastAsia" w:ascii="宋体" w:hAnsi="宋体"/>
                <w:color w:val="auto"/>
                <w:sz w:val="24"/>
                <w:highlight w:val="none"/>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9312A9E">
            <w:pPr>
              <w:keepNext w:val="0"/>
              <w:keepLines w:val="0"/>
              <w:pageBreakBefore w:val="0"/>
              <w:kinsoku/>
              <w:wordWrap/>
              <w:overflowPunct/>
              <w:topLinePunct w:val="0"/>
              <w:bidi w:val="0"/>
              <w:adjustRightInd/>
              <w:snapToGrid/>
              <w:spacing w:line="460" w:lineRule="exact"/>
              <w:rPr>
                <w:rFonts w:ascii="宋体" w:hAnsi="宋体"/>
                <w:b/>
                <w:color w:val="auto"/>
                <w:sz w:val="24"/>
                <w:highlight w:val="none"/>
              </w:rPr>
            </w:pPr>
            <w:r>
              <w:rPr>
                <w:rFonts w:hint="eastAsia" w:ascii="宋体" w:hAnsi="宋体"/>
                <w:b/>
                <w:color w:val="auto"/>
                <w:sz w:val="24"/>
                <w:highlight w:val="none"/>
              </w:rPr>
              <w:t>质疑与澄清</w:t>
            </w:r>
            <w:r>
              <w:rPr>
                <w:rFonts w:hint="eastAsia" w:ascii="宋体" w:hAnsi="宋体"/>
                <w:color w:val="auto"/>
                <w:sz w:val="24"/>
                <w:highlight w:val="none"/>
              </w:rPr>
              <w:t>：</w:t>
            </w:r>
            <w:r>
              <w:rPr>
                <w:rFonts w:hint="eastAsia" w:ascii="宋体" w:hAnsi="宋体"/>
                <w:b/>
                <w:color w:val="auto"/>
                <w:sz w:val="24"/>
                <w:highlight w:val="none"/>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highlight w:val="none"/>
              </w:rPr>
              <w:t>7</w:t>
            </w:r>
            <w:r>
              <w:rPr>
                <w:rFonts w:hint="eastAsia" w:ascii="宋体" w:hAnsi="宋体"/>
                <w:b/>
                <w:color w:val="auto"/>
                <w:sz w:val="24"/>
                <w:highlight w:val="none"/>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highlight w:val="none"/>
              </w:rPr>
              <w:t>招标人对已发出的磋商文件进行必要的澄清、答复、修改和补充将以更正公告的形式予以发布。</w:t>
            </w:r>
            <w:r>
              <w:rPr>
                <w:rFonts w:hint="eastAsia" w:ascii="宋体" w:hAnsi="宋体"/>
                <w:b/>
                <w:color w:val="auto"/>
                <w:sz w:val="24"/>
                <w:highlight w:val="none"/>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7F534F08">
            <w:pPr>
              <w:keepNext w:val="0"/>
              <w:keepLines w:val="0"/>
              <w:pageBreakBefore w:val="0"/>
              <w:kinsoku/>
              <w:wordWrap/>
              <w:overflowPunct/>
              <w:topLinePunct w:val="0"/>
              <w:bidi w:val="0"/>
              <w:adjustRightInd/>
              <w:snapToGrid/>
              <w:spacing w:line="460" w:lineRule="exact"/>
              <w:jc w:val="center"/>
              <w:rPr>
                <w:rFonts w:ascii="宋体" w:hAnsi="宋体"/>
                <w:color w:val="auto"/>
                <w:sz w:val="24"/>
                <w:highlight w:val="none"/>
              </w:rPr>
            </w:pPr>
            <w:r>
              <w:rPr>
                <w:rFonts w:hint="eastAsia" w:ascii="宋体" w:hAnsi="宋体"/>
                <w:color w:val="auto"/>
                <w:sz w:val="24"/>
                <w:highlight w:val="none"/>
              </w:rPr>
              <w:t>6</w:t>
            </w:r>
          </w:p>
        </w:tc>
        <w:tc>
          <w:tcPr>
            <w:tcW w:w="10079" w:type="dxa"/>
            <w:tcBorders>
              <w:top w:val="single" w:color="auto" w:sz="4" w:space="0"/>
              <w:left w:val="single" w:color="auto" w:sz="4" w:space="0"/>
              <w:bottom w:val="single" w:color="auto" w:sz="4" w:space="0"/>
              <w:right w:val="single" w:color="auto" w:sz="4" w:space="0"/>
            </w:tcBorders>
            <w:vAlign w:val="center"/>
          </w:tcPr>
          <w:p w14:paraId="6DCA366B">
            <w:pPr>
              <w:keepNext w:val="0"/>
              <w:keepLines w:val="0"/>
              <w:pageBreakBefore w:val="0"/>
              <w:kinsoku/>
              <w:wordWrap/>
              <w:overflowPunct/>
              <w:topLinePunct w:val="0"/>
              <w:bidi w:val="0"/>
              <w:adjustRightInd/>
              <w:snapToGrid/>
              <w:spacing w:line="460" w:lineRule="exact"/>
              <w:rPr>
                <w:rFonts w:ascii="宋体" w:hAnsi="宋体"/>
                <w:color w:val="auto"/>
                <w:sz w:val="24"/>
                <w:highlight w:val="none"/>
              </w:rPr>
            </w:pPr>
            <w:r>
              <w:rPr>
                <w:rFonts w:hint="eastAsia" w:ascii="宋体" w:hAnsi="宋体"/>
                <w:color w:val="auto"/>
                <w:sz w:val="24"/>
                <w:highlight w:val="none"/>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168D7174">
            <w:pPr>
              <w:keepNext w:val="0"/>
              <w:keepLines w:val="0"/>
              <w:pageBreakBefore w:val="0"/>
              <w:kinsoku/>
              <w:wordWrap/>
              <w:overflowPunct/>
              <w:topLinePunct w:val="0"/>
              <w:bidi w:val="0"/>
              <w:adjustRightInd/>
              <w:snapToGrid/>
              <w:spacing w:line="460" w:lineRule="exact"/>
              <w:jc w:val="center"/>
              <w:rPr>
                <w:rFonts w:ascii="宋体" w:hAnsi="宋体"/>
                <w:color w:val="auto"/>
                <w:sz w:val="24"/>
                <w:highlight w:val="none"/>
              </w:rPr>
            </w:pPr>
            <w:r>
              <w:rPr>
                <w:rFonts w:hint="eastAsia" w:ascii="宋体" w:hAnsi="宋体"/>
                <w:color w:val="auto"/>
                <w:sz w:val="24"/>
                <w:highlight w:val="none"/>
              </w:rPr>
              <w:t>7</w:t>
            </w:r>
          </w:p>
        </w:tc>
        <w:tc>
          <w:tcPr>
            <w:tcW w:w="10079" w:type="dxa"/>
            <w:tcBorders>
              <w:top w:val="single" w:color="auto" w:sz="4" w:space="0"/>
              <w:left w:val="single" w:color="auto" w:sz="4" w:space="0"/>
              <w:bottom w:val="single" w:color="auto" w:sz="4" w:space="0"/>
              <w:right w:val="single" w:color="auto" w:sz="4" w:space="0"/>
            </w:tcBorders>
            <w:vAlign w:val="center"/>
          </w:tcPr>
          <w:p w14:paraId="0FA89E24">
            <w:pPr>
              <w:keepNext w:val="0"/>
              <w:keepLines w:val="0"/>
              <w:pageBreakBefore w:val="0"/>
              <w:kinsoku/>
              <w:wordWrap/>
              <w:overflowPunct/>
              <w:topLinePunct w:val="0"/>
              <w:autoSpaceDE w:val="0"/>
              <w:autoSpaceDN w:val="0"/>
              <w:bidi w:val="0"/>
              <w:adjustRightInd/>
              <w:snapToGrid/>
              <w:spacing w:line="460" w:lineRule="exact"/>
              <w:textAlignment w:val="bottom"/>
              <w:rPr>
                <w:rFonts w:ascii="宋体" w:hAnsi="宋体"/>
                <w:color w:val="auto"/>
                <w:sz w:val="24"/>
                <w:highlight w:val="none"/>
              </w:rPr>
            </w:pPr>
            <w:r>
              <w:rPr>
                <w:rFonts w:hint="eastAsia" w:ascii="宋体" w:hAnsi="宋体"/>
                <w:color w:val="auto"/>
                <w:sz w:val="24"/>
                <w:highlight w:val="none"/>
              </w:rPr>
              <w:t>评标办法</w:t>
            </w:r>
            <w:r>
              <w:rPr>
                <w:rFonts w:hint="eastAsia" w:ascii="宋体" w:hAnsi="宋体"/>
                <w:b/>
                <w:color w:val="auto"/>
                <w:sz w:val="24"/>
                <w:highlight w:val="none"/>
              </w:rPr>
              <w:t>：</w:t>
            </w:r>
            <w:r>
              <w:rPr>
                <w:rFonts w:hint="eastAsia" w:ascii="宋体" w:hAnsi="宋体"/>
                <w:color w:val="auto"/>
                <w:sz w:val="24"/>
                <w:highlight w:val="none"/>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19EFC5D0">
            <w:pPr>
              <w:keepNext w:val="0"/>
              <w:keepLines w:val="0"/>
              <w:pageBreakBefore w:val="0"/>
              <w:kinsoku/>
              <w:wordWrap/>
              <w:overflowPunct/>
              <w:topLinePunct w:val="0"/>
              <w:bidi w:val="0"/>
              <w:adjustRightInd/>
              <w:snapToGrid/>
              <w:spacing w:line="460" w:lineRule="exact"/>
              <w:jc w:val="center"/>
              <w:rPr>
                <w:rFonts w:ascii="宋体" w:hAnsi="宋体"/>
                <w:color w:val="auto"/>
                <w:sz w:val="24"/>
                <w:highlight w:val="none"/>
              </w:rPr>
            </w:pPr>
            <w:r>
              <w:rPr>
                <w:rFonts w:hint="eastAsia" w:ascii="宋体" w:hAnsi="宋体"/>
                <w:color w:val="auto"/>
                <w:sz w:val="24"/>
                <w:highlight w:val="none"/>
              </w:rPr>
              <w:t>8</w:t>
            </w:r>
          </w:p>
        </w:tc>
        <w:tc>
          <w:tcPr>
            <w:tcW w:w="10079" w:type="dxa"/>
            <w:tcBorders>
              <w:top w:val="single" w:color="auto" w:sz="4" w:space="0"/>
              <w:left w:val="single" w:color="auto" w:sz="4" w:space="0"/>
              <w:bottom w:val="single" w:color="auto" w:sz="4" w:space="0"/>
              <w:right w:val="single" w:color="auto" w:sz="4" w:space="0"/>
            </w:tcBorders>
            <w:vAlign w:val="center"/>
          </w:tcPr>
          <w:p w14:paraId="31855AAA">
            <w:pPr>
              <w:keepNext w:val="0"/>
              <w:keepLines w:val="0"/>
              <w:pageBreakBefore w:val="0"/>
              <w:kinsoku/>
              <w:wordWrap/>
              <w:overflowPunct/>
              <w:topLinePunct w:val="0"/>
              <w:autoSpaceDE w:val="0"/>
              <w:autoSpaceDN w:val="0"/>
              <w:bidi w:val="0"/>
              <w:adjustRightInd/>
              <w:snapToGrid/>
              <w:spacing w:line="460" w:lineRule="exact"/>
              <w:textAlignment w:val="bottom"/>
              <w:rPr>
                <w:rFonts w:ascii="宋体" w:hAnsi="宋体"/>
                <w:color w:val="auto"/>
                <w:sz w:val="24"/>
                <w:highlight w:val="none"/>
              </w:rPr>
            </w:pPr>
            <w:r>
              <w:rPr>
                <w:rFonts w:hint="eastAsia" w:ascii="宋体" w:hAnsi="宋体"/>
                <w:b/>
                <w:color w:val="auto"/>
                <w:sz w:val="24"/>
                <w:highlight w:val="none"/>
                <w:shd w:val="pct10" w:color="auto" w:fill="FFFFFF"/>
              </w:rPr>
              <w:t>▲</w:t>
            </w:r>
            <w:r>
              <w:rPr>
                <w:rFonts w:hint="eastAsia" w:ascii="宋体" w:hAnsi="宋体"/>
                <w:color w:val="auto"/>
                <w:sz w:val="24"/>
                <w:highlight w:val="none"/>
              </w:rPr>
              <w:t>投标有效期：自投标截止日起</w:t>
            </w:r>
            <w:r>
              <w:rPr>
                <w:rFonts w:hint="eastAsia" w:ascii="宋体" w:hAnsi="宋体"/>
                <w:color w:val="auto"/>
                <w:sz w:val="24"/>
                <w:highlight w:val="none"/>
                <w:u w:val="single"/>
              </w:rPr>
              <w:t xml:space="preserve"> 90 </w:t>
            </w:r>
            <w:r>
              <w:rPr>
                <w:rFonts w:hint="eastAsia" w:ascii="宋体" w:hAnsi="宋体"/>
                <w:color w:val="auto"/>
                <w:sz w:val="24"/>
                <w:highlight w:val="none"/>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0FD8F79B">
            <w:pPr>
              <w:keepNext w:val="0"/>
              <w:keepLines w:val="0"/>
              <w:pageBreakBefore w:val="0"/>
              <w:kinsoku/>
              <w:wordWrap/>
              <w:overflowPunct/>
              <w:topLinePunct w:val="0"/>
              <w:bidi w:val="0"/>
              <w:adjustRightInd/>
              <w:snapToGrid/>
              <w:spacing w:line="460" w:lineRule="exact"/>
              <w:jc w:val="center"/>
              <w:rPr>
                <w:rFonts w:ascii="宋体" w:hAnsi="宋体"/>
                <w:color w:val="auto"/>
                <w:sz w:val="24"/>
                <w:highlight w:val="none"/>
              </w:rPr>
            </w:pPr>
            <w:r>
              <w:rPr>
                <w:rFonts w:hint="eastAsia" w:ascii="宋体" w:hAnsi="宋体"/>
                <w:color w:val="auto"/>
                <w:sz w:val="24"/>
                <w:highlight w:val="none"/>
              </w:rPr>
              <w:t>9</w:t>
            </w:r>
          </w:p>
        </w:tc>
        <w:tc>
          <w:tcPr>
            <w:tcW w:w="10079" w:type="dxa"/>
            <w:tcBorders>
              <w:top w:val="single" w:color="auto" w:sz="4" w:space="0"/>
              <w:left w:val="single" w:color="auto" w:sz="4" w:space="0"/>
              <w:bottom w:val="single" w:color="auto" w:sz="4" w:space="0"/>
              <w:right w:val="single" w:color="auto" w:sz="4" w:space="0"/>
            </w:tcBorders>
            <w:vAlign w:val="center"/>
          </w:tcPr>
          <w:p w14:paraId="1C79792C">
            <w:pPr>
              <w:keepNext w:val="0"/>
              <w:keepLines w:val="0"/>
              <w:pageBreakBefore w:val="0"/>
              <w:kinsoku/>
              <w:wordWrap/>
              <w:overflowPunct/>
              <w:topLinePunct w:val="0"/>
              <w:autoSpaceDE w:val="0"/>
              <w:autoSpaceDN w:val="0"/>
              <w:bidi w:val="0"/>
              <w:adjustRightInd/>
              <w:snapToGrid/>
              <w:spacing w:line="460" w:lineRule="exact"/>
              <w:textAlignment w:val="bottom"/>
              <w:rPr>
                <w:rFonts w:ascii="宋体" w:hAnsi="宋体"/>
                <w:b/>
                <w:color w:val="auto"/>
                <w:sz w:val="24"/>
                <w:highlight w:val="none"/>
                <w:u w:val="single"/>
              </w:rPr>
            </w:pPr>
            <w:r>
              <w:rPr>
                <w:rFonts w:hint="eastAsia" w:ascii="宋体" w:hAnsi="宋体"/>
                <w:b/>
                <w:color w:val="auto"/>
                <w:sz w:val="24"/>
                <w:highlight w:val="none"/>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6EE28E92">
            <w:pPr>
              <w:keepNext w:val="0"/>
              <w:keepLines w:val="0"/>
              <w:pageBreakBefore w:val="0"/>
              <w:kinsoku/>
              <w:wordWrap/>
              <w:overflowPunct/>
              <w:topLinePunct w:val="0"/>
              <w:bidi w:val="0"/>
              <w:adjustRightInd/>
              <w:snapToGrid/>
              <w:spacing w:line="460" w:lineRule="exact"/>
              <w:jc w:val="center"/>
              <w:rPr>
                <w:rFonts w:ascii="宋体" w:hAnsi="宋体"/>
                <w:color w:val="auto"/>
                <w:sz w:val="24"/>
                <w:highlight w:val="none"/>
              </w:rPr>
            </w:pPr>
            <w:r>
              <w:rPr>
                <w:rFonts w:hint="eastAsia" w:ascii="宋体" w:hAnsi="宋体"/>
                <w:color w:val="auto"/>
                <w:sz w:val="24"/>
                <w:highlight w:val="none"/>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0F5A3553">
            <w:pPr>
              <w:keepNext w:val="0"/>
              <w:keepLines w:val="0"/>
              <w:pageBreakBefore w:val="0"/>
              <w:kinsoku/>
              <w:wordWrap/>
              <w:overflowPunct/>
              <w:topLinePunct w:val="0"/>
              <w:autoSpaceDE w:val="0"/>
              <w:autoSpaceDN w:val="0"/>
              <w:bidi w:val="0"/>
              <w:adjustRightInd/>
              <w:snapToGrid/>
              <w:spacing w:line="460" w:lineRule="exact"/>
              <w:textAlignment w:val="bottom"/>
              <w:rPr>
                <w:rFonts w:ascii="宋体" w:hAnsi="宋体"/>
                <w:color w:val="auto"/>
                <w:sz w:val="24"/>
                <w:highlight w:val="none"/>
              </w:rPr>
            </w:pPr>
            <w:r>
              <w:rPr>
                <w:rFonts w:hint="eastAsia" w:ascii="宋体" w:hAnsi="宋体"/>
                <w:color w:val="auto"/>
                <w:sz w:val="24"/>
                <w:highlight w:val="none"/>
              </w:rPr>
              <w:t>成交公告及成交通知书：评标结束后</w:t>
            </w:r>
            <w:r>
              <w:rPr>
                <w:rFonts w:ascii="宋体" w:hAnsi="宋体"/>
                <w:color w:val="auto"/>
                <w:sz w:val="24"/>
                <w:highlight w:val="none"/>
              </w:rPr>
              <w:t>7</w:t>
            </w:r>
            <w:r>
              <w:rPr>
                <w:rFonts w:hint="eastAsia" w:ascii="宋体" w:hAnsi="宋体"/>
                <w:color w:val="auto"/>
                <w:sz w:val="24"/>
                <w:highlight w:val="none"/>
              </w:rPr>
              <w:t>个工作日内，成交公告发布于</w:t>
            </w:r>
            <w:r>
              <w:rPr>
                <w:rFonts w:hint="eastAsia" w:ascii="宋体" w:hAnsi="宋体" w:cs="Arial"/>
                <w:color w:val="auto"/>
                <w:sz w:val="24"/>
                <w:highlight w:val="none"/>
              </w:rPr>
              <w:t>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5BC4EB03">
            <w:pPr>
              <w:keepNext w:val="0"/>
              <w:keepLines w:val="0"/>
              <w:pageBreakBefore w:val="0"/>
              <w:kinsoku/>
              <w:wordWrap/>
              <w:overflowPunct/>
              <w:topLinePunct w:val="0"/>
              <w:bidi w:val="0"/>
              <w:adjustRightInd/>
              <w:snapToGrid/>
              <w:spacing w:line="460" w:lineRule="exact"/>
              <w:jc w:val="center"/>
              <w:rPr>
                <w:rFonts w:ascii="宋体" w:hAnsi="宋体"/>
                <w:color w:val="auto"/>
                <w:sz w:val="24"/>
                <w:highlight w:val="none"/>
              </w:rPr>
            </w:pPr>
            <w:r>
              <w:rPr>
                <w:rFonts w:hint="eastAsia" w:ascii="宋体" w:hAnsi="宋体"/>
                <w:color w:val="auto"/>
                <w:sz w:val="24"/>
                <w:highlight w:val="none"/>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71B64B05">
            <w:pPr>
              <w:keepNext w:val="0"/>
              <w:keepLines w:val="0"/>
              <w:pageBreakBefore w:val="0"/>
              <w:kinsoku/>
              <w:wordWrap/>
              <w:overflowPunct/>
              <w:topLinePunct w:val="0"/>
              <w:autoSpaceDE w:val="0"/>
              <w:autoSpaceDN w:val="0"/>
              <w:bidi w:val="0"/>
              <w:adjustRightInd/>
              <w:snapToGrid/>
              <w:spacing w:line="460" w:lineRule="exact"/>
              <w:textAlignment w:val="bottom"/>
              <w:rPr>
                <w:rFonts w:ascii="宋体" w:hAnsi="宋体"/>
                <w:color w:val="auto"/>
                <w:sz w:val="24"/>
                <w:highlight w:val="none"/>
              </w:rPr>
            </w:pPr>
            <w:r>
              <w:rPr>
                <w:rFonts w:hint="eastAsia" w:ascii="宋体" w:hAnsi="宋体"/>
                <w:color w:val="auto"/>
                <w:sz w:val="24"/>
                <w:highlight w:val="none"/>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08" w:type="dxa"/>
            <w:tcBorders>
              <w:top w:val="single" w:color="auto" w:sz="4" w:space="0"/>
              <w:left w:val="single" w:color="auto" w:sz="4" w:space="0"/>
              <w:bottom w:val="single" w:color="auto" w:sz="4" w:space="0"/>
              <w:right w:val="single" w:color="auto" w:sz="4" w:space="0"/>
            </w:tcBorders>
            <w:vAlign w:val="center"/>
          </w:tcPr>
          <w:p w14:paraId="6D56453E">
            <w:pPr>
              <w:keepNext w:val="0"/>
              <w:keepLines w:val="0"/>
              <w:pageBreakBefore w:val="0"/>
              <w:kinsoku/>
              <w:wordWrap/>
              <w:overflowPunct/>
              <w:topLinePunct w:val="0"/>
              <w:bidi w:val="0"/>
              <w:adjustRightInd/>
              <w:snapToGrid/>
              <w:spacing w:line="460" w:lineRule="exact"/>
              <w:jc w:val="center"/>
              <w:rPr>
                <w:rFonts w:ascii="宋体" w:hAnsi="宋体"/>
                <w:color w:val="auto"/>
                <w:sz w:val="24"/>
                <w:highlight w:val="none"/>
              </w:rPr>
            </w:pPr>
            <w:r>
              <w:rPr>
                <w:rFonts w:hint="eastAsia" w:ascii="宋体" w:hAnsi="宋体"/>
                <w:color w:val="auto"/>
                <w:sz w:val="24"/>
                <w:highlight w:val="none"/>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28B62D7E">
            <w:pPr>
              <w:pStyle w:val="3"/>
              <w:keepNext w:val="0"/>
              <w:keepLines w:val="0"/>
              <w:pageBreakBefore w:val="0"/>
              <w:kinsoku/>
              <w:wordWrap/>
              <w:overflowPunct/>
              <w:topLinePunct w:val="0"/>
              <w:bidi w:val="0"/>
              <w:adjustRightInd/>
              <w:snapToGrid/>
              <w:spacing w:after="0" w:line="460" w:lineRule="exact"/>
              <w:jc w:val="left"/>
              <w:rPr>
                <w:rFonts w:ascii="宋体" w:hAnsi="宋体"/>
                <w:color w:val="auto"/>
                <w:sz w:val="24"/>
                <w:highlight w:val="none"/>
              </w:rPr>
            </w:pPr>
            <w:r>
              <w:rPr>
                <w:rFonts w:hint="eastAsia"/>
                <w:color w:val="auto"/>
                <w:highlight w:val="none"/>
              </w:rPr>
              <w:t>▲</w:t>
            </w:r>
            <w:r>
              <w:rPr>
                <w:rFonts w:hint="eastAsia" w:ascii="宋体" w:hAnsi="宋体"/>
                <w:color w:val="auto"/>
                <w:sz w:val="24"/>
                <w:highlight w:val="none"/>
              </w:rPr>
              <w:t>付款方式：</w:t>
            </w:r>
            <w:r>
              <w:rPr>
                <w:rFonts w:hint="eastAsia" w:ascii="宋体" w:hAnsi="宋体" w:eastAsia="宋体" w:cs="宋体"/>
                <w:b w:val="0"/>
                <w:bCs w:val="0"/>
                <w:color w:val="auto"/>
                <w:kern w:val="2"/>
                <w:sz w:val="24"/>
                <w:szCs w:val="24"/>
                <w:highlight w:val="none"/>
                <w:lang w:val="en-US" w:eastAsia="zh-CN" w:bidi="ar-SA"/>
              </w:rPr>
              <w:t>合同生效以及具备实施条件后7个工作日内</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合同金</w:t>
            </w:r>
            <w:r>
              <w:rPr>
                <w:rFonts w:hint="eastAsia" w:ascii="宋体" w:hAnsi="宋体" w:eastAsia="宋体" w:cs="宋体"/>
                <w:color w:val="auto"/>
                <w:sz w:val="24"/>
                <w:szCs w:val="24"/>
                <w:highlight w:val="none"/>
              </w:rPr>
              <w:t>额的40%</w:t>
            </w:r>
            <w:r>
              <w:rPr>
                <w:rFonts w:hint="eastAsia" w:ascii="宋体" w:hAnsi="宋体" w:eastAsia="宋体" w:cs="宋体"/>
                <w:color w:val="auto"/>
                <w:sz w:val="24"/>
                <w:szCs w:val="24"/>
                <w:highlight w:val="none"/>
                <w:lang w:val="en-US" w:eastAsia="zh-CN"/>
              </w:rPr>
              <w:t>作为预付款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服务期满</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val="en-US" w:eastAsia="zh-CN"/>
              </w:rPr>
              <w:t>按实结算，支付剩余款项</w:t>
            </w:r>
            <w:r>
              <w:rPr>
                <w:rFonts w:hint="eastAsia" w:ascii="宋体" w:hAnsi="宋体" w:eastAsia="宋体" w:cs="宋体"/>
                <w:color w:val="auto"/>
                <w:sz w:val="24"/>
                <w:szCs w:val="24"/>
                <w:highlight w:val="none"/>
              </w:rPr>
              <w:t>。</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08" w:type="dxa"/>
            <w:tcBorders>
              <w:top w:val="single" w:color="auto" w:sz="4" w:space="0"/>
              <w:left w:val="single" w:color="auto" w:sz="4" w:space="0"/>
              <w:bottom w:val="single" w:color="auto" w:sz="4" w:space="0"/>
              <w:right w:val="single" w:color="auto" w:sz="4" w:space="0"/>
            </w:tcBorders>
            <w:vAlign w:val="center"/>
          </w:tcPr>
          <w:p w14:paraId="495EFE29">
            <w:pPr>
              <w:keepNext w:val="0"/>
              <w:keepLines w:val="0"/>
              <w:pageBreakBefore w:val="0"/>
              <w:kinsoku/>
              <w:wordWrap/>
              <w:overflowPunct/>
              <w:topLinePunct w:val="0"/>
              <w:bidi w:val="0"/>
              <w:adjustRightInd/>
              <w:snapToGrid/>
              <w:spacing w:line="460" w:lineRule="exact"/>
              <w:jc w:val="center"/>
              <w:rPr>
                <w:rFonts w:ascii="宋体" w:hAnsi="宋体"/>
                <w:color w:val="auto"/>
                <w:sz w:val="24"/>
                <w:highlight w:val="none"/>
              </w:rPr>
            </w:pPr>
            <w:r>
              <w:rPr>
                <w:rFonts w:hint="eastAsia" w:ascii="宋体" w:hAnsi="宋体"/>
                <w:color w:val="auto"/>
                <w:sz w:val="24"/>
                <w:highlight w:val="none"/>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B05A157">
            <w:pPr>
              <w:pStyle w:val="3"/>
              <w:keepNext w:val="0"/>
              <w:keepLines w:val="0"/>
              <w:pageBreakBefore w:val="0"/>
              <w:kinsoku/>
              <w:wordWrap/>
              <w:overflowPunct/>
              <w:topLinePunct w:val="0"/>
              <w:bidi w:val="0"/>
              <w:adjustRightInd/>
              <w:snapToGrid/>
              <w:spacing w:after="0" w:line="460" w:lineRule="exact"/>
              <w:jc w:val="left"/>
              <w:rPr>
                <w:rFonts w:ascii="宋体" w:hAnsi="宋体"/>
                <w:color w:val="auto"/>
                <w:sz w:val="24"/>
                <w:highlight w:val="none"/>
              </w:rPr>
            </w:pPr>
            <w:r>
              <w:rPr>
                <w:rFonts w:hint="eastAsia" w:ascii="宋体" w:hAnsi="宋体"/>
                <w:color w:val="auto"/>
                <w:sz w:val="24"/>
                <w:highlight w:val="none"/>
              </w:rPr>
              <w:t>履约保证金的收取及退还:</w:t>
            </w:r>
            <w:r>
              <w:rPr>
                <w:rFonts w:hint="eastAsia" w:ascii="宋体" w:hAnsi="宋体"/>
                <w:b/>
                <w:bCs/>
                <w:color w:val="auto"/>
                <w:sz w:val="24"/>
                <w:highlight w:val="none"/>
                <w:lang w:val="en-US" w:eastAsia="zh-CN"/>
              </w:rPr>
              <w:t>本项目无履约保证金</w:t>
            </w:r>
            <w:r>
              <w:rPr>
                <w:rFonts w:hint="eastAsia" w:ascii="宋体" w:hAnsi="宋体"/>
                <w:b/>
                <w:bCs/>
                <w:color w:val="auto"/>
                <w:sz w:val="24"/>
                <w:highlight w:val="none"/>
              </w:rPr>
              <w:t>。</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2B7F3599">
            <w:pPr>
              <w:keepNext w:val="0"/>
              <w:keepLines w:val="0"/>
              <w:pageBreakBefore w:val="0"/>
              <w:kinsoku/>
              <w:wordWrap/>
              <w:overflowPunct/>
              <w:topLinePunct w:val="0"/>
              <w:bidi w:val="0"/>
              <w:adjustRightInd/>
              <w:snapToGrid/>
              <w:spacing w:line="460" w:lineRule="exact"/>
              <w:jc w:val="center"/>
              <w:rPr>
                <w:rFonts w:ascii="宋体" w:hAnsi="宋体"/>
                <w:color w:val="auto"/>
                <w:sz w:val="24"/>
                <w:highlight w:val="none"/>
              </w:rPr>
            </w:pPr>
            <w:r>
              <w:rPr>
                <w:rFonts w:hint="eastAsia" w:ascii="宋体" w:hAnsi="宋体"/>
                <w:color w:val="auto"/>
                <w:sz w:val="24"/>
                <w:highlight w:val="none"/>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56E009F7">
            <w:pPr>
              <w:keepNext w:val="0"/>
              <w:keepLines w:val="0"/>
              <w:pageBreakBefore w:val="0"/>
              <w:kinsoku/>
              <w:wordWrap/>
              <w:overflowPunct/>
              <w:topLinePunct w:val="0"/>
              <w:autoSpaceDE w:val="0"/>
              <w:autoSpaceDN w:val="0"/>
              <w:bidi w:val="0"/>
              <w:adjustRightInd/>
              <w:snapToGrid/>
              <w:spacing w:line="460" w:lineRule="exact"/>
              <w:textAlignment w:val="bottom"/>
              <w:rPr>
                <w:rFonts w:ascii="宋体" w:hAnsi="宋体"/>
                <w:color w:val="auto"/>
                <w:sz w:val="24"/>
                <w:highlight w:val="none"/>
              </w:rPr>
            </w:pPr>
            <w:r>
              <w:rPr>
                <w:rFonts w:hint="eastAsia" w:ascii="宋体" w:hAnsi="宋体"/>
                <w:color w:val="auto"/>
                <w:sz w:val="24"/>
                <w:highlight w:val="none"/>
              </w:rPr>
              <w:t>解释：本磋商文件的解释权属于招标人。</w:t>
            </w:r>
            <w:r>
              <w:rPr>
                <w:rFonts w:hint="eastAsia" w:ascii="宋体" w:hAnsi="宋体"/>
                <w:b/>
                <w:bCs/>
                <w:color w:val="auto"/>
                <w:sz w:val="24"/>
                <w:highlight w:val="none"/>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28"/>
        <w:snapToGrid w:val="0"/>
        <w:spacing w:beforeLines="0" w:afterLines="0" w:line="420" w:lineRule="exact"/>
        <w:ind w:firstLine="482" w:firstLineChars="200"/>
        <w:rPr>
          <w:rFonts w:hAnsi="宋体"/>
          <w:b/>
          <w:color w:val="auto"/>
          <w:highlight w:val="none"/>
        </w:rPr>
      </w:pPr>
      <w:r>
        <w:rPr>
          <w:rFonts w:hAnsi="宋体"/>
          <w:b/>
          <w:color w:val="auto"/>
          <w:highlight w:val="none"/>
        </w:rPr>
        <w:br w:type="page"/>
      </w:r>
    </w:p>
    <w:p w14:paraId="658A6722">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Ansi="宋体"/>
          <w:b/>
          <w:color w:val="auto"/>
          <w:highlight w:val="none"/>
        </w:rPr>
      </w:pPr>
      <w:r>
        <w:rPr>
          <w:rFonts w:hint="eastAsia" w:hAnsi="宋体"/>
          <w:b/>
          <w:color w:val="auto"/>
          <w:highlight w:val="none"/>
        </w:rPr>
        <w:t>一、总  则</w:t>
      </w:r>
    </w:p>
    <w:p w14:paraId="26F478B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b/>
          <w:color w:val="auto"/>
          <w:sz w:val="24"/>
          <w:highlight w:val="none"/>
        </w:rPr>
      </w:pPr>
      <w:r>
        <w:rPr>
          <w:rFonts w:hint="eastAsia" w:ascii="宋体" w:hAnsi="宋体"/>
          <w:b/>
          <w:color w:val="auto"/>
          <w:sz w:val="24"/>
          <w:highlight w:val="none"/>
        </w:rPr>
        <w:t>（一）适用范围</w:t>
      </w:r>
    </w:p>
    <w:p w14:paraId="75D0656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本磋商文件适用于本项目的招标、响应、磋商、定标、验收、合同履约、付款等行为。</w:t>
      </w:r>
    </w:p>
    <w:p w14:paraId="2405B52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b/>
          <w:color w:val="auto"/>
          <w:sz w:val="24"/>
          <w:highlight w:val="none"/>
        </w:rPr>
      </w:pPr>
      <w:r>
        <w:rPr>
          <w:rFonts w:hint="eastAsia" w:ascii="宋体" w:hAnsi="宋体"/>
          <w:b/>
          <w:color w:val="auto"/>
          <w:sz w:val="24"/>
          <w:highlight w:val="none"/>
        </w:rPr>
        <w:t>（二）定义</w:t>
      </w:r>
    </w:p>
    <w:p w14:paraId="52F4B2E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1.“招标人”系指组织本次招标的采购代理机构和采购单位。</w:t>
      </w:r>
    </w:p>
    <w:p w14:paraId="780166F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ascii="宋体" w:hAnsi="宋体"/>
          <w:b/>
          <w:bCs/>
          <w:color w:val="auto"/>
          <w:sz w:val="24"/>
          <w:highlight w:val="none"/>
          <w:u w:val="single"/>
          <w:shd w:val="pct10" w:color="auto" w:fill="FFFFFF"/>
        </w:rPr>
      </w:pPr>
      <w:bookmarkStart w:id="12" w:name="_Hlk60996806"/>
      <w:r>
        <w:rPr>
          <w:rFonts w:hint="eastAsia" w:ascii="宋体" w:hAnsi="宋体"/>
          <w:b/>
          <w:bCs/>
          <w:color w:val="auto"/>
          <w:sz w:val="24"/>
          <w:highlight w:val="none"/>
          <w:u w:val="single"/>
          <w:shd w:val="pct10" w:color="auto" w:fill="FFFFFF"/>
        </w:rPr>
        <w:t>2.“供应商”系指向招标人提交磋商响应文件的单位和组织。</w:t>
      </w:r>
    </w:p>
    <w:bookmarkEnd w:id="12"/>
    <w:p w14:paraId="4B0620C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ascii="宋体" w:hAnsi="宋体"/>
          <w:b/>
          <w:bCs/>
          <w:color w:val="auto"/>
          <w:sz w:val="24"/>
          <w:highlight w:val="none"/>
          <w:u w:val="single"/>
          <w:shd w:val="pct10" w:color="auto" w:fill="FFFFFF"/>
        </w:rPr>
      </w:pPr>
      <w:r>
        <w:rPr>
          <w:rFonts w:ascii="宋体" w:hAnsi="宋体"/>
          <w:b/>
          <w:bCs/>
          <w:color w:val="auto"/>
          <w:sz w:val="24"/>
          <w:highlight w:val="none"/>
          <w:u w:val="single"/>
          <w:shd w:val="pct10" w:color="auto" w:fill="FFFFFF"/>
        </w:rPr>
        <w:t>3</w:t>
      </w:r>
      <w:r>
        <w:rPr>
          <w:rFonts w:hint="eastAsia" w:ascii="宋体" w:hAnsi="宋体"/>
          <w:b/>
          <w:bCs/>
          <w:color w:val="auto"/>
          <w:sz w:val="24"/>
          <w:highlight w:val="none"/>
          <w:u w:val="single"/>
          <w:shd w:val="pct10" w:color="auto" w:fill="FFFFFF"/>
        </w:rPr>
        <w:t>.“磋商响应文件”系指参与政府采购活动的供应商按照竞争性磋商文件要求编制的响应文件。</w:t>
      </w:r>
    </w:p>
    <w:p w14:paraId="1D5DF19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.“产品”系指供方按竞争性磋商文件规定，须向采购单位提供的一切设备、保险、税金、备品备件、工具、手册及其它有关技术资料和材料。</w:t>
      </w:r>
    </w:p>
    <w:p w14:paraId="6431633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.“服务”系指竞争性磋商文件规定供应商须承担的安装、调试、技术协助、校准、培训、技术指导以及其他类似的义务。</w:t>
      </w:r>
    </w:p>
    <w:p w14:paraId="47F4E47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.“项目”系指供应商按竞争性磋商文件规定向采购单位提供的产品和服务。</w:t>
      </w:r>
    </w:p>
    <w:p w14:paraId="1E5B588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.“书面形式”包括信函、传真、电报等。</w:t>
      </w:r>
    </w:p>
    <w:p w14:paraId="0D4ED40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.“▲”系指实质性要求条款。</w:t>
      </w:r>
    </w:p>
    <w:p w14:paraId="0772CC8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b/>
          <w:color w:val="auto"/>
          <w:sz w:val="24"/>
          <w:highlight w:val="none"/>
        </w:rPr>
      </w:pPr>
      <w:r>
        <w:rPr>
          <w:rFonts w:hint="eastAsia" w:ascii="宋体" w:hAnsi="宋体"/>
          <w:b/>
          <w:color w:val="auto"/>
          <w:sz w:val="24"/>
          <w:highlight w:val="none"/>
        </w:rPr>
        <w:t>（三）招标方式</w:t>
      </w:r>
    </w:p>
    <w:p w14:paraId="22B596F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本次招标采用竞争性磋商方式进行。</w:t>
      </w:r>
    </w:p>
    <w:p w14:paraId="422AD9E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b/>
          <w:color w:val="auto"/>
          <w:sz w:val="24"/>
          <w:highlight w:val="none"/>
        </w:rPr>
      </w:pPr>
      <w:r>
        <w:rPr>
          <w:rFonts w:hint="eastAsia" w:ascii="宋体" w:hAnsi="宋体"/>
          <w:b/>
          <w:color w:val="auto"/>
          <w:sz w:val="24"/>
          <w:highlight w:val="none"/>
        </w:rPr>
        <w:t>（四）投标委托</w:t>
      </w:r>
    </w:p>
    <w:p w14:paraId="019BA7FC">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jc w:val="left"/>
        <w:rPr>
          <w:rFonts w:hAnsi="宋体"/>
          <w:color w:val="auto"/>
          <w:sz w:val="24"/>
          <w:szCs w:val="24"/>
          <w:highlight w:val="none"/>
        </w:rPr>
      </w:pPr>
      <w:r>
        <w:rPr>
          <w:rFonts w:hint="eastAsia" w:hAnsi="宋体"/>
          <w:color w:val="auto"/>
          <w:sz w:val="24"/>
          <w:szCs w:val="24"/>
          <w:highlight w:val="none"/>
        </w:rPr>
        <w:t>供应商代表须携带有效身份证件。如供应商代表不是法定代表人，须有法定代表人出具的授权委托书，格式见第六章。</w:t>
      </w:r>
    </w:p>
    <w:p w14:paraId="30D7489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b/>
          <w:color w:val="auto"/>
          <w:sz w:val="24"/>
          <w:highlight w:val="none"/>
        </w:rPr>
      </w:pPr>
      <w:r>
        <w:rPr>
          <w:rFonts w:hint="eastAsia" w:ascii="宋体" w:hAnsi="宋体"/>
          <w:b/>
          <w:color w:val="auto"/>
          <w:sz w:val="24"/>
          <w:highlight w:val="none"/>
        </w:rPr>
        <w:t>（五）投标费用及结算</w:t>
      </w:r>
    </w:p>
    <w:p w14:paraId="45763EF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1）不论投标结果如何，供应商均应自行承担所有与投标有关的全部费用。</w:t>
      </w:r>
    </w:p>
    <w:p w14:paraId="65FF434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s="宋体"/>
          <w:b/>
          <w:color w:val="auto"/>
          <w:sz w:val="24"/>
          <w:highlight w:val="none"/>
          <w:u w:val="single"/>
        </w:rPr>
      </w:pPr>
      <w:r>
        <w:rPr>
          <w:rFonts w:hint="eastAsia" w:ascii="宋体" w:hAnsi="宋体" w:cs="宋体"/>
          <w:color w:val="auto"/>
          <w:sz w:val="24"/>
          <w:highlight w:val="none"/>
        </w:rPr>
        <w:t>2）除业主要求或设计变更要求外不签署任何增加费用的联系单，</w:t>
      </w:r>
      <w:r>
        <w:rPr>
          <w:rFonts w:hint="eastAsia" w:ascii="宋体" w:hAnsi="宋体" w:cs="宋体"/>
          <w:b/>
          <w:color w:val="auto"/>
          <w:sz w:val="24"/>
          <w:highlight w:val="none"/>
        </w:rPr>
        <w:t>工程量清单外</w:t>
      </w:r>
      <w:r>
        <w:rPr>
          <w:rFonts w:hint="eastAsia" w:ascii="宋体" w:hAnsi="宋体" w:cs="宋体"/>
          <w:color w:val="auto"/>
          <w:sz w:val="24"/>
          <w:highlight w:val="none"/>
        </w:rPr>
        <w:t>可能增加的成本各供应商自行考虑并计入投标报价，成交后不予调整。</w:t>
      </w:r>
      <w:r>
        <w:rPr>
          <w:rFonts w:hint="eastAsia" w:ascii="宋体" w:hAnsi="宋体" w:cs="宋体"/>
          <w:b/>
          <w:color w:val="auto"/>
          <w:sz w:val="24"/>
          <w:highlight w:val="none"/>
        </w:rPr>
        <w:t>投标时工程量按照磋商文件中提供的工程量进行投标报价，竣工决算时按实决算。</w:t>
      </w:r>
    </w:p>
    <w:p w14:paraId="760272C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ascii="宋体" w:hAnsi="宋体" w:cs="宋体"/>
          <w:b/>
          <w:color w:val="auto"/>
          <w:kern w:val="0"/>
          <w:sz w:val="24"/>
          <w:highlight w:val="none"/>
        </w:rPr>
      </w:pPr>
      <w:r>
        <w:rPr>
          <w:rFonts w:hint="eastAsia" w:ascii="宋体" w:hAnsi="宋体"/>
          <w:b/>
          <w:color w:val="auto"/>
          <w:sz w:val="24"/>
          <w:highlight w:val="none"/>
        </w:rPr>
        <w:t>（六）</w:t>
      </w:r>
      <w:r>
        <w:rPr>
          <w:rFonts w:hint="eastAsia" w:ascii="宋体" w:hAnsi="宋体" w:cs="宋体"/>
          <w:b/>
          <w:color w:val="auto"/>
          <w:kern w:val="0"/>
          <w:sz w:val="24"/>
          <w:highlight w:val="none"/>
        </w:rPr>
        <w:t>转包与分包</w:t>
      </w:r>
    </w:p>
    <w:p w14:paraId="34355FF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本项目不允许转包与违法分包。</w:t>
      </w:r>
    </w:p>
    <w:p w14:paraId="4A9B049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b/>
          <w:color w:val="auto"/>
          <w:sz w:val="24"/>
          <w:highlight w:val="none"/>
        </w:rPr>
      </w:pPr>
      <w:r>
        <w:rPr>
          <w:rFonts w:hint="eastAsia" w:ascii="宋体" w:hAnsi="宋体"/>
          <w:b/>
          <w:color w:val="auto"/>
          <w:sz w:val="24"/>
          <w:highlight w:val="none"/>
        </w:rPr>
        <w:t>（七）特别说明</w:t>
      </w:r>
    </w:p>
    <w:p w14:paraId="565BF25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b/>
          <w:color w:val="auto"/>
          <w:sz w:val="24"/>
          <w:highlight w:val="none"/>
        </w:rPr>
      </w:pPr>
      <w:r>
        <w:rPr>
          <w:rFonts w:hint="eastAsia" w:ascii="宋体" w:hAnsi="宋体"/>
          <w:b/>
          <w:color w:val="auto"/>
          <w:sz w:val="24"/>
          <w:highlight w:val="none"/>
        </w:rPr>
        <w:t>1.单位负责人为同一人或者存在直接控股、管理关系的不同投标人，不得参加同一合同项下的政府采购活动。如有上述行为的，相关投标均无效。</w:t>
      </w:r>
    </w:p>
    <w:p w14:paraId="653C4C44">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olor w:val="auto"/>
          <w:highlight w:val="none"/>
        </w:rPr>
      </w:pPr>
      <w:r>
        <w:rPr>
          <w:rFonts w:hint="eastAsia" w:hAnsi="宋体"/>
          <w:color w:val="auto"/>
          <w:highlight w:val="none"/>
        </w:rPr>
        <w:t>2.供应商投标所使用的资格、信誉、荣誉、业绩必须为本法人所拥有。供应商投标所使用的采购项目实施人员须为本法人员工。</w:t>
      </w:r>
    </w:p>
    <w:p w14:paraId="1AA9DF3A">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olor w:val="auto"/>
          <w:highlight w:val="none"/>
        </w:rPr>
      </w:pPr>
      <w:r>
        <w:rPr>
          <w:rFonts w:hint="eastAsia" w:hAnsi="宋体"/>
          <w:color w:val="auto"/>
          <w:highlight w:val="none"/>
        </w:rPr>
        <w:t>3.供应商应仔细阅读磋商文件的所有内容，按照磋商文件的要求提交响应文件，并对所提供的全部资料的真实性承担法律责任。</w:t>
      </w:r>
    </w:p>
    <w:p w14:paraId="14A90B3F">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b/>
          <w:color w:val="auto"/>
          <w:highlight w:val="none"/>
        </w:rPr>
      </w:pPr>
      <w:r>
        <w:rPr>
          <w:rFonts w:hint="eastAsia" w:hAnsi="宋体"/>
          <w:color w:val="auto"/>
          <w:highlight w:val="none"/>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Ansi="宋体"/>
          <w:b/>
          <w:bCs/>
          <w:color w:val="auto"/>
          <w:highlight w:val="none"/>
        </w:rPr>
      </w:pPr>
      <w:bookmarkStart w:id="13" w:name="_Hlk81829695"/>
      <w:r>
        <w:rPr>
          <w:rFonts w:hint="eastAsia" w:hAnsi="宋体"/>
          <w:b/>
          <w:bCs/>
          <w:color w:val="auto"/>
          <w:highlight w:val="none"/>
        </w:rPr>
        <w:t>（</w:t>
      </w:r>
      <w:r>
        <w:rPr>
          <w:rFonts w:hint="eastAsia" w:hAnsi="宋体"/>
          <w:b/>
          <w:bCs/>
          <w:color w:val="auto"/>
          <w:highlight w:val="none"/>
          <w:lang w:eastAsia="zh-CN"/>
        </w:rPr>
        <w:t>八</w:t>
      </w:r>
      <w:r>
        <w:rPr>
          <w:rFonts w:hint="eastAsia" w:hAnsi="宋体"/>
          <w:b/>
          <w:bCs/>
          <w:color w:val="auto"/>
          <w:highlight w:val="none"/>
        </w:rPr>
        <w:t>）质疑</w:t>
      </w:r>
    </w:p>
    <w:p w14:paraId="734AB815">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s="宋体"/>
          <w:color w:val="auto"/>
          <w:highlight w:val="none"/>
        </w:rPr>
      </w:pPr>
      <w:r>
        <w:rPr>
          <w:rFonts w:hint="eastAsia" w:hAnsi="宋体"/>
          <w:color w:val="auto"/>
          <w:highlight w:val="none"/>
        </w:rPr>
        <w:t>1.</w:t>
      </w:r>
      <w:bookmarkStart w:id="14" w:name="_Hlk81828896"/>
      <w:r>
        <w:rPr>
          <w:rFonts w:hint="eastAsia" w:hAnsi="宋体"/>
          <w:color w:val="auto"/>
          <w:highlight w:val="none"/>
        </w:rPr>
        <w:t>供应商</w:t>
      </w:r>
      <w:bookmarkEnd w:id="14"/>
      <w:r>
        <w:rPr>
          <w:rFonts w:hint="eastAsia" w:hAnsi="宋体"/>
          <w:color w:val="auto"/>
          <w:highlight w:val="none"/>
        </w:rPr>
        <w:t>认为磋商文件、磋商过程和成交结果使自己的权益受到损害的，以书面形式</w:t>
      </w:r>
      <w:r>
        <w:rPr>
          <w:rFonts w:hint="eastAsia" w:hAnsi="宋体" w:cs="宋体"/>
          <w:b/>
          <w:color w:val="auto"/>
          <w:highlight w:val="none"/>
        </w:rPr>
        <w:t>并在</w:t>
      </w:r>
      <w:r>
        <w:rPr>
          <w:rFonts w:hint="eastAsia" w:hAnsi="宋体"/>
          <w:color w:val="auto"/>
          <w:highlight w:val="none"/>
        </w:rPr>
        <w:t>政采云平台</w:t>
      </w:r>
      <w:r>
        <w:rPr>
          <w:rFonts w:hint="eastAsia" w:hAnsi="宋体" w:cs="宋体"/>
          <w:color w:val="auto"/>
          <w:highlight w:val="none"/>
        </w:rPr>
        <w:t>的质疑系统一次性向采购人或采购组织机构提出质疑：</w:t>
      </w:r>
    </w:p>
    <w:p w14:paraId="68CAE1D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hAnsi="宋体"/>
          <w:color w:val="auto"/>
          <w:sz w:val="24"/>
          <w:highlight w:val="none"/>
        </w:rPr>
        <w:t>供应商</w:t>
      </w:r>
      <w:r>
        <w:rPr>
          <w:rFonts w:hint="eastAsia" w:ascii="宋体" w:hAnsi="宋体" w:cs="宋体"/>
          <w:color w:val="auto"/>
          <w:kern w:val="0"/>
          <w:sz w:val="24"/>
          <w:highlight w:val="none"/>
        </w:rPr>
        <w:t>认为磋商文件的内容损害其权益的，应当自获取之日起（获取截止日之后收到磋商文件的，以获取截止日为准）7个工作日内提出质疑；</w:t>
      </w:r>
    </w:p>
    <w:p w14:paraId="308FAEF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hAnsi="宋体"/>
          <w:color w:val="auto"/>
          <w:sz w:val="24"/>
          <w:highlight w:val="none"/>
        </w:rPr>
        <w:t>供应商</w:t>
      </w:r>
      <w:r>
        <w:rPr>
          <w:rFonts w:hint="eastAsia" w:ascii="宋体" w:hAnsi="宋体" w:cs="宋体"/>
          <w:color w:val="auto"/>
          <w:kern w:val="0"/>
          <w:sz w:val="24"/>
          <w:highlight w:val="none"/>
        </w:rPr>
        <w:t>对磋商过程提出质疑的，应当在各磋商程序环节结束之日起7个工作日内提出质疑；</w:t>
      </w:r>
    </w:p>
    <w:p w14:paraId="55CE95D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hAnsi="宋体"/>
          <w:color w:val="auto"/>
          <w:sz w:val="24"/>
          <w:highlight w:val="none"/>
        </w:rPr>
        <w:t>供应商</w:t>
      </w:r>
      <w:r>
        <w:rPr>
          <w:rFonts w:hint="eastAsia" w:ascii="宋体" w:hAnsi="宋体" w:cs="宋体"/>
          <w:color w:val="auto"/>
          <w:kern w:val="0"/>
          <w:sz w:val="24"/>
          <w:highlight w:val="none"/>
        </w:rPr>
        <w:t>对成交结果提出质疑的，</w:t>
      </w:r>
      <w:r>
        <w:rPr>
          <w:rFonts w:hint="eastAsia" w:ascii="宋体" w:hAnsi="宋体" w:cs="宋体"/>
          <w:b/>
          <w:color w:val="auto"/>
          <w:kern w:val="0"/>
          <w:sz w:val="24"/>
          <w:highlight w:val="none"/>
        </w:rPr>
        <w:t>应当在成交结果公告之日起</w:t>
      </w:r>
      <w:r>
        <w:rPr>
          <w:rFonts w:hint="eastAsia" w:ascii="宋体" w:hAnsi="宋体" w:cs="宋体"/>
          <w:color w:val="auto"/>
          <w:kern w:val="0"/>
          <w:sz w:val="24"/>
          <w:highlight w:val="none"/>
        </w:rPr>
        <w:t>7个工作日内提出质疑；</w:t>
      </w:r>
    </w:p>
    <w:p w14:paraId="60601E9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2.采购人或采购组织机构在收到供应商的书面质疑后7个工作日内作出答复，并以书面形式或政采云平台回复质疑供应商和其他有关供应商，但答复内容不涉及商业秘密。</w:t>
      </w:r>
    </w:p>
    <w:p w14:paraId="0D25DE5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13"/>
    <w:p w14:paraId="6FCAB49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（九）投诉</w:t>
      </w:r>
    </w:p>
    <w:p w14:paraId="15AA13A8">
      <w:pPr>
        <w:pStyle w:val="57"/>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质疑供应商对采购人或采购代理机构的答复不满意或者采购人、采购代理机构未在规定的时间内作出答复的，可以在答复期满后十五个工作日内按照</w:t>
      </w:r>
      <w:r>
        <w:rPr>
          <w:rFonts w:ascii="Arial" w:hAnsi="Arial" w:cs="Arial"/>
          <w:color w:val="auto"/>
          <w:sz w:val="24"/>
          <w:highlight w:val="none"/>
        </w:rPr>
        <w:t>《中华人民共和国政府采购法》</w:t>
      </w:r>
      <w:r>
        <w:rPr>
          <w:rFonts w:hint="eastAsia" w:ascii="Arial" w:hAnsi="Arial" w:cs="Arial"/>
          <w:color w:val="auto"/>
          <w:sz w:val="24"/>
          <w:highlight w:val="none"/>
        </w:rPr>
        <w:t>、《中华人民共和国政府采购法实施条例》</w:t>
      </w:r>
      <w:r>
        <w:rPr>
          <w:rFonts w:hint="eastAsia" w:ascii="宋体" w:hAnsi="宋体" w:cs="宋体"/>
          <w:color w:val="auto"/>
          <w:kern w:val="0"/>
          <w:sz w:val="24"/>
          <w:highlight w:val="none"/>
        </w:rPr>
        <w:t>、《政府采购质疑和投诉办法》（财政部令第94号）等有关规定向</w:t>
      </w:r>
      <w:r>
        <w:rPr>
          <w:rFonts w:hint="eastAsia" w:ascii="宋体" w:hAnsi="宋体" w:cs="宋体"/>
          <w:color w:val="auto"/>
          <w:kern w:val="0"/>
          <w:sz w:val="24"/>
          <w:highlight w:val="none"/>
          <w:lang w:val="en-US" w:eastAsia="zh-CN"/>
        </w:rPr>
        <w:t>本项目监管机构</w:t>
      </w:r>
      <w:r>
        <w:rPr>
          <w:rFonts w:hint="eastAsia" w:ascii="宋体" w:hAnsi="宋体" w:cs="宋体"/>
          <w:color w:val="auto"/>
          <w:kern w:val="0"/>
          <w:sz w:val="24"/>
          <w:highlight w:val="none"/>
        </w:rPr>
        <w:t>临海市财政局</w:t>
      </w:r>
      <w:r>
        <w:rPr>
          <w:rFonts w:hint="eastAsia" w:ascii="宋体" w:hAnsi="宋体" w:cs="宋体"/>
          <w:color w:val="auto"/>
          <w:kern w:val="0"/>
          <w:sz w:val="24"/>
          <w:highlight w:val="none"/>
          <w:lang w:val="en-US" w:eastAsia="zh-CN"/>
        </w:rPr>
        <w:t>以</w:t>
      </w:r>
      <w:r>
        <w:rPr>
          <w:rFonts w:hint="eastAsia" w:ascii="宋体" w:hAnsi="宋体" w:cs="宋体"/>
          <w:color w:val="auto"/>
          <w:kern w:val="0"/>
          <w:sz w:val="24"/>
          <w:highlight w:val="none"/>
        </w:rPr>
        <w:t>书面形式邮寄方式</w:t>
      </w:r>
      <w:r>
        <w:rPr>
          <w:rFonts w:hint="eastAsia" w:ascii="宋体" w:hAnsi="宋体" w:cs="宋体"/>
          <w:color w:val="auto"/>
          <w:kern w:val="0"/>
          <w:sz w:val="24"/>
          <w:highlight w:val="none"/>
          <w:lang w:val="en-US" w:eastAsia="zh-CN"/>
        </w:rPr>
        <w:t>进行</w:t>
      </w:r>
      <w:r>
        <w:rPr>
          <w:rFonts w:hint="eastAsia" w:ascii="宋体" w:hAnsi="宋体" w:cs="宋体"/>
          <w:color w:val="auto"/>
          <w:kern w:val="0"/>
          <w:sz w:val="24"/>
          <w:highlight w:val="none"/>
        </w:rPr>
        <w:t>投诉，联系地址：临海市巾山东路112号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联系</w:t>
      </w:r>
      <w:r>
        <w:rPr>
          <w:rFonts w:hint="eastAsia" w:ascii="宋体" w:hAnsi="宋体" w:cs="宋体"/>
          <w:color w:val="auto"/>
          <w:kern w:val="0"/>
          <w:sz w:val="24"/>
          <w:highlight w:val="none"/>
          <w:lang w:val="en-US" w:eastAsia="zh-CN"/>
        </w:rPr>
        <w:t>部门</w:t>
      </w:r>
      <w:r>
        <w:rPr>
          <w:rFonts w:hint="eastAsia" w:ascii="宋体" w:hAnsi="宋体" w:cs="宋体"/>
          <w:color w:val="auto"/>
          <w:kern w:val="0"/>
          <w:sz w:val="24"/>
          <w:highlight w:val="none"/>
        </w:rPr>
        <w:t>：政府采购监管科</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监督、投诉联系电话：0576-85188034</w:t>
      </w:r>
      <w:r>
        <w:rPr>
          <w:rFonts w:hint="eastAsia" w:ascii="宋体" w:hAnsi="宋体" w:cs="宋体"/>
          <w:color w:val="auto"/>
          <w:kern w:val="0"/>
          <w:sz w:val="24"/>
          <w:highlight w:val="none"/>
          <w:lang w:eastAsia="zh-CN"/>
        </w:rPr>
        <w:t>。</w:t>
      </w:r>
    </w:p>
    <w:p w14:paraId="6FFC0782">
      <w:pPr>
        <w:pStyle w:val="57"/>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供应商投诉的事项不得超出已质疑事项的范围，基于质疑答复内容提出的投诉事项除外。</w:t>
      </w:r>
    </w:p>
    <w:p w14:paraId="01D21438">
      <w:pPr>
        <w:pStyle w:val="57"/>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供应商投诉应当有明确的请求和必要的证明材料。</w:t>
      </w:r>
    </w:p>
    <w:p w14:paraId="5E510B06">
      <w:pPr>
        <w:pStyle w:val="57"/>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以联合体形式参加政府采购活动的，其投诉应当由组成联合体的所有供应商共同提出。</w:t>
      </w:r>
    </w:p>
    <w:p w14:paraId="3BB98963">
      <w:pPr>
        <w:pStyle w:val="57"/>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投诉书范本请到浙江政府采购网下载专区下载。</w:t>
      </w:r>
    </w:p>
    <w:p w14:paraId="2163C579">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Ansi="宋体"/>
          <w:b/>
          <w:color w:val="auto"/>
          <w:highlight w:val="none"/>
        </w:rPr>
      </w:pPr>
      <w:r>
        <w:rPr>
          <w:rFonts w:hint="eastAsia" w:hAnsi="宋体"/>
          <w:b/>
          <w:color w:val="auto"/>
          <w:highlight w:val="none"/>
        </w:rPr>
        <w:t>二、竞争性磋商文件</w:t>
      </w:r>
    </w:p>
    <w:p w14:paraId="4B6970E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b/>
          <w:color w:val="auto"/>
          <w:sz w:val="24"/>
          <w:highlight w:val="none"/>
        </w:rPr>
      </w:pPr>
      <w:r>
        <w:rPr>
          <w:rFonts w:hint="eastAsia" w:ascii="宋体" w:hAnsi="宋体"/>
          <w:b/>
          <w:color w:val="auto"/>
          <w:sz w:val="24"/>
          <w:highlight w:val="none"/>
        </w:rPr>
        <w:t>（一）磋商文件的构成</w:t>
      </w:r>
    </w:p>
    <w:p w14:paraId="50C01E8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1.竞争性磋商公告</w:t>
      </w:r>
    </w:p>
    <w:p w14:paraId="269D48D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2.采购需求</w:t>
      </w:r>
    </w:p>
    <w:p w14:paraId="766E077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3.供应商磋商须知</w:t>
      </w:r>
    </w:p>
    <w:p w14:paraId="59A0266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4.磋商原则及评标办法</w:t>
      </w:r>
    </w:p>
    <w:p w14:paraId="040B15B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5.合同主要条款</w:t>
      </w:r>
    </w:p>
    <w:p w14:paraId="6FB0087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6.响应文件格式</w:t>
      </w:r>
    </w:p>
    <w:p w14:paraId="606A962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7.本项目磋商文件的澄清、答复、修改、补充的内容（如有）</w:t>
      </w:r>
    </w:p>
    <w:p w14:paraId="1CBE526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b/>
          <w:color w:val="auto"/>
          <w:sz w:val="24"/>
          <w:highlight w:val="none"/>
        </w:rPr>
      </w:pPr>
      <w:r>
        <w:rPr>
          <w:rFonts w:hint="eastAsia" w:ascii="宋体" w:hAnsi="宋体"/>
          <w:b/>
          <w:color w:val="auto"/>
          <w:sz w:val="24"/>
          <w:highlight w:val="none"/>
        </w:rPr>
        <w:t>（二）供应商的风险</w:t>
      </w:r>
    </w:p>
    <w:p w14:paraId="0A7445E8">
      <w:pPr>
        <w:pStyle w:val="39"/>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eastAsia="宋体"/>
          <w:color w:val="auto"/>
          <w:highlight w:val="none"/>
        </w:rPr>
      </w:pPr>
      <w:r>
        <w:rPr>
          <w:rFonts w:hint="eastAsia" w:ascii="宋体" w:eastAsia="宋体"/>
          <w:color w:val="auto"/>
          <w:highlight w:val="none"/>
        </w:rPr>
        <w:t>供应商没有按照磋商文件要求提供全部资料，或者供应商没有对磋商文件在各方面作出实质性响应是供应商的风险，并可能导致其投标被拒绝。</w:t>
      </w:r>
    </w:p>
    <w:p w14:paraId="3BED2019">
      <w:pPr>
        <w:pStyle w:val="14"/>
        <w:keepNext w:val="0"/>
        <w:keepLines w:val="0"/>
        <w:pageBreakBefore w:val="0"/>
        <w:widowControl w:val="0"/>
        <w:tabs>
          <w:tab w:val="left" w:pos="420"/>
        </w:tabs>
        <w:kinsoku/>
        <w:wordWrap w:val="0"/>
        <w:overflowPunct/>
        <w:topLinePunct w:val="0"/>
        <w:autoSpaceDE/>
        <w:autoSpaceDN/>
        <w:bidi w:val="0"/>
        <w:adjustRightInd/>
        <w:snapToGrid/>
        <w:spacing w:beforeAutospacing="0" w:afterLines="0" w:afterAutospacing="0" w:line="360" w:lineRule="auto"/>
        <w:ind w:left="0" w:leftChars="0" w:firstLine="482" w:firstLineChars="200"/>
        <w:rPr>
          <w:rFonts w:ascii="宋体" w:hAnsi="宋体"/>
          <w:b/>
          <w:color w:val="auto"/>
          <w:szCs w:val="24"/>
          <w:highlight w:val="none"/>
        </w:rPr>
      </w:pPr>
      <w:r>
        <w:rPr>
          <w:rFonts w:hint="eastAsia" w:ascii="宋体" w:hAnsi="宋体"/>
          <w:b/>
          <w:color w:val="auto"/>
          <w:szCs w:val="24"/>
          <w:highlight w:val="none"/>
        </w:rPr>
        <w:t xml:space="preserve">（三）磋商文件的澄清与修改 </w:t>
      </w:r>
    </w:p>
    <w:p w14:paraId="58CBFE38">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olor w:val="auto"/>
          <w:highlight w:val="none"/>
        </w:rPr>
      </w:pPr>
      <w:r>
        <w:rPr>
          <w:rFonts w:hint="eastAsia" w:hAnsi="宋体"/>
          <w:color w:val="auto"/>
          <w:highlight w:val="none"/>
        </w:rPr>
        <w:t>1.</w:t>
      </w:r>
      <w:r>
        <w:rPr>
          <w:rFonts w:hint="eastAsia" w:hAnsi="宋体"/>
          <w:bCs/>
          <w:color w:val="auto"/>
          <w:highlight w:val="none"/>
        </w:rPr>
        <w:t>供应商应认真阅读本磋商文件，发现其中有误或有不合理要求的，供应商必须在前附表规定的时间前以书面形式要求招标人澄清</w:t>
      </w:r>
      <w:r>
        <w:rPr>
          <w:rFonts w:hint="eastAsia" w:hAnsi="宋体"/>
          <w:color w:val="auto"/>
          <w:highlight w:val="none"/>
        </w:rPr>
        <w:t>。招标人对已发出的磋商文件进行必要澄清、答复、修改或补充的，应当在磋商文件要求提交响应文件截止时间前，在采购公告发布的网站予以发布。</w:t>
      </w:r>
    </w:p>
    <w:p w14:paraId="36F36914">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olor w:val="auto"/>
          <w:highlight w:val="none"/>
        </w:rPr>
      </w:pPr>
      <w:r>
        <w:rPr>
          <w:rFonts w:hint="eastAsia" w:hAnsi="宋体"/>
          <w:color w:val="auto"/>
          <w:highlight w:val="none"/>
        </w:rPr>
        <w:t>2.磋商文件澄清、答复、修改、补充的内容为磋商标文件的组成部分。当磋商文件与磋商文件的答复、澄清、修改、补充通知就同一内容的表述不一致时，以最后发出的公告为准。</w:t>
      </w:r>
    </w:p>
    <w:p w14:paraId="780D92E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olor w:val="auto"/>
          <w:highlight w:val="none"/>
        </w:rPr>
      </w:pPr>
      <w:r>
        <w:rPr>
          <w:rFonts w:hint="eastAsia" w:hAnsi="宋体"/>
          <w:color w:val="auto"/>
          <w:highlight w:val="none"/>
        </w:rPr>
        <w:t>3.磋商文件的澄清、答复、修改或补充都应该通过招标人以法定形式发布，采购人没有通过招标人，不得擅自澄清、答复、修改或补充磋商文件。</w:t>
      </w:r>
    </w:p>
    <w:p w14:paraId="3F41612E">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Ansi="宋体"/>
          <w:b/>
          <w:color w:val="auto"/>
          <w:highlight w:val="none"/>
        </w:rPr>
      </w:pPr>
      <w:r>
        <w:rPr>
          <w:rFonts w:hint="eastAsia" w:hAnsi="宋体"/>
          <w:b/>
          <w:color w:val="auto"/>
          <w:highlight w:val="none"/>
        </w:rPr>
        <w:t>三、响应文件的编制</w:t>
      </w:r>
    </w:p>
    <w:p w14:paraId="67ADEE1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rPr>
        <w:t>本项目实行电子投标，供应商应准备电子响应文件，本项目线下无需提供任何备份响应文件。电子响应文件，按政采云平台项目采购--电子招投标操作指南及本磋商文件要求编制。</w:t>
      </w:r>
    </w:p>
    <w:p w14:paraId="149F3CD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b/>
          <w:color w:val="auto"/>
          <w:sz w:val="24"/>
          <w:highlight w:val="none"/>
        </w:rPr>
      </w:pPr>
      <w:r>
        <w:rPr>
          <w:rFonts w:hint="eastAsia" w:ascii="宋体" w:hAnsi="宋体"/>
          <w:b/>
          <w:color w:val="auto"/>
          <w:sz w:val="24"/>
          <w:highlight w:val="none"/>
        </w:rPr>
        <w:t>（一）响应文件的组成</w:t>
      </w:r>
    </w:p>
    <w:p w14:paraId="167B76F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color w:val="auto"/>
          <w:sz w:val="24"/>
          <w:highlight w:val="none"/>
        </w:rPr>
      </w:pPr>
      <w:r>
        <w:rPr>
          <w:rFonts w:hint="eastAsia" w:ascii="宋体" w:hAnsi="宋体"/>
          <w:b/>
          <w:color w:val="auto"/>
          <w:sz w:val="24"/>
          <w:highlight w:val="none"/>
        </w:rPr>
        <w:t>响应文件由资格响应文件、商务技术文件、报价文件三部份组成。</w:t>
      </w:r>
      <w:r>
        <w:rPr>
          <w:rFonts w:hint="eastAsia" w:ascii="宋体" w:hAnsi="宋体"/>
          <w:color w:val="auto"/>
          <w:sz w:val="24"/>
          <w:highlight w:val="none"/>
        </w:rPr>
        <w:t>相关格式见附件，其余格式自拟。</w:t>
      </w:r>
    </w:p>
    <w:p w14:paraId="4FEF4CA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b/>
          <w:color w:val="auto"/>
          <w:sz w:val="24"/>
          <w:highlight w:val="none"/>
        </w:rPr>
      </w:pPr>
      <w:r>
        <w:rPr>
          <w:rFonts w:hint="eastAsia" w:ascii="宋体" w:hAnsi="宋体"/>
          <w:b/>
          <w:color w:val="auto"/>
          <w:sz w:val="24"/>
          <w:highlight w:val="none"/>
        </w:rPr>
        <w:t>1.资格响应文件</w:t>
      </w:r>
    </w:p>
    <w:p w14:paraId="13A2549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rPr>
        <w:t>（1）营业执照</w:t>
      </w:r>
      <w:r>
        <w:rPr>
          <w:rFonts w:hint="eastAsia" w:ascii="宋体" w:hAnsi="宋体"/>
          <w:b/>
          <w:color w:val="auto"/>
          <w:sz w:val="24"/>
          <w:highlight w:val="none"/>
        </w:rPr>
        <w:t>（推荐使用电子营业执照）</w:t>
      </w:r>
      <w:r>
        <w:rPr>
          <w:rFonts w:hint="eastAsia" w:ascii="宋体" w:hAnsi="宋体"/>
          <w:bCs/>
          <w:color w:val="auto"/>
          <w:sz w:val="24"/>
          <w:highlight w:val="none"/>
        </w:rPr>
        <w:t>或事业法人登记证或其他工商等登记证明材料原件扫描件或复印件；</w:t>
      </w:r>
    </w:p>
    <w:p w14:paraId="1FC5FD7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）没有重大违法记录的承诺函</w:t>
      </w:r>
      <w:bookmarkStart w:id="15" w:name="_Hlk69365455"/>
      <w:r>
        <w:rPr>
          <w:rFonts w:hint="eastAsia" w:ascii="宋体" w:hAnsi="宋体"/>
          <w:b/>
          <w:color w:val="auto"/>
          <w:sz w:val="24"/>
          <w:highlight w:val="none"/>
          <w:u w:val="single"/>
          <w:shd w:val="pct10" w:color="auto" w:fill="FFFFFF"/>
        </w:rPr>
        <w:t>（请供应商在资格响应文件中勿遗漏该表格）</w:t>
      </w:r>
      <w:r>
        <w:rPr>
          <w:rFonts w:hint="eastAsia" w:ascii="宋体" w:hAnsi="宋体"/>
          <w:bCs/>
          <w:color w:val="auto"/>
          <w:sz w:val="24"/>
          <w:highlight w:val="none"/>
        </w:rPr>
        <w:t>；</w:t>
      </w:r>
    </w:p>
    <w:bookmarkEnd w:id="15"/>
    <w:p w14:paraId="675B5A00">
      <w:pPr>
        <w:pStyle w:val="29"/>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hint="eastAsia"/>
          <w:color w:val="auto"/>
          <w:highlight w:val="none"/>
          <w:lang w:eastAsia="zh-CN"/>
        </w:rPr>
      </w:pPr>
      <w:r>
        <w:rPr>
          <w:rFonts w:hint="eastAsia" w:ascii="宋体" w:hAnsi="宋体" w:eastAsia="宋体"/>
          <w:b/>
          <w:color w:val="auto"/>
          <w:sz w:val="24"/>
          <w:szCs w:val="24"/>
          <w:highlight w:val="none"/>
          <w:u w:val="single"/>
          <w:shd w:val="pct10" w:color="auto" w:fill="FFFFFF"/>
        </w:rPr>
        <w:t>（</w:t>
      </w:r>
      <w:r>
        <w:rPr>
          <w:rFonts w:hint="eastAsia" w:ascii="宋体" w:hAnsi="宋体" w:eastAsia="宋体"/>
          <w:b/>
          <w:color w:val="auto"/>
          <w:sz w:val="24"/>
          <w:szCs w:val="24"/>
          <w:highlight w:val="none"/>
          <w:u w:val="single"/>
          <w:shd w:val="pct10" w:color="auto" w:fill="FFFFFF"/>
          <w:lang w:val="en-US" w:eastAsia="zh-CN"/>
        </w:rPr>
        <w:t>3</w:t>
      </w:r>
      <w:r>
        <w:rPr>
          <w:rFonts w:hint="eastAsia" w:ascii="宋体" w:hAnsi="宋体" w:eastAsia="宋体"/>
          <w:b/>
          <w:color w:val="auto"/>
          <w:sz w:val="24"/>
          <w:szCs w:val="24"/>
          <w:highlight w:val="none"/>
          <w:u w:val="single"/>
          <w:shd w:val="pct10" w:color="auto" w:fill="FFFFFF"/>
        </w:rPr>
        <w:t>）</w:t>
      </w:r>
      <w:r>
        <w:rPr>
          <w:rFonts w:hint="eastAsia" w:ascii="宋体" w:hAnsi="宋体" w:eastAsia="宋体"/>
          <w:b/>
          <w:color w:val="auto"/>
          <w:sz w:val="24"/>
          <w:szCs w:val="24"/>
          <w:highlight w:val="none"/>
          <w:u w:val="single"/>
          <w:shd w:val="pct10" w:color="auto" w:fill="FFFFFF"/>
          <w:lang w:eastAsia="zh-CN"/>
        </w:rPr>
        <w:t>中小企业声明函（供应商未提供《中小企业声明函》的、《中小企业声明函》中内容未填写齐全的、缺项的、填写内容出现错误的</w:t>
      </w:r>
      <w:r>
        <w:rPr>
          <w:rFonts w:hint="eastAsia" w:ascii="宋体" w:hAnsi="宋体" w:eastAsia="宋体"/>
          <w:b/>
          <w:color w:val="auto"/>
          <w:sz w:val="24"/>
          <w:szCs w:val="24"/>
          <w:highlight w:val="none"/>
          <w:u w:val="single"/>
          <w:shd w:val="pct10" w:color="auto" w:fill="FFFFFF"/>
        </w:rPr>
        <w:t>（不影响企业规模类型判定的除外）</w:t>
      </w:r>
      <w:r>
        <w:rPr>
          <w:rFonts w:hint="eastAsia" w:ascii="宋体" w:hAnsi="宋体" w:eastAsia="宋体"/>
          <w:b/>
          <w:color w:val="auto"/>
          <w:sz w:val="24"/>
          <w:szCs w:val="24"/>
          <w:highlight w:val="none"/>
          <w:u w:val="single"/>
          <w:shd w:val="pct10" w:color="auto" w:fill="FFFFFF"/>
          <w:lang w:eastAsia="zh-CN"/>
        </w:rPr>
        <w:t>、未如实填写的，将不给予供应商享受中小企业扶持政策（即资格响应文件为无效）。</w:t>
      </w:r>
    </w:p>
    <w:p w14:paraId="63D95B1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color w:val="auto"/>
          <w:sz w:val="24"/>
          <w:highlight w:val="none"/>
          <w:lang w:val="zh-CN"/>
        </w:rPr>
      </w:pPr>
      <w:r>
        <w:rPr>
          <w:rFonts w:hint="eastAsia"/>
          <w:color w:val="auto"/>
          <w:sz w:val="24"/>
          <w:highlight w:val="none"/>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highlight w:val="none"/>
          <w:lang w:val="zh-CN"/>
        </w:rPr>
        <w:t>综合评判后确认供应商是否享受中小企业扶持政策。</w:t>
      </w:r>
      <w:r>
        <w:rPr>
          <w:rFonts w:hint="eastAsia" w:ascii="宋体" w:hAnsi="宋体"/>
          <w:b/>
          <w:color w:val="auto"/>
          <w:sz w:val="24"/>
          <w:highlight w:val="none"/>
          <w:u w:val="single"/>
          <w:shd w:val="pct10" w:color="auto" w:fill="FFFFFF"/>
        </w:rPr>
        <w:t>磋商过程中如须核实有关单位网上统计、社保、税务等信息的，供应商须提供配合。</w:t>
      </w:r>
    </w:p>
    <w:p w14:paraId="75BDDAD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bookmarkStart w:id="16" w:name="_Hlk534200662"/>
      <w:r>
        <w:rPr>
          <w:rFonts w:hint="eastAsia" w:ascii="宋体" w:hAnsi="宋体"/>
          <w:b/>
          <w:color w:val="auto"/>
          <w:sz w:val="24"/>
          <w:highlight w:val="none"/>
        </w:rPr>
        <w:t>商务</w:t>
      </w:r>
      <w:r>
        <w:rPr>
          <w:rFonts w:hint="eastAsia" w:ascii="宋体" w:hAnsi="宋体"/>
          <w:b/>
          <w:bCs/>
          <w:color w:val="auto"/>
          <w:sz w:val="24"/>
          <w:highlight w:val="none"/>
        </w:rPr>
        <w:t>技术</w:t>
      </w:r>
      <w:r>
        <w:rPr>
          <w:rFonts w:hint="eastAsia" w:ascii="宋体" w:hAnsi="宋体"/>
          <w:b/>
          <w:color w:val="auto"/>
          <w:sz w:val="24"/>
          <w:highlight w:val="none"/>
        </w:rPr>
        <w:t>文件</w:t>
      </w:r>
      <w:bookmarkEnd w:id="16"/>
    </w:p>
    <w:p w14:paraId="7FE2C06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（1）投标函；</w:t>
      </w:r>
    </w:p>
    <w:p w14:paraId="15C7015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（2）</w:t>
      </w:r>
      <w:bookmarkStart w:id="17" w:name="_Hlk534200539"/>
      <w:r>
        <w:rPr>
          <w:rFonts w:hint="eastAsia" w:ascii="宋体" w:hAnsi="宋体"/>
          <w:color w:val="auto"/>
          <w:sz w:val="24"/>
          <w:highlight w:val="none"/>
        </w:rPr>
        <w:t>法定代表人授权委托书</w:t>
      </w:r>
      <w:bookmarkEnd w:id="17"/>
      <w:r>
        <w:rPr>
          <w:rFonts w:hint="eastAsia" w:ascii="宋体" w:hAnsi="宋体"/>
          <w:color w:val="auto"/>
          <w:sz w:val="24"/>
          <w:highlight w:val="none"/>
        </w:rPr>
        <w:t>；</w:t>
      </w:r>
    </w:p>
    <w:p w14:paraId="6418B8F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）供应商按照评分标准要求提供的相应资料；</w:t>
      </w:r>
    </w:p>
    <w:p w14:paraId="5742C3E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）服务内容响应表</w:t>
      </w:r>
    </w:p>
    <w:p w14:paraId="242D79E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bookmarkStart w:id="18" w:name="_Hlk65237132"/>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w:t>
      </w:r>
      <w:bookmarkEnd w:id="18"/>
      <w:r>
        <w:rPr>
          <w:rFonts w:hint="eastAsia" w:ascii="宋体" w:hAnsi="宋体"/>
          <w:color w:val="auto"/>
          <w:sz w:val="24"/>
          <w:highlight w:val="none"/>
        </w:rPr>
        <w:t>项目负责人简历表；</w:t>
      </w:r>
    </w:p>
    <w:p w14:paraId="5FE7632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 xml:space="preserve">）项目实施人员一览表； </w:t>
      </w:r>
    </w:p>
    <w:p w14:paraId="46CFB8D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）供应商类似成功案例一览表；</w:t>
      </w:r>
    </w:p>
    <w:p w14:paraId="7A70DD4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）售后服务网点情况表；</w:t>
      </w:r>
    </w:p>
    <w:p w14:paraId="546376E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）商务技术响应表；</w:t>
      </w:r>
    </w:p>
    <w:p w14:paraId="6CB66A6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）供应商认为需要提供的其他资料。</w:t>
      </w:r>
      <w:bookmarkStart w:id="19" w:name="_Hlk534294060"/>
    </w:p>
    <w:bookmarkEnd w:id="19"/>
    <w:p w14:paraId="4D5D344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.报价文件</w:t>
      </w:r>
    </w:p>
    <w:p w14:paraId="6BBFE64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（1）开标一览表；</w:t>
      </w:r>
    </w:p>
    <w:p w14:paraId="1824BA11">
      <w:pPr>
        <w:pStyle w:val="29"/>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（2）报价明细表；</w:t>
      </w:r>
    </w:p>
    <w:p w14:paraId="41DD6BD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b/>
          <w:color w:val="auto"/>
          <w:spacing w:val="-4"/>
          <w:sz w:val="24"/>
          <w:highlight w:val="none"/>
        </w:rPr>
      </w:pPr>
      <w:r>
        <w:rPr>
          <w:rFonts w:hint="eastAsia" w:ascii="宋体" w:hAnsi="宋体"/>
          <w:b/>
          <w:color w:val="auto"/>
          <w:sz w:val="24"/>
          <w:highlight w:val="none"/>
        </w:rPr>
        <w:t>（二）</w:t>
      </w:r>
      <w:r>
        <w:rPr>
          <w:rFonts w:hint="eastAsia" w:ascii="宋体" w:hAnsi="宋体"/>
          <w:b/>
          <w:color w:val="auto"/>
          <w:spacing w:val="-4"/>
          <w:sz w:val="24"/>
          <w:highlight w:val="none"/>
        </w:rPr>
        <w:t>采购项目评分索引表(该表格仅为方便评标之用，不涉及无效标条款，表格放置在商务技术文件目录的前页，以方便评委进行评审</w:t>
      </w:r>
      <w:r>
        <w:rPr>
          <w:rFonts w:ascii="宋体" w:hAnsi="宋体"/>
          <w:b/>
          <w:color w:val="auto"/>
          <w:spacing w:val="-4"/>
          <w:sz w:val="24"/>
          <w:highlight w:val="none"/>
        </w:rPr>
        <w:t>，</w:t>
      </w:r>
      <w:r>
        <w:rPr>
          <w:rFonts w:hint="eastAsia" w:ascii="宋体" w:hAnsi="宋体"/>
          <w:b/>
          <w:color w:val="auto"/>
          <w:spacing w:val="-4"/>
          <w:sz w:val="24"/>
          <w:highlight w:val="none"/>
        </w:rPr>
        <w:t>格式见第四章)</w:t>
      </w:r>
    </w:p>
    <w:p w14:paraId="1E0FBCA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b/>
          <w:color w:val="auto"/>
          <w:sz w:val="24"/>
          <w:highlight w:val="none"/>
        </w:rPr>
      </w:pPr>
      <w:r>
        <w:rPr>
          <w:rFonts w:hint="eastAsia" w:ascii="宋体" w:hAnsi="宋体"/>
          <w:b/>
          <w:color w:val="auto"/>
          <w:sz w:val="24"/>
          <w:highlight w:val="none"/>
        </w:rPr>
        <w:t>（三）响应文件的语言及计量</w:t>
      </w:r>
    </w:p>
    <w:p w14:paraId="2D529D2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1.响应文件以及供应商与招标人就有关投标事宜的所有来往函电，均应以中文汉语书写。除签名、盖章、专用名称等特殊情形外，以中文汉语以外的文字表述的响应文件视同未提供。</w:t>
      </w:r>
    </w:p>
    <w:p w14:paraId="7CB2034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2.投标计量单位，磋商文件已有明确规定的，使用磋商文件规定的计量单位；磋商文件没有规定的，应采用中华人民共和国法定计量单位（货币单位：人民币元），否则视同未响应。</w:t>
      </w:r>
    </w:p>
    <w:p w14:paraId="5726646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b/>
          <w:color w:val="auto"/>
          <w:sz w:val="24"/>
          <w:highlight w:val="none"/>
        </w:rPr>
      </w:pPr>
      <w:r>
        <w:rPr>
          <w:rFonts w:hint="eastAsia" w:ascii="宋体" w:hAnsi="宋体"/>
          <w:b/>
          <w:color w:val="auto"/>
          <w:sz w:val="24"/>
          <w:highlight w:val="none"/>
        </w:rPr>
        <w:t>（四）投标报价</w:t>
      </w:r>
    </w:p>
    <w:p w14:paraId="1F17B5FD">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jc w:val="left"/>
        <w:rPr>
          <w:rFonts w:hAnsi="宋体"/>
          <w:color w:val="auto"/>
          <w:highlight w:val="none"/>
        </w:rPr>
      </w:pPr>
      <w:r>
        <w:rPr>
          <w:rFonts w:hint="eastAsia" w:hAnsi="宋体"/>
          <w:color w:val="auto"/>
          <w:highlight w:val="none"/>
        </w:rPr>
        <w:t>1.投标报价应按磋商文件中相关附表格式填写。</w:t>
      </w:r>
    </w:p>
    <w:p w14:paraId="360910F3">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jc w:val="left"/>
        <w:rPr>
          <w:rFonts w:hAnsi="宋体"/>
          <w:color w:val="auto"/>
          <w:highlight w:val="none"/>
        </w:rPr>
      </w:pPr>
      <w:r>
        <w:rPr>
          <w:rFonts w:hint="eastAsia" w:hAnsi="宋体"/>
          <w:color w:val="auto"/>
          <w:highlight w:val="none"/>
        </w:rPr>
        <w:t>2.投标</w:t>
      </w:r>
      <w:r>
        <w:rPr>
          <w:rFonts w:hint="eastAsia" w:hAnsi="宋体"/>
          <w:color w:val="auto"/>
          <w:highlight w:val="none"/>
          <w:lang w:val="en-US" w:eastAsia="zh-CN"/>
        </w:rPr>
        <w:t>总</w:t>
      </w:r>
      <w:r>
        <w:rPr>
          <w:rFonts w:hint="eastAsia" w:hAnsi="宋体"/>
          <w:color w:val="auto"/>
          <w:highlight w:val="none"/>
        </w:rPr>
        <w:t>报价是履行合同的最终价格，应包含所有人员的人工费、交通费、住宿费、伙食费、办公设施费、管理费、利润、税金及成果鉴定验收会发生的费用等一切费用。</w:t>
      </w:r>
    </w:p>
    <w:p w14:paraId="165D714A">
      <w:pPr>
        <w:keepNext w:val="0"/>
        <w:keepLines w:val="0"/>
        <w:pageBreakBefore w:val="0"/>
        <w:widowControl w:val="0"/>
        <w:tabs>
          <w:tab w:val="left" w:pos="525"/>
        </w:tabs>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▲3.响应文件只允许有一个报价，有选择的或有条件的报价将不予接受。</w:t>
      </w:r>
    </w:p>
    <w:p w14:paraId="3FFC924E">
      <w:pPr>
        <w:keepNext w:val="0"/>
        <w:keepLines w:val="0"/>
        <w:pageBreakBefore w:val="0"/>
        <w:widowControl w:val="0"/>
        <w:tabs>
          <w:tab w:val="left" w:pos="525"/>
        </w:tabs>
        <w:kinsoku/>
        <w:wordWrap w:val="0"/>
        <w:overflowPunct/>
        <w:topLinePunct w:val="0"/>
        <w:autoSpaceDE/>
        <w:autoSpaceDN/>
        <w:bidi w:val="0"/>
        <w:adjustRightInd/>
        <w:snapToGrid/>
        <w:spacing w:beforeAutospacing="0" w:afterAutospacing="0" w:line="360" w:lineRule="auto"/>
        <w:ind w:left="0" w:leftChars="0" w:firstLine="480" w:firstLineChars="200"/>
        <w:jc w:val="left"/>
        <w:rPr>
          <w:color w:val="auto"/>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此项符合性在报价文件中进行评审</w:t>
      </w:r>
      <w:r>
        <w:rPr>
          <w:rFonts w:hint="eastAsia" w:ascii="宋体" w:hAnsi="宋体" w:eastAsia="宋体" w:cs="Times New Roman"/>
          <w:color w:val="auto"/>
          <w:sz w:val="24"/>
          <w:highlight w:val="none"/>
          <w:lang w:eastAsia="zh-CN"/>
        </w:rPr>
        <w:t>）</w:t>
      </w:r>
    </w:p>
    <w:p w14:paraId="191E5901">
      <w:pPr>
        <w:pStyle w:val="14"/>
        <w:keepNext w:val="0"/>
        <w:keepLines w:val="0"/>
        <w:pageBreakBefore w:val="0"/>
        <w:widowControl w:val="0"/>
        <w:tabs>
          <w:tab w:val="left" w:pos="420"/>
        </w:tabs>
        <w:kinsoku/>
        <w:wordWrap w:val="0"/>
        <w:overflowPunct/>
        <w:topLinePunct w:val="0"/>
        <w:autoSpaceDE/>
        <w:autoSpaceDN/>
        <w:bidi w:val="0"/>
        <w:adjustRightInd/>
        <w:snapToGrid/>
        <w:spacing w:beforeAutospacing="0" w:afterLines="0" w:afterAutospacing="0" w:line="360" w:lineRule="auto"/>
        <w:ind w:left="0" w:leftChars="0" w:firstLine="482" w:firstLineChars="200"/>
        <w:rPr>
          <w:rFonts w:ascii="宋体" w:hAnsi="宋体"/>
          <w:b/>
          <w:color w:val="auto"/>
          <w:szCs w:val="24"/>
          <w:highlight w:val="none"/>
        </w:rPr>
      </w:pPr>
      <w:r>
        <w:rPr>
          <w:rFonts w:hint="eastAsia" w:ascii="宋体" w:hAnsi="宋体"/>
          <w:b/>
          <w:color w:val="auto"/>
          <w:szCs w:val="24"/>
          <w:highlight w:val="none"/>
        </w:rPr>
        <w:t>（五）投标有效期</w:t>
      </w:r>
    </w:p>
    <w:p w14:paraId="1C4AB18F">
      <w:pPr>
        <w:pStyle w:val="14"/>
        <w:keepNext w:val="0"/>
        <w:keepLines w:val="0"/>
        <w:pageBreakBefore w:val="0"/>
        <w:widowControl w:val="0"/>
        <w:tabs>
          <w:tab w:val="left" w:pos="420"/>
        </w:tabs>
        <w:kinsoku/>
        <w:wordWrap w:val="0"/>
        <w:overflowPunct/>
        <w:topLinePunct w:val="0"/>
        <w:autoSpaceDE/>
        <w:autoSpaceDN/>
        <w:bidi w:val="0"/>
        <w:adjustRightInd/>
        <w:snapToGrid/>
        <w:spacing w:beforeAutospacing="0" w:afterLines="0" w:afterAutospacing="0" w:line="360" w:lineRule="auto"/>
        <w:ind w:left="0" w:leftChars="0" w:firstLine="480" w:firstLineChars="200"/>
        <w:rPr>
          <w:rFonts w:ascii="宋体" w:hAnsi="宋体"/>
          <w:color w:val="auto"/>
          <w:szCs w:val="24"/>
          <w:highlight w:val="none"/>
        </w:rPr>
      </w:pPr>
      <w:r>
        <w:rPr>
          <w:rFonts w:hint="eastAsia" w:ascii="宋体" w:hAnsi="宋体"/>
          <w:color w:val="auto"/>
          <w:szCs w:val="24"/>
          <w:highlight w:val="none"/>
        </w:rPr>
        <w:t>▲1.自投标截止日起</w:t>
      </w:r>
      <w:r>
        <w:rPr>
          <w:rFonts w:hint="eastAsia" w:ascii="宋体" w:hAnsi="宋体"/>
          <w:color w:val="auto"/>
          <w:szCs w:val="24"/>
          <w:highlight w:val="none"/>
          <w:u w:val="single"/>
        </w:rPr>
        <w:t xml:space="preserve">  90  </w:t>
      </w:r>
      <w:r>
        <w:rPr>
          <w:rFonts w:hint="eastAsia" w:ascii="宋体" w:hAnsi="宋体"/>
          <w:color w:val="auto"/>
          <w:szCs w:val="24"/>
          <w:highlight w:val="none"/>
        </w:rPr>
        <w:t>天响应文件应保持有效。</w:t>
      </w:r>
    </w:p>
    <w:p w14:paraId="63A14AE6">
      <w:pPr>
        <w:pStyle w:val="14"/>
        <w:keepNext w:val="0"/>
        <w:keepLines w:val="0"/>
        <w:pageBreakBefore w:val="0"/>
        <w:widowControl w:val="0"/>
        <w:tabs>
          <w:tab w:val="left" w:pos="420"/>
        </w:tabs>
        <w:kinsoku/>
        <w:wordWrap w:val="0"/>
        <w:overflowPunct/>
        <w:topLinePunct w:val="0"/>
        <w:autoSpaceDE/>
        <w:autoSpaceDN/>
        <w:bidi w:val="0"/>
        <w:adjustRightInd/>
        <w:snapToGrid/>
        <w:spacing w:beforeAutospacing="0" w:afterLines="0" w:afterAutospacing="0" w:line="360" w:lineRule="auto"/>
        <w:ind w:left="0" w:leftChars="0" w:firstLine="480" w:firstLineChars="200"/>
        <w:rPr>
          <w:rFonts w:ascii="宋体" w:hAnsi="宋体"/>
          <w:color w:val="auto"/>
          <w:szCs w:val="24"/>
          <w:highlight w:val="none"/>
        </w:rPr>
      </w:pPr>
      <w:r>
        <w:rPr>
          <w:rFonts w:hint="eastAsia" w:ascii="宋体" w:hAnsi="宋体"/>
          <w:color w:val="auto"/>
          <w:szCs w:val="24"/>
          <w:highlight w:val="none"/>
        </w:rPr>
        <w:t>2.在特殊情况下，招标人可与供应商协商延长响应文件的有效期，这种要求和答复均以书面形式进行。</w:t>
      </w:r>
    </w:p>
    <w:p w14:paraId="3752B79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 xml:space="preserve">3.供应商可拒绝接受延期要求，同意延长有效期的供应商不能修改响应文件内容。 </w:t>
      </w:r>
    </w:p>
    <w:p w14:paraId="270AE9F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b/>
          <w:color w:val="auto"/>
          <w:sz w:val="24"/>
          <w:highlight w:val="none"/>
        </w:rPr>
      </w:pPr>
      <w:r>
        <w:rPr>
          <w:rFonts w:hint="eastAsia" w:ascii="宋体" w:hAnsi="宋体"/>
          <w:color w:val="auto"/>
          <w:sz w:val="24"/>
          <w:highlight w:val="none"/>
        </w:rPr>
        <w:t>4.成交供应商的响应文件自开标之日起至合同履行完毕止均应保持有效。</w:t>
      </w:r>
    </w:p>
    <w:p w14:paraId="0EDF983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b/>
          <w:bCs/>
          <w:color w:val="auto"/>
          <w:sz w:val="24"/>
          <w:highlight w:val="none"/>
        </w:rPr>
      </w:pPr>
      <w:r>
        <w:rPr>
          <w:rFonts w:hint="eastAsia" w:ascii="宋体" w:hAnsi="宋体"/>
          <w:b/>
          <w:bCs/>
          <w:color w:val="auto"/>
          <w:sz w:val="24"/>
          <w:highlight w:val="none"/>
        </w:rPr>
        <w:t>5.供应商有下列情形之一的，按有关规定进行处罚：</w:t>
      </w:r>
    </w:p>
    <w:p w14:paraId="7C7221F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（1）供应商在投标有效期内撤回响应文件的；</w:t>
      </w:r>
    </w:p>
    <w:p w14:paraId="616F927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（2）未按规定提交履约保证金的；</w:t>
      </w:r>
    </w:p>
    <w:p w14:paraId="428CABD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（3）供应商在投标过程中弄虚作假，提供虚假材料的；</w:t>
      </w:r>
    </w:p>
    <w:p w14:paraId="720825C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（4）成交供应商无正当理由不与采购人签订合同的；</w:t>
      </w:r>
    </w:p>
    <w:p w14:paraId="4A74C4F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将成交项目转让给他人或者在响应文件中未说明且未经招标人同意，将成交项目分包给他人的；</w:t>
      </w:r>
    </w:p>
    <w:p w14:paraId="16FB9E4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（6）拒绝履行合同义务的；</w:t>
      </w:r>
    </w:p>
    <w:p w14:paraId="1956BCE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（7）其他严重扰乱招投标程序的。</w:t>
      </w:r>
    </w:p>
    <w:p w14:paraId="6ACED8C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jc w:val="left"/>
        <w:rPr>
          <w:rFonts w:ascii="宋体" w:hAnsi="宋体"/>
          <w:b/>
          <w:color w:val="auto"/>
          <w:sz w:val="24"/>
          <w:highlight w:val="none"/>
        </w:rPr>
      </w:pPr>
      <w:r>
        <w:rPr>
          <w:rFonts w:hint="eastAsia" w:ascii="宋体" w:hAnsi="宋体"/>
          <w:b/>
          <w:color w:val="auto"/>
          <w:sz w:val="24"/>
          <w:highlight w:val="none"/>
        </w:rPr>
        <w:t>（六）响应文件的签署</w:t>
      </w:r>
    </w:p>
    <w:p w14:paraId="169C6F1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1.供应商应按本磋商文件规定的格式和顺序编制响应文件并标注页码，响应文件内容不完整、编排混乱而导致响应文件被误读、漏读或者查找不到相关内容的，供应商责任自负。</w:t>
      </w:r>
    </w:p>
    <w:p w14:paraId="5B164A0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s="仿宋_GB2312"/>
          <w:bCs/>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仿宋_GB2312"/>
          <w:b/>
          <w:color w:val="auto"/>
          <w:sz w:val="24"/>
          <w:highlight w:val="none"/>
        </w:rPr>
        <w:t>电子响应文件中公章采用CA签章</w:t>
      </w:r>
      <w:r>
        <w:rPr>
          <w:rFonts w:hint="eastAsia" w:ascii="宋体" w:hAnsi="宋体" w:cs="仿宋_GB2312"/>
          <w:bCs/>
          <w:color w:val="auto"/>
          <w:sz w:val="24"/>
          <w:highlight w:val="none"/>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highlight w:val="none"/>
          <w:u w:val="single"/>
        </w:rPr>
        <w:t>如对磋商文件的某项要求，供应商的电子响应文件未能关联定位提供相应的内容与其对应，则磋商小组在评审时如做出对供应商不利的评审由供应商自行承担。</w:t>
      </w:r>
    </w:p>
    <w:p w14:paraId="44E7A1B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s="仿宋_GB2312"/>
          <w:bCs/>
          <w:color w:val="auto"/>
          <w:sz w:val="24"/>
          <w:highlight w:val="none"/>
        </w:rPr>
      </w:pPr>
      <w:r>
        <w:rPr>
          <w:rFonts w:hint="eastAsia" w:ascii="宋体" w:hAnsi="宋体" w:cs="仿宋_GB2312"/>
          <w:bCs/>
          <w:color w:val="auto"/>
          <w:sz w:val="24"/>
          <w:highlight w:val="none"/>
        </w:rPr>
        <w:t>电子响应文件如内容不完整、编排混乱导致响应文件被误读、漏读，或者在按采购文件规定的部位查找不到相关内容的，由供应商自行承担。</w:t>
      </w:r>
    </w:p>
    <w:p w14:paraId="08A8C75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ascii="宋体" w:hAnsi="宋体" w:cs="仿宋_GB2312"/>
          <w:bCs/>
          <w:color w:val="auto"/>
          <w:sz w:val="24"/>
          <w:highlight w:val="none"/>
        </w:rPr>
        <w:t>3</w:t>
      </w:r>
      <w:r>
        <w:rPr>
          <w:rFonts w:hint="eastAsia" w:ascii="宋体" w:hAnsi="宋体"/>
          <w:color w:val="auto"/>
          <w:sz w:val="24"/>
          <w:highlight w:val="none"/>
        </w:rPr>
        <w:t>.温馨提醒：</w:t>
      </w:r>
      <w:r>
        <w:rPr>
          <w:rFonts w:hint="eastAsia" w:ascii="宋体" w:hAnsi="宋体"/>
          <w:color w:val="auto"/>
          <w:sz w:val="24"/>
          <w:highlight w:val="none"/>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.响应文件不得涂改，若有修改错漏处，须加盖单位公章或者法定代表人或授权委托人签字或盖章。响应文件因字迹潦草或表达不清所引起的后果由供应商负责。</w:t>
      </w:r>
    </w:p>
    <w:p w14:paraId="5BACBE2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ascii="宋体" w:hAnsi="宋体"/>
          <w:b/>
          <w:color w:val="auto"/>
          <w:sz w:val="24"/>
          <w:highlight w:val="none"/>
        </w:rPr>
      </w:pPr>
      <w:r>
        <w:rPr>
          <w:rFonts w:hint="eastAsia" w:ascii="宋体" w:hAnsi="宋体"/>
          <w:b/>
          <w:color w:val="auto"/>
          <w:sz w:val="24"/>
          <w:highlight w:val="none"/>
        </w:rPr>
        <w:t>（七）投标无效的情形</w:t>
      </w:r>
    </w:p>
    <w:p w14:paraId="655F2A0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bCs/>
          <w:color w:val="auto"/>
          <w:sz w:val="24"/>
          <w:highlight w:val="none"/>
        </w:rPr>
      </w:pPr>
      <w:r>
        <w:rPr>
          <w:rFonts w:hint="eastAsia" w:ascii="宋体" w:hAnsi="宋体"/>
          <w:bCs/>
          <w:color w:val="auto"/>
          <w:sz w:val="24"/>
          <w:highlight w:val="none"/>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ascii="宋体" w:hAnsi="宋体"/>
          <w:b/>
          <w:bCs/>
          <w:color w:val="auto"/>
          <w:spacing w:val="-4"/>
          <w:sz w:val="24"/>
          <w:highlight w:val="none"/>
        </w:rPr>
      </w:pPr>
      <w:bookmarkStart w:id="20" w:name="_Hlk59462445"/>
      <w:r>
        <w:rPr>
          <w:rFonts w:hint="eastAsia" w:ascii="宋体" w:hAnsi="宋体"/>
          <w:b/>
          <w:bCs/>
          <w:color w:val="auto"/>
          <w:spacing w:val="-4"/>
          <w:sz w:val="24"/>
          <w:highlight w:val="none"/>
        </w:rPr>
        <w:t>1.</w:t>
      </w:r>
      <w:bookmarkStart w:id="21" w:name="_Hlk534294335"/>
      <w:r>
        <w:rPr>
          <w:rFonts w:hint="eastAsia" w:ascii="宋体" w:hAnsi="宋体"/>
          <w:b/>
          <w:bCs/>
          <w:color w:val="auto"/>
          <w:spacing w:val="-4"/>
          <w:sz w:val="24"/>
          <w:highlight w:val="none"/>
        </w:rPr>
        <w:t>在符合性审查和商务技术评审时，如发现下列情形之一的，响应文件将被视为无效：</w:t>
      </w:r>
    </w:p>
    <w:bookmarkEnd w:id="21"/>
    <w:p w14:paraId="6145A89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（1）资格响应文件未提供齐全的或者资格响应文件存在过期的或者不符合磋商文件标明的资格要求的；</w:t>
      </w:r>
    </w:p>
    <w:p w14:paraId="765A537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bCs/>
          <w:color w:val="auto"/>
          <w:kern w:val="0"/>
          <w:sz w:val="24"/>
          <w:highlight w:val="none"/>
        </w:rPr>
      </w:pPr>
      <w:r>
        <w:rPr>
          <w:rFonts w:hint="eastAsia" w:ascii="宋体" w:hAnsi="宋体"/>
          <w:color w:val="auto"/>
          <w:sz w:val="24"/>
          <w:highlight w:val="none"/>
        </w:rPr>
        <w:t>（2）</w:t>
      </w:r>
      <w:r>
        <w:rPr>
          <w:rFonts w:hint="eastAsia" w:ascii="宋体" w:hAnsi="宋体"/>
          <w:bCs/>
          <w:color w:val="auto"/>
          <w:sz w:val="24"/>
          <w:highlight w:val="none"/>
        </w:rPr>
        <w:t>电子响应文件</w:t>
      </w:r>
      <w:r>
        <w:rPr>
          <w:rFonts w:hint="eastAsia" w:ascii="宋体" w:hAnsi="宋体"/>
          <w:b/>
          <w:bCs/>
          <w:color w:val="auto"/>
          <w:kern w:val="0"/>
          <w:sz w:val="24"/>
          <w:highlight w:val="none"/>
          <w:u w:val="single"/>
          <w:shd w:val="pct10" w:color="auto" w:fill="FFFFFF"/>
        </w:rPr>
        <w:t>在</w:t>
      </w:r>
      <w:r>
        <w:rPr>
          <w:rFonts w:hint="eastAsia" w:ascii="宋体" w:hAnsi="宋体"/>
          <w:b/>
          <w:bCs/>
          <w:color w:val="auto"/>
          <w:kern w:val="0"/>
          <w:sz w:val="24"/>
          <w:highlight w:val="none"/>
          <w:u w:val="single"/>
          <w:shd w:val="pct10" w:color="auto" w:fill="FFFFFF"/>
          <w:lang w:val="en-US" w:eastAsia="zh-CN"/>
        </w:rPr>
        <w:t>磋商文件格式</w:t>
      </w:r>
      <w:r>
        <w:rPr>
          <w:rFonts w:hint="eastAsia" w:ascii="宋体" w:hAnsi="宋体"/>
          <w:b/>
          <w:bCs/>
          <w:color w:val="auto"/>
          <w:kern w:val="0"/>
          <w:sz w:val="24"/>
          <w:highlight w:val="none"/>
          <w:u w:val="single"/>
          <w:shd w:val="pct10" w:color="auto" w:fill="FFFFFF"/>
        </w:rPr>
        <w:t>指定页面无法定代表人盖章或签字、未在</w:t>
      </w:r>
      <w:r>
        <w:rPr>
          <w:rFonts w:hint="eastAsia" w:ascii="宋体" w:hAnsi="宋体"/>
          <w:b/>
          <w:bCs/>
          <w:color w:val="auto"/>
          <w:kern w:val="0"/>
          <w:sz w:val="24"/>
          <w:highlight w:val="none"/>
          <w:u w:val="single"/>
          <w:shd w:val="pct10" w:color="auto" w:fill="FFFFFF"/>
          <w:lang w:val="en-US" w:eastAsia="zh-CN"/>
        </w:rPr>
        <w:t>磋商文件格式</w:t>
      </w:r>
      <w:r>
        <w:rPr>
          <w:rFonts w:hint="eastAsia" w:ascii="宋体" w:hAnsi="宋体"/>
          <w:b/>
          <w:bCs/>
          <w:color w:val="auto"/>
          <w:kern w:val="0"/>
          <w:sz w:val="24"/>
          <w:highlight w:val="none"/>
          <w:u w:val="single"/>
          <w:shd w:val="pct10" w:color="auto" w:fill="FFFFFF"/>
        </w:rPr>
        <w:t>指定页面盖公章、在</w:t>
      </w:r>
      <w:r>
        <w:rPr>
          <w:rFonts w:hint="eastAsia" w:ascii="宋体" w:hAnsi="宋体"/>
          <w:b/>
          <w:bCs/>
          <w:color w:val="auto"/>
          <w:kern w:val="0"/>
          <w:sz w:val="24"/>
          <w:highlight w:val="none"/>
          <w:u w:val="single"/>
          <w:shd w:val="pct10" w:color="auto" w:fill="FFFFFF"/>
          <w:lang w:val="en-US" w:eastAsia="zh-CN"/>
        </w:rPr>
        <w:t>磋商文件格式</w:t>
      </w:r>
      <w:r>
        <w:rPr>
          <w:rFonts w:hint="eastAsia" w:ascii="宋体" w:hAnsi="宋体"/>
          <w:b/>
          <w:bCs/>
          <w:color w:val="auto"/>
          <w:kern w:val="0"/>
          <w:sz w:val="24"/>
          <w:highlight w:val="none"/>
          <w:u w:val="single"/>
          <w:shd w:val="pct10" w:color="auto" w:fill="FFFFFF"/>
        </w:rPr>
        <w:t>指定页面无被授权人签字（打字无效）</w:t>
      </w:r>
      <w:r>
        <w:rPr>
          <w:rFonts w:hint="eastAsia" w:ascii="宋体" w:hAnsi="宋体"/>
          <w:b/>
          <w:bCs/>
          <w:color w:val="auto"/>
          <w:kern w:val="0"/>
          <w:sz w:val="24"/>
          <w:highlight w:val="none"/>
          <w:u w:val="single"/>
        </w:rPr>
        <w:t>、</w:t>
      </w:r>
      <w:r>
        <w:rPr>
          <w:rFonts w:hint="eastAsia" w:ascii="宋体" w:hAnsi="宋体"/>
          <w:b/>
          <w:bCs/>
          <w:color w:val="auto"/>
          <w:kern w:val="0"/>
          <w:sz w:val="24"/>
          <w:highlight w:val="none"/>
        </w:rPr>
        <w:t>未提供法定代表人授权委托书、未提供投标函、未提供《没有重大违法记录的承诺函》或者投标函、《没有重大违法记录的承诺函》格式不符合竞争性磋商文件要求或填写项目不齐全的；</w:t>
      </w:r>
    </w:p>
    <w:p w14:paraId="3143580E">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Ansi="宋体"/>
          <w:b/>
          <w:bCs/>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）多项主要服务响应或者主要设备功能响应不满足磋商文件要求或</w:t>
      </w:r>
      <w:r>
        <w:rPr>
          <w:rFonts w:hint="eastAsia" w:hAnsi="宋体"/>
          <w:color w:val="auto"/>
          <w:sz w:val="24"/>
          <w:highlight w:val="none"/>
        </w:rPr>
        <w:t>缺项的，</w:t>
      </w:r>
      <w:r>
        <w:rPr>
          <w:rFonts w:hint="eastAsia" w:hAnsi="宋体"/>
          <w:b/>
          <w:bCs/>
          <w:color w:val="auto"/>
          <w:sz w:val="24"/>
          <w:szCs w:val="24"/>
          <w:highlight w:val="none"/>
        </w:rPr>
        <w:t>主要设备尺寸严重不满足磋商文件要求的。</w:t>
      </w:r>
    </w:p>
    <w:p w14:paraId="02205C4A">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int="eastAsia" w:hAnsi="宋体"/>
          <w:snapToGrid w:val="0"/>
          <w:color w:val="auto"/>
          <w:sz w:val="24"/>
          <w:szCs w:val="24"/>
          <w:highlight w:val="none"/>
        </w:rPr>
        <w:t>与</w:t>
      </w:r>
      <w:r>
        <w:rPr>
          <w:rFonts w:hint="eastAsia" w:hAnsi="宋体"/>
          <w:color w:val="auto"/>
          <w:sz w:val="24"/>
          <w:szCs w:val="24"/>
          <w:highlight w:val="none"/>
        </w:rPr>
        <w:t>磋商文件中标“▲”的技术指标、主要功能参数、服务响应发生实质性负偏离</w:t>
      </w:r>
      <w:r>
        <w:rPr>
          <w:rFonts w:hint="eastAsia" w:hAnsi="宋体"/>
          <w:snapToGrid w:val="0"/>
          <w:color w:val="auto"/>
          <w:sz w:val="24"/>
          <w:szCs w:val="24"/>
          <w:highlight w:val="none"/>
        </w:rPr>
        <w:t>或内容缺失</w:t>
      </w:r>
      <w:r>
        <w:rPr>
          <w:rFonts w:hint="eastAsia" w:hAnsi="宋体"/>
          <w:color w:val="auto"/>
          <w:sz w:val="24"/>
          <w:szCs w:val="24"/>
          <w:highlight w:val="none"/>
        </w:rPr>
        <w:t>的；</w:t>
      </w:r>
    </w:p>
    <w:p w14:paraId="37562E5A">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）未如实提供投标货物的技术参数，或者响应文件标明的响应或偏离存在虚假的；</w:t>
      </w:r>
    </w:p>
    <w:p w14:paraId="43351621">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）投标有效期、工期（供货期、交货时间、服务期）、保修期（质保期）、付款方式等商务条款不能满足磋商文件要求或缺失的</w:t>
      </w:r>
      <w:r>
        <w:rPr>
          <w:rFonts w:hint="eastAsia" w:hAnsi="宋体"/>
          <w:snapToGrid w:val="0"/>
          <w:color w:val="auto"/>
          <w:sz w:val="24"/>
          <w:szCs w:val="24"/>
          <w:highlight w:val="none"/>
        </w:rPr>
        <w:t>；</w:t>
      </w:r>
    </w:p>
    <w:bookmarkEnd w:id="20"/>
    <w:p w14:paraId="31B3A7F3">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7</w:t>
      </w:r>
      <w:r>
        <w:rPr>
          <w:rFonts w:hint="eastAsia" w:hAnsi="宋体"/>
          <w:color w:val="auto"/>
          <w:sz w:val="24"/>
          <w:szCs w:val="24"/>
          <w:highlight w:val="none"/>
        </w:rPr>
        <w:t>）</w:t>
      </w:r>
      <w:r>
        <w:rPr>
          <w:rFonts w:hint="eastAsia" w:hAnsi="宋体"/>
          <w:snapToGrid w:val="0"/>
          <w:color w:val="auto"/>
          <w:sz w:val="24"/>
          <w:szCs w:val="24"/>
          <w:highlight w:val="none"/>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8</w:t>
      </w:r>
      <w:r>
        <w:rPr>
          <w:rFonts w:hint="eastAsia" w:hAnsi="宋体"/>
          <w:color w:val="auto"/>
          <w:sz w:val="24"/>
          <w:szCs w:val="24"/>
          <w:highlight w:val="none"/>
        </w:rPr>
        <w:t>）投标文件有招标方不能接受的附加条件的；</w:t>
      </w:r>
    </w:p>
    <w:p w14:paraId="7444B768">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9</w:t>
      </w:r>
      <w:r>
        <w:rPr>
          <w:rFonts w:hint="eastAsia" w:hAnsi="宋体"/>
          <w:color w:val="auto"/>
          <w:sz w:val="24"/>
          <w:szCs w:val="24"/>
          <w:highlight w:val="none"/>
        </w:rPr>
        <w:t>）商务技术文件中出现投标总报价的；</w:t>
      </w:r>
    </w:p>
    <w:p w14:paraId="0DD008D1">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hAnsi="宋体"/>
          <w:color w:val="auto"/>
          <w:sz w:val="24"/>
          <w:szCs w:val="24"/>
          <w:highlight w:val="none"/>
          <w:lang w:eastAsia="zh-CN"/>
        </w:rPr>
      </w:pP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w:t>
      </w:r>
      <w:r>
        <w:rPr>
          <w:rFonts w:hint="eastAsia" w:hAnsi="宋体"/>
          <w:color w:val="auto"/>
          <w:sz w:val="24"/>
          <w:szCs w:val="24"/>
          <w:highlight w:val="none"/>
          <w:lang w:eastAsia="zh-CN"/>
        </w:rPr>
        <w:t>不同投标人的投标文件，存在IP地址重复或硬件设备信息异常的。</w:t>
      </w:r>
    </w:p>
    <w:p w14:paraId="298BE94A">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Ansi="宋体"/>
          <w:b/>
          <w:bCs/>
          <w:color w:val="auto"/>
          <w:sz w:val="24"/>
          <w:szCs w:val="24"/>
          <w:highlight w:val="none"/>
        </w:rPr>
      </w:pPr>
      <w:r>
        <w:rPr>
          <w:rFonts w:hint="eastAsia" w:hAnsi="宋体"/>
          <w:b/>
          <w:bCs/>
          <w:color w:val="auto"/>
          <w:sz w:val="24"/>
          <w:szCs w:val="24"/>
          <w:highlight w:val="none"/>
        </w:rPr>
        <w:t>2.在报价评审时，如发现下列情形之一的，响应文件将被视为无效：</w:t>
      </w:r>
    </w:p>
    <w:p w14:paraId="67E316D1">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Ansi="宋体"/>
          <w:color w:val="auto"/>
          <w:sz w:val="24"/>
          <w:szCs w:val="24"/>
          <w:highlight w:val="none"/>
        </w:rPr>
      </w:pPr>
      <w:r>
        <w:rPr>
          <w:rFonts w:hint="eastAsia" w:hAnsi="宋体"/>
          <w:color w:val="auto"/>
          <w:sz w:val="24"/>
          <w:szCs w:val="24"/>
          <w:highlight w:val="none"/>
        </w:rPr>
        <w:t>（1）未采用人民币报价或者未按照磋商文件标明的币种报价的；</w:t>
      </w:r>
    </w:p>
    <w:p w14:paraId="437FDEDD">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Ansi="宋体"/>
          <w:color w:val="auto"/>
          <w:sz w:val="24"/>
          <w:szCs w:val="24"/>
          <w:highlight w:val="none"/>
        </w:rPr>
      </w:pPr>
      <w:r>
        <w:rPr>
          <w:rFonts w:hint="eastAsia" w:hAnsi="宋体"/>
          <w:color w:val="auto"/>
          <w:sz w:val="24"/>
          <w:szCs w:val="24"/>
          <w:highlight w:val="none"/>
        </w:rPr>
        <w:t>（2）投标报价具有选择性，或者开标价格与响应文件承诺的优惠（折扣）价格不一致的；</w:t>
      </w:r>
    </w:p>
    <w:p w14:paraId="637028E9">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Ansi="宋体"/>
          <w:b/>
          <w:bCs/>
          <w:color w:val="auto"/>
          <w:sz w:val="24"/>
          <w:szCs w:val="24"/>
          <w:highlight w:val="none"/>
        </w:rPr>
      </w:pPr>
      <w:r>
        <w:rPr>
          <w:rFonts w:hint="eastAsia" w:hAnsi="宋体"/>
          <w:b/>
          <w:bCs/>
          <w:color w:val="auto"/>
          <w:sz w:val="24"/>
          <w:szCs w:val="24"/>
          <w:highlight w:val="none"/>
        </w:rPr>
        <w:t>（3）报价超过磋商文件中规定的预算金额或者最高限价的；</w:t>
      </w:r>
    </w:p>
    <w:p w14:paraId="477ACD43">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4</w:t>
      </w:r>
      <w:r>
        <w:rPr>
          <w:rFonts w:hint="eastAsia" w:hAnsi="宋体"/>
          <w:b/>
          <w:bCs/>
          <w:color w:val="auto"/>
          <w:sz w:val="24"/>
          <w:szCs w:val="24"/>
          <w:highlight w:val="none"/>
        </w:rPr>
        <w:t>）未填写投标报价的</w:t>
      </w:r>
      <w:r>
        <w:rPr>
          <w:rFonts w:hint="eastAsia" w:hAnsi="宋体"/>
          <w:b/>
          <w:bCs/>
          <w:color w:val="auto"/>
          <w:sz w:val="24"/>
          <w:szCs w:val="24"/>
          <w:highlight w:val="none"/>
          <w:lang w:eastAsia="zh-CN"/>
        </w:rPr>
        <w:t>、《报价明细表》</w:t>
      </w:r>
      <w:r>
        <w:rPr>
          <w:rFonts w:hint="eastAsia" w:hAnsi="宋体"/>
          <w:b/>
          <w:bCs/>
          <w:color w:val="auto"/>
          <w:sz w:val="24"/>
          <w:szCs w:val="24"/>
          <w:highlight w:val="none"/>
          <w:lang w:val="en-US" w:eastAsia="zh-CN"/>
        </w:rPr>
        <w:t>中</w:t>
      </w:r>
      <w:r>
        <w:rPr>
          <w:rFonts w:hint="eastAsia" w:hAnsi="宋体"/>
          <w:b/>
          <w:bCs/>
          <w:color w:val="auto"/>
          <w:sz w:val="24"/>
          <w:szCs w:val="24"/>
          <w:highlight w:val="none"/>
          <w:lang w:eastAsia="zh-CN"/>
        </w:rPr>
        <w:t>工程量</w:t>
      </w:r>
      <w:r>
        <w:rPr>
          <w:rFonts w:hint="eastAsia" w:hAnsi="宋体"/>
          <w:b/>
          <w:bCs/>
          <w:color w:val="auto"/>
          <w:sz w:val="24"/>
          <w:szCs w:val="24"/>
          <w:highlight w:val="none"/>
          <w:lang w:val="en-US" w:eastAsia="zh-CN"/>
        </w:rPr>
        <w:t>少于磋商</w:t>
      </w:r>
      <w:r>
        <w:rPr>
          <w:rFonts w:hint="eastAsia" w:hAnsi="宋体"/>
          <w:b/>
          <w:bCs/>
          <w:color w:val="auto"/>
          <w:sz w:val="24"/>
          <w:szCs w:val="24"/>
          <w:highlight w:val="none"/>
          <w:lang w:eastAsia="zh-CN"/>
        </w:rPr>
        <w:t>文件</w:t>
      </w:r>
      <w:r>
        <w:rPr>
          <w:rFonts w:hint="eastAsia" w:hAnsi="宋体"/>
          <w:b/>
          <w:bCs/>
          <w:color w:val="auto"/>
          <w:sz w:val="24"/>
          <w:szCs w:val="24"/>
          <w:highlight w:val="none"/>
          <w:lang w:val="en-US" w:eastAsia="zh-CN"/>
        </w:rPr>
        <w:t>中</w:t>
      </w:r>
      <w:r>
        <w:rPr>
          <w:rFonts w:hint="eastAsia" w:hAnsi="宋体"/>
          <w:b/>
          <w:bCs/>
          <w:color w:val="auto"/>
          <w:sz w:val="24"/>
          <w:szCs w:val="24"/>
          <w:highlight w:val="none"/>
          <w:lang w:eastAsia="zh-CN"/>
        </w:rPr>
        <w:t>提供的工程量数量</w:t>
      </w:r>
      <w:r>
        <w:rPr>
          <w:rFonts w:hint="eastAsia" w:hAnsi="宋体"/>
          <w:b/>
          <w:bCs/>
          <w:color w:val="auto"/>
          <w:sz w:val="24"/>
          <w:szCs w:val="24"/>
          <w:highlight w:val="none"/>
          <w:lang w:val="en-US" w:eastAsia="zh-CN"/>
        </w:rPr>
        <w:t>的</w:t>
      </w:r>
      <w:r>
        <w:rPr>
          <w:rFonts w:hint="eastAsia" w:hAnsi="宋体"/>
          <w:b/>
          <w:bCs/>
          <w:color w:val="auto"/>
          <w:sz w:val="24"/>
          <w:szCs w:val="24"/>
          <w:highlight w:val="none"/>
          <w:lang w:eastAsia="zh-CN"/>
        </w:rPr>
        <w:t>。</w:t>
      </w:r>
    </w:p>
    <w:p w14:paraId="58F7E855">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5</w:t>
      </w:r>
      <w:r>
        <w:rPr>
          <w:rFonts w:hint="eastAsia" w:hAnsi="宋体"/>
          <w:b/>
          <w:bCs/>
          <w:color w:val="auto"/>
          <w:sz w:val="24"/>
          <w:szCs w:val="24"/>
          <w:highlight w:val="none"/>
        </w:rPr>
        <w:t>）未提交最后报价的。</w:t>
      </w:r>
    </w:p>
    <w:p w14:paraId="2A256672">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int="eastAsia" w:hAnsi="宋体"/>
          <w:b/>
          <w:color w:val="auto"/>
          <w:sz w:val="24"/>
          <w:szCs w:val="24"/>
          <w:highlight w:val="none"/>
        </w:rPr>
      </w:pPr>
      <w:r>
        <w:rPr>
          <w:rFonts w:hint="eastAsia" w:hAnsi="宋体"/>
          <w:b/>
          <w:color w:val="auto"/>
          <w:sz w:val="24"/>
          <w:szCs w:val="24"/>
          <w:highlight w:val="none"/>
        </w:rPr>
        <w:t>3.参与同一个采购包（标段）的供应商存在下列情形之一且无法合理解释的，其投标（响应）文件无效：</w:t>
      </w:r>
    </w:p>
    <w:p w14:paraId="63DC0D0E">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hAnsi="宋体"/>
          <w:b w:val="0"/>
          <w:bCs/>
          <w:color w:val="auto"/>
          <w:sz w:val="24"/>
          <w:szCs w:val="24"/>
          <w:highlight w:val="none"/>
        </w:rPr>
      </w:pPr>
      <w:r>
        <w:rPr>
          <w:rFonts w:hint="eastAsia" w:hAnsi="宋体"/>
          <w:b w:val="0"/>
          <w:bCs/>
          <w:color w:val="auto"/>
          <w:sz w:val="24"/>
          <w:szCs w:val="24"/>
          <w:highlight w:val="none"/>
          <w:lang w:eastAsia="zh-CN"/>
        </w:rPr>
        <w:t>（</w:t>
      </w:r>
      <w:r>
        <w:rPr>
          <w:rFonts w:hint="eastAsia" w:hAnsi="宋体"/>
          <w:b w:val="0"/>
          <w:bCs/>
          <w:color w:val="auto"/>
          <w:sz w:val="24"/>
          <w:szCs w:val="24"/>
          <w:highlight w:val="none"/>
          <w:lang w:val="en-US" w:eastAsia="zh-CN"/>
        </w:rPr>
        <w:t>1</w:t>
      </w:r>
      <w:r>
        <w:rPr>
          <w:rFonts w:hint="eastAsia" w:hAnsi="宋体"/>
          <w:b w:val="0"/>
          <w:bCs/>
          <w:color w:val="auto"/>
          <w:sz w:val="24"/>
          <w:szCs w:val="24"/>
          <w:highlight w:val="none"/>
          <w:lang w:eastAsia="zh-CN"/>
        </w:rPr>
        <w:t>）</w:t>
      </w:r>
      <w:r>
        <w:rPr>
          <w:rFonts w:hint="eastAsia" w:hAnsi="宋体"/>
          <w:b w:val="0"/>
          <w:bCs/>
          <w:color w:val="auto"/>
          <w:sz w:val="24"/>
          <w:szCs w:val="24"/>
          <w:highlight w:val="none"/>
        </w:rPr>
        <w:t>不同供应商的电子投标（响应）文件上传计算机的网卡MAC地址或硬盘序列号等硬件信息相同的；</w:t>
      </w:r>
    </w:p>
    <w:p w14:paraId="56F59722">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hAnsi="宋体"/>
          <w:b w:val="0"/>
          <w:bCs/>
          <w:color w:val="auto"/>
          <w:sz w:val="24"/>
          <w:szCs w:val="24"/>
          <w:highlight w:val="none"/>
        </w:rPr>
      </w:pPr>
      <w:r>
        <w:rPr>
          <w:rFonts w:hint="eastAsia" w:hAnsi="宋体"/>
          <w:b w:val="0"/>
          <w:bCs/>
          <w:color w:val="auto"/>
          <w:sz w:val="24"/>
          <w:szCs w:val="24"/>
          <w:highlight w:val="none"/>
          <w:lang w:eastAsia="zh-CN"/>
        </w:rPr>
        <w:t>（</w:t>
      </w:r>
      <w:r>
        <w:rPr>
          <w:rFonts w:hint="eastAsia" w:hAnsi="宋体"/>
          <w:b w:val="0"/>
          <w:bCs/>
          <w:color w:val="auto"/>
          <w:sz w:val="24"/>
          <w:szCs w:val="24"/>
          <w:highlight w:val="none"/>
          <w:lang w:val="en-US" w:eastAsia="zh-CN"/>
        </w:rPr>
        <w:t>2</w:t>
      </w:r>
      <w:r>
        <w:rPr>
          <w:rFonts w:hint="eastAsia" w:hAnsi="宋体"/>
          <w:b w:val="0"/>
          <w:bCs/>
          <w:color w:val="auto"/>
          <w:sz w:val="24"/>
          <w:szCs w:val="24"/>
          <w:highlight w:val="none"/>
          <w:lang w:eastAsia="zh-CN"/>
        </w:rPr>
        <w:t>）</w:t>
      </w:r>
      <w:r>
        <w:rPr>
          <w:rFonts w:hint="eastAsia" w:hAnsi="宋体"/>
          <w:b w:val="0"/>
          <w:bCs/>
          <w:color w:val="auto"/>
          <w:sz w:val="24"/>
          <w:szCs w:val="24"/>
          <w:highlight w:val="none"/>
        </w:rPr>
        <w:t>上传的电子投标（响应）文件若出现使用本项目其他投标（响应）供应商的数字证书加密的，或者加盖本项目其他投标（响应）供应商的电子印章的；</w:t>
      </w:r>
    </w:p>
    <w:p w14:paraId="6A54F265">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hAnsi="宋体"/>
          <w:b w:val="0"/>
          <w:bCs/>
          <w:color w:val="auto"/>
          <w:sz w:val="24"/>
          <w:szCs w:val="24"/>
          <w:highlight w:val="none"/>
        </w:rPr>
      </w:pPr>
      <w:r>
        <w:rPr>
          <w:rFonts w:hint="eastAsia" w:hAnsi="宋体"/>
          <w:b w:val="0"/>
          <w:bCs/>
          <w:color w:val="auto"/>
          <w:sz w:val="24"/>
          <w:szCs w:val="24"/>
          <w:highlight w:val="none"/>
          <w:lang w:eastAsia="zh-CN"/>
        </w:rPr>
        <w:t>（</w:t>
      </w:r>
      <w:r>
        <w:rPr>
          <w:rFonts w:hint="eastAsia" w:hAnsi="宋体"/>
          <w:b w:val="0"/>
          <w:bCs/>
          <w:color w:val="auto"/>
          <w:sz w:val="24"/>
          <w:szCs w:val="24"/>
          <w:highlight w:val="none"/>
          <w:lang w:val="en-US" w:eastAsia="zh-CN"/>
        </w:rPr>
        <w:t>3</w:t>
      </w:r>
      <w:r>
        <w:rPr>
          <w:rFonts w:hint="eastAsia" w:hAnsi="宋体"/>
          <w:b w:val="0"/>
          <w:bCs/>
          <w:color w:val="auto"/>
          <w:sz w:val="24"/>
          <w:szCs w:val="24"/>
          <w:highlight w:val="none"/>
          <w:lang w:eastAsia="zh-CN"/>
        </w:rPr>
        <w:t>）</w:t>
      </w:r>
      <w:r>
        <w:rPr>
          <w:rFonts w:hint="eastAsia" w:hAnsi="宋体"/>
          <w:b w:val="0"/>
          <w:bCs/>
          <w:color w:val="auto"/>
          <w:sz w:val="24"/>
          <w:szCs w:val="24"/>
          <w:highlight w:val="none"/>
        </w:rPr>
        <w:t>不同供应商的投标（响应）文件的内容存在3处（含）以上错误一致的；</w:t>
      </w:r>
    </w:p>
    <w:p w14:paraId="322F18B5">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4" w:firstLineChars="200"/>
        <w:rPr>
          <w:rFonts w:hint="eastAsia" w:hAnsi="宋体" w:eastAsia="宋体"/>
          <w:b/>
          <w:color w:val="auto"/>
          <w:sz w:val="24"/>
          <w:szCs w:val="24"/>
          <w:highlight w:val="none"/>
          <w:lang w:val="en-US" w:eastAsia="zh-CN"/>
        </w:rPr>
      </w:pPr>
      <w:r>
        <w:rPr>
          <w:rFonts w:hint="eastAsia" w:hAnsi="宋体"/>
          <w:b w:val="0"/>
          <w:bCs/>
          <w:color w:val="auto"/>
          <w:sz w:val="24"/>
          <w:szCs w:val="24"/>
          <w:highlight w:val="none"/>
          <w:lang w:eastAsia="zh-CN"/>
        </w:rPr>
        <w:t>（</w:t>
      </w:r>
      <w:r>
        <w:rPr>
          <w:rFonts w:hint="eastAsia" w:hAnsi="宋体"/>
          <w:b w:val="0"/>
          <w:bCs/>
          <w:color w:val="auto"/>
          <w:sz w:val="24"/>
          <w:szCs w:val="24"/>
          <w:highlight w:val="none"/>
          <w:lang w:val="en-US" w:eastAsia="zh-CN"/>
        </w:rPr>
        <w:t>4</w:t>
      </w:r>
      <w:r>
        <w:rPr>
          <w:rFonts w:hint="eastAsia" w:hAnsi="宋体"/>
          <w:b w:val="0"/>
          <w:bCs/>
          <w:color w:val="auto"/>
          <w:sz w:val="24"/>
          <w:szCs w:val="24"/>
          <w:highlight w:val="none"/>
          <w:lang w:eastAsia="zh-CN"/>
        </w:rPr>
        <w:t>）</w:t>
      </w:r>
      <w:r>
        <w:rPr>
          <w:rFonts w:hint="eastAsia" w:hAnsi="宋体"/>
          <w:b w:val="0"/>
          <w:bCs/>
          <w:color w:val="auto"/>
          <w:sz w:val="24"/>
          <w:szCs w:val="24"/>
          <w:highlight w:val="none"/>
        </w:rPr>
        <w:t>不同供应商联系人为同一人或不同联系人的联系电话一致的</w:t>
      </w:r>
      <w:r>
        <w:rPr>
          <w:rFonts w:hint="eastAsia" w:hAnsi="宋体"/>
          <w:b w:val="0"/>
          <w:bCs/>
          <w:color w:val="auto"/>
          <w:sz w:val="24"/>
          <w:szCs w:val="24"/>
          <w:highlight w:val="none"/>
          <w:lang w:eastAsia="zh-CN"/>
        </w:rPr>
        <w:t>。</w:t>
      </w:r>
    </w:p>
    <w:p w14:paraId="6414923B">
      <w:pPr>
        <w:pStyle w:val="22"/>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66" w:firstLineChars="200"/>
        <w:rPr>
          <w:rFonts w:hAnsi="宋体"/>
          <w:b/>
          <w:color w:val="auto"/>
          <w:sz w:val="24"/>
          <w:szCs w:val="24"/>
          <w:highlight w:val="none"/>
        </w:rPr>
      </w:pPr>
      <w:r>
        <w:rPr>
          <w:rFonts w:hint="eastAsia" w:hAnsi="宋体"/>
          <w:b/>
          <w:color w:val="auto"/>
          <w:sz w:val="24"/>
          <w:szCs w:val="24"/>
          <w:highlight w:val="none"/>
          <w:lang w:val="en-US" w:eastAsia="zh-CN"/>
        </w:rPr>
        <w:t>4.</w:t>
      </w:r>
      <w:r>
        <w:rPr>
          <w:rFonts w:hint="eastAsia" w:hAnsi="宋体"/>
          <w:b/>
          <w:color w:val="auto"/>
          <w:sz w:val="24"/>
          <w:szCs w:val="24"/>
          <w:highlight w:val="none"/>
        </w:rPr>
        <w:t>被拒绝的响应文件为无效。</w:t>
      </w:r>
    </w:p>
    <w:p w14:paraId="5443BF0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ascii="宋体" w:hAnsi="宋体"/>
          <w:b/>
          <w:color w:val="auto"/>
          <w:sz w:val="24"/>
          <w:highlight w:val="none"/>
          <w:u w:val="single"/>
        </w:rPr>
      </w:pPr>
      <w:r>
        <w:rPr>
          <w:rFonts w:hint="eastAsia" w:ascii="宋体" w:hAnsi="宋体"/>
          <w:b/>
          <w:color w:val="auto"/>
          <w:sz w:val="24"/>
          <w:highlight w:val="none"/>
        </w:rPr>
        <w:t>（八）在招标采购中，出现下列情形之一的，应予废标</w:t>
      </w:r>
    </w:p>
    <w:p w14:paraId="10BEFBC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行为</w:t>
      </w:r>
      <w:r>
        <w:rPr>
          <w:rFonts w:ascii="宋体" w:hAnsi="宋体"/>
          <w:color w:val="auto"/>
          <w:sz w:val="24"/>
          <w:highlight w:val="none"/>
        </w:rPr>
        <w:t>的；</w:t>
      </w:r>
    </w:p>
    <w:p w14:paraId="3761936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因重大变故，采购任务取消的；</w:t>
      </w:r>
    </w:p>
    <w:p w14:paraId="3FEF795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ascii="宋体" w:hAnsi="宋体"/>
          <w:color w:val="auto"/>
          <w:sz w:val="24"/>
          <w:highlight w:val="none"/>
        </w:rPr>
      </w:pPr>
      <w:r>
        <w:rPr>
          <w:rFonts w:hint="eastAsia" w:ascii="宋体" w:hAnsi="宋体"/>
          <w:color w:val="auto"/>
          <w:sz w:val="24"/>
          <w:highlight w:val="none"/>
        </w:rPr>
        <w:t>3、供应商的报价均超过了采购预算价，采购人不能支付的。</w:t>
      </w:r>
    </w:p>
    <w:p w14:paraId="015FC92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.其他法律法规规定应予以废标的情形。</w:t>
      </w:r>
    </w:p>
    <w:p w14:paraId="3925CE7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四、磋商</w:t>
      </w:r>
    </w:p>
    <w:p w14:paraId="1329B09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ascii="宋体" w:hAnsi="宋体"/>
          <w:color w:val="auto"/>
          <w:sz w:val="24"/>
          <w:highlight w:val="none"/>
        </w:rPr>
      </w:pPr>
      <w:r>
        <w:rPr>
          <w:rFonts w:hint="eastAsia" w:ascii="宋体" w:hAnsi="宋体"/>
          <w:color w:val="auto"/>
          <w:sz w:val="24"/>
          <w:highlight w:val="none"/>
        </w:rPr>
        <w:t>招标人将根据本次磋商采购的特点按照《中华人民共和国政府采购法》、《政府采购竞争性磋商采购方式管理暂行办法》等规定组建磋商小组，磋商工作由磋商小组负责。</w:t>
      </w:r>
    </w:p>
    <w:p w14:paraId="2F2BAC1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textAlignment w:val="bottom"/>
        <w:rPr>
          <w:rFonts w:ascii="宋体" w:hAnsi="宋体"/>
          <w:b/>
          <w:bCs/>
          <w:color w:val="auto"/>
          <w:sz w:val="24"/>
          <w:highlight w:val="none"/>
        </w:rPr>
      </w:pPr>
      <w:bookmarkStart w:id="22" w:name="_Hlk81829719"/>
      <w:r>
        <w:rPr>
          <w:rFonts w:hint="eastAsia" w:ascii="宋体" w:hAnsi="宋体"/>
          <w:b/>
          <w:bCs/>
          <w:color w:val="auto"/>
          <w:sz w:val="24"/>
          <w:highlight w:val="none"/>
        </w:rPr>
        <w:t>（一）组建磋商小组</w:t>
      </w:r>
    </w:p>
    <w:p w14:paraId="69C0F86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（1）本项目磋商小组由招标人依法组建。</w:t>
      </w:r>
    </w:p>
    <w:p w14:paraId="58DB141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（2）磋商小组成员与参与投标的供应商有下列情形之一的，应当回避：</w:t>
      </w:r>
    </w:p>
    <w:p w14:paraId="70501D7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ascii="宋体" w:hAnsi="宋体"/>
          <w:color w:val="auto"/>
          <w:sz w:val="24"/>
          <w:highlight w:val="none"/>
        </w:rPr>
      </w:pPr>
      <w:r>
        <w:rPr>
          <w:rFonts w:hint="eastAsia" w:ascii="宋体" w:hAnsi="宋体"/>
          <w:color w:val="auto"/>
          <w:sz w:val="24"/>
          <w:highlight w:val="none"/>
        </w:rPr>
        <w:t>①参加采购活动前3年内与供应商存在劳动关系；</w:t>
      </w:r>
    </w:p>
    <w:p w14:paraId="46FEB3F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ascii="宋体" w:hAnsi="宋体"/>
          <w:color w:val="auto"/>
          <w:sz w:val="24"/>
          <w:highlight w:val="none"/>
        </w:rPr>
      </w:pPr>
      <w:r>
        <w:rPr>
          <w:rFonts w:hint="eastAsia" w:ascii="宋体" w:hAnsi="宋体"/>
          <w:color w:val="auto"/>
          <w:sz w:val="24"/>
          <w:highlight w:val="none"/>
        </w:rPr>
        <w:t>②参加采购活动前3年内担任供应商的董事、监事；</w:t>
      </w:r>
    </w:p>
    <w:p w14:paraId="374AC74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ascii="宋体" w:hAnsi="宋体"/>
          <w:color w:val="auto"/>
          <w:sz w:val="24"/>
          <w:highlight w:val="none"/>
        </w:rPr>
      </w:pPr>
      <w:r>
        <w:rPr>
          <w:rFonts w:hint="eastAsia" w:ascii="宋体" w:hAnsi="宋体"/>
          <w:color w:val="auto"/>
          <w:sz w:val="24"/>
          <w:highlight w:val="none"/>
        </w:rPr>
        <w:t>③参加采购活动前3年内是供应商的控股股东或者实际控制人；</w:t>
      </w:r>
    </w:p>
    <w:p w14:paraId="1C25F6D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ascii="宋体" w:hAnsi="宋体"/>
          <w:color w:val="auto"/>
          <w:sz w:val="24"/>
          <w:highlight w:val="none"/>
        </w:rPr>
      </w:pPr>
      <w:r>
        <w:rPr>
          <w:rFonts w:hint="eastAsia" w:ascii="宋体" w:hAnsi="宋体"/>
          <w:color w:val="auto"/>
          <w:sz w:val="24"/>
          <w:highlight w:val="none"/>
        </w:rPr>
        <w:t>④与供应商的法定代表人或者负责人有夫妻、直系血亲、三代以内旁系血亲或者近姻亲关系；</w:t>
      </w:r>
    </w:p>
    <w:p w14:paraId="0CF5D95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ascii="宋体" w:hAnsi="宋体"/>
          <w:color w:val="auto"/>
          <w:sz w:val="24"/>
          <w:highlight w:val="none"/>
        </w:rPr>
      </w:pPr>
      <w:r>
        <w:rPr>
          <w:rFonts w:hint="eastAsia" w:ascii="宋体" w:hAnsi="宋体"/>
          <w:color w:val="auto"/>
          <w:sz w:val="24"/>
          <w:highlight w:val="none"/>
        </w:rPr>
        <w:t>⑤与供应商有其他可能影响政府采购活动公平、公正进行的关系。</w:t>
      </w:r>
    </w:p>
    <w:p w14:paraId="2FB54A2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（3）磋商小组负责具体评标事务，并独立履行下列职责：</w:t>
      </w:r>
    </w:p>
    <w:p w14:paraId="0B007FF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ascii="宋体" w:hAnsi="宋体"/>
          <w:color w:val="auto"/>
          <w:sz w:val="24"/>
          <w:highlight w:val="none"/>
        </w:rPr>
      </w:pPr>
      <w:r>
        <w:rPr>
          <w:rFonts w:hint="eastAsia" w:ascii="宋体" w:hAnsi="宋体"/>
          <w:color w:val="auto"/>
          <w:sz w:val="24"/>
          <w:highlight w:val="none"/>
        </w:rPr>
        <w:t>1.审查、评价响应文件是否符合磋商文件的商务、技术等实质性要求；</w:t>
      </w:r>
    </w:p>
    <w:p w14:paraId="0E5C851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ascii="宋体" w:hAnsi="宋体"/>
          <w:color w:val="auto"/>
          <w:sz w:val="24"/>
          <w:highlight w:val="none"/>
        </w:rPr>
      </w:pPr>
      <w:r>
        <w:rPr>
          <w:rFonts w:hint="eastAsia" w:ascii="宋体" w:hAnsi="宋体"/>
          <w:color w:val="auto"/>
          <w:sz w:val="24"/>
          <w:highlight w:val="none"/>
        </w:rPr>
        <w:t>2.要求供应商对响应文件有关事项作出澄清或者说明；</w:t>
      </w:r>
    </w:p>
    <w:p w14:paraId="2BD212A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ascii="宋体" w:hAnsi="宋体"/>
          <w:color w:val="auto"/>
          <w:sz w:val="24"/>
          <w:highlight w:val="none"/>
        </w:rPr>
      </w:pPr>
      <w:r>
        <w:rPr>
          <w:rFonts w:hint="eastAsia" w:ascii="宋体" w:hAnsi="宋体"/>
          <w:color w:val="auto"/>
          <w:sz w:val="24"/>
          <w:highlight w:val="none"/>
        </w:rPr>
        <w:t>3.对响应文件进行比较和评价；</w:t>
      </w:r>
    </w:p>
    <w:p w14:paraId="46490E7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ascii="宋体" w:hAnsi="宋体"/>
          <w:color w:val="auto"/>
          <w:sz w:val="24"/>
          <w:highlight w:val="none"/>
        </w:rPr>
      </w:pPr>
      <w:r>
        <w:rPr>
          <w:rFonts w:hint="eastAsia" w:ascii="宋体" w:hAnsi="宋体"/>
          <w:color w:val="auto"/>
          <w:sz w:val="24"/>
          <w:highlight w:val="none"/>
        </w:rPr>
        <w:t>4.确定成交候选人名单，以及根据采购人委托直接确定成交人；</w:t>
      </w:r>
    </w:p>
    <w:p w14:paraId="00CD351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ascii="宋体" w:hAnsi="宋体"/>
          <w:color w:val="auto"/>
          <w:sz w:val="24"/>
          <w:highlight w:val="none"/>
        </w:rPr>
      </w:pPr>
      <w:r>
        <w:rPr>
          <w:rFonts w:hint="eastAsia" w:ascii="宋体" w:hAnsi="宋体"/>
          <w:color w:val="auto"/>
          <w:sz w:val="24"/>
          <w:highlight w:val="none"/>
        </w:rPr>
        <w:t>5.向采购人、采购组织机构或者有关部门报告评标中发现的违法行为；</w:t>
      </w:r>
    </w:p>
    <w:p w14:paraId="70930EB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textAlignment w:val="bottom"/>
        <w:rPr>
          <w:rFonts w:ascii="宋体" w:hAnsi="宋体"/>
          <w:color w:val="auto"/>
          <w:sz w:val="24"/>
          <w:highlight w:val="none"/>
        </w:rPr>
      </w:pPr>
      <w:r>
        <w:rPr>
          <w:rFonts w:hint="eastAsia" w:ascii="宋体" w:hAnsi="宋体"/>
          <w:color w:val="auto"/>
          <w:sz w:val="24"/>
          <w:highlight w:val="none"/>
        </w:rPr>
        <w:t>6.法律法规规定的其他职责。</w:t>
      </w:r>
    </w:p>
    <w:bookmarkEnd w:id="22"/>
    <w:p w14:paraId="1739F06D">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Ansi="宋体" w:cs="宋体"/>
          <w:b/>
          <w:color w:val="auto"/>
          <w:highlight w:val="none"/>
        </w:rPr>
      </w:pPr>
      <w:r>
        <w:rPr>
          <w:rFonts w:hint="eastAsia" w:hAnsi="宋体" w:cs="宋体"/>
          <w:b/>
          <w:color w:val="auto"/>
          <w:highlight w:val="none"/>
        </w:rPr>
        <w:t>（二）磋商准备</w:t>
      </w:r>
    </w:p>
    <w:p w14:paraId="6D892D08">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Ansi="宋体"/>
          <w:b/>
          <w:color w:val="auto"/>
          <w:highlight w:val="none"/>
          <w:u w:val="single"/>
          <w:shd w:val="pct10" w:color="auto" w:fill="FFFFFF"/>
        </w:rPr>
      </w:pPr>
      <w:r>
        <w:rPr>
          <w:rFonts w:hint="eastAsia" w:hAnsi="宋体"/>
          <w:b/>
          <w:color w:val="auto"/>
          <w:highlight w:val="none"/>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highlight w:val="none"/>
          <w:u w:val="single"/>
          <w:shd w:val="pct10" w:color="auto" w:fill="FFFFFF"/>
        </w:rPr>
        <w:t>磋商</w:t>
      </w:r>
      <w:r>
        <w:rPr>
          <w:rFonts w:hint="eastAsia" w:hAnsi="宋体"/>
          <w:b/>
          <w:color w:val="auto"/>
          <w:highlight w:val="none"/>
          <w:u w:val="single"/>
          <w:shd w:val="pct10" w:color="auto" w:fill="FFFFFF"/>
        </w:rPr>
        <w:t>过程和</w:t>
      </w:r>
      <w:r>
        <w:rPr>
          <w:rFonts w:hint="eastAsia" w:hAnsi="宋体" w:cs="宋体"/>
          <w:b/>
          <w:color w:val="auto"/>
          <w:highlight w:val="none"/>
          <w:u w:val="single"/>
          <w:shd w:val="pct10" w:color="auto" w:fill="FFFFFF"/>
        </w:rPr>
        <w:t>磋商</w:t>
      </w:r>
      <w:r>
        <w:rPr>
          <w:rFonts w:hint="eastAsia" w:hAnsi="宋体"/>
          <w:b/>
          <w:color w:val="auto"/>
          <w:highlight w:val="none"/>
          <w:u w:val="single"/>
          <w:shd w:val="pct10" w:color="auto" w:fill="FFFFFF"/>
        </w:rPr>
        <w:t>结果提出异议，同时供应商因未在线参加开标而导致响应文件无法按时解密等一切后果由供应商自己承担。</w:t>
      </w:r>
    </w:p>
    <w:p w14:paraId="5218CCD6">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bCs/>
          <w:color w:val="auto"/>
          <w:highlight w:val="none"/>
        </w:rPr>
      </w:pPr>
      <w:r>
        <w:rPr>
          <w:rFonts w:hint="eastAsia" w:hAnsi="宋体"/>
          <w:bCs/>
          <w:color w:val="auto"/>
          <w:highlight w:val="none"/>
        </w:rPr>
        <w:t>采购过程中出现以下情形，导致电子交易平台无法正常运行，或者无法保证电子交易的公平、公正和安全时，采购组织机构可中止电子交易活动：</w:t>
      </w:r>
    </w:p>
    <w:p w14:paraId="4E9A22BB">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bCs/>
          <w:color w:val="auto"/>
          <w:highlight w:val="none"/>
        </w:rPr>
      </w:pPr>
      <w:r>
        <w:rPr>
          <w:rFonts w:hint="eastAsia" w:hAnsi="宋体"/>
          <w:bCs/>
          <w:color w:val="auto"/>
          <w:highlight w:val="none"/>
        </w:rPr>
        <w:t xml:space="preserve">（1）电子交易平台发生故障、停电而无法登录访问的； </w:t>
      </w:r>
    </w:p>
    <w:p w14:paraId="4D433AA2">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bCs/>
          <w:color w:val="auto"/>
          <w:highlight w:val="none"/>
        </w:rPr>
      </w:pPr>
      <w:r>
        <w:rPr>
          <w:rFonts w:hint="eastAsia" w:hAnsi="宋体"/>
          <w:bCs/>
          <w:color w:val="auto"/>
          <w:highlight w:val="none"/>
        </w:rPr>
        <w:t>（2）电子交易平台应用或数据库出现错误，不能进行正常操作的；</w:t>
      </w:r>
    </w:p>
    <w:p w14:paraId="4C882502">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bCs/>
          <w:color w:val="auto"/>
          <w:highlight w:val="none"/>
        </w:rPr>
      </w:pPr>
      <w:r>
        <w:rPr>
          <w:rFonts w:hint="eastAsia" w:hAnsi="宋体"/>
          <w:bCs/>
          <w:color w:val="auto"/>
          <w:highlight w:val="none"/>
        </w:rPr>
        <w:t>（3）电子交易平台发现严重安全漏洞，有潜在泄密危险的；</w:t>
      </w:r>
    </w:p>
    <w:p w14:paraId="4AF3ABA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bCs/>
          <w:color w:val="auto"/>
          <w:highlight w:val="none"/>
        </w:rPr>
      </w:pPr>
      <w:r>
        <w:rPr>
          <w:rFonts w:hint="eastAsia" w:hAnsi="宋体"/>
          <w:bCs/>
          <w:color w:val="auto"/>
          <w:highlight w:val="none"/>
        </w:rPr>
        <w:t xml:space="preserve">（4）病毒发作导致不能进行正常操作的； </w:t>
      </w:r>
    </w:p>
    <w:p w14:paraId="21431830">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bCs/>
          <w:color w:val="auto"/>
          <w:highlight w:val="none"/>
        </w:rPr>
      </w:pPr>
      <w:r>
        <w:rPr>
          <w:rFonts w:hint="eastAsia" w:hAnsi="宋体"/>
          <w:bCs/>
          <w:color w:val="auto"/>
          <w:highlight w:val="none"/>
        </w:rPr>
        <w:t>（5）其他无法保证电子交易的公平、公正和安全的情况。</w:t>
      </w:r>
    </w:p>
    <w:p w14:paraId="028E1E7D">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bCs/>
          <w:color w:val="auto"/>
          <w:highlight w:val="none"/>
        </w:rPr>
      </w:pPr>
      <w:r>
        <w:rPr>
          <w:rFonts w:hint="eastAsia" w:hAnsi="宋体"/>
          <w:bCs/>
          <w:color w:val="auto"/>
          <w:highlight w:val="none"/>
        </w:rPr>
        <w:t>出现前款规定情形，不影响采购公平、公正性的，采购组织机构可以待上述情形消除后继续组织电子交易活动，影响或可能影响采购公平、公正性的，应当重新采购。</w:t>
      </w:r>
    </w:p>
    <w:p w14:paraId="6DB15290">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Ansi="宋体" w:cs="宋体"/>
          <w:b/>
          <w:color w:val="auto"/>
          <w:highlight w:val="none"/>
        </w:rPr>
      </w:pPr>
      <w:r>
        <w:rPr>
          <w:rFonts w:hint="eastAsia" w:hAnsi="宋体"/>
          <w:b/>
          <w:color w:val="auto"/>
          <w:highlight w:val="none"/>
        </w:rPr>
        <w:t xml:space="preserve">（三）磋商程序   </w:t>
      </w:r>
      <w:r>
        <w:rPr>
          <w:rFonts w:hint="eastAsia" w:hAnsi="宋体" w:cs="宋体"/>
          <w:b/>
          <w:color w:val="auto"/>
          <w:highlight w:val="none"/>
        </w:rPr>
        <w:t xml:space="preserve"> </w:t>
      </w:r>
    </w:p>
    <w:p w14:paraId="45725744">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olor w:val="auto"/>
          <w:highlight w:val="none"/>
        </w:rPr>
      </w:pPr>
      <w:r>
        <w:rPr>
          <w:rFonts w:hint="eastAsia" w:hAnsi="宋体"/>
          <w:color w:val="auto"/>
          <w:highlight w:val="none"/>
        </w:rPr>
        <w:t>1.开标会由招标人主持，</w:t>
      </w:r>
      <w:bookmarkStart w:id="23" w:name="_Hlk59694585"/>
      <w:r>
        <w:rPr>
          <w:rFonts w:hint="eastAsia" w:hAnsi="宋体"/>
          <w:b/>
          <w:bCs/>
          <w:color w:val="auto"/>
          <w:highlight w:val="none"/>
          <w:u w:val="single"/>
          <w:shd w:val="pct10" w:color="auto" w:fill="FFFFFF"/>
        </w:rPr>
        <w:t>并通过临海市公共资源交易中心网站--每日直播平台进行现场直播，各供应商请准时在线参加。</w:t>
      </w:r>
      <w:bookmarkStart w:id="24" w:name="_Hlk59690176"/>
      <w:r>
        <w:rPr>
          <w:rFonts w:hint="eastAsia" w:hAnsi="宋体"/>
          <w:b/>
          <w:bCs/>
          <w:color w:val="auto"/>
          <w:highlight w:val="none"/>
          <w:u w:val="single"/>
          <w:shd w:val="pct10" w:color="auto" w:fill="FFFFFF"/>
        </w:rPr>
        <w:t>各供应商如对开、磋商过程有异议的，应该登陆临海市公共资源交易中心网站</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-每日直播平台---点击该项目</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登陆，进入供应商提问区进行提问，招标人（采购代理机构）应当及时作出答复，并制作记录</w:t>
      </w:r>
      <w:bookmarkEnd w:id="23"/>
      <w:r>
        <w:rPr>
          <w:rFonts w:hint="eastAsia" w:hAnsi="宋体"/>
          <w:b/>
          <w:bCs/>
          <w:color w:val="auto"/>
          <w:highlight w:val="none"/>
          <w:u w:val="single"/>
          <w:shd w:val="pct10" w:color="auto" w:fill="FFFFFF"/>
        </w:rPr>
        <w:t>；</w:t>
      </w:r>
    </w:p>
    <w:bookmarkEnd w:id="24"/>
    <w:p w14:paraId="0750B04E">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olor w:val="auto"/>
          <w:highlight w:val="none"/>
          <w:u w:val="single"/>
        </w:rPr>
      </w:pPr>
      <w:r>
        <w:rPr>
          <w:rFonts w:hint="eastAsia" w:hAnsi="宋体"/>
          <w:color w:val="auto"/>
          <w:highlight w:val="none"/>
        </w:rPr>
        <w:t>2.</w:t>
      </w:r>
      <w:r>
        <w:rPr>
          <w:rFonts w:hint="eastAsia"/>
          <w:color w:val="auto"/>
          <w:highlight w:val="none"/>
        </w:rPr>
        <w:t xml:space="preserve"> </w:t>
      </w:r>
      <w:r>
        <w:rPr>
          <w:rFonts w:hint="eastAsia" w:hAnsi="宋体"/>
          <w:color w:val="auto"/>
          <w:highlight w:val="none"/>
        </w:rPr>
        <w:t>招标人点击政采云系统--【开始解密】按钮，</w:t>
      </w:r>
      <w:bookmarkStart w:id="25" w:name="_Hlk59625783"/>
      <w:r>
        <w:rPr>
          <w:rFonts w:hint="eastAsia" w:hAnsi="宋体"/>
          <w:color w:val="auto"/>
          <w:highlight w:val="none"/>
        </w:rPr>
        <w:t>由供应商按磋商文件规定的时间</w:t>
      </w:r>
      <w:bookmarkStart w:id="26" w:name="_Hlk60946168"/>
      <w:r>
        <w:rPr>
          <w:rFonts w:hint="eastAsia" w:hAnsi="宋体"/>
          <w:color w:val="auto"/>
          <w:highlight w:val="none"/>
        </w:rPr>
        <w:t>及</w:t>
      </w:r>
      <w:bookmarkStart w:id="27" w:name="_Hlk59626264"/>
      <w:r>
        <w:rPr>
          <w:rFonts w:hint="eastAsia" w:hAnsi="宋体"/>
          <w:color w:val="auto"/>
          <w:highlight w:val="none"/>
        </w:rPr>
        <w:t>政采云平台</w:t>
      </w:r>
      <w:bookmarkEnd w:id="27"/>
      <w:r>
        <w:rPr>
          <w:rFonts w:hint="eastAsia" w:hAnsi="宋体"/>
          <w:color w:val="auto"/>
          <w:highlight w:val="none"/>
        </w:rPr>
        <w:t>显示的时间内自行进行响应文件解密。</w:t>
      </w:r>
      <w:bookmarkEnd w:id="25"/>
      <w:r>
        <w:rPr>
          <w:rFonts w:hint="eastAsia" w:hAnsi="宋体"/>
          <w:color w:val="auto"/>
          <w:highlight w:val="none"/>
          <w:u w:val="single"/>
        </w:rPr>
        <w:t>响应文件的制作和解密应使用同一个数字证书，否则将可能解密失败。解密过程中如因CA数字证书等问题而无法解密的，请马上致电汇信客服电话：400-888-4636，天谷客服电话：400-087-8198寻求解决。</w:t>
      </w:r>
      <w:bookmarkStart w:id="28" w:name="_Hlk59805375"/>
      <w:r>
        <w:rPr>
          <w:rFonts w:hint="eastAsia" w:hAnsi="宋体"/>
          <w:color w:val="auto"/>
          <w:highlight w:val="none"/>
          <w:u w:val="single"/>
        </w:rPr>
        <w:t>供应商未按时解密或解密失败的，其响应文件为无效标。</w:t>
      </w:r>
      <w:bookmarkEnd w:id="28"/>
    </w:p>
    <w:p w14:paraId="75BBD34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Ansi="宋体"/>
          <w:b/>
          <w:bCs/>
          <w:color w:val="auto"/>
          <w:highlight w:val="none"/>
          <w:u w:val="single"/>
          <w:shd w:val="pct10" w:color="auto" w:fill="FFFFFF"/>
        </w:rPr>
      </w:pPr>
    </w:p>
    <w:p w14:paraId="74A6AFE5">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Ansi="宋体"/>
          <w:b/>
          <w:bCs/>
          <w:color w:val="auto"/>
          <w:highlight w:val="none"/>
          <w:u w:val="single"/>
          <w:shd w:val="pct10" w:color="auto" w:fill="FFFFFF"/>
        </w:rPr>
      </w:pPr>
      <w:r>
        <w:rPr>
          <w:rFonts w:hint="eastAsia" w:hAnsi="宋体"/>
          <w:b/>
          <w:bCs/>
          <w:color w:val="auto"/>
          <w:highlight w:val="none"/>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6"/>
    <w:p w14:paraId="12147D6F">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b/>
          <w:bCs/>
          <w:color w:val="auto"/>
          <w:highlight w:val="none"/>
          <w:u w:val="single"/>
          <w:shd w:val="pct10" w:color="auto" w:fill="FFFFFF"/>
        </w:rPr>
      </w:pPr>
      <w:r>
        <w:rPr>
          <w:rFonts w:hAnsi="宋体"/>
          <w:color w:val="auto"/>
          <w:highlight w:val="none"/>
        </w:rPr>
        <w:t>3</w:t>
      </w:r>
      <w:r>
        <w:rPr>
          <w:rFonts w:hint="eastAsia" w:hAnsi="宋体"/>
          <w:color w:val="auto"/>
          <w:highlight w:val="none"/>
        </w:rPr>
        <w:t>.解密结束后，主持人介绍参加开标会的采购代理机构人员名单、供应商名称，并告知是否有需要回避的情况；</w:t>
      </w:r>
    </w:p>
    <w:p w14:paraId="0102FF58">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olor w:val="auto"/>
          <w:highlight w:val="none"/>
        </w:rPr>
      </w:pPr>
      <w:r>
        <w:rPr>
          <w:rFonts w:hAnsi="宋体"/>
          <w:color w:val="auto"/>
          <w:highlight w:val="none"/>
        </w:rPr>
        <w:t>4</w:t>
      </w:r>
      <w:r>
        <w:rPr>
          <w:rFonts w:hint="eastAsia" w:hAnsi="宋体"/>
          <w:color w:val="auto"/>
          <w:highlight w:val="none"/>
        </w:rPr>
        <w:t>.响应文件结束解密后，供应商应当通过邮件形式，将经授权代表签署的《政府采购活动现场确认声明书》</w:t>
      </w:r>
      <w:r>
        <w:rPr>
          <w:rFonts w:hint="eastAsia" w:hAnsi="宋体"/>
          <w:b/>
          <w:bCs/>
          <w:color w:val="auto"/>
          <w:highlight w:val="none"/>
          <w:u w:val="single"/>
        </w:rPr>
        <w:t>（格式见磋商文件最后一页1</w:t>
      </w:r>
      <w:r>
        <w:rPr>
          <w:rFonts w:hAnsi="宋体"/>
          <w:b/>
          <w:bCs/>
          <w:color w:val="auto"/>
          <w:highlight w:val="none"/>
          <w:u w:val="single"/>
        </w:rPr>
        <w:t>7</w:t>
      </w:r>
      <w:r>
        <w:rPr>
          <w:rFonts w:hint="eastAsia" w:hAnsi="宋体"/>
          <w:b/>
          <w:bCs/>
          <w:color w:val="auto"/>
          <w:highlight w:val="none"/>
          <w:u w:val="single"/>
        </w:rPr>
        <w:t>.政府采购活动现场确认声明书</w:t>
      </w:r>
      <w:r>
        <w:rPr>
          <w:rFonts w:hint="eastAsia" w:hAnsi="宋体"/>
          <w:color w:val="auto"/>
          <w:highlight w:val="none"/>
        </w:rPr>
        <w:t>）扫描件发至代理机构电子邮箱（</w:t>
      </w:r>
      <w:r>
        <w:rPr>
          <w:color w:val="auto"/>
          <w:highlight w:val="none"/>
        </w:rPr>
        <w:fldChar w:fldCharType="begin"/>
      </w:r>
      <w:r>
        <w:rPr>
          <w:color w:val="auto"/>
          <w:highlight w:val="none"/>
        </w:rPr>
        <w:instrText xml:space="preserve"> HYPERLINK "mailto:lhzb.gov.cn@163.com）,联系人" </w:instrText>
      </w:r>
      <w:r>
        <w:rPr>
          <w:color w:val="auto"/>
          <w:highlight w:val="none"/>
        </w:rPr>
        <w:fldChar w:fldCharType="separate"/>
      </w:r>
      <w:r>
        <w:rPr>
          <w:rFonts w:hint="eastAsia"/>
          <w:color w:val="auto"/>
          <w:highlight w:val="none"/>
          <w:lang w:val="en-US" w:eastAsia="zh-CN"/>
        </w:rPr>
        <w:t>tzyazb@163.com</w:t>
      </w:r>
      <w:r>
        <w:rPr>
          <w:rFonts w:hint="eastAsia"/>
          <w:color w:val="auto"/>
          <w:highlight w:val="none"/>
        </w:rPr>
        <w:t>）,联系人</w:t>
      </w:r>
      <w:r>
        <w:rPr>
          <w:rFonts w:hint="eastAsia"/>
          <w:color w:val="auto"/>
          <w:highlight w:val="none"/>
        </w:rPr>
        <w:fldChar w:fldCharType="end"/>
      </w:r>
      <w:r>
        <w:rPr>
          <w:rFonts w:hint="eastAsia" w:hAnsi="宋体"/>
          <w:color w:val="auto"/>
          <w:highlight w:val="none"/>
        </w:rPr>
        <w:t>：</w:t>
      </w:r>
      <w:r>
        <w:rPr>
          <w:rFonts w:hint="eastAsia" w:hAnsi="宋体"/>
          <w:color w:val="auto"/>
          <w:highlight w:val="none"/>
          <w:lang w:val="en-US" w:eastAsia="zh-CN"/>
        </w:rPr>
        <w:t>林女士</w:t>
      </w:r>
      <w:r>
        <w:rPr>
          <w:rFonts w:hint="eastAsia" w:hAnsi="宋体"/>
          <w:color w:val="auto"/>
          <w:highlight w:val="none"/>
        </w:rPr>
        <w:t>，电话：</w:t>
      </w:r>
      <w:r>
        <w:rPr>
          <w:rFonts w:hint="eastAsia" w:hAnsi="宋体"/>
          <w:color w:val="auto"/>
          <w:highlight w:val="none"/>
          <w:lang w:val="en-US" w:eastAsia="zh-CN"/>
        </w:rPr>
        <w:t>0576-88882270，15757696186</w:t>
      </w:r>
      <w:r>
        <w:rPr>
          <w:rFonts w:hint="eastAsia" w:hAnsi="宋体"/>
          <w:color w:val="auto"/>
          <w:highlight w:val="none"/>
        </w:rPr>
        <w:t>；</w:t>
      </w:r>
    </w:p>
    <w:p w14:paraId="08BA6A88">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olor w:val="auto"/>
          <w:highlight w:val="none"/>
        </w:rPr>
      </w:pPr>
      <w:r>
        <w:rPr>
          <w:rFonts w:hAnsi="宋体"/>
          <w:color w:val="auto"/>
          <w:highlight w:val="none"/>
        </w:rPr>
        <w:t>5</w:t>
      </w:r>
      <w:r>
        <w:rPr>
          <w:rFonts w:hint="eastAsia" w:hAnsi="宋体"/>
          <w:color w:val="auto"/>
          <w:highlight w:val="none"/>
        </w:rPr>
        <w:t>.采购组织机构点击【</w:t>
      </w:r>
      <w:bookmarkStart w:id="29" w:name="_Hlk59371589"/>
      <w:r>
        <w:rPr>
          <w:rFonts w:hint="eastAsia" w:hAnsi="宋体"/>
          <w:color w:val="auto"/>
          <w:highlight w:val="none"/>
        </w:rPr>
        <w:t>开启标书信息</w:t>
      </w:r>
      <w:bookmarkEnd w:id="29"/>
      <w:r>
        <w:rPr>
          <w:rFonts w:hint="eastAsia" w:hAnsi="宋体"/>
          <w:color w:val="auto"/>
          <w:highlight w:val="none"/>
        </w:rPr>
        <w:t>】，开启标书成功后进行磋商文件评审；</w:t>
      </w:r>
    </w:p>
    <w:p w14:paraId="6A2FDA46">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olor w:val="auto"/>
          <w:highlight w:val="none"/>
        </w:rPr>
      </w:pPr>
      <w:r>
        <w:rPr>
          <w:rFonts w:hAnsi="宋体"/>
          <w:color w:val="auto"/>
          <w:highlight w:val="none"/>
        </w:rPr>
        <w:t>6</w:t>
      </w:r>
      <w:r>
        <w:rPr>
          <w:rFonts w:hint="eastAsia" w:hAnsi="宋体"/>
          <w:color w:val="auto"/>
          <w:highlight w:val="none"/>
        </w:rPr>
        <w:t>.磋商小组全体成员通过“政采云视频询标（视频讲标）系统”分别与单一供应商进行磋商，</w:t>
      </w:r>
      <w:r>
        <w:rPr>
          <w:rFonts w:hint="eastAsia" w:hAnsi="宋体"/>
          <w:color w:val="auto"/>
          <w:highlight w:val="none"/>
          <w:u w:val="single"/>
        </w:rPr>
        <w:t>磋商顺序可按照磋商响应文件解密顺序进行</w:t>
      </w:r>
      <w:r>
        <w:rPr>
          <w:rFonts w:hint="eastAsia" w:hAnsi="宋体"/>
          <w:color w:val="auto"/>
          <w:highlight w:val="none"/>
        </w:rPr>
        <w:t>。“政采云视频询标（视频讲标）系统”通过音视频的方式进行评委和供应商的实时音视频对话。</w:t>
      </w:r>
    </w:p>
    <w:p w14:paraId="7B85DB9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ascii="宋体" w:hAnsi="宋体"/>
          <w:b/>
          <w:bCs/>
          <w:color w:val="auto"/>
          <w:kern w:val="0"/>
          <w:sz w:val="24"/>
          <w:highlight w:val="none"/>
          <w:u w:val="single"/>
          <w:shd w:val="pct10" w:color="auto" w:fill="FFFFFF"/>
        </w:rPr>
      </w:pPr>
      <w:r>
        <w:rPr>
          <w:rFonts w:hint="eastAsia" w:ascii="宋体" w:hAnsi="宋体"/>
          <w:b/>
          <w:bCs/>
          <w:color w:val="auto"/>
          <w:kern w:val="0"/>
          <w:sz w:val="24"/>
          <w:highlight w:val="none"/>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color w:val="auto"/>
          <w:sz w:val="24"/>
          <w:highlight w:val="none"/>
        </w:rPr>
      </w:pPr>
      <w:r>
        <w:rPr>
          <w:color w:val="auto"/>
          <w:sz w:val="24"/>
          <w:highlight w:val="none"/>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highlight w:val="none"/>
        </w:rPr>
        <w:t>在政采云系统上</w:t>
      </w:r>
      <w:r>
        <w:rPr>
          <w:color w:val="auto"/>
          <w:sz w:val="24"/>
          <w:highlight w:val="none"/>
        </w:rPr>
        <w:t>重新提交响应文件，并由其法定代表人或授权代表签字或者加盖公章</w:t>
      </w:r>
      <w:r>
        <w:rPr>
          <w:rFonts w:hint="eastAsia"/>
          <w:color w:val="auto"/>
          <w:sz w:val="24"/>
          <w:highlight w:val="none"/>
        </w:rPr>
        <w:t>；</w:t>
      </w:r>
    </w:p>
    <w:p w14:paraId="221EAC5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s="宋体"/>
          <w:b/>
          <w:bCs/>
          <w:color w:val="auto"/>
          <w:sz w:val="24"/>
          <w:highlight w:val="none"/>
          <w:u w:val="single"/>
          <w:shd w:val="pct10" w:color="auto" w:fill="FFFFFF"/>
        </w:rPr>
      </w:pPr>
      <w:r>
        <w:rPr>
          <w:rFonts w:hint="eastAsia"/>
          <w:color w:val="auto"/>
          <w:sz w:val="24"/>
          <w:highlight w:val="none"/>
        </w:rPr>
        <w:t>8</w:t>
      </w:r>
      <w:r>
        <w:rPr>
          <w:color w:val="auto"/>
          <w:sz w:val="24"/>
          <w:highlight w:val="none"/>
        </w:rPr>
        <w:t>、磋商文件能够详细列明采购标的的技术、服务要求的，磋商结束后，磋商小组将要求所有实质性响应的供应商在规定时间内</w:t>
      </w:r>
      <w:r>
        <w:rPr>
          <w:rFonts w:hint="eastAsia"/>
          <w:b/>
          <w:bCs/>
          <w:color w:val="auto"/>
          <w:sz w:val="24"/>
          <w:highlight w:val="none"/>
          <w:u w:val="single"/>
          <w:shd w:val="pct10" w:color="auto" w:fill="FFFFFF"/>
        </w:rPr>
        <w:t>（时间为30分钟，具体时间以政采云系统上显示的时间为准）</w:t>
      </w:r>
      <w:r>
        <w:rPr>
          <w:rFonts w:hint="eastAsia"/>
          <w:color w:val="auto"/>
          <w:sz w:val="24"/>
          <w:highlight w:val="none"/>
        </w:rPr>
        <w:t>在政采云系统上</w:t>
      </w:r>
      <w:r>
        <w:rPr>
          <w:color w:val="auto"/>
          <w:sz w:val="24"/>
          <w:highlight w:val="none"/>
        </w:rPr>
        <w:t>提交</w:t>
      </w:r>
      <w:bookmarkStart w:id="30" w:name="_Hlk4055646"/>
      <w:r>
        <w:rPr>
          <w:color w:val="auto"/>
          <w:sz w:val="24"/>
          <w:highlight w:val="none"/>
        </w:rPr>
        <w:t>最后报价，</w:t>
      </w:r>
      <w:bookmarkEnd w:id="30"/>
      <w:bookmarkStart w:id="31" w:name="_Hlk4055866"/>
      <w:r>
        <w:rPr>
          <w:color w:val="auto"/>
          <w:sz w:val="24"/>
          <w:highlight w:val="none"/>
        </w:rPr>
        <w:t>最后报价</w:t>
      </w:r>
      <w:bookmarkEnd w:id="31"/>
      <w:r>
        <w:rPr>
          <w:color w:val="auto"/>
          <w:sz w:val="24"/>
          <w:highlight w:val="none"/>
        </w:rPr>
        <w:t>是供应商响应文件的有效组成部分。</w:t>
      </w:r>
      <w:r>
        <w:rPr>
          <w:rFonts w:hint="eastAsia" w:ascii="宋体" w:hAnsi="宋体" w:cs="宋体"/>
          <w:b/>
          <w:bCs/>
          <w:color w:val="auto"/>
          <w:sz w:val="24"/>
          <w:highlight w:val="none"/>
          <w:u w:val="single"/>
          <w:shd w:val="pct10" w:color="auto" w:fill="FFFFFF"/>
        </w:rPr>
        <w:t>未在规定时间内提交最后报价的为无效标；</w:t>
      </w:r>
    </w:p>
    <w:p w14:paraId="46EE9D1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color w:val="auto"/>
          <w:sz w:val="24"/>
          <w:highlight w:val="none"/>
        </w:rPr>
      </w:pPr>
      <w:r>
        <w:rPr>
          <w:rFonts w:hint="eastAsia" w:ascii="宋体" w:hAnsi="宋体" w:cs="宋体"/>
          <w:b/>
          <w:bCs/>
          <w:color w:val="auto"/>
          <w:sz w:val="24"/>
          <w:highlight w:val="none"/>
          <w:u w:val="single"/>
          <w:shd w:val="pct10" w:color="auto" w:fill="FFFFFF"/>
        </w:rPr>
        <w:t>报价明细表中的最终单价根据初次总报价和最后总报价之间的下浮率作相应的下浮。</w:t>
      </w:r>
    </w:p>
    <w:p w14:paraId="18794DB0">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olor w:val="auto"/>
          <w:highlight w:val="none"/>
        </w:rPr>
      </w:pPr>
      <w:r>
        <w:rPr>
          <w:rFonts w:hint="eastAsia" w:hAnsi="宋体"/>
          <w:color w:val="auto"/>
          <w:highlight w:val="none"/>
        </w:rPr>
        <w:t>9</w:t>
      </w:r>
      <w:r>
        <w:rPr>
          <w:rFonts w:hAnsi="宋体"/>
          <w:color w:val="auto"/>
          <w:highlight w:val="none"/>
        </w:rPr>
        <w:t>、磋商小组</w:t>
      </w:r>
      <w:bookmarkStart w:id="32" w:name="_Hlk4052304"/>
      <w:r>
        <w:rPr>
          <w:rFonts w:hAnsi="宋体"/>
          <w:color w:val="auto"/>
          <w:highlight w:val="none"/>
        </w:rPr>
        <w:t>对提交最后报价</w:t>
      </w:r>
      <w:bookmarkStart w:id="33" w:name="_Hlk4052265"/>
      <w:r>
        <w:rPr>
          <w:rFonts w:hAnsi="宋体"/>
          <w:color w:val="auto"/>
          <w:highlight w:val="none"/>
        </w:rPr>
        <w:t>供应商的</w:t>
      </w:r>
      <w:bookmarkStart w:id="34" w:name="_Hlk61427018"/>
      <w:r>
        <w:rPr>
          <w:rFonts w:hint="eastAsia" w:hAnsi="宋体"/>
          <w:color w:val="auto"/>
          <w:highlight w:val="none"/>
        </w:rPr>
        <w:t>商务技术文件</w:t>
      </w:r>
      <w:bookmarkEnd w:id="34"/>
      <w:r>
        <w:rPr>
          <w:rFonts w:hint="eastAsia" w:hAnsi="宋体"/>
          <w:color w:val="auto"/>
          <w:highlight w:val="none"/>
        </w:rPr>
        <w:t>进行</w:t>
      </w:r>
      <w:bookmarkEnd w:id="33"/>
      <w:r>
        <w:rPr>
          <w:rFonts w:hint="eastAsia" w:hAnsi="宋体"/>
          <w:color w:val="auto"/>
          <w:highlight w:val="none"/>
        </w:rPr>
        <w:t>综合评分</w:t>
      </w:r>
      <w:bookmarkEnd w:id="32"/>
      <w:r>
        <w:rPr>
          <w:rFonts w:hint="eastAsia" w:hAnsi="宋体"/>
          <w:color w:val="auto"/>
          <w:highlight w:val="none"/>
        </w:rPr>
        <w:t>；</w:t>
      </w:r>
    </w:p>
    <w:p w14:paraId="295CDCE9">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b/>
          <w:bCs/>
          <w:color w:val="auto"/>
          <w:highlight w:val="none"/>
          <w:u w:val="single"/>
        </w:rPr>
      </w:pPr>
      <w:r>
        <w:rPr>
          <w:rFonts w:hAnsi="宋体"/>
          <w:color w:val="auto"/>
          <w:highlight w:val="none"/>
        </w:rPr>
        <w:t>10</w:t>
      </w:r>
      <w:r>
        <w:rPr>
          <w:rFonts w:hint="eastAsia" w:hAnsi="宋体"/>
          <w:color w:val="auto"/>
          <w:highlight w:val="none"/>
        </w:rPr>
        <w:t>.由主持人公布商务技术文件无效的供应商名单、投标无效的原因及其他有效投标的商务技术文件评分汇总分；</w:t>
      </w:r>
      <w:r>
        <w:rPr>
          <w:rFonts w:hint="eastAsia" w:hAnsi="宋体"/>
          <w:b/>
          <w:bCs/>
          <w:color w:val="auto"/>
          <w:highlight w:val="none"/>
          <w:u w:val="single"/>
          <w:shd w:val="pct10" w:color="auto" w:fill="FFFFFF"/>
        </w:rPr>
        <w:t>供应商可通过政采云平台及临海市公共资源交易中心视频直播平台查看评审结果，请各供应商注意收看；</w:t>
      </w:r>
    </w:p>
    <w:p w14:paraId="1DE43C36">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olor w:val="auto"/>
          <w:highlight w:val="none"/>
        </w:rPr>
      </w:pPr>
      <w:r>
        <w:rPr>
          <w:rFonts w:hAnsi="宋体"/>
          <w:color w:val="auto"/>
          <w:highlight w:val="none"/>
        </w:rPr>
        <w:t>11</w:t>
      </w:r>
      <w:r>
        <w:rPr>
          <w:rFonts w:hint="eastAsia" w:hAnsi="宋体"/>
          <w:color w:val="auto"/>
          <w:highlight w:val="none"/>
        </w:rPr>
        <w:t>.开启报价响应文件，</w:t>
      </w:r>
      <w:r>
        <w:rPr>
          <w:rFonts w:hint="eastAsia" w:hAnsi="宋体"/>
          <w:b/>
          <w:bCs/>
          <w:color w:val="auto"/>
          <w:highlight w:val="none"/>
          <w:u w:val="single"/>
        </w:rPr>
        <w:t>代理机构在线公布开标一览表有关内容，供应商应在1</w:t>
      </w:r>
      <w:r>
        <w:rPr>
          <w:rFonts w:hAnsi="宋体"/>
          <w:b/>
          <w:bCs/>
          <w:color w:val="auto"/>
          <w:highlight w:val="none"/>
          <w:u w:val="single"/>
        </w:rPr>
        <w:t>0</w:t>
      </w:r>
      <w:r>
        <w:rPr>
          <w:rFonts w:hint="eastAsia" w:hAnsi="宋体"/>
          <w:b/>
          <w:bCs/>
          <w:color w:val="auto"/>
          <w:highlight w:val="none"/>
          <w:u w:val="single"/>
        </w:rPr>
        <w:t>分钟内在线签字确认（不予确认或超时确认的应说明原因，否则视为无异议）；</w:t>
      </w:r>
    </w:p>
    <w:p w14:paraId="63873625">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olor w:val="auto"/>
          <w:highlight w:val="none"/>
        </w:rPr>
      </w:pPr>
      <w:r>
        <w:rPr>
          <w:rFonts w:hAnsi="宋体"/>
          <w:color w:val="auto"/>
          <w:highlight w:val="none"/>
        </w:rPr>
        <w:t>12</w:t>
      </w:r>
      <w:r>
        <w:rPr>
          <w:rFonts w:hint="eastAsia" w:hAnsi="宋体"/>
          <w:color w:val="auto"/>
          <w:highlight w:val="none"/>
        </w:rPr>
        <w:t>.报价文件评审,</w:t>
      </w:r>
      <w:r>
        <w:rPr>
          <w:rFonts w:hint="eastAsia" w:hAnsi="宋体"/>
          <w:b/>
          <w:bCs/>
          <w:color w:val="auto"/>
          <w:highlight w:val="none"/>
        </w:rPr>
        <w:t>审核各供应商小微企业情况；</w:t>
      </w:r>
    </w:p>
    <w:p w14:paraId="4A209586">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olor w:val="auto"/>
          <w:highlight w:val="none"/>
        </w:rPr>
      </w:pPr>
      <w:r>
        <w:rPr>
          <w:rFonts w:hAnsi="宋体"/>
          <w:color w:val="auto"/>
          <w:highlight w:val="none"/>
        </w:rPr>
        <w:t>13</w:t>
      </w:r>
      <w:r>
        <w:rPr>
          <w:rFonts w:hint="eastAsia" w:hAnsi="宋体"/>
          <w:color w:val="auto"/>
          <w:highlight w:val="none"/>
        </w:rPr>
        <w:t>．由主持人公布报价文件无效的供应商名单、投标无效的原因及其他有效投标的报价文件得分；</w:t>
      </w:r>
    </w:p>
    <w:p w14:paraId="04AF7A5D">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b/>
          <w:bCs/>
          <w:color w:val="auto"/>
          <w:highlight w:val="none"/>
          <w:u w:val="single"/>
        </w:rPr>
      </w:pPr>
      <w:r>
        <w:rPr>
          <w:rFonts w:hint="eastAsia" w:hAnsi="宋体"/>
          <w:color w:val="auto"/>
          <w:highlight w:val="none"/>
        </w:rPr>
        <w:t>1</w:t>
      </w:r>
      <w:r>
        <w:rPr>
          <w:rFonts w:hAnsi="宋体"/>
          <w:color w:val="auto"/>
          <w:highlight w:val="none"/>
        </w:rPr>
        <w:t>4</w:t>
      </w:r>
      <w:r>
        <w:rPr>
          <w:rFonts w:hint="eastAsia" w:hAnsi="宋体"/>
          <w:color w:val="auto"/>
          <w:highlight w:val="none"/>
        </w:rPr>
        <w:t>．宣布综合</w:t>
      </w:r>
      <w:bookmarkStart w:id="35" w:name="_Hlk59371720"/>
      <w:r>
        <w:rPr>
          <w:rFonts w:hint="eastAsia" w:hAnsi="宋体"/>
          <w:color w:val="auto"/>
          <w:highlight w:val="none"/>
        </w:rPr>
        <w:t>得分结果</w:t>
      </w:r>
      <w:bookmarkEnd w:id="35"/>
      <w:r>
        <w:rPr>
          <w:rFonts w:hint="eastAsia" w:hAnsi="宋体"/>
          <w:color w:val="auto"/>
          <w:highlight w:val="none"/>
        </w:rPr>
        <w:t>及成交候选人名单。</w:t>
      </w:r>
      <w:r>
        <w:rPr>
          <w:rFonts w:hint="eastAsia" w:hAnsi="宋体"/>
          <w:b/>
          <w:bCs/>
          <w:color w:val="auto"/>
          <w:highlight w:val="none"/>
          <w:u w:val="single"/>
          <w:shd w:val="pct10" w:color="auto" w:fill="FFFFFF"/>
        </w:rPr>
        <w:t>供应商可通过</w:t>
      </w:r>
      <w:bookmarkStart w:id="36" w:name="_Hlk59626287"/>
      <w:r>
        <w:rPr>
          <w:rFonts w:hint="eastAsia" w:hAnsi="宋体"/>
          <w:b/>
          <w:bCs/>
          <w:color w:val="auto"/>
          <w:highlight w:val="none"/>
          <w:u w:val="single"/>
          <w:shd w:val="pct10" w:color="auto" w:fill="FFFFFF"/>
        </w:rPr>
        <w:t>政采云平台及</w:t>
      </w:r>
      <w:bookmarkEnd w:id="36"/>
      <w:r>
        <w:rPr>
          <w:rFonts w:hint="eastAsia" w:hAnsi="宋体"/>
          <w:b/>
          <w:bCs/>
          <w:color w:val="auto"/>
          <w:highlight w:val="none"/>
          <w:u w:val="single"/>
          <w:shd w:val="pct10" w:color="auto" w:fill="FFFFFF"/>
        </w:rPr>
        <w:t>临海市公共资源交易中心视频直播平台查看评审结果，请各供应商注意收看；</w:t>
      </w:r>
    </w:p>
    <w:p w14:paraId="70A79F4E">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olor w:val="auto"/>
          <w:highlight w:val="none"/>
        </w:rPr>
      </w:pPr>
      <w:r>
        <w:rPr>
          <w:rFonts w:hint="eastAsia" w:hAnsi="宋体"/>
          <w:color w:val="auto"/>
          <w:highlight w:val="none"/>
        </w:rPr>
        <w:t>1</w:t>
      </w:r>
      <w:r>
        <w:rPr>
          <w:rFonts w:hAnsi="宋体"/>
          <w:color w:val="auto"/>
          <w:highlight w:val="none"/>
        </w:rPr>
        <w:t>5</w:t>
      </w:r>
      <w:r>
        <w:rPr>
          <w:rFonts w:hint="eastAsia" w:hAnsi="宋体"/>
          <w:color w:val="auto"/>
          <w:highlight w:val="none"/>
        </w:rPr>
        <w:t>．磋商会议结束。</w:t>
      </w:r>
    </w:p>
    <w:p w14:paraId="247902F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ascii="宋体" w:hAnsi="宋体" w:cs="宋体"/>
          <w:b/>
          <w:color w:val="auto"/>
          <w:sz w:val="24"/>
          <w:highlight w:val="none"/>
        </w:rPr>
      </w:pPr>
      <w:bookmarkStart w:id="37" w:name="_Hlk60950411"/>
      <w:r>
        <w:rPr>
          <w:rFonts w:hint="eastAsia" w:ascii="宋体" w:hAnsi="宋体" w:cs="宋体"/>
          <w:b/>
          <w:color w:val="auto"/>
          <w:sz w:val="24"/>
          <w:highlight w:val="none"/>
        </w:rPr>
        <w:t>（四）澄清问题的形式</w:t>
      </w:r>
    </w:p>
    <w:p w14:paraId="503FF0E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b/>
          <w:bCs/>
          <w:color w:val="auto"/>
          <w:highlight w:val="none"/>
          <w:u w:val="single"/>
        </w:rPr>
      </w:pPr>
      <w:r>
        <w:rPr>
          <w:rFonts w:hint="eastAsia" w:hAnsi="宋体"/>
          <w:color w:val="auto"/>
          <w:highlight w:val="none"/>
        </w:rPr>
        <w:t>对响应文件中含义不明确、同类问题表述不一致或者有明显文字和计算错误的内容，磋商小组可要求供应商作出必要的</w:t>
      </w:r>
      <w:bookmarkStart w:id="38" w:name="_Hlk59372079"/>
      <w:r>
        <w:rPr>
          <w:rFonts w:hint="eastAsia" w:hAnsi="宋体"/>
          <w:color w:val="auto"/>
          <w:highlight w:val="none"/>
        </w:rPr>
        <w:t>澄清、说明</w:t>
      </w:r>
      <w:bookmarkEnd w:id="38"/>
      <w:r>
        <w:rPr>
          <w:rFonts w:hint="eastAsia" w:hAnsi="宋体"/>
          <w:color w:val="auto"/>
          <w:highlight w:val="none"/>
        </w:rPr>
        <w:t>或者补正。磋商小组的澄清内容及供应商的澄清、说明或者补正均通过</w:t>
      </w:r>
      <w:bookmarkStart w:id="39" w:name="_Hlk59371846"/>
      <w:r>
        <w:rPr>
          <w:rFonts w:hint="eastAsia" w:hAnsi="宋体"/>
          <w:color w:val="auto"/>
          <w:highlight w:val="none"/>
        </w:rPr>
        <w:t>政采云电子交易平台交换数据电文。</w:t>
      </w:r>
      <w:bookmarkEnd w:id="39"/>
      <w:bookmarkStart w:id="40" w:name="_Hlk59700505"/>
      <w:r>
        <w:rPr>
          <w:rFonts w:hint="eastAsia" w:hAnsi="宋体"/>
          <w:b/>
          <w:bCs/>
          <w:color w:val="auto"/>
          <w:highlight w:val="none"/>
        </w:rPr>
        <w:t>同时采购代理机构也将通过临海市公共资源交易中心视频直播平台、</w:t>
      </w:r>
      <w:bookmarkStart w:id="41" w:name="_Hlk59371920"/>
      <w:r>
        <w:rPr>
          <w:rFonts w:hint="eastAsia" w:hAnsi="宋体"/>
          <w:b/>
          <w:bCs/>
          <w:color w:val="auto"/>
          <w:highlight w:val="none"/>
        </w:rPr>
        <w:t>政采云视频询标（视频讲标）系统协助进行问题澄清。</w:t>
      </w:r>
      <w:r>
        <w:rPr>
          <w:rFonts w:hint="eastAsia" w:hAnsi="宋体"/>
          <w:b/>
          <w:bCs/>
          <w:color w:val="auto"/>
          <w:highlight w:val="none"/>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0"/>
    </w:p>
    <w:bookmarkEnd w:id="41"/>
    <w:p w14:paraId="5AFB229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20" w:firstLineChars="200"/>
        <w:rPr>
          <w:rFonts w:ascii="宋体" w:hAnsi="宋体"/>
          <w:color w:val="auto"/>
          <w:sz w:val="24"/>
          <w:highlight w:val="none"/>
        </w:rPr>
      </w:pPr>
      <w:r>
        <w:rPr>
          <w:rFonts w:hint="eastAsia" w:hAnsi="宋体"/>
          <w:color w:val="auto"/>
          <w:highlight w:val="none"/>
        </w:rPr>
        <w:t>磋商小组</w:t>
      </w:r>
      <w:r>
        <w:rPr>
          <w:rFonts w:hint="eastAsia" w:ascii="宋体" w:hAnsi="宋体"/>
          <w:color w:val="auto"/>
          <w:sz w:val="24"/>
          <w:highlight w:val="none"/>
        </w:rPr>
        <w:t>发出澄清内容后，供应商应当在采购代理机构及政采云平台上</w:t>
      </w:r>
      <w:r>
        <w:rPr>
          <w:rFonts w:hint="eastAsia" w:ascii="宋体" w:hAnsi="宋体"/>
          <w:b/>
          <w:bCs/>
          <w:color w:val="auto"/>
          <w:sz w:val="24"/>
          <w:highlight w:val="none"/>
          <w:u w:val="single"/>
          <w:shd w:val="pct10" w:color="auto" w:fill="FFFFFF"/>
        </w:rPr>
        <w:t>规定的时间内（30分钟，具体时间以政采云系统上显示的时间为准）</w:t>
      </w:r>
      <w:r>
        <w:rPr>
          <w:rFonts w:hint="eastAsia" w:ascii="宋体" w:hAnsi="宋体"/>
          <w:b/>
          <w:bCs/>
          <w:color w:val="auto"/>
          <w:sz w:val="24"/>
          <w:highlight w:val="none"/>
        </w:rPr>
        <w:t>，</w:t>
      </w:r>
      <w:r>
        <w:rPr>
          <w:rFonts w:hint="eastAsia" w:ascii="宋体" w:hAnsi="宋体"/>
          <w:color w:val="auto"/>
          <w:sz w:val="24"/>
          <w:highlight w:val="none"/>
        </w:rPr>
        <w:t>提交澄清说明或补正，否则视为供应商放弃答复，并自行承担因此而产生的不利后果。澄清、说明或者补正不得超出响应文件的范围或者改变响应文件的实质性内容。</w:t>
      </w:r>
    </w:p>
    <w:p w14:paraId="6371812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ascii="宋体" w:hAnsi="宋体" w:cs="宋体"/>
          <w:b/>
          <w:color w:val="auto"/>
          <w:sz w:val="24"/>
          <w:highlight w:val="none"/>
        </w:rPr>
      </w:pPr>
      <w:r>
        <w:rPr>
          <w:rFonts w:hint="eastAsia" w:ascii="宋体" w:hAnsi="宋体" w:cs="宋体"/>
          <w:b/>
          <w:color w:val="auto"/>
          <w:sz w:val="24"/>
          <w:highlight w:val="none"/>
        </w:rPr>
        <w:t>（五）错误修正</w:t>
      </w:r>
    </w:p>
    <w:p w14:paraId="55637DF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磋商响应文件报价出现前后不一致的，按照下列规定修正：</w:t>
      </w:r>
    </w:p>
    <w:p w14:paraId="2902104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b/>
          <w:bCs/>
          <w:color w:val="auto"/>
          <w:sz w:val="24"/>
          <w:highlight w:val="none"/>
          <w:u w:val="single"/>
          <w:shd w:val="pct10" w:color="auto" w:fill="FFFFFF"/>
        </w:rPr>
      </w:pPr>
      <w:r>
        <w:rPr>
          <w:rFonts w:hint="eastAsia" w:ascii="宋体" w:hAnsi="宋体" w:cs="宋体"/>
          <w:color w:val="auto"/>
          <w:sz w:val="24"/>
          <w:highlight w:val="none"/>
        </w:rPr>
        <w:t>（一）</w:t>
      </w:r>
      <w:r>
        <w:rPr>
          <w:color w:val="auto"/>
          <w:sz w:val="24"/>
          <w:highlight w:val="none"/>
        </w:rPr>
        <w:t>磋商响应文件中</w:t>
      </w:r>
      <w:bookmarkStart w:id="42" w:name="_Hlk61427222"/>
      <w:r>
        <w:rPr>
          <w:rFonts w:hint="eastAsia"/>
          <w:color w:val="auto"/>
          <w:sz w:val="24"/>
          <w:highlight w:val="none"/>
        </w:rPr>
        <w:t>开标</w:t>
      </w:r>
      <w:r>
        <w:rPr>
          <w:color w:val="auto"/>
          <w:sz w:val="24"/>
          <w:highlight w:val="none"/>
        </w:rPr>
        <w:t>一览表</w:t>
      </w:r>
      <w:bookmarkEnd w:id="42"/>
      <w:r>
        <w:rPr>
          <w:color w:val="auto"/>
          <w:sz w:val="24"/>
          <w:highlight w:val="none"/>
        </w:rPr>
        <w:t>内容与磋商响应文件中相应内容不一致的，以</w:t>
      </w:r>
      <w:r>
        <w:rPr>
          <w:rFonts w:hint="eastAsia"/>
          <w:color w:val="auto"/>
          <w:sz w:val="24"/>
          <w:highlight w:val="none"/>
        </w:rPr>
        <w:t>开标</w:t>
      </w:r>
      <w:r>
        <w:rPr>
          <w:color w:val="auto"/>
          <w:sz w:val="24"/>
          <w:highlight w:val="none"/>
        </w:rPr>
        <w:t>一览表为准；</w:t>
      </w:r>
      <w:bookmarkStart w:id="43" w:name="_Hlk78209380"/>
      <w:r>
        <w:rPr>
          <w:rFonts w:hint="eastAsia" w:ascii="宋体" w:hAnsi="宋体"/>
          <w:b/>
          <w:bCs/>
          <w:color w:val="auto"/>
          <w:sz w:val="24"/>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3"/>
    </w:p>
    <w:p w14:paraId="4E09174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s="宋体"/>
          <w:color w:val="auto"/>
          <w:sz w:val="24"/>
          <w:highlight w:val="none"/>
        </w:rPr>
      </w:pPr>
      <w:bookmarkStart w:id="44" w:name="_Hlk81829635"/>
      <w:r>
        <w:rPr>
          <w:rFonts w:hint="eastAsia" w:ascii="宋体" w:hAnsi="宋体" w:cs="宋体"/>
          <w:color w:val="auto"/>
          <w:sz w:val="24"/>
          <w:highlight w:val="none"/>
        </w:rPr>
        <w:t>（二）</w:t>
      </w:r>
      <w:bookmarkEnd w:id="44"/>
      <w:r>
        <w:rPr>
          <w:rFonts w:hint="eastAsia" w:ascii="宋体" w:hAnsi="宋体" w:cs="宋体"/>
          <w:color w:val="auto"/>
          <w:sz w:val="24"/>
          <w:highlight w:val="none"/>
        </w:rPr>
        <w:t>大写金额和小写金额不一致的，以大写金额为准；</w:t>
      </w:r>
    </w:p>
    <w:p w14:paraId="375B5B7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（三）</w:t>
      </w:r>
      <w:r>
        <w:rPr>
          <w:color w:val="auto"/>
          <w:sz w:val="24"/>
          <w:highlight w:val="none"/>
        </w:rPr>
        <w:t>单价金额小数点或者百分比有明显错位的，以</w:t>
      </w:r>
      <w:r>
        <w:rPr>
          <w:rFonts w:hint="eastAsia"/>
          <w:color w:val="auto"/>
          <w:sz w:val="24"/>
          <w:highlight w:val="none"/>
        </w:rPr>
        <w:t>开标</w:t>
      </w:r>
      <w:r>
        <w:rPr>
          <w:color w:val="auto"/>
          <w:sz w:val="24"/>
          <w:highlight w:val="none"/>
        </w:rPr>
        <w:t>一览表的总价为准，并修改单价；</w:t>
      </w:r>
    </w:p>
    <w:p w14:paraId="488C9BE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（四）总价金额与按单价汇总金额不一致的，以单价金额计算结果为准。</w:t>
      </w:r>
    </w:p>
    <w:p w14:paraId="5D7FCE07">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firstLine="480" w:firstLineChars="200"/>
        <w:jc w:val="both"/>
        <w:rPr>
          <w:rFonts w:cs="宋体"/>
          <w:color w:val="auto"/>
          <w:highlight w:val="none"/>
        </w:rPr>
      </w:pPr>
      <w:r>
        <w:rPr>
          <w:color w:val="auto"/>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highlight w:val="none"/>
        </w:rPr>
        <w:t>则其投标将作为无效投标处理</w:t>
      </w:r>
      <w:r>
        <w:rPr>
          <w:color w:val="auto"/>
          <w:highlight w:val="none"/>
        </w:rPr>
        <w:t>。</w:t>
      </w:r>
    </w:p>
    <w:bookmarkEnd w:id="37"/>
    <w:p w14:paraId="7DF7EE96">
      <w:pPr>
        <w:pStyle w:val="28"/>
        <w:keepNext w:val="0"/>
        <w:keepLines w:val="0"/>
        <w:pageBreakBefore w:val="0"/>
        <w:widowControl w:val="0"/>
        <w:tabs>
          <w:tab w:val="left" w:pos="630"/>
        </w:tabs>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Ansi="宋体" w:cs="宋体"/>
          <w:b/>
          <w:color w:val="auto"/>
          <w:highlight w:val="none"/>
        </w:rPr>
      </w:pPr>
      <w:r>
        <w:rPr>
          <w:rFonts w:hint="eastAsia" w:hAnsi="宋体" w:cs="宋体"/>
          <w:b/>
          <w:color w:val="auto"/>
          <w:highlight w:val="none"/>
        </w:rPr>
        <w:t>（六）评标原则和评标办法</w:t>
      </w:r>
    </w:p>
    <w:p w14:paraId="3FB28091">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s="宋体"/>
          <w:color w:val="auto"/>
          <w:highlight w:val="none"/>
        </w:rPr>
      </w:pPr>
      <w:r>
        <w:rPr>
          <w:rFonts w:hint="eastAsia" w:hAnsi="宋体" w:cs="宋体"/>
          <w:color w:val="auto"/>
          <w:highlight w:val="none"/>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s="宋体"/>
          <w:color w:val="auto"/>
          <w:highlight w:val="none"/>
        </w:rPr>
      </w:pPr>
      <w:r>
        <w:rPr>
          <w:rFonts w:hint="eastAsia" w:hAnsi="宋体" w:cs="宋体"/>
          <w:color w:val="auto"/>
          <w:highlight w:val="none"/>
        </w:rPr>
        <w:t>2.评标办法。本项目评标办法是</w:t>
      </w:r>
      <w:r>
        <w:rPr>
          <w:rFonts w:hint="eastAsia" w:hAnsi="宋体" w:cs="宋体"/>
          <w:b/>
          <w:color w:val="auto"/>
          <w:highlight w:val="none"/>
          <w:u w:val="single"/>
        </w:rPr>
        <w:t>综合评分法</w:t>
      </w:r>
      <w:r>
        <w:rPr>
          <w:rFonts w:hint="eastAsia" w:hAnsi="宋体" w:cs="宋体"/>
          <w:color w:val="auto"/>
          <w:highlight w:val="none"/>
        </w:rPr>
        <w:t>，具体评标内容及评分标准等详见《第四章：评标办法及评分标准》。</w:t>
      </w:r>
    </w:p>
    <w:p w14:paraId="2F17535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ascii="宋体" w:hAnsi="宋体" w:cs="宋体"/>
          <w:b/>
          <w:color w:val="auto"/>
          <w:sz w:val="24"/>
          <w:highlight w:val="none"/>
        </w:rPr>
      </w:pPr>
      <w:r>
        <w:rPr>
          <w:rFonts w:hint="eastAsia" w:ascii="宋体" w:hAnsi="宋体" w:cs="宋体"/>
          <w:b/>
          <w:color w:val="auto"/>
          <w:sz w:val="24"/>
          <w:highlight w:val="none"/>
        </w:rPr>
        <w:t>五、成交</w:t>
      </w:r>
      <w:r>
        <w:rPr>
          <w:rFonts w:ascii="宋体" w:hAnsi="宋体" w:cs="宋体"/>
          <w:b/>
          <w:color w:val="auto"/>
          <w:sz w:val="24"/>
          <w:highlight w:val="none"/>
        </w:rPr>
        <w:t>结果确定</w:t>
      </w:r>
    </w:p>
    <w:p w14:paraId="5CEC04E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ascii="宋体" w:hAnsi="宋体" w:cs="宋体"/>
          <w:b/>
          <w:color w:val="auto"/>
          <w:sz w:val="24"/>
          <w:highlight w:val="none"/>
        </w:rPr>
      </w:pPr>
      <w:r>
        <w:rPr>
          <w:rFonts w:hint="eastAsia" w:ascii="宋体" w:hAnsi="宋体" w:cs="宋体"/>
          <w:b/>
          <w:color w:val="auto"/>
          <w:sz w:val="24"/>
          <w:highlight w:val="none"/>
        </w:rPr>
        <w:t>（一）确定成交供应商</w:t>
      </w:r>
    </w:p>
    <w:p w14:paraId="64EED45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b/>
          <w:bCs/>
          <w:color w:val="auto"/>
          <w:sz w:val="24"/>
          <w:highlight w:val="none"/>
        </w:rPr>
      </w:pPr>
      <w:r>
        <w:rPr>
          <w:rFonts w:hint="eastAsia" w:ascii="宋体" w:hAnsi="宋体"/>
          <w:bCs/>
          <w:color w:val="auto"/>
          <w:sz w:val="24"/>
          <w:highlight w:val="none"/>
        </w:rPr>
        <w:t>1.招标人在评标结束后2</w:t>
      </w:r>
      <w:r>
        <w:rPr>
          <w:rFonts w:hint="eastAsia" w:ascii="宋体" w:hAnsi="宋体"/>
          <w:color w:val="auto"/>
          <w:sz w:val="24"/>
          <w:highlight w:val="none"/>
        </w:rPr>
        <w:t>个工作日内将评标报告交采购单位确认</w:t>
      </w:r>
      <w:r>
        <w:rPr>
          <w:rFonts w:hint="eastAsia" w:ascii="宋体" w:hAnsi="宋体"/>
          <w:b/>
          <w:bCs/>
          <w:color w:val="auto"/>
          <w:sz w:val="24"/>
          <w:highlight w:val="none"/>
        </w:rPr>
        <w:t>，</w:t>
      </w:r>
      <w:r>
        <w:rPr>
          <w:rFonts w:hint="eastAsia" w:ascii="宋体" w:hAnsi="宋体"/>
          <w:color w:val="auto"/>
          <w:sz w:val="24"/>
          <w:highlight w:val="none"/>
        </w:rPr>
        <w:t>采购单位应在收到评标报告后5个工作日内对评标结果进行确认。如有</w:t>
      </w:r>
      <w:r>
        <w:rPr>
          <w:rFonts w:hint="eastAsia" w:ascii="宋体" w:hAnsi="宋体" w:cs="宋体"/>
          <w:color w:val="auto"/>
          <w:sz w:val="24"/>
          <w:highlight w:val="none"/>
        </w:rPr>
        <w:t>磋商供应商</w:t>
      </w:r>
      <w:r>
        <w:rPr>
          <w:rFonts w:hint="eastAsia" w:ascii="宋体" w:hAnsi="宋体"/>
          <w:color w:val="auto"/>
          <w:sz w:val="24"/>
          <w:highlight w:val="none"/>
        </w:rPr>
        <w:t>对评标结果提出质疑的，采购单位可在质疑处理完毕后确定</w:t>
      </w:r>
      <w:r>
        <w:rPr>
          <w:rFonts w:hint="eastAsia" w:ascii="宋体" w:hAnsi="宋体" w:cs="宋体"/>
          <w:color w:val="auto"/>
          <w:sz w:val="24"/>
          <w:highlight w:val="none"/>
        </w:rPr>
        <w:t>成交供应商</w:t>
      </w:r>
      <w:r>
        <w:rPr>
          <w:rFonts w:hint="eastAsia" w:ascii="宋体" w:hAnsi="宋体"/>
          <w:color w:val="auto"/>
          <w:sz w:val="24"/>
          <w:highlight w:val="none"/>
        </w:rPr>
        <w:t>。</w:t>
      </w:r>
    </w:p>
    <w:p w14:paraId="517AEC5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b/>
          <w:bCs/>
          <w:color w:val="auto"/>
          <w:sz w:val="24"/>
          <w:highlight w:val="none"/>
          <w:u w:val="single"/>
          <w:shd w:val="pct10" w:color="auto" w:fill="FFFFFF"/>
        </w:rPr>
      </w:pPr>
      <w:r>
        <w:rPr>
          <w:rFonts w:ascii="宋体" w:hAnsi="宋体"/>
          <w:color w:val="auto"/>
          <w:sz w:val="24"/>
          <w:highlight w:val="none"/>
        </w:rPr>
        <w:t>2</w:t>
      </w:r>
      <w:r>
        <w:rPr>
          <w:rFonts w:hint="eastAsia" w:ascii="宋体" w:hAnsi="宋体"/>
          <w:color w:val="auto"/>
          <w:sz w:val="24"/>
          <w:highlight w:val="none"/>
        </w:rPr>
        <w:t>.采购单位依法确定</w:t>
      </w:r>
      <w:r>
        <w:rPr>
          <w:rFonts w:hint="eastAsia" w:ascii="宋体" w:hAnsi="宋体" w:cs="宋体"/>
          <w:color w:val="auto"/>
          <w:sz w:val="24"/>
          <w:highlight w:val="none"/>
        </w:rPr>
        <w:t>成交供应商</w:t>
      </w:r>
      <w:r>
        <w:rPr>
          <w:rFonts w:hint="eastAsia" w:ascii="宋体" w:hAnsi="宋体"/>
          <w:color w:val="auto"/>
          <w:sz w:val="24"/>
          <w:highlight w:val="none"/>
        </w:rPr>
        <w:t>后2个工作日内，招标人以书面形式发出《</w:t>
      </w:r>
      <w:r>
        <w:rPr>
          <w:rFonts w:hint="eastAsia" w:ascii="宋体" w:hAnsi="宋体" w:cs="宋体"/>
          <w:color w:val="auto"/>
          <w:sz w:val="24"/>
          <w:highlight w:val="none"/>
        </w:rPr>
        <w:t>成交通知书</w:t>
      </w:r>
      <w:r>
        <w:rPr>
          <w:rFonts w:hint="eastAsia" w:ascii="宋体" w:hAnsi="宋体"/>
          <w:color w:val="auto"/>
          <w:sz w:val="24"/>
          <w:highlight w:val="none"/>
        </w:rPr>
        <w:t>》,并同时在竞争性磋商公告发布的网站上发布成交结果公告。</w:t>
      </w:r>
      <w:r>
        <w:rPr>
          <w:rFonts w:hint="eastAsia" w:ascii="宋体" w:hAnsi="宋体"/>
          <w:b/>
          <w:bCs/>
          <w:color w:val="auto"/>
          <w:sz w:val="24"/>
          <w:highlight w:val="none"/>
          <w:u w:val="single"/>
          <w:shd w:val="pct10" w:color="auto" w:fill="FFFFFF"/>
        </w:rPr>
        <w:t>成交供应商享受小微企业报价优惠扣除的，将在成交结果公告中公开成交供应商的《中小企业声明函》</w:t>
      </w:r>
      <w:r>
        <w:rPr>
          <w:rFonts w:hint="eastAsia" w:ascii="宋体" w:hAnsi="宋体"/>
          <w:color w:val="auto"/>
          <w:sz w:val="24"/>
          <w:highlight w:val="none"/>
        </w:rPr>
        <w:t>。</w:t>
      </w:r>
      <w:r>
        <w:rPr>
          <w:rFonts w:hint="eastAsia" w:ascii="宋体" w:hAnsi="宋体"/>
          <w:b/>
          <w:bCs/>
          <w:color w:val="auto"/>
          <w:sz w:val="24"/>
          <w:highlight w:val="none"/>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.定标中，应坚持第一成交候选人为首选</w:t>
      </w:r>
      <w:r>
        <w:rPr>
          <w:rFonts w:hint="eastAsia" w:ascii="宋体" w:hAnsi="宋体" w:cs="宋体"/>
          <w:color w:val="auto"/>
          <w:sz w:val="24"/>
          <w:highlight w:val="none"/>
        </w:rPr>
        <w:t>成交供应商</w:t>
      </w:r>
      <w:r>
        <w:rPr>
          <w:rFonts w:hint="eastAsia" w:ascii="宋体" w:hAnsi="宋体"/>
          <w:color w:val="auto"/>
          <w:sz w:val="24"/>
          <w:highlight w:val="none"/>
        </w:rPr>
        <w:t>，但出现其它原因的，采购单位可以确定排名第二的候选人为</w:t>
      </w:r>
      <w:r>
        <w:rPr>
          <w:rFonts w:hint="eastAsia" w:ascii="宋体" w:hAnsi="宋体" w:cs="宋体"/>
          <w:color w:val="auto"/>
          <w:sz w:val="24"/>
          <w:highlight w:val="none"/>
        </w:rPr>
        <w:t>成交供应商</w:t>
      </w:r>
      <w:r>
        <w:rPr>
          <w:rFonts w:hint="eastAsia" w:ascii="宋体" w:hAnsi="宋体"/>
          <w:color w:val="auto"/>
          <w:sz w:val="24"/>
          <w:highlight w:val="none"/>
        </w:rPr>
        <w:t>，</w:t>
      </w:r>
      <w:r>
        <w:rPr>
          <w:rFonts w:hint="eastAsia" w:ascii="宋体" w:hAnsi="宋体"/>
          <w:b/>
          <w:color w:val="auto"/>
          <w:sz w:val="24"/>
          <w:highlight w:val="none"/>
        </w:rPr>
        <w:t>或重新组织招标。</w:t>
      </w:r>
      <w:r>
        <w:rPr>
          <w:rFonts w:hint="eastAsia" w:ascii="宋体" w:hAnsi="宋体"/>
          <w:color w:val="auto"/>
          <w:sz w:val="24"/>
          <w:highlight w:val="none"/>
        </w:rPr>
        <w:t>采购单位如确定第二成交候选人为</w:t>
      </w:r>
      <w:r>
        <w:rPr>
          <w:rFonts w:hint="eastAsia" w:ascii="宋体" w:hAnsi="宋体" w:cs="宋体"/>
          <w:color w:val="auto"/>
          <w:sz w:val="24"/>
          <w:highlight w:val="none"/>
        </w:rPr>
        <w:t>成交供应商</w:t>
      </w:r>
      <w:r>
        <w:rPr>
          <w:rFonts w:hint="eastAsia" w:ascii="宋体" w:hAnsi="宋体"/>
          <w:color w:val="auto"/>
          <w:sz w:val="24"/>
          <w:highlight w:val="none"/>
        </w:rPr>
        <w:t>的，应当在确定前向</w:t>
      </w:r>
      <w:r>
        <w:rPr>
          <w:rFonts w:hint="eastAsia" w:ascii="宋体" w:hAnsi="宋体"/>
          <w:b/>
          <w:color w:val="auto"/>
          <w:sz w:val="24"/>
          <w:highlight w:val="none"/>
        </w:rPr>
        <w:t>临海市财政局</w:t>
      </w:r>
      <w:r>
        <w:rPr>
          <w:rFonts w:hint="eastAsia" w:ascii="宋体" w:hAnsi="宋体"/>
          <w:color w:val="auto"/>
          <w:sz w:val="24"/>
          <w:highlight w:val="none"/>
        </w:rPr>
        <w:t>报告说明。</w:t>
      </w:r>
    </w:p>
    <w:p w14:paraId="41E1C8C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ascii="宋体" w:hAnsi="宋体"/>
          <w:b/>
          <w:color w:val="auto"/>
          <w:sz w:val="24"/>
          <w:highlight w:val="none"/>
        </w:rPr>
      </w:pPr>
      <w:r>
        <w:rPr>
          <w:rFonts w:hint="eastAsia" w:ascii="宋体" w:hAnsi="宋体"/>
          <w:b/>
          <w:color w:val="auto"/>
          <w:sz w:val="24"/>
          <w:highlight w:val="none"/>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ascii="宋体" w:hAnsi="宋体"/>
          <w:b/>
          <w:color w:val="auto"/>
          <w:sz w:val="24"/>
          <w:highlight w:val="none"/>
        </w:rPr>
      </w:pPr>
      <w:r>
        <w:rPr>
          <w:rFonts w:hint="eastAsia" w:ascii="宋体" w:hAnsi="宋体"/>
          <w:b/>
          <w:color w:val="auto"/>
          <w:sz w:val="24"/>
          <w:highlight w:val="non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w:t>
      </w:r>
      <w:bookmarkStart w:id="45" w:name="_Hlk59627548"/>
      <w:bookmarkStart w:id="46" w:name="_Hlk59369379"/>
      <w:r>
        <w:rPr>
          <w:rFonts w:hint="eastAsia" w:ascii="宋体" w:hAnsi="宋体"/>
          <w:b/>
          <w:bCs/>
          <w:color w:val="auto"/>
          <w:sz w:val="24"/>
          <w:highlight w:val="none"/>
          <w:u w:val="single"/>
          <w:shd w:val="pct10" w:color="auto" w:fill="FFFFFF"/>
        </w:rPr>
        <w:t>为营造更优质的营商环境，</w:t>
      </w:r>
      <w:bookmarkStart w:id="47" w:name="_Hlk59708763"/>
      <w:r>
        <w:rPr>
          <w:rFonts w:hint="eastAsia" w:ascii="宋体" w:hAnsi="宋体"/>
          <w:b/>
          <w:bCs/>
          <w:color w:val="auto"/>
          <w:sz w:val="24"/>
          <w:highlight w:val="none"/>
          <w:u w:val="single"/>
          <w:shd w:val="pct10" w:color="auto" w:fill="FFFFFF"/>
        </w:rPr>
        <w:t>成交人可选择采购代理机构以邮寄方式向其寄达《成交通知书》（邮寄地址、收件人等信息请在“投标函”中详细写明，邮费可到付）。</w:t>
      </w:r>
      <w:bookmarkEnd w:id="47"/>
      <w:bookmarkStart w:id="48" w:name="_Hlk59708451"/>
      <w:r>
        <w:rPr>
          <w:rFonts w:hint="eastAsia" w:ascii="宋体" w:hAnsi="宋体"/>
          <w:b/>
          <w:bCs/>
          <w:color w:val="auto"/>
          <w:sz w:val="24"/>
          <w:highlight w:val="none"/>
          <w:u w:val="single"/>
          <w:shd w:val="pct10" w:color="auto" w:fill="FFFFFF"/>
        </w:rPr>
        <w:t>同时成交人应在成交后</w:t>
      </w:r>
      <w:bookmarkStart w:id="49" w:name="_Hlk59521069"/>
      <w:r>
        <w:rPr>
          <w:rFonts w:hint="eastAsia" w:ascii="宋体" w:hAnsi="宋体"/>
          <w:b/>
          <w:bCs/>
          <w:color w:val="auto"/>
          <w:sz w:val="24"/>
          <w:highlight w:val="none"/>
          <w:u w:val="single"/>
          <w:shd w:val="pct10" w:color="auto" w:fill="FFFFFF"/>
        </w:rPr>
        <w:t>以邮寄</w:t>
      </w:r>
      <w:bookmarkEnd w:id="49"/>
      <w:r>
        <w:rPr>
          <w:rFonts w:hint="eastAsia" w:ascii="宋体" w:hAnsi="宋体"/>
          <w:b/>
          <w:bCs/>
          <w:color w:val="auto"/>
          <w:sz w:val="24"/>
          <w:highlight w:val="none"/>
          <w:u w:val="single"/>
          <w:shd w:val="pct10" w:color="auto" w:fill="FFFFFF"/>
        </w:rPr>
        <w:t>或其他方式向</w:t>
      </w:r>
      <w:bookmarkStart w:id="50" w:name="_Hlk59521051"/>
      <w:r>
        <w:rPr>
          <w:rFonts w:hint="eastAsia" w:ascii="宋体" w:hAnsi="宋体"/>
          <w:b/>
          <w:bCs/>
          <w:color w:val="auto"/>
          <w:sz w:val="24"/>
          <w:highlight w:val="none"/>
          <w:u w:val="single"/>
          <w:shd w:val="pct10" w:color="auto" w:fill="FFFFFF"/>
        </w:rPr>
        <w:t>采购代理机构</w:t>
      </w:r>
      <w:bookmarkEnd w:id="50"/>
      <w:r>
        <w:rPr>
          <w:rFonts w:hint="eastAsia" w:ascii="宋体" w:hAnsi="宋体"/>
          <w:b/>
          <w:bCs/>
          <w:color w:val="auto"/>
          <w:sz w:val="24"/>
          <w:highlight w:val="none"/>
          <w:u w:val="single"/>
          <w:shd w:val="pct10" w:color="auto" w:fill="FFFFFF"/>
        </w:rPr>
        <w:t>提供</w:t>
      </w:r>
      <w:r>
        <w:rPr>
          <w:rFonts w:ascii="宋体" w:hAnsi="宋体"/>
          <w:b/>
          <w:bCs/>
          <w:color w:val="auto"/>
          <w:sz w:val="24"/>
          <w:highlight w:val="none"/>
          <w:u w:val="single"/>
          <w:shd w:val="pct10" w:color="auto" w:fill="FFFFFF"/>
        </w:rPr>
        <w:t>3</w:t>
      </w:r>
      <w:r>
        <w:rPr>
          <w:rFonts w:hint="eastAsia" w:ascii="宋体" w:hAnsi="宋体"/>
          <w:b/>
          <w:bCs/>
          <w:color w:val="auto"/>
          <w:sz w:val="24"/>
          <w:highlight w:val="none"/>
          <w:u w:val="single"/>
          <w:shd w:val="pct10" w:color="auto" w:fill="FFFFFF"/>
        </w:rPr>
        <w:t>套与电子版响应文件相同的胶装版本磋商响应文件。</w:t>
      </w:r>
      <w:bookmarkEnd w:id="45"/>
      <w:bookmarkEnd w:id="46"/>
      <w:bookmarkEnd w:id="48"/>
    </w:p>
    <w:p w14:paraId="74DDBFC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ascii="宋体" w:hAnsi="宋体" w:cs="宋体"/>
          <w:b/>
          <w:color w:val="auto"/>
          <w:sz w:val="24"/>
          <w:highlight w:val="none"/>
        </w:rPr>
      </w:pPr>
      <w:r>
        <w:rPr>
          <w:rFonts w:hint="eastAsia" w:ascii="宋体" w:hAnsi="宋体" w:cs="宋体"/>
          <w:b/>
          <w:color w:val="auto"/>
          <w:sz w:val="24"/>
          <w:highlight w:val="none"/>
        </w:rPr>
        <w:t>六、合同授予</w:t>
      </w:r>
    </w:p>
    <w:p w14:paraId="7222E5B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（一）签订合同</w:t>
      </w:r>
    </w:p>
    <w:p w14:paraId="5138051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olor w:val="auto"/>
          <w:sz w:val="24"/>
          <w:highlight w:val="none"/>
        </w:rPr>
      </w:pPr>
      <w:r>
        <w:rPr>
          <w:rFonts w:hint="eastAsia" w:ascii="宋体" w:hAnsi="宋体" w:cs="宋体"/>
          <w:color w:val="auto"/>
          <w:sz w:val="24"/>
          <w:highlight w:val="none"/>
        </w:rPr>
        <w:t>1.采购人与成交供应商</w:t>
      </w:r>
      <w:r>
        <w:rPr>
          <w:rFonts w:hint="eastAsia" w:ascii="宋体" w:hAnsi="宋体" w:cs="宋体"/>
          <w:b/>
          <w:color w:val="auto"/>
          <w:sz w:val="24"/>
          <w:highlight w:val="none"/>
        </w:rPr>
        <w:t>应当在《成交通知书》发出之日起30日内签订政府采</w:t>
      </w:r>
      <w:r>
        <w:rPr>
          <w:rFonts w:hint="eastAsia" w:ascii="宋体" w:hAnsi="宋体" w:cs="宋体"/>
          <w:color w:val="auto"/>
          <w:sz w:val="24"/>
          <w:highlight w:val="none"/>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highlight w:val="none"/>
          <w:u w:val="single"/>
          <w:shd w:val="pct10" w:color="auto" w:fill="FFFFFF"/>
        </w:rPr>
        <w:t>为营造更优质的营商环境，</w:t>
      </w:r>
      <w:bookmarkStart w:id="51" w:name="_Hlk59627623"/>
      <w:r>
        <w:rPr>
          <w:rFonts w:hint="eastAsia" w:ascii="宋体" w:hAnsi="宋体"/>
          <w:b/>
          <w:bCs/>
          <w:color w:val="auto"/>
          <w:sz w:val="24"/>
          <w:highlight w:val="none"/>
          <w:u w:val="single"/>
          <w:shd w:val="pct10" w:color="auto" w:fill="FFFFFF"/>
        </w:rPr>
        <w:t>成交人可选择采购代理机构以邮寄方式向其寄达</w:t>
      </w:r>
      <w:bookmarkStart w:id="52" w:name="_Hlk59708805"/>
      <w:r>
        <w:rPr>
          <w:rFonts w:hint="eastAsia" w:ascii="宋体" w:hAnsi="宋体"/>
          <w:b/>
          <w:bCs/>
          <w:color w:val="auto"/>
          <w:sz w:val="24"/>
          <w:highlight w:val="none"/>
          <w:u w:val="single"/>
          <w:shd w:val="pct10" w:color="auto" w:fill="FFFFFF"/>
        </w:rPr>
        <w:t>《政府采购合同》</w:t>
      </w:r>
      <w:bookmarkEnd w:id="52"/>
      <w:r>
        <w:rPr>
          <w:rFonts w:hint="eastAsia" w:ascii="宋体" w:hAnsi="宋体"/>
          <w:b/>
          <w:bCs/>
          <w:color w:val="auto"/>
          <w:sz w:val="24"/>
          <w:highlight w:val="none"/>
          <w:u w:val="single"/>
          <w:shd w:val="pct10" w:color="auto" w:fill="FFFFFF"/>
        </w:rPr>
        <w:t>。</w:t>
      </w:r>
      <w:bookmarkEnd w:id="51"/>
    </w:p>
    <w:p w14:paraId="36A4A37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2.成交供应商拒绝与采购人签订合同的，采购人可以按照评审报告推荐的成交候选人名单排序，确定下一候选人为成交供应商，也可以重新开展政府采购活动。</w:t>
      </w:r>
      <w:bookmarkStart w:id="53" w:name="_Hlk52994129"/>
      <w:r>
        <w:rPr>
          <w:rFonts w:hint="eastAsia" w:ascii="宋体" w:hAnsi="宋体" w:cs="宋体"/>
          <w:color w:val="auto"/>
          <w:sz w:val="24"/>
          <w:highlight w:val="none"/>
        </w:rPr>
        <w:t>拒绝签订政府采购合同的成交供应商不得参加对该项目重新开展的采购活动。</w:t>
      </w:r>
    </w:p>
    <w:bookmarkEnd w:id="53"/>
    <w:p w14:paraId="72465C18">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2" w:firstLineChars="200"/>
        <w:rPr>
          <w:rFonts w:hAnsi="宋体" w:cs="宋体"/>
          <w:b/>
          <w:color w:val="auto"/>
          <w:highlight w:val="none"/>
        </w:rPr>
      </w:pPr>
      <w:r>
        <w:rPr>
          <w:rFonts w:hint="eastAsia" w:hAnsi="宋体" w:cs="宋体"/>
          <w:b/>
          <w:color w:val="auto"/>
          <w:highlight w:val="none"/>
        </w:rPr>
        <w:t>（二）履约保证金</w:t>
      </w:r>
    </w:p>
    <w:p w14:paraId="26F64E4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s="宋体"/>
          <w:color w:val="auto"/>
          <w:highlight w:val="none"/>
        </w:rPr>
      </w:pPr>
      <w:r>
        <w:rPr>
          <w:rFonts w:hint="eastAsia" w:hAnsi="宋体" w:cs="宋体"/>
          <w:color w:val="auto"/>
          <w:highlight w:val="none"/>
        </w:rPr>
        <w:t>1.签订合同前，成交供应商应根据磋商文件确定的履约保证金的金额，交纳履约保证金：</w:t>
      </w:r>
    </w:p>
    <w:p w14:paraId="3A5A84CC">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s="宋体"/>
          <w:color w:val="auto"/>
          <w:highlight w:val="none"/>
        </w:rPr>
      </w:pPr>
      <w:r>
        <w:rPr>
          <w:rFonts w:hint="eastAsia" w:hAnsi="宋体" w:cs="宋体"/>
          <w:color w:val="auto"/>
          <w:highlight w:val="none"/>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highlight w:val="none"/>
        </w:rPr>
        <w:t>科技</w:t>
      </w:r>
      <w:r>
        <w:rPr>
          <w:rFonts w:hint="eastAsia" w:hAnsi="宋体" w:cs="宋体"/>
          <w:color w:val="auto"/>
          <w:highlight w:val="none"/>
        </w:rPr>
        <w:t>支行，账号：201000102293922000003。财务咨询电话：0576-85280673）。</w:t>
      </w:r>
    </w:p>
    <w:p w14:paraId="3823A30D">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s="宋体"/>
          <w:color w:val="auto"/>
          <w:highlight w:val="none"/>
        </w:rPr>
      </w:pPr>
      <w:r>
        <w:rPr>
          <w:rFonts w:hint="eastAsia" w:hAnsi="宋体" w:cs="宋体"/>
          <w:color w:val="auto"/>
          <w:highlight w:val="none"/>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s="宋体"/>
          <w:color w:val="auto"/>
          <w:highlight w:val="none"/>
        </w:rPr>
      </w:pPr>
      <w:r>
        <w:rPr>
          <w:rFonts w:hint="eastAsia" w:hAnsi="宋体" w:cs="宋体"/>
          <w:color w:val="auto"/>
          <w:highlight w:val="none"/>
        </w:rPr>
        <w:t>2.签订合同后，如成交供应商不按双方合同约定履约，则其履约保证金将不予退回，履约保证金不足以赔偿损失的，按实际损失赔偿。</w:t>
      </w:r>
    </w:p>
    <w:p w14:paraId="1A069EC7">
      <w:pPr>
        <w:pStyle w:val="28"/>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360" w:lineRule="auto"/>
        <w:ind w:left="0" w:leftChars="0" w:firstLine="480" w:firstLineChars="200"/>
        <w:rPr>
          <w:rFonts w:hAnsi="宋体" w:cs="宋体"/>
          <w:color w:val="auto"/>
          <w:highlight w:val="none"/>
        </w:rPr>
      </w:pPr>
      <w:r>
        <w:rPr>
          <w:rFonts w:hint="eastAsia" w:hAnsi="宋体" w:cs="宋体"/>
          <w:color w:val="auto"/>
          <w:highlight w:val="none"/>
        </w:rPr>
        <w:t>3.履约保证金在成交供应商履行合同义务后且经验收合格，凭《临海市政府采购验收单》向临海市公共资源交易中心</w:t>
      </w:r>
      <w:r>
        <w:rPr>
          <w:rFonts w:hint="eastAsia" w:ascii="宋体" w:hAnsi="宋体"/>
          <w:color w:val="auto"/>
          <w:sz w:val="24"/>
          <w:highlight w:val="none"/>
          <w:lang w:val="en-US" w:eastAsia="zh-CN"/>
        </w:rPr>
        <w:t>申请</w:t>
      </w:r>
      <w:r>
        <w:rPr>
          <w:rFonts w:hint="eastAsia" w:hAnsi="宋体" w:cs="宋体"/>
          <w:color w:val="auto"/>
          <w:highlight w:val="none"/>
        </w:rPr>
        <w:t>退还。</w:t>
      </w:r>
    </w:p>
    <w:p w14:paraId="6A74CFC8">
      <w:pPr>
        <w:spacing w:before="120" w:beforeLines="50" w:after="120" w:afterLines="50" w:line="400" w:lineRule="exact"/>
        <w:jc w:val="center"/>
        <w:outlineLvl w:val="0"/>
        <w:rPr>
          <w:rFonts w:ascii="宋体" w:hAnsi="宋体"/>
          <w:b/>
          <w:color w:val="auto"/>
          <w:sz w:val="30"/>
          <w:szCs w:val="30"/>
          <w:highlight w:val="none"/>
        </w:rPr>
      </w:pPr>
      <w:r>
        <w:rPr>
          <w:rFonts w:ascii="宋体" w:hAnsi="宋体"/>
          <w:b/>
          <w:color w:val="auto"/>
          <w:sz w:val="30"/>
          <w:szCs w:val="30"/>
          <w:highlight w:val="none"/>
        </w:rPr>
        <w:br w:type="page"/>
      </w:r>
    </w:p>
    <w:p w14:paraId="17584E31">
      <w:pPr>
        <w:spacing w:before="120" w:beforeLines="50" w:after="120" w:afterLines="50" w:line="400" w:lineRule="exact"/>
        <w:jc w:val="center"/>
        <w:outlineLvl w:val="0"/>
        <w:rPr>
          <w:rFonts w:ascii="宋体" w:hAnsi="宋体"/>
          <w:b/>
          <w:color w:val="auto"/>
          <w:sz w:val="30"/>
          <w:szCs w:val="30"/>
          <w:highlight w:val="none"/>
        </w:rPr>
      </w:pPr>
      <w:bookmarkStart w:id="54" w:name="_Toc48835714"/>
      <w:bookmarkStart w:id="55" w:name="_Toc466534750"/>
      <w:r>
        <w:rPr>
          <w:rFonts w:hint="eastAsia" w:ascii="宋体" w:hAnsi="宋体"/>
          <w:b/>
          <w:color w:val="auto"/>
          <w:sz w:val="30"/>
          <w:szCs w:val="30"/>
          <w:highlight w:val="none"/>
        </w:rPr>
        <w:t>第四章 评标办法及评分标准</w:t>
      </w:r>
      <w:bookmarkEnd w:id="54"/>
      <w:bookmarkEnd w:id="55"/>
    </w:p>
    <w:p w14:paraId="3FA5444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为公正、公平、科学地选择成交供应商，根据《中华人民共和国政府采购法》等有关法律法规的规定，并结合本项目的实际，制定本办法。</w:t>
      </w:r>
    </w:p>
    <w:p w14:paraId="14FDEC2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bCs/>
          <w:color w:val="auto"/>
          <w:sz w:val="24"/>
          <w:highlight w:val="none"/>
        </w:rPr>
      </w:pPr>
      <w:r>
        <w:rPr>
          <w:rFonts w:hint="eastAsia" w:ascii="宋体" w:hAnsi="宋体"/>
          <w:color w:val="auto"/>
          <w:sz w:val="24"/>
          <w:highlight w:val="none"/>
        </w:rPr>
        <w:t>本办法适用于本项目的</w:t>
      </w:r>
      <w:r>
        <w:rPr>
          <w:rFonts w:hint="eastAsia" w:ascii="宋体" w:hAnsi="宋体"/>
          <w:bCs/>
          <w:color w:val="auto"/>
          <w:sz w:val="24"/>
          <w:highlight w:val="none"/>
        </w:rPr>
        <w:t>评标。</w:t>
      </w:r>
    </w:p>
    <w:p w14:paraId="176E0C95">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一、总则</w:t>
      </w:r>
    </w:p>
    <w:p w14:paraId="6A408FB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bCs/>
          <w:color w:val="auto"/>
          <w:sz w:val="24"/>
          <w:highlight w:val="none"/>
        </w:rPr>
      </w:pPr>
      <w:r>
        <w:rPr>
          <w:rFonts w:hint="eastAsia" w:ascii="宋体" w:hAnsi="宋体"/>
          <w:color w:val="auto"/>
          <w:sz w:val="24"/>
          <w:highlight w:val="none"/>
        </w:rPr>
        <w:t>本次评标采用综合评分法，总分为100分，其中价格分</w:t>
      </w:r>
      <w:r>
        <w:rPr>
          <w:rFonts w:hint="eastAsia" w:ascii="宋体" w:hAnsi="宋体"/>
          <w:color w:val="auto"/>
          <w:sz w:val="24"/>
          <w:highlight w:val="none"/>
          <w:lang w:val="en-US" w:eastAsia="zh-CN"/>
        </w:rPr>
        <w:t>10</w:t>
      </w:r>
      <w:r>
        <w:rPr>
          <w:rFonts w:hint="eastAsia" w:ascii="宋体" w:hAnsi="宋体"/>
          <w:color w:val="auto"/>
          <w:sz w:val="24"/>
          <w:highlight w:val="none"/>
        </w:rPr>
        <w:t>分、</w:t>
      </w:r>
      <w:r>
        <w:rPr>
          <w:rFonts w:hint="eastAsia" w:ascii="宋体" w:hAnsi="宋体"/>
          <w:bCs/>
          <w:color w:val="auto"/>
          <w:sz w:val="24"/>
          <w:highlight w:val="none"/>
        </w:rPr>
        <w:t>商务</w:t>
      </w:r>
      <w:r>
        <w:rPr>
          <w:rFonts w:hint="eastAsia" w:ascii="宋体" w:hAnsi="宋体"/>
          <w:color w:val="auto"/>
          <w:sz w:val="24"/>
          <w:highlight w:val="none"/>
        </w:rPr>
        <w:t>技术分</w:t>
      </w:r>
      <w:r>
        <w:rPr>
          <w:rFonts w:hint="eastAsia" w:ascii="宋体" w:hAnsi="宋体"/>
          <w:color w:val="auto"/>
          <w:sz w:val="24"/>
          <w:highlight w:val="none"/>
          <w:lang w:val="en-US" w:eastAsia="zh-CN"/>
        </w:rPr>
        <w:t>9</w:t>
      </w:r>
      <w:r>
        <w:rPr>
          <w:rFonts w:ascii="宋体" w:hAnsi="宋体"/>
          <w:color w:val="auto"/>
          <w:sz w:val="24"/>
          <w:highlight w:val="none"/>
        </w:rPr>
        <w:t>0</w:t>
      </w:r>
      <w:r>
        <w:rPr>
          <w:rFonts w:hint="eastAsia" w:ascii="宋体" w:hAnsi="宋体"/>
          <w:color w:val="auto"/>
          <w:sz w:val="24"/>
          <w:highlight w:val="none"/>
        </w:rPr>
        <w:t>分两部分。合格供应商的评标得分为各项目汇总得分，成交候选资格按评标得分由高到低顺序排列，得分相同的，按投标报价由低到高顺序排列；得分且投标报价相同的，按</w:t>
      </w:r>
      <w:r>
        <w:rPr>
          <w:rFonts w:hint="eastAsia" w:ascii="宋体" w:hAnsi="宋体"/>
          <w:color w:val="auto"/>
          <w:sz w:val="24"/>
          <w:highlight w:val="none"/>
          <w:lang w:val="en-US" w:eastAsia="zh-CN"/>
        </w:rPr>
        <w:t>商务</w:t>
      </w:r>
      <w:r>
        <w:rPr>
          <w:rFonts w:hint="eastAsia" w:ascii="宋体" w:hAnsi="宋体"/>
          <w:color w:val="auto"/>
          <w:sz w:val="24"/>
          <w:highlight w:val="none"/>
        </w:rPr>
        <w:t>得分由高到低顺序排列。</w:t>
      </w:r>
      <w:r>
        <w:rPr>
          <w:rFonts w:hint="eastAsia" w:ascii="宋体" w:hAnsi="宋体"/>
          <w:b/>
          <w:bCs/>
          <w:color w:val="auto"/>
          <w:sz w:val="24"/>
          <w:highlight w:val="none"/>
        </w:rPr>
        <w:t>排名第一的供应商为成交候选人,排名第二的供应商为候补成交候选人</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排名第</w:t>
      </w:r>
      <w:r>
        <w:rPr>
          <w:rFonts w:hint="eastAsia" w:ascii="宋体" w:hAnsi="宋体"/>
          <w:b w:val="0"/>
          <w:bCs w:val="0"/>
          <w:color w:val="auto"/>
          <w:sz w:val="24"/>
          <w:highlight w:val="none"/>
          <w:lang w:val="en-US" w:eastAsia="zh-CN"/>
        </w:rPr>
        <w:t>三</w:t>
      </w:r>
      <w:r>
        <w:rPr>
          <w:rFonts w:hint="eastAsia" w:ascii="宋体" w:hAnsi="宋体"/>
          <w:b w:val="0"/>
          <w:bCs w:val="0"/>
          <w:color w:val="auto"/>
          <w:sz w:val="24"/>
          <w:highlight w:val="none"/>
        </w:rPr>
        <w:t>的供应商为</w:t>
      </w:r>
      <w:r>
        <w:rPr>
          <w:rFonts w:hint="eastAsia" w:ascii="宋体" w:hAnsi="宋体"/>
          <w:b w:val="0"/>
          <w:bCs w:val="0"/>
          <w:color w:val="auto"/>
          <w:sz w:val="24"/>
          <w:highlight w:val="none"/>
          <w:lang w:val="en-US" w:eastAsia="zh-CN"/>
        </w:rPr>
        <w:t>第三</w:t>
      </w:r>
      <w:r>
        <w:rPr>
          <w:rFonts w:hint="eastAsia" w:ascii="宋体" w:hAnsi="宋体"/>
          <w:b w:val="0"/>
          <w:bCs w:val="0"/>
          <w:color w:val="auto"/>
          <w:sz w:val="24"/>
          <w:highlight w:val="none"/>
        </w:rPr>
        <w:t>成交候选人</w:t>
      </w:r>
      <w:r>
        <w:rPr>
          <w:rFonts w:hint="eastAsia" w:ascii="宋体" w:hAnsi="宋体"/>
          <w:b w:val="0"/>
          <w:bCs w:val="0"/>
          <w:color w:val="auto"/>
          <w:sz w:val="24"/>
          <w:highlight w:val="none"/>
          <w:lang w:eastAsia="zh-CN"/>
        </w:rPr>
        <w:t>。</w:t>
      </w:r>
      <w:r>
        <w:rPr>
          <w:rFonts w:hint="eastAsia" w:ascii="宋体" w:hAnsi="宋体"/>
          <w:bCs/>
          <w:color w:val="auto"/>
          <w:sz w:val="24"/>
          <w:highlight w:val="none"/>
        </w:rPr>
        <w:t>评分过程中采用四舍五入法，并保留小数2位。</w:t>
      </w:r>
    </w:p>
    <w:p w14:paraId="04378C0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节能环保产品，不发达地区、少数民族地区、</w:t>
      </w:r>
      <w:r>
        <w:rPr>
          <w:rFonts w:hint="eastAsia" w:ascii="宋体" w:hAnsi="宋体"/>
          <w:bCs/>
          <w:color w:val="auto"/>
          <w:sz w:val="24"/>
          <w:highlight w:val="none"/>
        </w:rPr>
        <w:t>监狱企业、残疾人企业、制造精品</w:t>
      </w:r>
      <w:r>
        <w:rPr>
          <w:rFonts w:ascii="宋体" w:hAnsi="宋体"/>
          <w:color w:val="auto"/>
          <w:sz w:val="24"/>
          <w:highlight w:val="none"/>
        </w:rPr>
        <w:t>产品</w:t>
      </w:r>
      <w:r>
        <w:rPr>
          <w:rFonts w:hint="eastAsia" w:ascii="宋体" w:hAnsi="宋体"/>
          <w:color w:val="auto"/>
          <w:sz w:val="24"/>
          <w:highlight w:val="none"/>
        </w:rPr>
        <w:t>的政府采购优惠政策按相关文件规定执行</w:t>
      </w:r>
      <w:r>
        <w:rPr>
          <w:rFonts w:ascii="宋体" w:hAnsi="宋体"/>
          <w:color w:val="auto"/>
          <w:sz w:val="24"/>
          <w:highlight w:val="none"/>
        </w:rPr>
        <w:t>。</w:t>
      </w:r>
      <w:r>
        <w:rPr>
          <w:rFonts w:hint="eastAsia" w:ascii="宋体" w:hAnsi="宋体"/>
          <w:color w:val="auto"/>
          <w:sz w:val="24"/>
          <w:highlight w:val="none"/>
        </w:rPr>
        <w:t>供应商提供的产品如为</w:t>
      </w:r>
      <w:r>
        <w:rPr>
          <w:rFonts w:hint="eastAsia" w:ascii="宋体" w:hAnsi="宋体"/>
          <w:b/>
          <w:bCs/>
          <w:color w:val="auto"/>
          <w:sz w:val="24"/>
          <w:highlight w:val="none"/>
        </w:rPr>
        <w:t>首台套产品的，业绩分为满分。</w:t>
      </w:r>
    </w:p>
    <w:p w14:paraId="43E5B90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供应商评标</w:t>
      </w:r>
      <w:r>
        <w:rPr>
          <w:rFonts w:hint="eastAsia" w:ascii="宋体" w:hAnsi="宋体"/>
          <w:bCs/>
          <w:color w:val="auto"/>
          <w:sz w:val="24"/>
          <w:highlight w:val="none"/>
        </w:rPr>
        <w:t>综合得分=价格分+商务技术分</w:t>
      </w:r>
    </w:p>
    <w:p w14:paraId="0E455437">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二、评标内容及标准</w:t>
      </w:r>
    </w:p>
    <w:p w14:paraId="4082E55A">
      <w:pPr>
        <w:pStyle w:val="22"/>
        <w:keepNext w:val="0"/>
        <w:keepLines w:val="0"/>
        <w:pageBreakBefore w:val="0"/>
        <w:widowControl w:val="0"/>
        <w:kinsoku/>
        <w:wordWrap w:val="0"/>
        <w:overflowPunct/>
        <w:topLinePunct w:val="0"/>
        <w:autoSpaceDE/>
        <w:autoSpaceDN/>
        <w:bidi w:val="0"/>
        <w:adjustRightInd/>
        <w:snapToGrid/>
        <w:spacing w:line="360" w:lineRule="auto"/>
        <w:ind w:firstLine="466" w:firstLineChars="200"/>
        <w:textAlignment w:val="auto"/>
        <w:rPr>
          <w:rFonts w:hAnsi="宋体"/>
          <w:b/>
          <w:bCs/>
          <w:color w:val="auto"/>
          <w:sz w:val="24"/>
          <w:szCs w:val="24"/>
          <w:highlight w:val="none"/>
        </w:rPr>
      </w:pPr>
      <w:r>
        <w:rPr>
          <w:rFonts w:hint="eastAsia" w:hAnsi="宋体"/>
          <w:b/>
          <w:color w:val="auto"/>
          <w:sz w:val="24"/>
          <w:szCs w:val="24"/>
          <w:highlight w:val="none"/>
        </w:rPr>
        <w:t>（一）</w:t>
      </w:r>
      <w:r>
        <w:rPr>
          <w:rFonts w:hint="eastAsia" w:hAnsi="宋体"/>
          <w:b/>
          <w:bCs/>
          <w:color w:val="auto"/>
          <w:sz w:val="24"/>
          <w:szCs w:val="24"/>
          <w:highlight w:val="none"/>
        </w:rPr>
        <w:t>价格分（</w:t>
      </w:r>
      <w:r>
        <w:rPr>
          <w:rFonts w:hint="eastAsia" w:hAnsi="宋体"/>
          <w:b/>
          <w:bCs/>
          <w:color w:val="auto"/>
          <w:sz w:val="24"/>
          <w:szCs w:val="24"/>
          <w:highlight w:val="none"/>
          <w:lang w:val="en-US" w:eastAsia="zh-CN"/>
        </w:rPr>
        <w:t>1</w:t>
      </w:r>
      <w:r>
        <w:rPr>
          <w:rFonts w:hAnsi="宋体"/>
          <w:b/>
          <w:bCs/>
          <w:color w:val="auto"/>
          <w:sz w:val="24"/>
          <w:szCs w:val="24"/>
          <w:highlight w:val="none"/>
        </w:rPr>
        <w:t>0</w:t>
      </w:r>
      <w:r>
        <w:rPr>
          <w:rFonts w:hint="eastAsia" w:hAnsi="宋体"/>
          <w:b/>
          <w:color w:val="auto"/>
          <w:spacing w:val="0"/>
          <w:sz w:val="24"/>
          <w:szCs w:val="24"/>
          <w:highlight w:val="none"/>
        </w:rPr>
        <w:t>分</w:t>
      </w:r>
      <w:r>
        <w:rPr>
          <w:rFonts w:hint="eastAsia" w:hAnsi="宋体"/>
          <w:b/>
          <w:bCs/>
          <w:color w:val="auto"/>
          <w:sz w:val="24"/>
          <w:szCs w:val="24"/>
          <w:highlight w:val="none"/>
        </w:rPr>
        <w:t>）</w:t>
      </w:r>
    </w:p>
    <w:p w14:paraId="6F8244F1">
      <w:pPr>
        <w:pStyle w:val="22"/>
        <w:keepNext w:val="0"/>
        <w:keepLines w:val="0"/>
        <w:pageBreakBefore w:val="0"/>
        <w:widowControl w:val="0"/>
        <w:kinsoku/>
        <w:wordWrap w:val="0"/>
        <w:overflowPunct/>
        <w:topLinePunct w:val="0"/>
        <w:autoSpaceDE/>
        <w:autoSpaceDN/>
        <w:bidi w:val="0"/>
        <w:adjustRightInd/>
        <w:snapToGrid/>
        <w:spacing w:line="360" w:lineRule="auto"/>
        <w:ind w:firstLine="464" w:firstLineChars="200"/>
        <w:textAlignment w:val="auto"/>
        <w:rPr>
          <w:rFonts w:hAnsi="宋体"/>
          <w:bCs/>
          <w:color w:val="auto"/>
          <w:sz w:val="24"/>
          <w:szCs w:val="24"/>
          <w:highlight w:val="none"/>
        </w:rPr>
      </w:pPr>
      <w:r>
        <w:rPr>
          <w:rFonts w:hint="eastAsia" w:hAnsi="宋体"/>
          <w:bCs/>
          <w:color w:val="auto"/>
          <w:sz w:val="24"/>
          <w:szCs w:val="24"/>
          <w:highlight w:val="none"/>
        </w:rPr>
        <w:t>1.价格分采用低价优先法计算，即满足磋商文件要求且投标价格最低的投标报价为评标基准价，其他供应商的价格分按照下列公式计算：</w:t>
      </w:r>
    </w:p>
    <w:p w14:paraId="50FDE89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1</w:t>
      </w:r>
      <w:r>
        <w:rPr>
          <w:rFonts w:ascii="宋体" w:hAnsi="宋体"/>
          <w:color w:val="auto"/>
          <w:sz w:val="24"/>
          <w:highlight w:val="none"/>
        </w:rPr>
        <w:t>0</w:t>
      </w:r>
      <w:r>
        <w:rPr>
          <w:rFonts w:hint="eastAsia" w:ascii="宋体" w:hAnsi="宋体"/>
          <w:color w:val="auto"/>
          <w:sz w:val="24"/>
          <w:highlight w:val="none"/>
        </w:rPr>
        <w:t>%×100</w:t>
      </w:r>
    </w:p>
    <w:p w14:paraId="532FAC7C">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b/>
          <w:bCs/>
          <w:color w:val="auto"/>
          <w:sz w:val="24"/>
          <w:highlight w:val="none"/>
        </w:rPr>
        <w:t>（二）商务</w:t>
      </w:r>
      <w:r>
        <w:rPr>
          <w:rFonts w:hint="eastAsia" w:ascii="宋体" w:hAnsi="宋体"/>
          <w:b/>
          <w:color w:val="auto"/>
          <w:sz w:val="24"/>
          <w:highlight w:val="none"/>
        </w:rPr>
        <w:t>技术分（</w:t>
      </w:r>
      <w:r>
        <w:rPr>
          <w:rFonts w:hint="eastAsia" w:ascii="宋体" w:hAnsi="宋体"/>
          <w:b/>
          <w:color w:val="auto"/>
          <w:sz w:val="24"/>
          <w:highlight w:val="none"/>
          <w:lang w:val="en-US" w:eastAsia="zh-CN"/>
        </w:rPr>
        <w:t>9</w:t>
      </w:r>
      <w:r>
        <w:rPr>
          <w:rFonts w:ascii="宋体" w:hAnsi="宋体"/>
          <w:b/>
          <w:color w:val="auto"/>
          <w:sz w:val="24"/>
          <w:highlight w:val="none"/>
        </w:rPr>
        <w:t>0</w:t>
      </w:r>
      <w:r>
        <w:rPr>
          <w:rFonts w:hint="eastAsia" w:ascii="宋体" w:hAnsi="宋体"/>
          <w:b/>
          <w:color w:val="auto"/>
          <w:sz w:val="24"/>
          <w:highlight w:val="none"/>
        </w:rPr>
        <w:t>分）</w:t>
      </w:r>
    </w:p>
    <w:p w14:paraId="62B6559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Ansi="宋体"/>
          <w:color w:val="auto"/>
          <w:sz w:val="24"/>
          <w:highlight w:val="none"/>
          <w:lang w:val="zh-CN"/>
        </w:rPr>
      </w:pPr>
      <w:r>
        <w:rPr>
          <w:rFonts w:hint="eastAsia" w:hAnsi="宋体"/>
          <w:color w:val="auto"/>
          <w:sz w:val="24"/>
          <w:highlight w:val="none"/>
          <w:lang w:val="zh-CN"/>
        </w:rPr>
        <w:t>磋商小组对通过符合性审查的供应商的投标技术参数或方案充分审核后，进行综合评定独立打分。</w:t>
      </w:r>
    </w:p>
    <w:tbl>
      <w:tblPr>
        <w:tblStyle w:val="48"/>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235"/>
        <w:gridCol w:w="807"/>
        <w:gridCol w:w="7401"/>
      </w:tblGrid>
      <w:tr w14:paraId="5CB9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55" w:type="dxa"/>
            <w:vAlign w:val="center"/>
          </w:tcPr>
          <w:p w14:paraId="156B7F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35" w:type="dxa"/>
            <w:vAlign w:val="center"/>
          </w:tcPr>
          <w:p w14:paraId="57A793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评分项目</w:t>
            </w:r>
          </w:p>
        </w:tc>
        <w:tc>
          <w:tcPr>
            <w:tcW w:w="807" w:type="dxa"/>
            <w:vAlign w:val="center"/>
          </w:tcPr>
          <w:p w14:paraId="40862F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分值</w:t>
            </w:r>
          </w:p>
        </w:tc>
        <w:tc>
          <w:tcPr>
            <w:tcW w:w="7401" w:type="dxa"/>
            <w:vAlign w:val="center"/>
          </w:tcPr>
          <w:p w14:paraId="61B033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1AA0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55" w:type="dxa"/>
            <w:vAlign w:val="center"/>
          </w:tcPr>
          <w:p w14:paraId="4C5BFA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5" w:type="dxa"/>
            <w:vAlign w:val="center"/>
          </w:tcPr>
          <w:p w14:paraId="36509A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认证证书</w:t>
            </w:r>
          </w:p>
        </w:tc>
        <w:tc>
          <w:tcPr>
            <w:tcW w:w="807" w:type="dxa"/>
            <w:vAlign w:val="center"/>
          </w:tcPr>
          <w:p w14:paraId="2FEC1DC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7401" w:type="dxa"/>
            <w:vAlign w:val="center"/>
          </w:tcPr>
          <w:p w14:paraId="2CF98409">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投标人具有有效期内的质量管理体系认证、环境质量管理体系认证、职业健康安全管理体系认证，且认证范围包含</w:t>
            </w:r>
            <w:r>
              <w:rPr>
                <w:rFonts w:hint="eastAsia" w:ascii="宋体" w:hAnsi="宋体" w:eastAsia="宋体" w:cs="宋体"/>
                <w:color w:val="auto"/>
                <w:sz w:val="21"/>
                <w:szCs w:val="21"/>
                <w:highlight w:val="none"/>
                <w:lang w:eastAsia="zh-CN"/>
              </w:rPr>
              <w:t>大气污染</w:t>
            </w:r>
            <w:r>
              <w:rPr>
                <w:rFonts w:hint="eastAsia" w:ascii="宋体" w:hAnsi="宋体" w:cs="宋体"/>
                <w:color w:val="auto"/>
                <w:sz w:val="21"/>
                <w:szCs w:val="21"/>
                <w:highlight w:val="none"/>
                <w:lang w:val="en-US" w:eastAsia="zh-CN"/>
              </w:rPr>
              <w:t>防治</w:t>
            </w:r>
            <w:r>
              <w:rPr>
                <w:rFonts w:hint="eastAsia" w:ascii="宋体" w:hAnsi="宋体" w:eastAsia="宋体" w:cs="宋体"/>
                <w:color w:val="auto"/>
                <w:kern w:val="0"/>
                <w:sz w:val="21"/>
                <w:szCs w:val="21"/>
                <w:highlight w:val="none"/>
                <w:lang w:eastAsia="zh-CN"/>
              </w:rPr>
              <w:t>的，每个认证得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rPr>
              <w:t>最高</w:t>
            </w:r>
            <w:r>
              <w:rPr>
                <w:rFonts w:hint="eastAsia" w:ascii="宋体" w:hAnsi="宋体" w:eastAsia="宋体" w:cs="宋体"/>
                <w:color w:val="auto"/>
                <w:kern w:val="0"/>
                <w:sz w:val="21"/>
                <w:szCs w:val="21"/>
                <w:highlight w:val="none"/>
                <w:lang w:eastAsia="zh-CN"/>
              </w:rPr>
              <w:t>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分；</w:t>
            </w:r>
          </w:p>
          <w:p w14:paraId="12B9CB82">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投标人具有有效期内的中国环境服务认证证书的，且服务项目包含（环境咨询服务）的得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分。</w:t>
            </w:r>
          </w:p>
          <w:p w14:paraId="33320888">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本项最高得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p w14:paraId="39CA1308">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（须提供有效期内证书</w:t>
            </w:r>
            <w:r>
              <w:rPr>
                <w:rFonts w:hint="eastAsia" w:ascii="宋体" w:hAnsi="宋体" w:eastAsia="宋体" w:cs="宋体"/>
                <w:b/>
                <w:bCs/>
                <w:color w:val="auto"/>
                <w:kern w:val="0"/>
                <w:sz w:val="21"/>
                <w:szCs w:val="21"/>
                <w:highlight w:val="none"/>
                <w:lang w:val="en-US" w:eastAsia="zh-CN"/>
              </w:rPr>
              <w:t>扫描</w:t>
            </w:r>
            <w:r>
              <w:rPr>
                <w:rFonts w:hint="eastAsia" w:ascii="宋体" w:hAnsi="宋体" w:eastAsia="宋体" w:cs="宋体"/>
                <w:b/>
                <w:bCs/>
                <w:color w:val="auto"/>
                <w:kern w:val="0"/>
                <w:sz w:val="21"/>
                <w:szCs w:val="21"/>
                <w:highlight w:val="none"/>
                <w:lang w:eastAsia="zh-CN"/>
              </w:rPr>
              <w:t>件</w:t>
            </w:r>
            <w:r>
              <w:rPr>
                <w:rFonts w:hint="eastAsia" w:ascii="宋体" w:hAnsi="宋体" w:eastAsia="宋体" w:cs="宋体"/>
                <w:b/>
                <w:bCs/>
                <w:color w:val="auto"/>
                <w:kern w:val="0"/>
                <w:sz w:val="21"/>
                <w:szCs w:val="21"/>
                <w:highlight w:val="none"/>
                <w:lang w:val="en-US" w:eastAsia="zh-CN"/>
              </w:rPr>
              <w:t>和</w:t>
            </w:r>
            <w:r>
              <w:rPr>
                <w:rFonts w:hint="eastAsia" w:ascii="宋体" w:hAnsi="宋体" w:eastAsia="宋体" w:cs="宋体"/>
                <w:b/>
                <w:bCs/>
                <w:color w:val="auto"/>
                <w:kern w:val="0"/>
                <w:sz w:val="21"/>
                <w:szCs w:val="21"/>
                <w:highlight w:val="none"/>
                <w:lang w:eastAsia="zh-CN"/>
              </w:rPr>
              <w:t>全国认证认可信息公共服务平台（http://cx.cnca.cn/CertECloud/index/index/page）</w:t>
            </w:r>
            <w:r>
              <w:rPr>
                <w:rFonts w:hint="eastAsia" w:ascii="宋体" w:hAnsi="宋体" w:eastAsia="宋体" w:cs="宋体"/>
                <w:b/>
                <w:bCs/>
                <w:color w:val="auto"/>
                <w:kern w:val="0"/>
                <w:sz w:val="21"/>
                <w:szCs w:val="21"/>
                <w:highlight w:val="none"/>
                <w:lang w:val="en-US" w:eastAsia="zh-CN"/>
              </w:rPr>
              <w:t>查询界面截图并</w:t>
            </w:r>
            <w:r>
              <w:rPr>
                <w:rFonts w:hint="eastAsia" w:ascii="宋体" w:hAnsi="宋体" w:eastAsia="宋体" w:cs="宋体"/>
                <w:b/>
                <w:bCs/>
                <w:color w:val="auto"/>
                <w:kern w:val="0"/>
                <w:sz w:val="21"/>
                <w:szCs w:val="21"/>
                <w:highlight w:val="none"/>
                <w:lang w:eastAsia="zh-CN"/>
              </w:rPr>
              <w:t>加盖投标人公章</w:t>
            </w:r>
            <w:r>
              <w:rPr>
                <w:rFonts w:hint="eastAsia" w:ascii="宋体" w:hAnsi="宋体" w:eastAsia="宋体" w:cs="宋体"/>
                <w:b/>
                <w:bCs/>
                <w:color w:val="auto"/>
                <w:kern w:val="0"/>
                <w:sz w:val="21"/>
                <w:szCs w:val="21"/>
                <w:highlight w:val="none"/>
                <w:lang w:val="en-US" w:eastAsia="zh-CN"/>
              </w:rPr>
              <w:t>编入投标文件中</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未提供或提供不全</w:t>
            </w:r>
            <w:r>
              <w:rPr>
                <w:rFonts w:hint="eastAsia" w:ascii="宋体" w:hAnsi="宋体" w:cs="宋体"/>
                <w:b/>
                <w:bCs/>
                <w:color w:val="auto"/>
                <w:kern w:val="0"/>
                <w:sz w:val="21"/>
                <w:szCs w:val="21"/>
                <w:highlight w:val="none"/>
                <w:lang w:val="en-US" w:eastAsia="zh-CN"/>
              </w:rPr>
              <w:t>的</w:t>
            </w:r>
            <w:r>
              <w:rPr>
                <w:rFonts w:hint="eastAsia" w:ascii="宋体" w:hAnsi="宋体" w:eastAsia="宋体" w:cs="宋体"/>
                <w:b/>
                <w:bCs/>
                <w:color w:val="auto"/>
                <w:kern w:val="0"/>
                <w:sz w:val="21"/>
                <w:szCs w:val="21"/>
                <w:highlight w:val="none"/>
                <w:lang w:eastAsia="zh-CN"/>
              </w:rPr>
              <w:t>不得分）</w:t>
            </w:r>
          </w:p>
        </w:tc>
      </w:tr>
      <w:tr w14:paraId="708B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vMerge w:val="restart"/>
            <w:vAlign w:val="center"/>
          </w:tcPr>
          <w:p w14:paraId="4B5442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235" w:type="dxa"/>
            <w:vMerge w:val="restart"/>
            <w:vAlign w:val="center"/>
          </w:tcPr>
          <w:p w14:paraId="7AD5DD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企业实力</w:t>
            </w:r>
          </w:p>
        </w:tc>
        <w:tc>
          <w:tcPr>
            <w:tcW w:w="807" w:type="dxa"/>
            <w:vMerge w:val="restart"/>
            <w:vAlign w:val="center"/>
          </w:tcPr>
          <w:p w14:paraId="042DB2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4分</w:t>
            </w:r>
          </w:p>
        </w:tc>
        <w:tc>
          <w:tcPr>
            <w:tcW w:w="7401" w:type="dxa"/>
            <w:vAlign w:val="center"/>
          </w:tcPr>
          <w:p w14:paraId="79A062D2">
            <w:pPr>
              <w:keepNext w:val="0"/>
              <w:keepLines w:val="0"/>
              <w:pageBreakBefore w:val="0"/>
              <w:widowControl/>
              <w:numPr>
                <w:ilvl w:val="0"/>
                <w:numId w:val="0"/>
              </w:numPr>
              <w:kinsoku/>
              <w:wordWrap/>
              <w:overflowPunct w:val="0"/>
              <w:topLinePunct w:val="0"/>
              <w:autoSpaceDE/>
              <w:autoSpaceDN/>
              <w:bidi w:val="0"/>
              <w:adjustRightInd/>
              <w:snapToGrid/>
              <w:textAlignment w:val="auto"/>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投标人具有大气环保类相关软件著作权的，每提供一个得0.5分，本项最高得2分。</w:t>
            </w:r>
          </w:p>
          <w:p w14:paraId="4CB58944">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Theme="minorEastAsia" w:hAnsiTheme="minorEastAsia" w:eastAsiaTheme="minorEastAsia" w:cstheme="minorEastAsia"/>
                <w:b/>
                <w:bCs/>
                <w:color w:val="auto"/>
                <w:szCs w:val="21"/>
                <w:highlight w:val="none"/>
                <w:lang w:val="en-US" w:eastAsia="zh-CN"/>
              </w:rPr>
              <w:t>（须提供</w:t>
            </w:r>
            <w:r>
              <w:rPr>
                <w:rFonts w:hint="eastAsia" w:asciiTheme="minorEastAsia" w:hAnsiTheme="minorEastAsia" w:eastAsiaTheme="minorEastAsia" w:cstheme="minorEastAsia"/>
                <w:b/>
                <w:bCs/>
                <w:color w:val="auto"/>
                <w:highlight w:val="none"/>
              </w:rPr>
              <w:t>有效</w:t>
            </w:r>
            <w:r>
              <w:rPr>
                <w:rFonts w:hint="eastAsia" w:asciiTheme="minorEastAsia" w:hAnsiTheme="minorEastAsia" w:eastAsiaTheme="minorEastAsia" w:cstheme="minorEastAsia"/>
                <w:b/>
                <w:bCs/>
                <w:color w:val="auto"/>
                <w:highlight w:val="none"/>
                <w:lang w:eastAsia="zh-CN"/>
              </w:rPr>
              <w:t>的</w:t>
            </w:r>
            <w:r>
              <w:rPr>
                <w:rFonts w:hint="eastAsia" w:asciiTheme="minorEastAsia" w:hAnsiTheme="minorEastAsia" w:eastAsiaTheme="minorEastAsia" w:cstheme="minorEastAsia"/>
                <w:b/>
                <w:bCs/>
                <w:color w:val="auto"/>
                <w:szCs w:val="21"/>
                <w:highlight w:val="none"/>
                <w:lang w:val="en-US" w:eastAsia="zh-CN"/>
              </w:rPr>
              <w:t>相关证书扫描件并加盖投标人公章编入投标文件中，未提供的不得分）</w:t>
            </w:r>
          </w:p>
        </w:tc>
      </w:tr>
      <w:tr w14:paraId="0B51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55" w:type="dxa"/>
            <w:vMerge w:val="continue"/>
            <w:vAlign w:val="center"/>
          </w:tcPr>
          <w:p w14:paraId="5E30EC2C">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color w:val="auto"/>
                <w:highlight w:val="none"/>
              </w:rPr>
            </w:pPr>
          </w:p>
        </w:tc>
        <w:tc>
          <w:tcPr>
            <w:tcW w:w="1235" w:type="dxa"/>
            <w:vMerge w:val="continue"/>
            <w:vAlign w:val="center"/>
          </w:tcPr>
          <w:p w14:paraId="34D6E73C">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color w:val="auto"/>
                <w:highlight w:val="none"/>
              </w:rPr>
            </w:pPr>
          </w:p>
        </w:tc>
        <w:tc>
          <w:tcPr>
            <w:tcW w:w="807" w:type="dxa"/>
            <w:vMerge w:val="continue"/>
            <w:vAlign w:val="center"/>
          </w:tcPr>
          <w:p w14:paraId="500EC931">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color w:val="auto"/>
                <w:highlight w:val="none"/>
              </w:rPr>
            </w:pPr>
          </w:p>
        </w:tc>
        <w:tc>
          <w:tcPr>
            <w:tcW w:w="7401" w:type="dxa"/>
            <w:vAlign w:val="center"/>
          </w:tcPr>
          <w:p w14:paraId="6588C2B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投标人取得国家知识产权局颁发的</w:t>
            </w:r>
            <w:r>
              <w:rPr>
                <w:rFonts w:hint="eastAsia" w:asciiTheme="minorEastAsia" w:hAnsiTheme="minorEastAsia" w:eastAsiaTheme="minorEastAsia" w:cstheme="minorEastAsia"/>
                <w:b w:val="0"/>
                <w:bCs w:val="0"/>
                <w:color w:val="auto"/>
                <w:szCs w:val="21"/>
                <w:highlight w:val="none"/>
                <w:lang w:val="en-US" w:eastAsia="zh-CN"/>
              </w:rPr>
              <w:t>大气环保</w:t>
            </w:r>
            <w:r>
              <w:rPr>
                <w:rFonts w:hint="eastAsia" w:ascii="宋体" w:hAnsi="宋体" w:eastAsia="宋体" w:cs="宋体"/>
                <w:color w:val="auto"/>
                <w:szCs w:val="21"/>
                <w:highlight w:val="none"/>
                <w:lang w:val="en-US" w:eastAsia="zh-CN"/>
              </w:rPr>
              <w:t>相关实用新型专利证书的</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每个得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本项最高得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14:paraId="5B49CCE3">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kern w:val="0"/>
                <w:sz w:val="21"/>
                <w:szCs w:val="21"/>
                <w:highlight w:val="none"/>
                <w:lang w:eastAsia="zh-CN"/>
              </w:rPr>
            </w:pPr>
            <w:r>
              <w:rPr>
                <w:rFonts w:hint="eastAsia" w:asciiTheme="minorEastAsia" w:hAnsiTheme="minorEastAsia" w:eastAsiaTheme="minorEastAsia" w:cstheme="minorEastAsia"/>
                <w:b/>
                <w:bCs/>
                <w:color w:val="auto"/>
                <w:szCs w:val="21"/>
                <w:highlight w:val="none"/>
                <w:lang w:val="en-US" w:eastAsia="zh-CN"/>
              </w:rPr>
              <w:t>（须提供</w:t>
            </w:r>
            <w:r>
              <w:rPr>
                <w:rFonts w:hint="eastAsia" w:asciiTheme="minorEastAsia" w:hAnsiTheme="minorEastAsia" w:eastAsiaTheme="minorEastAsia" w:cstheme="minorEastAsia"/>
                <w:b/>
                <w:bCs/>
                <w:color w:val="auto"/>
                <w:highlight w:val="none"/>
              </w:rPr>
              <w:t>有效</w:t>
            </w:r>
            <w:r>
              <w:rPr>
                <w:rFonts w:hint="eastAsia" w:asciiTheme="minorEastAsia" w:hAnsiTheme="minorEastAsia" w:eastAsiaTheme="minorEastAsia" w:cstheme="minorEastAsia"/>
                <w:b/>
                <w:bCs/>
                <w:color w:val="auto"/>
                <w:highlight w:val="none"/>
                <w:lang w:val="en-US" w:eastAsia="zh-CN"/>
              </w:rPr>
              <w:t>期内</w:t>
            </w:r>
            <w:r>
              <w:rPr>
                <w:rFonts w:hint="eastAsia" w:asciiTheme="minorEastAsia" w:hAnsiTheme="minorEastAsia" w:eastAsiaTheme="minorEastAsia" w:cstheme="minorEastAsia"/>
                <w:b/>
                <w:bCs/>
                <w:color w:val="auto"/>
                <w:highlight w:val="none"/>
                <w:lang w:eastAsia="zh-CN"/>
              </w:rPr>
              <w:t>的</w:t>
            </w:r>
            <w:r>
              <w:rPr>
                <w:rFonts w:hint="eastAsia" w:asciiTheme="minorEastAsia" w:hAnsiTheme="minorEastAsia" w:eastAsiaTheme="minorEastAsia" w:cstheme="minorEastAsia"/>
                <w:b/>
                <w:bCs/>
                <w:color w:val="auto"/>
                <w:szCs w:val="21"/>
                <w:highlight w:val="none"/>
                <w:lang w:val="en-US" w:eastAsia="zh-CN"/>
              </w:rPr>
              <w:t>相关证书扫描件并加盖投标人公章编入投标文件中，未提供的不得分）</w:t>
            </w:r>
          </w:p>
        </w:tc>
      </w:tr>
      <w:tr w14:paraId="6A4C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55" w:type="dxa"/>
            <w:vAlign w:val="center"/>
          </w:tcPr>
          <w:p w14:paraId="48EF67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235" w:type="dxa"/>
            <w:shd w:val="clear" w:color="auto" w:fill="auto"/>
            <w:vAlign w:val="center"/>
          </w:tcPr>
          <w:p w14:paraId="2DB36E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企业荣誉</w:t>
            </w:r>
          </w:p>
        </w:tc>
        <w:tc>
          <w:tcPr>
            <w:tcW w:w="807" w:type="dxa"/>
            <w:shd w:val="clear" w:color="auto" w:fill="auto"/>
            <w:vAlign w:val="center"/>
          </w:tcPr>
          <w:p w14:paraId="69EF2D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7401" w:type="dxa"/>
            <w:shd w:val="clear" w:color="auto" w:fill="auto"/>
            <w:vAlign w:val="center"/>
          </w:tcPr>
          <w:p w14:paraId="77F24E37">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投标人获得过省（直辖市）级及以上政府部门或行政主管部门颁发的</w:t>
            </w:r>
            <w:r>
              <w:rPr>
                <w:rFonts w:hint="eastAsia" w:ascii="宋体" w:hAnsi="宋体" w:eastAsia="宋体" w:cs="宋体"/>
                <w:color w:val="auto"/>
                <w:kern w:val="0"/>
                <w:sz w:val="21"/>
                <w:szCs w:val="21"/>
                <w:highlight w:val="none"/>
                <w:lang w:val="en-US" w:eastAsia="zh-CN"/>
              </w:rPr>
              <w:t>环保</w:t>
            </w:r>
            <w:r>
              <w:rPr>
                <w:rFonts w:hint="eastAsia" w:ascii="宋体" w:hAnsi="宋体" w:cs="宋体"/>
                <w:color w:val="auto"/>
                <w:kern w:val="0"/>
                <w:sz w:val="21"/>
                <w:szCs w:val="21"/>
                <w:highlight w:val="none"/>
                <w:lang w:val="en-US" w:eastAsia="zh-CN"/>
              </w:rPr>
              <w:t>类荣誉或表扬</w:t>
            </w:r>
            <w:r>
              <w:rPr>
                <w:rFonts w:hint="eastAsia" w:ascii="宋体" w:hAnsi="宋体" w:eastAsia="宋体" w:cs="宋体"/>
                <w:color w:val="auto"/>
                <w:kern w:val="0"/>
                <w:sz w:val="21"/>
                <w:szCs w:val="21"/>
                <w:highlight w:val="none"/>
                <w:lang w:eastAsia="zh-CN"/>
              </w:rPr>
              <w:t>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分，获得过市级政府部门或行政主管部门颁发的</w:t>
            </w:r>
            <w:r>
              <w:rPr>
                <w:rFonts w:hint="eastAsia" w:ascii="宋体" w:hAnsi="宋体" w:eastAsia="宋体" w:cs="宋体"/>
                <w:color w:val="auto"/>
                <w:kern w:val="0"/>
                <w:sz w:val="21"/>
                <w:szCs w:val="21"/>
                <w:highlight w:val="none"/>
                <w:lang w:val="en-US" w:eastAsia="zh-CN"/>
              </w:rPr>
              <w:t>环保</w:t>
            </w:r>
            <w:r>
              <w:rPr>
                <w:rFonts w:hint="eastAsia" w:ascii="宋体" w:hAnsi="宋体" w:cs="宋体"/>
                <w:color w:val="auto"/>
                <w:kern w:val="0"/>
                <w:sz w:val="21"/>
                <w:szCs w:val="21"/>
                <w:highlight w:val="none"/>
                <w:lang w:val="en-US" w:eastAsia="zh-CN"/>
              </w:rPr>
              <w:t>类荣誉或表扬</w:t>
            </w:r>
            <w:r>
              <w:rPr>
                <w:rFonts w:hint="eastAsia" w:ascii="宋体" w:hAnsi="宋体" w:eastAsia="宋体" w:cs="宋体"/>
                <w:color w:val="auto"/>
                <w:kern w:val="0"/>
                <w:sz w:val="21"/>
                <w:szCs w:val="21"/>
                <w:highlight w:val="none"/>
                <w:lang w:eastAsia="zh-CN"/>
              </w:rPr>
              <w:t>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rPr>
              <w:t>其他不得分</w:t>
            </w:r>
            <w:r>
              <w:rPr>
                <w:rFonts w:hint="eastAsia" w:ascii="宋体" w:hAnsi="宋体" w:eastAsia="宋体" w:cs="宋体"/>
                <w:color w:val="auto"/>
                <w:kern w:val="0"/>
                <w:sz w:val="21"/>
                <w:szCs w:val="21"/>
                <w:highlight w:val="none"/>
                <w:lang w:eastAsia="zh-CN"/>
              </w:rPr>
              <w:t>。</w:t>
            </w:r>
          </w:p>
          <w:p w14:paraId="1EAE32DE">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注：按最高项计取，不累计计分。</w:t>
            </w:r>
          </w:p>
          <w:p w14:paraId="40B13439">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eastAsia="zh-CN"/>
              </w:rPr>
              <w:t>（须提供相关证明材料</w:t>
            </w:r>
            <w:r>
              <w:rPr>
                <w:rFonts w:hint="eastAsia" w:ascii="宋体" w:hAnsi="宋体" w:eastAsia="宋体" w:cs="宋体"/>
                <w:b/>
                <w:bCs/>
                <w:color w:val="auto"/>
                <w:kern w:val="0"/>
                <w:sz w:val="21"/>
                <w:szCs w:val="21"/>
                <w:highlight w:val="none"/>
                <w:lang w:val="en-US" w:eastAsia="zh-CN"/>
              </w:rPr>
              <w:t>扫描</w:t>
            </w:r>
            <w:r>
              <w:rPr>
                <w:rFonts w:hint="eastAsia" w:ascii="宋体" w:hAnsi="宋体" w:eastAsia="宋体" w:cs="宋体"/>
                <w:b/>
                <w:bCs/>
                <w:color w:val="auto"/>
                <w:kern w:val="0"/>
                <w:sz w:val="21"/>
                <w:szCs w:val="21"/>
                <w:highlight w:val="none"/>
                <w:lang w:eastAsia="zh-CN"/>
              </w:rPr>
              <w:t>件</w:t>
            </w:r>
            <w:r>
              <w:rPr>
                <w:rFonts w:hint="eastAsia" w:ascii="宋体" w:hAnsi="宋体" w:eastAsia="宋体" w:cs="宋体"/>
                <w:b/>
                <w:bCs/>
                <w:color w:val="auto"/>
                <w:kern w:val="0"/>
                <w:sz w:val="21"/>
                <w:szCs w:val="21"/>
                <w:highlight w:val="none"/>
                <w:lang w:val="en-US" w:eastAsia="zh-CN"/>
              </w:rPr>
              <w:t>并</w:t>
            </w:r>
            <w:r>
              <w:rPr>
                <w:rFonts w:hint="eastAsia" w:ascii="宋体" w:hAnsi="宋体" w:eastAsia="宋体" w:cs="宋体"/>
                <w:b/>
                <w:bCs/>
                <w:color w:val="auto"/>
                <w:kern w:val="0"/>
                <w:sz w:val="21"/>
                <w:szCs w:val="21"/>
                <w:highlight w:val="none"/>
                <w:lang w:eastAsia="zh-CN"/>
              </w:rPr>
              <w:t>加盖投标人公章</w:t>
            </w:r>
            <w:r>
              <w:rPr>
                <w:rFonts w:hint="eastAsia" w:ascii="宋体" w:hAnsi="宋体" w:eastAsia="宋体" w:cs="宋体"/>
                <w:b/>
                <w:bCs/>
                <w:color w:val="auto"/>
                <w:kern w:val="0"/>
                <w:sz w:val="21"/>
                <w:szCs w:val="21"/>
                <w:highlight w:val="none"/>
                <w:lang w:val="en-US" w:eastAsia="zh-CN"/>
              </w:rPr>
              <w:t>编入投标文件中</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未提供</w:t>
            </w:r>
            <w:r>
              <w:rPr>
                <w:rFonts w:hint="eastAsia" w:ascii="宋体" w:hAnsi="宋体" w:eastAsia="宋体" w:cs="宋体"/>
                <w:b/>
                <w:bCs/>
                <w:color w:val="auto"/>
                <w:kern w:val="0"/>
                <w:sz w:val="21"/>
                <w:szCs w:val="21"/>
                <w:highlight w:val="none"/>
                <w:lang w:eastAsia="zh-CN"/>
              </w:rPr>
              <w:t>不得分）</w:t>
            </w:r>
          </w:p>
        </w:tc>
      </w:tr>
      <w:tr w14:paraId="6162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55" w:type="dxa"/>
            <w:vAlign w:val="center"/>
          </w:tcPr>
          <w:p w14:paraId="2EB0B0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235" w:type="dxa"/>
            <w:vAlign w:val="center"/>
          </w:tcPr>
          <w:p w14:paraId="210A0C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承接经验</w:t>
            </w:r>
          </w:p>
        </w:tc>
        <w:tc>
          <w:tcPr>
            <w:tcW w:w="807" w:type="dxa"/>
            <w:vAlign w:val="center"/>
          </w:tcPr>
          <w:p w14:paraId="0FC936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1分</w:t>
            </w:r>
          </w:p>
        </w:tc>
        <w:tc>
          <w:tcPr>
            <w:tcW w:w="7401" w:type="dxa"/>
            <w:vAlign w:val="center"/>
          </w:tcPr>
          <w:p w14:paraId="450DE35F">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kern w:val="0"/>
                <w:sz w:val="21"/>
                <w:szCs w:val="21"/>
                <w:highlight w:val="none"/>
                <w:lang w:eastAsia="zh-CN"/>
              </w:rPr>
              <w:t>202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年1月1日</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以合同签订时间为准</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eastAsia="zh-CN"/>
              </w:rPr>
              <w:t>以来，承担过</w:t>
            </w:r>
            <w:r>
              <w:rPr>
                <w:rFonts w:hint="eastAsia" w:ascii="宋体" w:hAnsi="宋体" w:eastAsia="宋体" w:cs="宋体"/>
                <w:color w:val="auto"/>
                <w:kern w:val="0"/>
                <w:sz w:val="21"/>
                <w:szCs w:val="21"/>
                <w:highlight w:val="none"/>
                <w:lang w:val="en-US" w:eastAsia="zh-CN"/>
              </w:rPr>
              <w:t>类似气类排查项目</w:t>
            </w:r>
            <w:r>
              <w:rPr>
                <w:rFonts w:hint="eastAsia" w:ascii="宋体" w:hAnsi="宋体" w:eastAsia="宋体" w:cs="宋体"/>
                <w:color w:val="auto"/>
                <w:kern w:val="0"/>
                <w:sz w:val="21"/>
                <w:szCs w:val="21"/>
                <w:highlight w:val="none"/>
                <w:lang w:eastAsia="zh-CN"/>
              </w:rPr>
              <w:t>的，每提供1个业绩合同得</w:t>
            </w:r>
            <w:r>
              <w:rPr>
                <w:rFonts w:hint="eastAsia" w:ascii="宋体" w:hAnsi="宋体" w:cs="宋体"/>
                <w:color w:val="auto"/>
                <w:kern w:val="0"/>
                <w:sz w:val="21"/>
                <w:szCs w:val="21"/>
                <w:highlight w:val="none"/>
                <w:lang w:val="en-US" w:eastAsia="zh-CN"/>
              </w:rPr>
              <w:t>0.25</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rPr>
              <w:t>本项</w:t>
            </w:r>
            <w:r>
              <w:rPr>
                <w:rFonts w:hint="eastAsia" w:ascii="宋体" w:hAnsi="宋体" w:eastAsia="宋体" w:cs="宋体"/>
                <w:color w:val="auto"/>
                <w:kern w:val="0"/>
                <w:sz w:val="21"/>
                <w:szCs w:val="21"/>
                <w:highlight w:val="none"/>
                <w:lang w:eastAsia="zh-CN"/>
              </w:rPr>
              <w:t>最高得1分。</w:t>
            </w:r>
          </w:p>
          <w:p w14:paraId="619F24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r>
      <w:tr w14:paraId="5EA5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755" w:type="dxa"/>
            <w:vAlign w:val="center"/>
          </w:tcPr>
          <w:p w14:paraId="090241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235" w:type="dxa"/>
            <w:vAlign w:val="center"/>
          </w:tcPr>
          <w:p w14:paraId="587643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项目负责人</w:t>
            </w:r>
          </w:p>
        </w:tc>
        <w:tc>
          <w:tcPr>
            <w:tcW w:w="807" w:type="dxa"/>
            <w:vAlign w:val="center"/>
          </w:tcPr>
          <w:p w14:paraId="0BC7B541">
            <w:pPr>
              <w:keepNext w:val="0"/>
              <w:keepLines w:val="0"/>
              <w:pageBreakBefore w:val="0"/>
              <w:widowControl w:val="0"/>
              <w:tabs>
                <w:tab w:val="left" w:pos="78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7401" w:type="dxa"/>
            <w:vAlign w:val="center"/>
          </w:tcPr>
          <w:p w14:paraId="7FF9E8E5">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项目负责人具有环境类相关专业正高级</w:t>
            </w:r>
            <w:r>
              <w:rPr>
                <w:rFonts w:hint="eastAsia" w:ascii="宋体" w:hAnsi="宋体" w:eastAsia="宋体" w:cs="宋体"/>
                <w:color w:val="auto"/>
                <w:kern w:val="0"/>
                <w:sz w:val="21"/>
                <w:szCs w:val="21"/>
                <w:highlight w:val="none"/>
                <w:lang w:val="en-US" w:eastAsia="zh-CN"/>
              </w:rPr>
              <w:t>职称</w:t>
            </w:r>
            <w:r>
              <w:rPr>
                <w:rFonts w:hint="eastAsia" w:ascii="宋体" w:hAnsi="宋体" w:eastAsia="宋体" w:cs="宋体"/>
                <w:color w:val="auto"/>
                <w:kern w:val="0"/>
                <w:sz w:val="21"/>
                <w:szCs w:val="21"/>
                <w:highlight w:val="none"/>
                <w:lang w:eastAsia="zh-CN"/>
              </w:rPr>
              <w:t>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分，副高级</w:t>
            </w:r>
            <w:r>
              <w:rPr>
                <w:rFonts w:hint="eastAsia" w:ascii="宋体" w:hAnsi="宋体" w:eastAsia="宋体" w:cs="宋体"/>
                <w:color w:val="auto"/>
                <w:kern w:val="0"/>
                <w:sz w:val="21"/>
                <w:szCs w:val="21"/>
                <w:highlight w:val="none"/>
                <w:lang w:val="en-US" w:eastAsia="zh-CN"/>
              </w:rPr>
              <w:t>职称</w:t>
            </w:r>
            <w:r>
              <w:rPr>
                <w:rFonts w:hint="eastAsia" w:ascii="宋体" w:hAnsi="宋体" w:eastAsia="宋体" w:cs="宋体"/>
                <w:color w:val="auto"/>
                <w:kern w:val="0"/>
                <w:sz w:val="21"/>
                <w:szCs w:val="21"/>
                <w:highlight w:val="none"/>
                <w:lang w:eastAsia="zh-CN"/>
              </w:rPr>
              <w:t>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w:t>
            </w:r>
            <w:r>
              <w:rPr>
                <w:rFonts w:hint="eastAsia" w:ascii="宋体" w:hAnsi="宋体" w:cs="宋体"/>
                <w:color w:val="auto"/>
                <w:kern w:val="0"/>
                <w:sz w:val="21"/>
                <w:szCs w:val="21"/>
                <w:highlight w:val="none"/>
                <w:lang w:val="en-US" w:eastAsia="zh-CN"/>
              </w:rPr>
              <w:t>其他不得分</w:t>
            </w:r>
            <w:r>
              <w:rPr>
                <w:rFonts w:hint="eastAsia" w:ascii="宋体" w:hAnsi="宋体" w:eastAsia="宋体" w:cs="宋体"/>
                <w:color w:val="auto"/>
                <w:kern w:val="0"/>
                <w:sz w:val="21"/>
                <w:szCs w:val="21"/>
                <w:highlight w:val="none"/>
                <w:lang w:eastAsia="zh-CN"/>
              </w:rPr>
              <w:t>；</w:t>
            </w:r>
          </w:p>
          <w:p w14:paraId="60805344">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项目负责人具有注册环保工程师</w:t>
            </w:r>
            <w:r>
              <w:rPr>
                <w:rFonts w:hint="eastAsia" w:ascii="宋体" w:hAnsi="宋体" w:eastAsia="宋体" w:cs="宋体"/>
                <w:color w:val="auto"/>
                <w:kern w:val="0"/>
                <w:sz w:val="21"/>
                <w:szCs w:val="21"/>
                <w:highlight w:val="none"/>
                <w:lang w:val="en-US" w:eastAsia="zh-CN"/>
              </w:rPr>
              <w:t>执业证书</w:t>
            </w:r>
            <w:r>
              <w:rPr>
                <w:rFonts w:hint="eastAsia" w:ascii="宋体" w:hAnsi="宋体" w:eastAsia="宋体" w:cs="宋体"/>
                <w:color w:val="auto"/>
                <w:kern w:val="0"/>
                <w:sz w:val="21"/>
                <w:szCs w:val="21"/>
                <w:highlight w:val="none"/>
                <w:lang w:eastAsia="zh-CN"/>
              </w:rPr>
              <w:t>的</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w:t>
            </w:r>
            <w:r>
              <w:rPr>
                <w:rFonts w:hint="eastAsia" w:ascii="宋体" w:hAnsi="宋体" w:cs="宋体"/>
                <w:color w:val="auto"/>
                <w:kern w:val="0"/>
                <w:sz w:val="21"/>
                <w:szCs w:val="21"/>
                <w:highlight w:val="none"/>
                <w:lang w:eastAsia="zh-CN"/>
              </w:rPr>
              <w:t>。</w:t>
            </w:r>
          </w:p>
          <w:p w14:paraId="41572D0B">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本项最高得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分。</w:t>
            </w:r>
          </w:p>
          <w:p w14:paraId="0A92A3CA">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须</w:t>
            </w:r>
            <w:r>
              <w:rPr>
                <w:rFonts w:hint="eastAsia" w:ascii="宋体" w:hAnsi="宋体" w:eastAsia="宋体" w:cs="宋体"/>
                <w:b/>
                <w:bCs/>
                <w:color w:val="auto"/>
                <w:kern w:val="0"/>
                <w:sz w:val="21"/>
                <w:szCs w:val="21"/>
                <w:highlight w:val="none"/>
                <w:lang w:eastAsia="zh-CN"/>
              </w:rPr>
              <w:t>提供相关</w:t>
            </w:r>
            <w:r>
              <w:rPr>
                <w:rFonts w:hint="eastAsia" w:ascii="宋体" w:hAnsi="宋体" w:eastAsia="宋体" w:cs="宋体"/>
                <w:b/>
                <w:bCs/>
                <w:color w:val="auto"/>
                <w:kern w:val="0"/>
                <w:sz w:val="21"/>
                <w:szCs w:val="21"/>
                <w:highlight w:val="none"/>
                <w:lang w:val="en-US" w:eastAsia="zh-CN"/>
              </w:rPr>
              <w:t>证明材料</w:t>
            </w:r>
            <w:r>
              <w:rPr>
                <w:rFonts w:hint="eastAsia" w:ascii="宋体" w:hAnsi="宋体" w:eastAsia="宋体" w:cs="宋体"/>
                <w:b/>
                <w:bCs/>
                <w:color w:val="auto"/>
                <w:kern w:val="0"/>
                <w:sz w:val="21"/>
                <w:szCs w:val="21"/>
                <w:highlight w:val="none"/>
                <w:lang w:eastAsia="zh-CN"/>
              </w:rPr>
              <w:t>及近三个月（</w:t>
            </w:r>
            <w:r>
              <w:rPr>
                <w:rFonts w:hint="eastAsia" w:ascii="宋体" w:hAnsi="宋体" w:eastAsia="宋体" w:cs="宋体"/>
                <w:b/>
                <w:bCs/>
                <w:color w:val="auto"/>
                <w:kern w:val="0"/>
                <w:sz w:val="21"/>
                <w:szCs w:val="21"/>
                <w:highlight w:val="none"/>
                <w:lang w:val="en-US" w:eastAsia="zh-CN"/>
              </w:rPr>
              <w:t>2025年</w:t>
            </w:r>
            <w:r>
              <w:rPr>
                <w:rFonts w:hint="eastAsia" w:ascii="宋体" w:hAnsi="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lang w:val="en-US" w:eastAsia="zh-CN"/>
              </w:rPr>
              <w:t>月-2025年</w:t>
            </w: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月</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中</w:t>
            </w:r>
            <w:r>
              <w:rPr>
                <w:rFonts w:hint="eastAsia" w:ascii="宋体" w:hAnsi="宋体" w:eastAsia="宋体" w:cs="宋体"/>
                <w:b/>
                <w:bCs/>
                <w:color w:val="auto"/>
                <w:kern w:val="0"/>
                <w:sz w:val="21"/>
                <w:szCs w:val="21"/>
                <w:highlight w:val="none"/>
                <w:lang w:eastAsia="zh-CN"/>
              </w:rPr>
              <w:t>任意一个月的社保缴纳材料扫描件</w:t>
            </w:r>
            <w:r>
              <w:rPr>
                <w:rFonts w:hint="eastAsia" w:ascii="宋体" w:hAnsi="宋体" w:eastAsia="宋体" w:cs="宋体"/>
                <w:b/>
                <w:bCs/>
                <w:color w:val="auto"/>
                <w:kern w:val="0"/>
                <w:sz w:val="21"/>
                <w:szCs w:val="21"/>
                <w:highlight w:val="none"/>
                <w:lang w:val="en-US" w:eastAsia="zh-CN"/>
              </w:rPr>
              <w:t>并</w:t>
            </w:r>
            <w:r>
              <w:rPr>
                <w:rFonts w:hint="eastAsia" w:ascii="宋体" w:hAnsi="宋体" w:eastAsia="宋体" w:cs="宋体"/>
                <w:b/>
                <w:bCs/>
                <w:color w:val="auto"/>
                <w:kern w:val="0"/>
                <w:sz w:val="21"/>
                <w:szCs w:val="21"/>
                <w:highlight w:val="none"/>
                <w:lang w:eastAsia="zh-CN"/>
              </w:rPr>
              <w:t>加盖投标人公章</w:t>
            </w:r>
            <w:r>
              <w:rPr>
                <w:rFonts w:hint="eastAsia" w:ascii="宋体" w:hAnsi="宋体" w:eastAsia="宋体" w:cs="宋体"/>
                <w:b/>
                <w:bCs/>
                <w:color w:val="auto"/>
                <w:kern w:val="0"/>
                <w:sz w:val="21"/>
                <w:szCs w:val="21"/>
                <w:highlight w:val="none"/>
                <w:lang w:val="en-US" w:eastAsia="zh-CN"/>
              </w:rPr>
              <w:t>编入投标文件中</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未提供或提供不全</w:t>
            </w:r>
            <w:r>
              <w:rPr>
                <w:rFonts w:hint="eastAsia" w:ascii="宋体" w:hAnsi="宋体" w:eastAsia="宋体" w:cs="宋体"/>
                <w:b/>
                <w:bCs/>
                <w:color w:val="auto"/>
                <w:kern w:val="0"/>
                <w:sz w:val="21"/>
                <w:szCs w:val="21"/>
                <w:highlight w:val="none"/>
                <w:lang w:eastAsia="zh-CN"/>
              </w:rPr>
              <w:t>不得分)</w:t>
            </w:r>
          </w:p>
        </w:tc>
      </w:tr>
      <w:tr w14:paraId="1743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55" w:type="dxa"/>
            <w:vAlign w:val="center"/>
          </w:tcPr>
          <w:p w14:paraId="47BC4A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235" w:type="dxa"/>
            <w:vAlign w:val="center"/>
          </w:tcPr>
          <w:p w14:paraId="48A7DF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项目组成员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项目负责人除外</w:t>
            </w:r>
            <w:r>
              <w:rPr>
                <w:rFonts w:hint="eastAsia" w:ascii="宋体" w:hAnsi="宋体" w:eastAsia="宋体" w:cs="宋体"/>
                <w:color w:val="auto"/>
                <w:kern w:val="0"/>
                <w:sz w:val="21"/>
                <w:szCs w:val="21"/>
                <w:highlight w:val="none"/>
                <w:lang w:eastAsia="zh-CN"/>
              </w:rPr>
              <w:t>）</w:t>
            </w:r>
          </w:p>
        </w:tc>
        <w:tc>
          <w:tcPr>
            <w:tcW w:w="807" w:type="dxa"/>
            <w:vAlign w:val="center"/>
          </w:tcPr>
          <w:p w14:paraId="3EDF33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7401" w:type="dxa"/>
            <w:vAlign w:val="center"/>
          </w:tcPr>
          <w:p w14:paraId="7EE3AFE1">
            <w:pPr>
              <w:keepNext w:val="0"/>
              <w:keepLines w:val="0"/>
              <w:pageBreakBefore w:val="0"/>
              <w:widowControl w:val="0"/>
              <w:numPr>
                <w:ilvl w:val="0"/>
                <w:numId w:val="0"/>
              </w:numPr>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eastAsia="zh-CN"/>
              </w:rPr>
              <w:t>项目组成员（</w:t>
            </w:r>
            <w:r>
              <w:rPr>
                <w:rFonts w:hint="eastAsia" w:ascii="宋体" w:hAnsi="宋体" w:eastAsia="宋体" w:cs="宋体"/>
                <w:color w:val="auto"/>
                <w:kern w:val="0"/>
                <w:sz w:val="21"/>
                <w:szCs w:val="21"/>
                <w:highlight w:val="none"/>
                <w:lang w:val="en-US" w:eastAsia="zh-CN"/>
              </w:rPr>
              <w:t>项目负责人除外</w:t>
            </w:r>
            <w:r>
              <w:rPr>
                <w:rFonts w:hint="eastAsia" w:ascii="宋体" w:hAnsi="宋体" w:eastAsia="宋体" w:cs="宋体"/>
                <w:color w:val="auto"/>
                <w:kern w:val="0"/>
                <w:sz w:val="21"/>
                <w:szCs w:val="21"/>
                <w:highlight w:val="none"/>
                <w:lang w:eastAsia="zh-CN"/>
              </w:rPr>
              <w:t>）具有环境类相关专业副高级及以上职称</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每有</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人得1分，</w:t>
            </w:r>
            <w:r>
              <w:rPr>
                <w:rFonts w:hint="eastAsia" w:ascii="宋体" w:hAnsi="宋体" w:eastAsia="宋体" w:cs="宋体"/>
                <w:color w:val="auto"/>
                <w:kern w:val="0"/>
                <w:sz w:val="21"/>
                <w:szCs w:val="21"/>
                <w:highlight w:val="none"/>
                <w:lang w:val="en-US" w:eastAsia="zh-CN"/>
              </w:rPr>
              <w:t>最高得3分；</w:t>
            </w:r>
          </w:p>
          <w:p w14:paraId="586AB28E">
            <w:pPr>
              <w:keepNext w:val="0"/>
              <w:keepLines w:val="0"/>
              <w:pageBreakBefore w:val="0"/>
              <w:widowControl w:val="0"/>
              <w:numPr>
                <w:ilvl w:val="0"/>
                <w:numId w:val="0"/>
              </w:numPr>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项目组成员（</w:t>
            </w:r>
            <w:r>
              <w:rPr>
                <w:rFonts w:hint="eastAsia" w:ascii="宋体" w:hAnsi="宋体" w:eastAsia="宋体" w:cs="宋体"/>
                <w:color w:val="auto"/>
                <w:kern w:val="0"/>
                <w:sz w:val="21"/>
                <w:szCs w:val="21"/>
                <w:highlight w:val="none"/>
                <w:lang w:val="en-US" w:eastAsia="zh-CN"/>
              </w:rPr>
              <w:t>项目负责人除外</w:t>
            </w:r>
            <w:r>
              <w:rPr>
                <w:rFonts w:hint="eastAsia" w:ascii="宋体" w:hAnsi="宋体" w:eastAsia="宋体" w:cs="宋体"/>
                <w:color w:val="auto"/>
                <w:kern w:val="0"/>
                <w:sz w:val="21"/>
                <w:szCs w:val="21"/>
                <w:highlight w:val="none"/>
                <w:lang w:eastAsia="zh-CN"/>
              </w:rPr>
              <w:t>）具有注册咨询工程师（生态建设和环境工程</w:t>
            </w:r>
            <w:r>
              <w:rPr>
                <w:rFonts w:hint="eastAsia" w:ascii="宋体" w:hAnsi="宋体" w:eastAsia="宋体" w:cs="宋体"/>
                <w:color w:val="auto"/>
                <w:kern w:val="0"/>
                <w:sz w:val="21"/>
                <w:szCs w:val="21"/>
                <w:highlight w:val="none"/>
                <w:lang w:val="en-US" w:eastAsia="zh-CN"/>
              </w:rPr>
              <w:t>专业</w:t>
            </w:r>
            <w:r>
              <w:rPr>
                <w:rFonts w:hint="eastAsia" w:ascii="宋体" w:hAnsi="宋体" w:eastAsia="宋体" w:cs="宋体"/>
                <w:color w:val="auto"/>
                <w:kern w:val="0"/>
                <w:sz w:val="21"/>
                <w:szCs w:val="21"/>
                <w:highlight w:val="none"/>
                <w:lang w:eastAsia="zh-CN"/>
              </w:rPr>
              <w:t>）的，每有</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人得1分，</w:t>
            </w:r>
            <w:r>
              <w:rPr>
                <w:rFonts w:hint="eastAsia" w:ascii="宋体" w:hAnsi="宋体" w:eastAsia="宋体" w:cs="宋体"/>
                <w:color w:val="auto"/>
                <w:kern w:val="0"/>
                <w:sz w:val="21"/>
                <w:szCs w:val="21"/>
                <w:highlight w:val="none"/>
                <w:lang w:val="en-US" w:eastAsia="zh-CN"/>
              </w:rPr>
              <w:t>最高得3分</w:t>
            </w:r>
            <w:r>
              <w:rPr>
                <w:rFonts w:hint="eastAsia" w:ascii="宋体" w:hAnsi="宋体" w:eastAsia="宋体" w:cs="宋体"/>
                <w:color w:val="auto"/>
                <w:kern w:val="0"/>
                <w:sz w:val="21"/>
                <w:szCs w:val="21"/>
                <w:highlight w:val="none"/>
                <w:lang w:eastAsia="zh-CN"/>
              </w:rPr>
              <w:t>；</w:t>
            </w:r>
          </w:p>
          <w:p w14:paraId="2C0E9EEE">
            <w:pPr>
              <w:keepNext w:val="0"/>
              <w:keepLines w:val="0"/>
              <w:pageBreakBefore w:val="0"/>
              <w:widowControl w:val="0"/>
              <w:numPr>
                <w:ilvl w:val="0"/>
                <w:numId w:val="0"/>
              </w:numPr>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项目组成员（</w:t>
            </w:r>
            <w:r>
              <w:rPr>
                <w:rFonts w:hint="eastAsia" w:ascii="宋体" w:hAnsi="宋体" w:eastAsia="宋体" w:cs="宋体"/>
                <w:color w:val="auto"/>
                <w:kern w:val="0"/>
                <w:sz w:val="21"/>
                <w:szCs w:val="21"/>
                <w:highlight w:val="none"/>
                <w:lang w:val="en-US" w:eastAsia="zh-CN"/>
              </w:rPr>
              <w:t>项目负责人除外</w:t>
            </w:r>
            <w:r>
              <w:rPr>
                <w:rFonts w:hint="eastAsia" w:ascii="宋体" w:hAnsi="宋体" w:eastAsia="宋体" w:cs="宋体"/>
                <w:color w:val="auto"/>
                <w:kern w:val="0"/>
                <w:sz w:val="21"/>
                <w:szCs w:val="21"/>
                <w:highlight w:val="none"/>
                <w:lang w:eastAsia="zh-CN"/>
              </w:rPr>
              <w:t>）具有注册环保工程师</w:t>
            </w:r>
            <w:r>
              <w:rPr>
                <w:rFonts w:hint="eastAsia" w:ascii="宋体" w:hAnsi="宋体" w:eastAsia="宋体" w:cs="宋体"/>
                <w:color w:val="auto"/>
                <w:kern w:val="0"/>
                <w:sz w:val="21"/>
                <w:szCs w:val="21"/>
                <w:highlight w:val="none"/>
                <w:lang w:val="en-US" w:eastAsia="zh-CN"/>
              </w:rPr>
              <w:t>执业证书</w:t>
            </w:r>
            <w:r>
              <w:rPr>
                <w:rFonts w:hint="eastAsia" w:ascii="宋体" w:hAnsi="宋体" w:eastAsia="宋体" w:cs="宋体"/>
                <w:color w:val="auto"/>
                <w:kern w:val="0"/>
                <w:sz w:val="21"/>
                <w:szCs w:val="21"/>
                <w:highlight w:val="none"/>
                <w:lang w:eastAsia="zh-CN"/>
              </w:rPr>
              <w:t>的，每有</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人得1分，最高得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分；</w:t>
            </w:r>
          </w:p>
          <w:p w14:paraId="7A4B0E30">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项目组成员（</w:t>
            </w:r>
            <w:r>
              <w:rPr>
                <w:rFonts w:hint="eastAsia" w:ascii="宋体" w:hAnsi="宋体" w:eastAsia="宋体" w:cs="宋体"/>
                <w:color w:val="auto"/>
                <w:kern w:val="0"/>
                <w:sz w:val="21"/>
                <w:szCs w:val="21"/>
                <w:highlight w:val="none"/>
                <w:lang w:val="en-US" w:eastAsia="zh-CN"/>
              </w:rPr>
              <w:t>项目负责人除外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为</w:t>
            </w:r>
            <w:r>
              <w:rPr>
                <w:rFonts w:hint="eastAsia" w:ascii="宋体" w:hAnsi="宋体" w:cs="宋体"/>
                <w:color w:val="auto"/>
                <w:kern w:val="0"/>
                <w:sz w:val="21"/>
                <w:szCs w:val="21"/>
                <w:highlight w:val="none"/>
                <w:lang w:val="en-US" w:eastAsia="zh-CN"/>
              </w:rPr>
              <w:t>大气物理学与大气环境</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大气科学、环境科学、生态保护</w:t>
            </w:r>
            <w:r>
              <w:rPr>
                <w:rFonts w:hint="eastAsia" w:ascii="宋体" w:hAnsi="宋体" w:eastAsia="宋体" w:cs="宋体"/>
                <w:color w:val="auto"/>
                <w:kern w:val="0"/>
                <w:sz w:val="21"/>
                <w:szCs w:val="21"/>
                <w:highlight w:val="none"/>
                <w:lang w:eastAsia="zh-CN"/>
              </w:rPr>
              <w:t>专业</w:t>
            </w:r>
            <w:r>
              <w:rPr>
                <w:rFonts w:hint="eastAsia" w:ascii="宋体" w:hAnsi="宋体" w:eastAsia="宋体" w:cs="宋体"/>
                <w:color w:val="auto"/>
                <w:kern w:val="0"/>
                <w:sz w:val="21"/>
                <w:szCs w:val="21"/>
                <w:highlight w:val="none"/>
                <w:lang w:val="en-US" w:eastAsia="zh-CN"/>
              </w:rPr>
              <w:t>毕业</w:t>
            </w:r>
            <w:r>
              <w:rPr>
                <w:rFonts w:hint="eastAsia" w:ascii="宋体" w:hAnsi="宋体" w:eastAsia="宋体" w:cs="宋体"/>
                <w:color w:val="auto"/>
                <w:kern w:val="0"/>
                <w:sz w:val="21"/>
                <w:szCs w:val="21"/>
                <w:highlight w:val="none"/>
                <w:lang w:eastAsia="zh-CN"/>
              </w:rPr>
              <w:t>的，每类专业得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分，最高得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分；</w:t>
            </w:r>
          </w:p>
          <w:p w14:paraId="3CD3C2CD">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本项最高得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14:paraId="5453EF23">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注：</w:t>
            </w:r>
            <w:r>
              <w:rPr>
                <w:rFonts w:hint="eastAsia" w:ascii="宋体" w:hAnsi="宋体" w:cs="宋体"/>
                <w:b/>
                <w:bCs/>
                <w:color w:val="auto"/>
                <w:kern w:val="0"/>
                <w:sz w:val="21"/>
                <w:szCs w:val="21"/>
                <w:highlight w:val="none"/>
                <w:lang w:val="en-US" w:eastAsia="zh-CN"/>
              </w:rPr>
              <w:t>以上人员</w:t>
            </w:r>
            <w:r>
              <w:rPr>
                <w:rFonts w:hint="eastAsia" w:ascii="宋体" w:hAnsi="宋体" w:eastAsia="宋体" w:cs="宋体"/>
                <w:b/>
                <w:bCs/>
                <w:color w:val="auto"/>
                <w:kern w:val="0"/>
                <w:sz w:val="21"/>
                <w:szCs w:val="21"/>
                <w:highlight w:val="none"/>
                <w:lang w:val="en-US" w:eastAsia="zh-CN"/>
              </w:rPr>
              <w:t>不可重复得分</w:t>
            </w:r>
            <w:r>
              <w:rPr>
                <w:rFonts w:hint="eastAsia" w:ascii="宋体" w:hAnsi="宋体" w:cs="宋体"/>
                <w:b/>
                <w:bCs/>
                <w:color w:val="auto"/>
                <w:kern w:val="0"/>
                <w:sz w:val="21"/>
                <w:szCs w:val="21"/>
                <w:highlight w:val="none"/>
                <w:lang w:eastAsia="zh-CN"/>
              </w:rPr>
              <w:t>。</w:t>
            </w:r>
          </w:p>
          <w:p w14:paraId="0C77386F">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须</w:t>
            </w:r>
            <w:r>
              <w:rPr>
                <w:rFonts w:hint="eastAsia" w:ascii="宋体" w:hAnsi="宋体" w:eastAsia="宋体" w:cs="宋体"/>
                <w:b/>
                <w:bCs/>
                <w:color w:val="auto"/>
                <w:kern w:val="0"/>
                <w:sz w:val="21"/>
                <w:szCs w:val="21"/>
                <w:highlight w:val="none"/>
                <w:lang w:eastAsia="zh-CN"/>
              </w:rPr>
              <w:t>提供相关</w:t>
            </w:r>
            <w:r>
              <w:rPr>
                <w:rFonts w:hint="eastAsia" w:ascii="宋体" w:hAnsi="宋体" w:eastAsia="宋体" w:cs="宋体"/>
                <w:b/>
                <w:bCs/>
                <w:color w:val="auto"/>
                <w:kern w:val="0"/>
                <w:sz w:val="21"/>
                <w:szCs w:val="21"/>
                <w:highlight w:val="none"/>
                <w:lang w:val="en-US" w:eastAsia="zh-CN"/>
              </w:rPr>
              <w:t>证明材料</w:t>
            </w:r>
            <w:r>
              <w:rPr>
                <w:rFonts w:hint="eastAsia" w:ascii="宋体" w:hAnsi="宋体" w:eastAsia="宋体" w:cs="宋体"/>
                <w:b/>
                <w:bCs/>
                <w:color w:val="auto"/>
                <w:kern w:val="0"/>
                <w:sz w:val="21"/>
                <w:szCs w:val="21"/>
                <w:highlight w:val="none"/>
                <w:lang w:eastAsia="zh-CN"/>
              </w:rPr>
              <w:t>及近三个月（</w:t>
            </w:r>
            <w:r>
              <w:rPr>
                <w:rFonts w:hint="eastAsia" w:ascii="宋体" w:hAnsi="宋体" w:eastAsia="宋体" w:cs="宋体"/>
                <w:b/>
                <w:bCs/>
                <w:color w:val="auto"/>
                <w:kern w:val="0"/>
                <w:sz w:val="21"/>
                <w:szCs w:val="21"/>
                <w:highlight w:val="none"/>
                <w:lang w:val="en-US" w:eastAsia="zh-CN"/>
              </w:rPr>
              <w:t>2025年</w:t>
            </w:r>
            <w:r>
              <w:rPr>
                <w:rFonts w:hint="eastAsia" w:ascii="宋体" w:hAnsi="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lang w:val="en-US" w:eastAsia="zh-CN"/>
              </w:rPr>
              <w:t>月-2025年</w:t>
            </w: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月</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中</w:t>
            </w:r>
            <w:r>
              <w:rPr>
                <w:rFonts w:hint="eastAsia" w:ascii="宋体" w:hAnsi="宋体" w:eastAsia="宋体" w:cs="宋体"/>
                <w:b/>
                <w:bCs/>
                <w:color w:val="auto"/>
                <w:kern w:val="0"/>
                <w:sz w:val="21"/>
                <w:szCs w:val="21"/>
                <w:highlight w:val="none"/>
                <w:lang w:eastAsia="zh-CN"/>
              </w:rPr>
              <w:t>任意一个月的社保缴纳材料扫描件</w:t>
            </w:r>
            <w:r>
              <w:rPr>
                <w:rFonts w:hint="eastAsia" w:ascii="宋体" w:hAnsi="宋体" w:eastAsia="宋体" w:cs="宋体"/>
                <w:b/>
                <w:bCs/>
                <w:color w:val="auto"/>
                <w:kern w:val="0"/>
                <w:sz w:val="21"/>
                <w:szCs w:val="21"/>
                <w:highlight w:val="none"/>
                <w:lang w:val="en-US" w:eastAsia="zh-CN"/>
              </w:rPr>
              <w:t>并</w:t>
            </w:r>
            <w:r>
              <w:rPr>
                <w:rFonts w:hint="eastAsia" w:ascii="宋体" w:hAnsi="宋体" w:eastAsia="宋体" w:cs="宋体"/>
                <w:b/>
                <w:bCs/>
                <w:color w:val="auto"/>
                <w:kern w:val="0"/>
                <w:sz w:val="21"/>
                <w:szCs w:val="21"/>
                <w:highlight w:val="none"/>
                <w:lang w:eastAsia="zh-CN"/>
              </w:rPr>
              <w:t>加盖投标人公章</w:t>
            </w:r>
            <w:r>
              <w:rPr>
                <w:rFonts w:hint="eastAsia" w:ascii="宋体" w:hAnsi="宋体" w:eastAsia="宋体" w:cs="宋体"/>
                <w:b/>
                <w:bCs/>
                <w:color w:val="auto"/>
                <w:kern w:val="0"/>
                <w:sz w:val="21"/>
                <w:szCs w:val="21"/>
                <w:highlight w:val="none"/>
                <w:lang w:val="en-US" w:eastAsia="zh-CN"/>
              </w:rPr>
              <w:t>编入投标文件中</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未提供或提供不全</w:t>
            </w:r>
            <w:r>
              <w:rPr>
                <w:rFonts w:hint="eastAsia" w:ascii="宋体" w:hAnsi="宋体" w:eastAsia="宋体" w:cs="宋体"/>
                <w:b/>
                <w:bCs/>
                <w:color w:val="auto"/>
                <w:kern w:val="0"/>
                <w:sz w:val="21"/>
                <w:szCs w:val="21"/>
                <w:highlight w:val="none"/>
                <w:lang w:eastAsia="zh-CN"/>
              </w:rPr>
              <w:t>不得分)</w:t>
            </w:r>
          </w:p>
        </w:tc>
      </w:tr>
      <w:tr w14:paraId="5DF0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5" w:type="dxa"/>
            <w:vMerge w:val="restart"/>
            <w:vAlign w:val="center"/>
          </w:tcPr>
          <w:p w14:paraId="4DA054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235" w:type="dxa"/>
            <w:vMerge w:val="restart"/>
            <w:vAlign w:val="center"/>
          </w:tcPr>
          <w:p w14:paraId="7A0CCF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项目理解</w:t>
            </w:r>
          </w:p>
        </w:tc>
        <w:tc>
          <w:tcPr>
            <w:tcW w:w="807" w:type="dxa"/>
            <w:vMerge w:val="restart"/>
            <w:vAlign w:val="center"/>
          </w:tcPr>
          <w:p w14:paraId="5D882225">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cs="宋体"/>
                <w:strike w:val="0"/>
                <w:dstrike w:val="0"/>
                <w:color w:val="auto"/>
                <w:kern w:val="2"/>
                <w:sz w:val="21"/>
                <w:szCs w:val="21"/>
                <w:highlight w:val="none"/>
                <w:lang w:val="en-US" w:eastAsia="zh-CN" w:bidi="ar-SA"/>
              </w:rPr>
              <w:t>8</w:t>
            </w:r>
            <w:r>
              <w:rPr>
                <w:rFonts w:hint="eastAsia" w:ascii="宋体" w:hAnsi="宋体" w:eastAsia="宋体" w:cs="宋体"/>
                <w:strike w:val="0"/>
                <w:dstrike w:val="0"/>
                <w:color w:val="auto"/>
                <w:kern w:val="2"/>
                <w:sz w:val="21"/>
                <w:szCs w:val="21"/>
                <w:highlight w:val="none"/>
                <w:lang w:val="en-US" w:eastAsia="zh-CN" w:bidi="ar-SA"/>
              </w:rPr>
              <w:t>分</w:t>
            </w:r>
          </w:p>
        </w:tc>
        <w:tc>
          <w:tcPr>
            <w:tcW w:w="7401" w:type="dxa"/>
            <w:vAlign w:val="center"/>
          </w:tcPr>
          <w:p w14:paraId="28FE3E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根据投标人对临海市废气治理设施低效失效排查整治技术服务项目背景的认识及分析理解程度进行打分。（0-</w:t>
            </w:r>
            <w:r>
              <w:rPr>
                <w:rFonts w:hint="eastAsia" w:ascii="宋体" w:hAnsi="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lang w:val="en-US" w:eastAsia="zh-CN"/>
              </w:rPr>
              <w:t>分）</w:t>
            </w:r>
          </w:p>
        </w:tc>
      </w:tr>
      <w:tr w14:paraId="4FB6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5" w:type="dxa"/>
            <w:vMerge w:val="continue"/>
            <w:vAlign w:val="center"/>
          </w:tcPr>
          <w:p w14:paraId="5CC0A3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235" w:type="dxa"/>
            <w:vMerge w:val="continue"/>
            <w:vAlign w:val="center"/>
          </w:tcPr>
          <w:p w14:paraId="01F21A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7" w:type="dxa"/>
            <w:vMerge w:val="continue"/>
            <w:vAlign w:val="center"/>
          </w:tcPr>
          <w:p w14:paraId="345DA08E">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cs="宋体"/>
                <w:strike w:val="0"/>
                <w:dstrike w:val="0"/>
                <w:color w:val="auto"/>
                <w:kern w:val="2"/>
                <w:sz w:val="21"/>
                <w:szCs w:val="21"/>
                <w:highlight w:val="none"/>
                <w:lang w:val="en-US" w:eastAsia="zh-CN" w:bidi="ar-SA"/>
              </w:rPr>
            </w:pPr>
          </w:p>
        </w:tc>
        <w:tc>
          <w:tcPr>
            <w:tcW w:w="7401" w:type="dxa"/>
            <w:vAlign w:val="center"/>
          </w:tcPr>
          <w:p w14:paraId="0B63C3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根据投标人对临海市</w:t>
            </w:r>
            <w:r>
              <w:rPr>
                <w:rFonts w:hint="eastAsia" w:ascii="宋体" w:hAnsi="宋体" w:eastAsia="宋体" w:cs="宋体"/>
                <w:color w:val="auto"/>
                <w:sz w:val="21"/>
                <w:szCs w:val="21"/>
                <w:highlight w:val="none"/>
              </w:rPr>
              <w:t>低效失效大气污染治理设施</w:t>
            </w:r>
            <w:r>
              <w:rPr>
                <w:rFonts w:hint="eastAsia" w:ascii="宋体" w:hAnsi="宋体" w:eastAsia="宋体" w:cs="宋体"/>
                <w:color w:val="auto"/>
                <w:spacing w:val="-4"/>
                <w:sz w:val="21"/>
                <w:szCs w:val="21"/>
                <w:highlight w:val="none"/>
                <w:lang w:val="en-US" w:eastAsia="zh-CN"/>
              </w:rPr>
              <w:t>现状及开展建设必要性等方面进行打分。（0-</w:t>
            </w:r>
            <w:r>
              <w:rPr>
                <w:rFonts w:hint="eastAsia" w:ascii="宋体" w:hAnsi="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lang w:val="en-US" w:eastAsia="zh-CN"/>
              </w:rPr>
              <w:t>分）</w:t>
            </w:r>
          </w:p>
        </w:tc>
      </w:tr>
      <w:tr w14:paraId="6B3D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5" w:type="dxa"/>
            <w:vMerge w:val="continue"/>
            <w:vAlign w:val="center"/>
          </w:tcPr>
          <w:p w14:paraId="030A8BDA">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1235" w:type="dxa"/>
            <w:vMerge w:val="continue"/>
            <w:vAlign w:val="center"/>
          </w:tcPr>
          <w:p w14:paraId="7EF3936D">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07" w:type="dxa"/>
            <w:vMerge w:val="continue"/>
            <w:vAlign w:val="center"/>
          </w:tcPr>
          <w:p w14:paraId="3AA9928A">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401" w:type="dxa"/>
            <w:vAlign w:val="center"/>
          </w:tcPr>
          <w:p w14:paraId="7ADFE5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根据投标人对项目需求的理解等内容进行打分。（0-</w:t>
            </w:r>
            <w:r>
              <w:rPr>
                <w:rFonts w:hint="eastAsia" w:ascii="宋体" w:hAnsi="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lang w:val="en-US" w:eastAsia="zh-CN"/>
              </w:rPr>
              <w:t>分）</w:t>
            </w:r>
          </w:p>
        </w:tc>
      </w:tr>
      <w:tr w14:paraId="681B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5" w:type="dxa"/>
            <w:vMerge w:val="restart"/>
            <w:vAlign w:val="center"/>
          </w:tcPr>
          <w:p w14:paraId="051053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235" w:type="dxa"/>
            <w:vMerge w:val="restart"/>
            <w:vAlign w:val="center"/>
          </w:tcPr>
          <w:p w14:paraId="6931E9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实施方案</w:t>
            </w:r>
          </w:p>
        </w:tc>
        <w:tc>
          <w:tcPr>
            <w:tcW w:w="807" w:type="dxa"/>
            <w:vMerge w:val="restart"/>
            <w:vAlign w:val="center"/>
          </w:tcPr>
          <w:p w14:paraId="589B5D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tc>
        <w:tc>
          <w:tcPr>
            <w:tcW w:w="7401" w:type="dxa"/>
            <w:vAlign w:val="center"/>
          </w:tcPr>
          <w:p w14:paraId="04A7B3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strike w:val="0"/>
                <w:dstrike w:val="0"/>
                <w:color w:val="auto"/>
                <w:spacing w:val="-4"/>
                <w:sz w:val="21"/>
                <w:szCs w:val="21"/>
                <w:highlight w:val="none"/>
                <w:lang w:val="en-US" w:eastAsia="zh-CN"/>
              </w:rPr>
              <w:t>项目</w:t>
            </w:r>
            <w:r>
              <w:rPr>
                <w:rFonts w:hint="eastAsia" w:ascii="宋体" w:hAnsi="宋体" w:eastAsia="宋体" w:cs="宋体"/>
                <w:b/>
                <w:bCs/>
                <w:strike w:val="0"/>
                <w:dstrike w:val="0"/>
                <w:color w:val="auto"/>
                <w:spacing w:val="-4"/>
                <w:sz w:val="21"/>
                <w:szCs w:val="21"/>
                <w:highlight w:val="none"/>
                <w:lang w:val="zh-CN" w:eastAsia="zh-CN"/>
              </w:rPr>
              <w:t>总体方案：</w:t>
            </w:r>
            <w:r>
              <w:rPr>
                <w:rFonts w:hint="eastAsia" w:ascii="宋体" w:hAnsi="宋体" w:eastAsia="宋体" w:cs="宋体"/>
                <w:color w:val="auto"/>
                <w:spacing w:val="-4"/>
                <w:sz w:val="21"/>
                <w:szCs w:val="21"/>
                <w:highlight w:val="none"/>
                <w:lang w:val="zh-CN" w:eastAsia="zh-CN"/>
              </w:rPr>
              <w:t>根据</w:t>
            </w:r>
            <w:r>
              <w:rPr>
                <w:rFonts w:hint="eastAsia" w:ascii="宋体" w:hAnsi="宋体" w:eastAsia="宋体" w:cs="宋体"/>
                <w:color w:val="auto"/>
                <w:sz w:val="21"/>
                <w:szCs w:val="21"/>
                <w:highlight w:val="none"/>
              </w:rPr>
              <w:t>投标人</w:t>
            </w:r>
            <w:r>
              <w:rPr>
                <w:rFonts w:hint="eastAsia" w:ascii="宋体" w:hAnsi="宋体" w:eastAsia="宋体" w:cs="宋体"/>
                <w:color w:val="auto"/>
                <w:spacing w:val="-4"/>
                <w:sz w:val="21"/>
                <w:szCs w:val="21"/>
                <w:highlight w:val="none"/>
                <w:lang w:val="en-US" w:eastAsia="zh-CN"/>
              </w:rPr>
              <w:t>对项目总体方案是否科学合理，建设项目服务内容是否齐全、条理清晰，建设项目服务内容设想是否有亮点等内容进行打分。（0-3分）</w:t>
            </w:r>
          </w:p>
        </w:tc>
      </w:tr>
      <w:tr w14:paraId="0628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5" w:type="dxa"/>
            <w:vMerge w:val="continue"/>
            <w:vAlign w:val="center"/>
          </w:tcPr>
          <w:p w14:paraId="5F49D2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p>
        </w:tc>
        <w:tc>
          <w:tcPr>
            <w:tcW w:w="1235" w:type="dxa"/>
            <w:vMerge w:val="continue"/>
            <w:vAlign w:val="center"/>
          </w:tcPr>
          <w:p w14:paraId="1F52AE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p>
        </w:tc>
        <w:tc>
          <w:tcPr>
            <w:tcW w:w="807" w:type="dxa"/>
            <w:vMerge w:val="continue"/>
            <w:vAlign w:val="center"/>
          </w:tcPr>
          <w:p w14:paraId="01DF52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p>
        </w:tc>
        <w:tc>
          <w:tcPr>
            <w:tcW w:w="7401" w:type="dxa"/>
            <w:vAlign w:val="center"/>
          </w:tcPr>
          <w:p w14:paraId="22E503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根据投标人制定的</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kern w:val="0"/>
                <w:sz w:val="21"/>
                <w:szCs w:val="21"/>
                <w:highlight w:val="none"/>
              </w:rPr>
              <w:t>指导涉气企业开展自查</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color w:val="auto"/>
                <w:sz w:val="21"/>
                <w:szCs w:val="21"/>
                <w:highlight w:val="none"/>
              </w:rPr>
              <w:t>技术方案（包括技术路线、工作内容等），从技术方案的完整性、可靠性、合理性等方面进行</w:t>
            </w:r>
            <w:r>
              <w:rPr>
                <w:rFonts w:hint="eastAsia" w:ascii="宋体" w:hAnsi="宋体" w:eastAsia="宋体" w:cs="宋体"/>
                <w:color w:val="auto"/>
                <w:sz w:val="21"/>
                <w:szCs w:val="21"/>
                <w:highlight w:val="none"/>
                <w:lang w:val="en-US" w:eastAsia="zh-CN"/>
              </w:rPr>
              <w:t>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4"/>
                <w:sz w:val="21"/>
                <w:szCs w:val="21"/>
                <w:highlight w:val="none"/>
                <w:lang w:val="en-US" w:eastAsia="zh-CN"/>
              </w:rPr>
              <w:t>（0-3分）</w:t>
            </w:r>
          </w:p>
        </w:tc>
      </w:tr>
      <w:tr w14:paraId="5C3A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vMerge w:val="continue"/>
            <w:vAlign w:val="center"/>
          </w:tcPr>
          <w:p w14:paraId="41D7D2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35" w:type="dxa"/>
            <w:vMerge w:val="continue"/>
            <w:vAlign w:val="center"/>
          </w:tcPr>
          <w:p w14:paraId="2801C9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7" w:type="dxa"/>
            <w:vMerge w:val="continue"/>
            <w:vAlign w:val="center"/>
          </w:tcPr>
          <w:p w14:paraId="221D1D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7401" w:type="dxa"/>
            <w:vAlign w:val="center"/>
          </w:tcPr>
          <w:p w14:paraId="05D1D6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根据投标人制定的</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评估</w:t>
            </w:r>
            <w:r>
              <w:rPr>
                <w:rFonts w:hint="eastAsia" w:ascii="宋体" w:hAnsi="宋体" w:eastAsia="宋体" w:cs="宋体"/>
                <w:b/>
                <w:bCs/>
                <w:color w:val="auto"/>
                <w:kern w:val="0"/>
                <w:sz w:val="21"/>
                <w:szCs w:val="21"/>
                <w:highlight w:val="none"/>
              </w:rPr>
              <w:t>低效失效类治理设施</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color w:val="auto"/>
                <w:sz w:val="21"/>
                <w:szCs w:val="21"/>
                <w:highlight w:val="none"/>
              </w:rPr>
              <w:t>技术方案（包括技术路线、工作内容等），从技术方案的完整性、可靠性、合理性等方面进行</w:t>
            </w:r>
            <w:r>
              <w:rPr>
                <w:rFonts w:hint="eastAsia" w:ascii="宋体" w:hAnsi="宋体" w:eastAsia="宋体" w:cs="宋体"/>
                <w:color w:val="auto"/>
                <w:sz w:val="21"/>
                <w:szCs w:val="21"/>
                <w:highlight w:val="none"/>
                <w:lang w:val="en-US" w:eastAsia="zh-CN"/>
              </w:rPr>
              <w:t>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4"/>
                <w:sz w:val="21"/>
                <w:szCs w:val="21"/>
                <w:highlight w:val="none"/>
                <w:lang w:val="en-US" w:eastAsia="zh-CN"/>
              </w:rPr>
              <w:t>（0-3分）</w:t>
            </w:r>
          </w:p>
        </w:tc>
      </w:tr>
      <w:tr w14:paraId="4949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vMerge w:val="continue"/>
            <w:vAlign w:val="center"/>
          </w:tcPr>
          <w:p w14:paraId="324EF7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35" w:type="dxa"/>
            <w:vMerge w:val="continue"/>
            <w:vAlign w:val="center"/>
          </w:tcPr>
          <w:p w14:paraId="7CE88E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7" w:type="dxa"/>
            <w:vMerge w:val="continue"/>
            <w:vAlign w:val="center"/>
          </w:tcPr>
          <w:p w14:paraId="0A15BC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p>
        </w:tc>
        <w:tc>
          <w:tcPr>
            <w:tcW w:w="7401" w:type="dxa"/>
            <w:vAlign w:val="center"/>
          </w:tcPr>
          <w:p w14:paraId="7D790E2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根据投标人制定的</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kern w:val="0"/>
                <w:sz w:val="21"/>
                <w:szCs w:val="21"/>
                <w:highlight w:val="none"/>
              </w:rPr>
              <w:t>现场排查列入排查名单的企业</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color w:val="auto"/>
                <w:sz w:val="21"/>
                <w:szCs w:val="21"/>
                <w:highlight w:val="none"/>
              </w:rPr>
              <w:t>技术方案（包括技术路线、工作内容等），从技术方案的完整性、可靠性、合理性等方面进行</w:t>
            </w:r>
            <w:r>
              <w:rPr>
                <w:rFonts w:hint="eastAsia" w:ascii="宋体" w:hAnsi="宋体" w:eastAsia="宋体" w:cs="宋体"/>
                <w:color w:val="auto"/>
                <w:sz w:val="21"/>
                <w:szCs w:val="21"/>
                <w:highlight w:val="none"/>
                <w:lang w:val="en-US" w:eastAsia="zh-CN"/>
              </w:rPr>
              <w:t>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4"/>
                <w:sz w:val="21"/>
                <w:szCs w:val="21"/>
                <w:highlight w:val="none"/>
                <w:lang w:val="en-US" w:eastAsia="zh-CN"/>
              </w:rPr>
              <w:t>（0-3分）</w:t>
            </w:r>
          </w:p>
        </w:tc>
      </w:tr>
      <w:tr w14:paraId="1D59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vMerge w:val="continue"/>
            <w:vAlign w:val="center"/>
          </w:tcPr>
          <w:p w14:paraId="0490FD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35" w:type="dxa"/>
            <w:vMerge w:val="continue"/>
            <w:vAlign w:val="center"/>
          </w:tcPr>
          <w:p w14:paraId="5C0573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7" w:type="dxa"/>
            <w:vMerge w:val="continue"/>
            <w:vAlign w:val="center"/>
          </w:tcPr>
          <w:p w14:paraId="64A0BF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7401" w:type="dxa"/>
            <w:vAlign w:val="center"/>
          </w:tcPr>
          <w:p w14:paraId="1E33CA1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根据投标人制定的</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kern w:val="0"/>
                <w:sz w:val="21"/>
                <w:szCs w:val="21"/>
                <w:highlight w:val="none"/>
              </w:rPr>
              <w:t>形成全市低效失效大气污染治理设施排查问题清单，制定针对性整改方案</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color w:val="auto"/>
                <w:sz w:val="21"/>
                <w:szCs w:val="21"/>
                <w:highlight w:val="none"/>
              </w:rPr>
              <w:t>技术方案（包括技术路线、工作内容等），从技术方案的完整性、可靠性、合理性等方面进行</w:t>
            </w:r>
            <w:r>
              <w:rPr>
                <w:rFonts w:hint="eastAsia" w:ascii="宋体" w:hAnsi="宋体" w:eastAsia="宋体" w:cs="宋体"/>
                <w:color w:val="auto"/>
                <w:sz w:val="21"/>
                <w:szCs w:val="21"/>
                <w:highlight w:val="none"/>
                <w:lang w:val="en-US" w:eastAsia="zh-CN"/>
              </w:rPr>
              <w:t>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4"/>
                <w:sz w:val="21"/>
                <w:szCs w:val="21"/>
                <w:highlight w:val="none"/>
                <w:lang w:val="en-US" w:eastAsia="zh-CN"/>
              </w:rPr>
              <w:t>（0-3分）</w:t>
            </w:r>
          </w:p>
        </w:tc>
      </w:tr>
      <w:tr w14:paraId="149A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vMerge w:val="continue"/>
            <w:vAlign w:val="center"/>
          </w:tcPr>
          <w:p w14:paraId="520C7E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35" w:type="dxa"/>
            <w:vMerge w:val="continue"/>
            <w:vAlign w:val="center"/>
          </w:tcPr>
          <w:p w14:paraId="49B639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7" w:type="dxa"/>
            <w:vMerge w:val="continue"/>
            <w:vAlign w:val="center"/>
          </w:tcPr>
          <w:p w14:paraId="72CC7E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7401" w:type="dxa"/>
            <w:vAlign w:val="center"/>
          </w:tcPr>
          <w:p w14:paraId="2A1E7C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根据投标人制定的</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编制</w:t>
            </w:r>
            <w:r>
              <w:rPr>
                <w:rFonts w:hint="eastAsia" w:ascii="宋体" w:hAnsi="宋体" w:eastAsia="宋体" w:cs="宋体"/>
                <w:b/>
                <w:bCs/>
                <w:color w:val="auto"/>
                <w:kern w:val="0"/>
                <w:sz w:val="21"/>
                <w:szCs w:val="21"/>
                <w:highlight w:val="none"/>
              </w:rPr>
              <w:t>排查整治评估报告</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color w:val="auto"/>
                <w:sz w:val="21"/>
                <w:szCs w:val="21"/>
                <w:highlight w:val="none"/>
              </w:rPr>
              <w:t>技术方案（包括技术路线、</w:t>
            </w:r>
            <w:r>
              <w:rPr>
                <w:rFonts w:hint="eastAsia" w:ascii="宋体" w:hAnsi="宋体" w:eastAsia="宋体" w:cs="宋体"/>
                <w:color w:val="auto"/>
                <w:sz w:val="21"/>
                <w:szCs w:val="21"/>
                <w:highlight w:val="none"/>
                <w:lang w:val="en-US" w:eastAsia="zh-CN"/>
              </w:rPr>
              <w:t>编制思路</w:t>
            </w:r>
            <w:r>
              <w:rPr>
                <w:rFonts w:hint="eastAsia" w:ascii="宋体" w:hAnsi="宋体" w:eastAsia="宋体" w:cs="宋体"/>
                <w:color w:val="auto"/>
                <w:sz w:val="21"/>
                <w:szCs w:val="21"/>
                <w:highlight w:val="none"/>
              </w:rPr>
              <w:t>等），从技术方案的完整性、可靠性、合理性等方面进行</w:t>
            </w:r>
            <w:r>
              <w:rPr>
                <w:rFonts w:hint="eastAsia" w:ascii="宋体" w:hAnsi="宋体" w:eastAsia="宋体" w:cs="宋体"/>
                <w:color w:val="auto"/>
                <w:sz w:val="21"/>
                <w:szCs w:val="21"/>
                <w:highlight w:val="none"/>
                <w:lang w:val="en-US" w:eastAsia="zh-CN"/>
              </w:rPr>
              <w:t>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4"/>
                <w:sz w:val="21"/>
                <w:szCs w:val="21"/>
                <w:highlight w:val="none"/>
                <w:lang w:val="en-US" w:eastAsia="zh-CN"/>
              </w:rPr>
              <w:t>（0-2分）</w:t>
            </w:r>
          </w:p>
        </w:tc>
      </w:tr>
      <w:tr w14:paraId="6D1E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5" w:type="dxa"/>
            <w:vMerge w:val="restart"/>
            <w:vAlign w:val="center"/>
          </w:tcPr>
          <w:p w14:paraId="054EF0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235" w:type="dxa"/>
            <w:vMerge w:val="restart"/>
            <w:vAlign w:val="center"/>
          </w:tcPr>
          <w:p w14:paraId="286B02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重难点分析及解决方案</w:t>
            </w:r>
          </w:p>
        </w:tc>
        <w:tc>
          <w:tcPr>
            <w:tcW w:w="807" w:type="dxa"/>
            <w:vMerge w:val="restart"/>
            <w:vAlign w:val="center"/>
          </w:tcPr>
          <w:p w14:paraId="022CA2A1">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cs="宋体"/>
                <w:strike w:val="0"/>
                <w:dstrike w:val="0"/>
                <w:color w:val="auto"/>
                <w:kern w:val="2"/>
                <w:sz w:val="21"/>
                <w:szCs w:val="21"/>
                <w:highlight w:val="none"/>
                <w:lang w:val="en-US" w:eastAsia="zh-CN" w:bidi="ar-SA"/>
              </w:rPr>
              <w:t>9</w:t>
            </w:r>
            <w:r>
              <w:rPr>
                <w:rFonts w:hint="eastAsia" w:ascii="宋体" w:hAnsi="宋体" w:eastAsia="宋体" w:cs="宋体"/>
                <w:bCs/>
                <w:strike w:val="0"/>
                <w:dstrike w:val="0"/>
                <w:color w:val="auto"/>
                <w:sz w:val="21"/>
                <w:szCs w:val="21"/>
                <w:highlight w:val="none"/>
                <w:lang w:val="en-US" w:eastAsia="zh-CN"/>
              </w:rPr>
              <w:t>分</w:t>
            </w:r>
          </w:p>
        </w:tc>
        <w:tc>
          <w:tcPr>
            <w:tcW w:w="7401" w:type="dxa"/>
            <w:vAlign w:val="center"/>
          </w:tcPr>
          <w:p w14:paraId="279116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根据本项目的特点，分析项目实施过程中会出现的技术</w:t>
            </w:r>
            <w:r>
              <w:rPr>
                <w:rFonts w:hint="eastAsia" w:ascii="宋体" w:hAnsi="宋体" w:eastAsia="宋体" w:cs="宋体"/>
                <w:color w:val="auto"/>
                <w:spacing w:val="-4"/>
                <w:sz w:val="21"/>
                <w:szCs w:val="21"/>
                <w:highlight w:val="none"/>
                <w:lang w:val="en-US" w:eastAsia="zh-CN"/>
              </w:rPr>
              <w:t>重点，对技术重点</w:t>
            </w:r>
            <w:r>
              <w:rPr>
                <w:rFonts w:hint="eastAsia" w:ascii="宋体" w:hAnsi="宋体" w:eastAsia="宋体" w:cs="宋体"/>
                <w:color w:val="auto"/>
                <w:sz w:val="21"/>
                <w:szCs w:val="21"/>
                <w:highlight w:val="none"/>
                <w:lang w:val="en-US" w:eastAsia="zh-CN"/>
              </w:rPr>
              <w:t>情况进行打分</w:t>
            </w:r>
            <w:r>
              <w:rPr>
                <w:rFonts w:hint="eastAsia" w:ascii="宋体" w:hAnsi="宋体" w:eastAsia="宋体" w:cs="宋体"/>
                <w:color w:val="auto"/>
                <w:sz w:val="21"/>
                <w:szCs w:val="21"/>
                <w:highlight w:val="none"/>
              </w:rPr>
              <w:t>。</w:t>
            </w:r>
            <w:r>
              <w:rPr>
                <w:rFonts w:hint="eastAsia" w:ascii="宋体" w:hAnsi="宋体" w:eastAsia="宋体" w:cs="宋体"/>
                <w:color w:val="auto"/>
                <w:spacing w:val="-4"/>
                <w:sz w:val="21"/>
                <w:szCs w:val="21"/>
                <w:highlight w:val="none"/>
                <w:lang w:val="en-US" w:eastAsia="zh-CN"/>
              </w:rPr>
              <w:t>（0-</w:t>
            </w:r>
            <w:r>
              <w:rPr>
                <w:rFonts w:hint="eastAsia" w:ascii="宋体" w:hAnsi="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lang w:val="en-US" w:eastAsia="zh-CN"/>
              </w:rPr>
              <w:t>分）</w:t>
            </w:r>
          </w:p>
        </w:tc>
      </w:tr>
      <w:tr w14:paraId="6A24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5" w:type="dxa"/>
            <w:vMerge w:val="continue"/>
            <w:vAlign w:val="center"/>
          </w:tcPr>
          <w:p w14:paraId="13EA35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235" w:type="dxa"/>
            <w:vMerge w:val="continue"/>
            <w:vAlign w:val="center"/>
          </w:tcPr>
          <w:p w14:paraId="6C41F6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7" w:type="dxa"/>
            <w:vMerge w:val="continue"/>
            <w:vAlign w:val="center"/>
          </w:tcPr>
          <w:p w14:paraId="66A2EC2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p>
        </w:tc>
        <w:tc>
          <w:tcPr>
            <w:tcW w:w="7401" w:type="dxa"/>
            <w:vAlign w:val="center"/>
          </w:tcPr>
          <w:p w14:paraId="69EC75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根据本项目的特点，分析项目实施过程中会出现的技术</w:t>
            </w:r>
            <w:r>
              <w:rPr>
                <w:rFonts w:hint="eastAsia" w:ascii="宋体" w:hAnsi="宋体" w:eastAsia="宋体" w:cs="宋体"/>
                <w:color w:val="auto"/>
                <w:spacing w:val="-4"/>
                <w:sz w:val="21"/>
                <w:szCs w:val="21"/>
                <w:highlight w:val="none"/>
                <w:lang w:val="en-US" w:eastAsia="zh-CN"/>
              </w:rPr>
              <w:t>难点，对技术难点</w:t>
            </w:r>
            <w:r>
              <w:rPr>
                <w:rFonts w:hint="eastAsia" w:ascii="宋体" w:hAnsi="宋体" w:eastAsia="宋体" w:cs="宋体"/>
                <w:color w:val="auto"/>
                <w:sz w:val="21"/>
                <w:szCs w:val="21"/>
                <w:highlight w:val="none"/>
                <w:lang w:val="en-US" w:eastAsia="zh-CN"/>
              </w:rPr>
              <w:t>情况进行打分</w:t>
            </w:r>
            <w:r>
              <w:rPr>
                <w:rFonts w:hint="eastAsia" w:ascii="宋体" w:hAnsi="宋体" w:eastAsia="宋体" w:cs="宋体"/>
                <w:color w:val="auto"/>
                <w:sz w:val="21"/>
                <w:szCs w:val="21"/>
                <w:highlight w:val="none"/>
              </w:rPr>
              <w:t>。</w:t>
            </w:r>
            <w:r>
              <w:rPr>
                <w:rFonts w:hint="eastAsia" w:ascii="宋体" w:hAnsi="宋体" w:eastAsia="宋体" w:cs="宋体"/>
                <w:color w:val="auto"/>
                <w:spacing w:val="-4"/>
                <w:sz w:val="21"/>
                <w:szCs w:val="21"/>
                <w:highlight w:val="none"/>
                <w:lang w:val="en-US" w:eastAsia="zh-CN"/>
              </w:rPr>
              <w:t>（0-</w:t>
            </w:r>
            <w:r>
              <w:rPr>
                <w:rFonts w:hint="eastAsia" w:ascii="宋体" w:hAnsi="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lang w:val="en-US" w:eastAsia="zh-CN"/>
              </w:rPr>
              <w:t>分）</w:t>
            </w:r>
          </w:p>
        </w:tc>
      </w:tr>
      <w:tr w14:paraId="3459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5" w:type="dxa"/>
            <w:vMerge w:val="continue"/>
            <w:vAlign w:val="center"/>
          </w:tcPr>
          <w:p w14:paraId="0405E9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235" w:type="dxa"/>
            <w:vMerge w:val="continue"/>
            <w:vAlign w:val="center"/>
          </w:tcPr>
          <w:p w14:paraId="5ECD53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07" w:type="dxa"/>
            <w:vMerge w:val="continue"/>
            <w:vAlign w:val="center"/>
          </w:tcPr>
          <w:p w14:paraId="2D8071B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7401" w:type="dxa"/>
            <w:vAlign w:val="center"/>
          </w:tcPr>
          <w:p w14:paraId="41A595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根据本项目的特点，</w:t>
            </w:r>
            <w:r>
              <w:rPr>
                <w:rFonts w:hint="eastAsia" w:ascii="宋体" w:hAnsi="宋体" w:eastAsia="宋体" w:cs="宋体"/>
                <w:color w:val="auto"/>
                <w:sz w:val="21"/>
                <w:szCs w:val="21"/>
                <w:highlight w:val="none"/>
                <w:lang w:val="en-US" w:eastAsia="zh-CN"/>
              </w:rPr>
              <w:t>针对</w:t>
            </w:r>
            <w:r>
              <w:rPr>
                <w:rFonts w:hint="eastAsia" w:ascii="宋体" w:hAnsi="宋体" w:eastAsia="宋体" w:cs="宋体"/>
                <w:color w:val="auto"/>
                <w:sz w:val="21"/>
                <w:szCs w:val="21"/>
                <w:highlight w:val="none"/>
              </w:rPr>
              <w:t>项目实施过程中会出现的技术重难点对应的解决方案</w:t>
            </w:r>
            <w:r>
              <w:rPr>
                <w:rFonts w:hint="eastAsia" w:ascii="宋体" w:hAnsi="宋体" w:eastAsia="宋体" w:cs="宋体"/>
                <w:color w:val="auto"/>
                <w:sz w:val="21"/>
                <w:szCs w:val="21"/>
                <w:highlight w:val="none"/>
                <w:lang w:val="en-US" w:eastAsia="zh-CN"/>
              </w:rPr>
              <w:t>情况进行打分</w:t>
            </w:r>
            <w:r>
              <w:rPr>
                <w:rFonts w:hint="eastAsia" w:ascii="宋体" w:hAnsi="宋体" w:eastAsia="宋体" w:cs="宋体"/>
                <w:color w:val="auto"/>
                <w:sz w:val="21"/>
                <w:szCs w:val="21"/>
                <w:highlight w:val="none"/>
              </w:rPr>
              <w:t>。</w:t>
            </w:r>
            <w:r>
              <w:rPr>
                <w:rFonts w:hint="eastAsia" w:ascii="宋体" w:hAnsi="宋体" w:eastAsia="宋体" w:cs="宋体"/>
                <w:color w:val="auto"/>
                <w:spacing w:val="-4"/>
                <w:sz w:val="21"/>
                <w:szCs w:val="21"/>
                <w:highlight w:val="none"/>
                <w:lang w:val="en-US" w:eastAsia="zh-CN"/>
              </w:rPr>
              <w:t>（0-</w:t>
            </w:r>
            <w:r>
              <w:rPr>
                <w:rFonts w:hint="eastAsia" w:ascii="宋体" w:hAnsi="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lang w:val="en-US" w:eastAsia="zh-CN"/>
              </w:rPr>
              <w:t>分）</w:t>
            </w:r>
          </w:p>
        </w:tc>
      </w:tr>
      <w:tr w14:paraId="3032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55" w:type="dxa"/>
            <w:vMerge w:val="restart"/>
            <w:vAlign w:val="center"/>
          </w:tcPr>
          <w:p w14:paraId="01C340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p>
        </w:tc>
        <w:tc>
          <w:tcPr>
            <w:tcW w:w="1235" w:type="dxa"/>
            <w:vMerge w:val="restart"/>
            <w:vAlign w:val="center"/>
          </w:tcPr>
          <w:p w14:paraId="1BA043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进度安排</w:t>
            </w:r>
          </w:p>
        </w:tc>
        <w:tc>
          <w:tcPr>
            <w:tcW w:w="807" w:type="dxa"/>
            <w:vMerge w:val="restart"/>
            <w:vAlign w:val="center"/>
          </w:tcPr>
          <w:p w14:paraId="6D8A7B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tc>
        <w:tc>
          <w:tcPr>
            <w:tcW w:w="7401" w:type="dxa"/>
            <w:vAlign w:val="center"/>
          </w:tcPr>
          <w:p w14:paraId="426006C2">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根据投标人的实施进度方案，针对进度安排与采购需求切合性进行打分。</w:t>
            </w:r>
            <w:r>
              <w:rPr>
                <w:rFonts w:hint="eastAsia" w:ascii="宋体" w:hAnsi="宋体" w:eastAsia="宋体" w:cs="宋体"/>
                <w:color w:val="auto"/>
                <w:spacing w:val="-4"/>
                <w:sz w:val="21"/>
                <w:szCs w:val="21"/>
                <w:highlight w:val="none"/>
                <w:lang w:val="en-US" w:eastAsia="zh-CN"/>
              </w:rPr>
              <w:t>（0-</w:t>
            </w:r>
            <w:r>
              <w:rPr>
                <w:rFonts w:hint="eastAsia" w:ascii="宋体" w:hAnsi="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lang w:val="en-US" w:eastAsia="zh-CN"/>
              </w:rPr>
              <w:t>分）</w:t>
            </w:r>
          </w:p>
        </w:tc>
      </w:tr>
      <w:tr w14:paraId="5245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55" w:type="dxa"/>
            <w:vMerge w:val="continue"/>
            <w:vAlign w:val="center"/>
          </w:tcPr>
          <w:p w14:paraId="5D556B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235" w:type="dxa"/>
            <w:vMerge w:val="continue"/>
            <w:vAlign w:val="center"/>
          </w:tcPr>
          <w:p w14:paraId="709D5A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807" w:type="dxa"/>
            <w:vMerge w:val="continue"/>
            <w:vAlign w:val="center"/>
          </w:tcPr>
          <w:p w14:paraId="14A14B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7401" w:type="dxa"/>
            <w:vAlign w:val="center"/>
          </w:tcPr>
          <w:p w14:paraId="2E4E473A">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根据投标人的实施进度方案，针对节点之间细化合理性进行打分。</w:t>
            </w:r>
            <w:r>
              <w:rPr>
                <w:rFonts w:hint="eastAsia" w:ascii="宋体" w:hAnsi="宋体" w:eastAsia="宋体" w:cs="宋体"/>
                <w:color w:val="auto"/>
                <w:spacing w:val="-4"/>
                <w:sz w:val="21"/>
                <w:szCs w:val="21"/>
                <w:highlight w:val="none"/>
                <w:lang w:val="en-US" w:eastAsia="zh-CN"/>
              </w:rPr>
              <w:t>（0-</w:t>
            </w:r>
            <w:r>
              <w:rPr>
                <w:rFonts w:hint="eastAsia" w:ascii="宋体" w:hAnsi="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lang w:val="en-US" w:eastAsia="zh-CN"/>
              </w:rPr>
              <w:t>分）</w:t>
            </w:r>
          </w:p>
        </w:tc>
      </w:tr>
      <w:tr w14:paraId="61B5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55" w:type="dxa"/>
            <w:vMerge w:val="continue"/>
            <w:vAlign w:val="center"/>
          </w:tcPr>
          <w:p w14:paraId="56EF5667">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1235" w:type="dxa"/>
            <w:vMerge w:val="continue"/>
            <w:vAlign w:val="center"/>
          </w:tcPr>
          <w:p w14:paraId="326DC4D4">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07" w:type="dxa"/>
            <w:vMerge w:val="continue"/>
            <w:vAlign w:val="center"/>
          </w:tcPr>
          <w:p w14:paraId="4D7D871B">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7401" w:type="dxa"/>
            <w:vAlign w:val="center"/>
          </w:tcPr>
          <w:p w14:paraId="0A73D927">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根据投标人的实施进度方案，针对进度控制措施科学合理性进行打分。</w:t>
            </w:r>
            <w:r>
              <w:rPr>
                <w:rFonts w:hint="eastAsia" w:ascii="宋体" w:hAnsi="宋体" w:eastAsia="宋体" w:cs="宋体"/>
                <w:color w:val="auto"/>
                <w:spacing w:val="-4"/>
                <w:sz w:val="21"/>
                <w:szCs w:val="21"/>
                <w:highlight w:val="none"/>
                <w:lang w:val="en-US" w:eastAsia="zh-CN"/>
              </w:rPr>
              <w:t>（0-</w:t>
            </w:r>
            <w:r>
              <w:rPr>
                <w:rFonts w:hint="eastAsia" w:ascii="宋体" w:hAnsi="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lang w:val="en-US" w:eastAsia="zh-CN"/>
              </w:rPr>
              <w:t>分）</w:t>
            </w:r>
          </w:p>
        </w:tc>
      </w:tr>
      <w:tr w14:paraId="3DBB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55" w:type="dxa"/>
            <w:vMerge w:val="restart"/>
            <w:vAlign w:val="center"/>
          </w:tcPr>
          <w:p w14:paraId="5718E3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235" w:type="dxa"/>
            <w:vMerge w:val="restart"/>
            <w:vAlign w:val="center"/>
          </w:tcPr>
          <w:p w14:paraId="630CC4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质量保障措施和管理制度</w:t>
            </w:r>
          </w:p>
        </w:tc>
        <w:tc>
          <w:tcPr>
            <w:tcW w:w="807" w:type="dxa"/>
            <w:vMerge w:val="restart"/>
            <w:vAlign w:val="center"/>
          </w:tcPr>
          <w:p w14:paraId="570722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7401" w:type="dxa"/>
            <w:vAlign w:val="center"/>
          </w:tcPr>
          <w:p w14:paraId="7B3ED3B2">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根据投标人提供的针对本项目的质量保障措施的科学性、有效性进行打分。</w:t>
            </w:r>
            <w:r>
              <w:rPr>
                <w:rFonts w:hint="eastAsia" w:ascii="宋体" w:hAnsi="宋体" w:eastAsia="宋体" w:cs="宋体"/>
                <w:color w:val="auto"/>
                <w:spacing w:val="-4"/>
                <w:sz w:val="21"/>
                <w:szCs w:val="21"/>
                <w:highlight w:val="none"/>
                <w:lang w:val="en-US" w:eastAsia="zh-CN"/>
              </w:rPr>
              <w:t>（0-</w:t>
            </w:r>
            <w:r>
              <w:rPr>
                <w:rFonts w:hint="eastAsia" w:ascii="宋体" w:hAnsi="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lang w:val="en-US" w:eastAsia="zh-CN"/>
              </w:rPr>
              <w:t>分）</w:t>
            </w:r>
          </w:p>
        </w:tc>
      </w:tr>
      <w:tr w14:paraId="6D56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vMerge w:val="continue"/>
            <w:vAlign w:val="center"/>
          </w:tcPr>
          <w:p w14:paraId="4F4468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235" w:type="dxa"/>
            <w:vMerge w:val="continue"/>
            <w:vAlign w:val="center"/>
          </w:tcPr>
          <w:p w14:paraId="180D61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807" w:type="dxa"/>
            <w:vMerge w:val="continue"/>
            <w:vAlign w:val="center"/>
          </w:tcPr>
          <w:p w14:paraId="779E18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7401" w:type="dxa"/>
            <w:vAlign w:val="center"/>
          </w:tcPr>
          <w:p w14:paraId="5EF3BCB4">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根据投标人提供的针对本项目的管理制度的科学性、有效性进行打分。</w:t>
            </w:r>
            <w:r>
              <w:rPr>
                <w:rFonts w:hint="eastAsia" w:ascii="宋体" w:hAnsi="宋体" w:eastAsia="宋体" w:cs="宋体"/>
                <w:color w:val="auto"/>
                <w:spacing w:val="-4"/>
                <w:sz w:val="21"/>
                <w:szCs w:val="21"/>
                <w:highlight w:val="none"/>
                <w:lang w:val="en-US" w:eastAsia="zh-CN"/>
              </w:rPr>
              <w:t>（0-</w:t>
            </w:r>
            <w:r>
              <w:rPr>
                <w:rFonts w:hint="eastAsia" w:ascii="宋体" w:hAnsi="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lang w:val="en-US" w:eastAsia="zh-CN"/>
              </w:rPr>
              <w:t>分）</w:t>
            </w:r>
          </w:p>
        </w:tc>
      </w:tr>
      <w:tr w14:paraId="0BBC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5" w:type="dxa"/>
            <w:vAlign w:val="center"/>
          </w:tcPr>
          <w:p w14:paraId="60DFFA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235" w:type="dxa"/>
            <w:vAlign w:val="center"/>
          </w:tcPr>
          <w:p w14:paraId="49DA7DA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保密制度</w:t>
            </w:r>
          </w:p>
        </w:tc>
        <w:tc>
          <w:tcPr>
            <w:tcW w:w="807" w:type="dxa"/>
            <w:vAlign w:val="center"/>
          </w:tcPr>
          <w:p w14:paraId="57A0923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7401" w:type="dxa"/>
            <w:vAlign w:val="center"/>
          </w:tcPr>
          <w:p w14:paraId="272EC2AB">
            <w:pPr>
              <w:pStyle w:val="421"/>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rPr>
              <w:t>针对本项目工作制定的档案管理制度，包括是否有具体保密措施，使得工作中的所有数据、档案资料等不被泄露等情况进行打分。（0-</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rPr>
              <w:t>分）</w:t>
            </w:r>
          </w:p>
        </w:tc>
      </w:tr>
      <w:tr w14:paraId="2659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5" w:type="dxa"/>
            <w:vAlign w:val="center"/>
          </w:tcPr>
          <w:p w14:paraId="093866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235" w:type="dxa"/>
            <w:vAlign w:val="center"/>
          </w:tcPr>
          <w:p w14:paraId="7B76922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应急方案</w:t>
            </w:r>
          </w:p>
        </w:tc>
        <w:tc>
          <w:tcPr>
            <w:tcW w:w="807" w:type="dxa"/>
            <w:vAlign w:val="center"/>
          </w:tcPr>
          <w:p w14:paraId="57F53A1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3分</w:t>
            </w:r>
          </w:p>
        </w:tc>
        <w:tc>
          <w:tcPr>
            <w:tcW w:w="7401" w:type="dxa"/>
            <w:vAlign w:val="center"/>
          </w:tcPr>
          <w:p w14:paraId="3915F49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对突发事件的应对措施合理性、科学性进行打分。（0-3分）</w:t>
            </w:r>
          </w:p>
        </w:tc>
      </w:tr>
      <w:tr w14:paraId="25AB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5" w:type="dxa"/>
            <w:vMerge w:val="restart"/>
            <w:vAlign w:val="center"/>
          </w:tcPr>
          <w:p w14:paraId="43FAEA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235" w:type="dxa"/>
            <w:vMerge w:val="restart"/>
            <w:vAlign w:val="center"/>
          </w:tcPr>
          <w:p w14:paraId="4147B6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服务承诺</w:t>
            </w:r>
          </w:p>
        </w:tc>
        <w:tc>
          <w:tcPr>
            <w:tcW w:w="807" w:type="dxa"/>
            <w:vMerge w:val="restart"/>
            <w:vAlign w:val="center"/>
          </w:tcPr>
          <w:p w14:paraId="7BB572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7401" w:type="dxa"/>
          </w:tcPr>
          <w:p w14:paraId="3C57A9CE">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根据投标人针对项目的后期质量服务承诺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保障措施等情况进行打分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4"/>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pacing w:val="-4"/>
                <w:sz w:val="21"/>
                <w:szCs w:val="21"/>
                <w:highlight w:val="none"/>
                <w:lang w:val="en-US" w:eastAsia="zh-CN"/>
              </w:rPr>
              <w:t>分）</w:t>
            </w:r>
          </w:p>
        </w:tc>
      </w:tr>
      <w:tr w14:paraId="4C9C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5" w:type="dxa"/>
            <w:vMerge w:val="continue"/>
            <w:vAlign w:val="center"/>
          </w:tcPr>
          <w:p w14:paraId="35363769">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color w:val="auto"/>
                <w:highlight w:val="none"/>
              </w:rPr>
            </w:pPr>
          </w:p>
        </w:tc>
        <w:tc>
          <w:tcPr>
            <w:tcW w:w="1235" w:type="dxa"/>
            <w:vMerge w:val="continue"/>
            <w:vAlign w:val="center"/>
          </w:tcPr>
          <w:p w14:paraId="0DEFD195">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color w:val="auto"/>
                <w:highlight w:val="none"/>
              </w:rPr>
            </w:pPr>
          </w:p>
        </w:tc>
        <w:tc>
          <w:tcPr>
            <w:tcW w:w="807" w:type="dxa"/>
            <w:vMerge w:val="continue"/>
            <w:vAlign w:val="center"/>
          </w:tcPr>
          <w:p w14:paraId="777B0296">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color w:val="auto"/>
                <w:highlight w:val="none"/>
              </w:rPr>
            </w:pPr>
          </w:p>
        </w:tc>
        <w:tc>
          <w:tcPr>
            <w:tcW w:w="7401" w:type="dxa"/>
          </w:tcPr>
          <w:p w14:paraId="3A898098">
            <w:pPr>
              <w:keepNext w:val="0"/>
              <w:keepLines w:val="0"/>
              <w:pageBreakBefore w:val="0"/>
              <w:widowControl w:val="0"/>
              <w:tabs>
                <w:tab w:val="left" w:pos="78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根据投标人针对项目的</w:t>
            </w:r>
            <w:r>
              <w:rPr>
                <w:rFonts w:hint="eastAsia"/>
                <w:color w:val="auto"/>
                <w:highlight w:val="none"/>
              </w:rPr>
              <w:t>针对后续服务响应的及时性</w:t>
            </w:r>
            <w:r>
              <w:rPr>
                <w:rFonts w:hint="eastAsia" w:ascii="宋体" w:hAnsi="宋体" w:eastAsia="宋体" w:cs="宋体"/>
                <w:color w:val="auto"/>
                <w:sz w:val="21"/>
                <w:szCs w:val="21"/>
                <w:highlight w:val="none"/>
              </w:rPr>
              <w:t>等情况进行打分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4"/>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pacing w:val="-4"/>
                <w:sz w:val="21"/>
                <w:szCs w:val="21"/>
                <w:highlight w:val="none"/>
                <w:lang w:val="en-US" w:eastAsia="zh-CN"/>
              </w:rPr>
              <w:t>分）</w:t>
            </w:r>
          </w:p>
        </w:tc>
      </w:tr>
    </w:tbl>
    <w:p w14:paraId="14ED3AEF">
      <w:pPr>
        <w:keepNext w:val="0"/>
        <w:keepLines w:val="0"/>
        <w:pageBreakBefore w:val="0"/>
        <w:widowControl w:val="0"/>
        <w:kinsoku/>
        <w:wordWrap w:val="0"/>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提示：</w:t>
      </w:r>
      <w:bookmarkStart w:id="74" w:name="_GoBack"/>
      <w:bookmarkEnd w:id="74"/>
      <w:r>
        <w:rPr>
          <w:rFonts w:hint="eastAsia" w:ascii="宋体" w:hAnsi="宋体" w:eastAsia="宋体" w:cs="宋体"/>
          <w:b/>
          <w:bCs/>
          <w:color w:val="auto"/>
          <w:sz w:val="24"/>
          <w:highlight w:val="none"/>
          <w:u w:val="single"/>
        </w:rPr>
        <w:t>1、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keepNext w:val="0"/>
        <w:keepLines w:val="0"/>
        <w:pageBreakBefore w:val="0"/>
        <w:widowControl w:val="0"/>
        <w:kinsoku/>
        <w:wordWrap w:val="0"/>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highlight w:val="none"/>
          <w:u w:val="single"/>
          <w:shd w:val="pct10" w:color="auto" w:fill="FFFFFF"/>
        </w:rPr>
      </w:pPr>
      <w:r>
        <w:rPr>
          <w:rFonts w:hint="eastAsia" w:ascii="宋体" w:hAnsi="宋体" w:eastAsia="宋体" w:cs="宋体"/>
          <w:b/>
          <w:bCs/>
          <w:color w:val="auto"/>
          <w:sz w:val="24"/>
          <w:highlight w:val="none"/>
          <w:u w:val="single"/>
          <w:shd w:val="pct10" w:color="auto" w:fill="FFFFFF"/>
        </w:rPr>
        <w:t>2、供应商提交的所有响应文件、资料（包括所有证书、合同、报告等）都是准确、真实、合规的，如提供虚假资料，供应商需承担一切后果。</w:t>
      </w:r>
    </w:p>
    <w:p w14:paraId="3E401D39">
      <w:pPr>
        <w:keepNext w:val="0"/>
        <w:keepLines w:val="0"/>
        <w:pageBreakBefore w:val="0"/>
        <w:widowControl w:val="0"/>
        <w:kinsoku/>
        <w:wordWrap w:val="0"/>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highlight w:val="none"/>
          <w:u w:val="single"/>
          <w:shd w:val="pct10" w:color="auto" w:fill="FFFFFF"/>
        </w:rPr>
      </w:pPr>
      <w:r>
        <w:rPr>
          <w:rFonts w:hint="eastAsia" w:ascii="宋体" w:hAnsi="宋体" w:eastAsia="宋体" w:cs="宋体"/>
          <w:b/>
          <w:bCs/>
          <w:color w:val="auto"/>
          <w:sz w:val="24"/>
          <w:highlight w:val="none"/>
          <w:u w:val="single"/>
          <w:shd w:val="pct10" w:color="auto" w:fill="FFFFFF"/>
        </w:rPr>
        <w:t>3、为了评审工作更加优质、高效，响应文件张数建议不要超过300张。</w:t>
      </w:r>
    </w:p>
    <w:p w14:paraId="30F0E1C9">
      <w:pPr>
        <w:keepNext w:val="0"/>
        <w:keepLines w:val="0"/>
        <w:pageBreakBefore w:val="0"/>
        <w:widowControl w:val="0"/>
        <w:kinsoku/>
        <w:wordWrap w:val="0"/>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color w:val="auto"/>
          <w:sz w:val="24"/>
          <w:highlight w:val="none"/>
          <w:shd w:val="pct10" w:color="auto" w:fill="FFFFFF"/>
          <w:lang w:val="zh-CN"/>
        </w:rPr>
      </w:pPr>
      <w:r>
        <w:rPr>
          <w:rFonts w:hint="eastAsia" w:ascii="宋体" w:hAnsi="宋体" w:eastAsia="宋体" w:cs="宋体"/>
          <w:b/>
          <w:bCs/>
          <w:color w:val="auto"/>
          <w:sz w:val="24"/>
          <w:highlight w:val="none"/>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keepNext w:val="0"/>
        <w:keepLines w:val="0"/>
        <w:pageBreakBefore w:val="0"/>
        <w:widowControl w:val="0"/>
        <w:kinsoku/>
        <w:wordWrap w:val="0"/>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（三）商务技术分的计算方式</w:t>
      </w:r>
    </w:p>
    <w:p w14:paraId="0780012B">
      <w:pPr>
        <w:keepNext w:val="0"/>
        <w:keepLines w:val="0"/>
        <w:pageBreakBefore w:val="0"/>
        <w:widowControl w:val="0"/>
        <w:kinsoku/>
        <w:wordWrap w:val="0"/>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商务技术分按照磋商小组成员的独立评分结果汇总后，取全部磋商小组成员评分值的算术平均分，计算公式为：</w:t>
      </w:r>
    </w:p>
    <w:p w14:paraId="5E99A3CE">
      <w:pPr>
        <w:keepNext w:val="0"/>
        <w:keepLines w:val="0"/>
        <w:pageBreakBefore w:val="0"/>
        <w:widowControl w:val="0"/>
        <w:kinsoku/>
        <w:wordWrap w:val="0"/>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商务技术分=（磋商小组所有成员评分合计数）/（磋商小组组成人员数）</w:t>
      </w:r>
    </w:p>
    <w:p w14:paraId="3F0BA369">
      <w:pPr>
        <w:pStyle w:val="22"/>
        <w:keepNext w:val="0"/>
        <w:keepLines w:val="0"/>
        <w:pageBreakBefore w:val="0"/>
        <w:widowControl w:val="0"/>
        <w:kinsoku/>
        <w:wordWrap w:val="0"/>
        <w:overflowPunct/>
        <w:topLinePunct w:val="0"/>
        <w:autoSpaceDE/>
        <w:autoSpaceDN/>
        <w:bidi w:val="0"/>
        <w:adjustRightInd/>
        <w:snapToGrid/>
        <w:spacing w:line="360" w:lineRule="auto"/>
        <w:ind w:right="0" w:firstLine="466"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三、供应商义务</w:t>
      </w:r>
    </w:p>
    <w:p w14:paraId="123D0548">
      <w:pPr>
        <w:pStyle w:val="22"/>
        <w:keepNext w:val="0"/>
        <w:keepLines w:val="0"/>
        <w:pageBreakBefore w:val="0"/>
        <w:widowControl w:val="0"/>
        <w:kinsoku/>
        <w:wordWrap w:val="0"/>
        <w:overflowPunct/>
        <w:topLinePunct w:val="0"/>
        <w:autoSpaceDE/>
        <w:autoSpaceDN/>
        <w:bidi w:val="0"/>
        <w:adjustRightInd/>
        <w:snapToGrid/>
        <w:spacing w:line="360" w:lineRule="auto"/>
        <w:ind w:right="0" w:firstLine="464"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评标期间，供应商应随时随地答复磋商小组的询标，解答包括有关的商务、技术问题等</w:t>
      </w:r>
    </w:p>
    <w:p w14:paraId="3E299AE0">
      <w:pPr>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30"/>
          <w:szCs w:val="30"/>
          <w:highlight w:val="none"/>
        </w:rPr>
        <w:t>采购项目评分索引表</w:t>
      </w:r>
    </w:p>
    <w:p w14:paraId="1054A716">
      <w:pPr>
        <w:snapToGrid w:val="0"/>
        <w:spacing w:before="100" w:beforeAutospacing="1" w:after="100" w:afterAutospacing="1" w:line="400" w:lineRule="exact"/>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w:t>
      </w:r>
      <w:r>
        <w:rPr>
          <w:rFonts w:hint="eastAsia" w:ascii="宋体" w:hAnsi="宋体"/>
          <w:b/>
          <w:color w:val="auto"/>
          <w:spacing w:val="-4"/>
          <w:sz w:val="24"/>
          <w:highlight w:val="none"/>
          <w:shd w:val="pct10" w:color="auto" w:fill="FFFFFF"/>
        </w:rPr>
        <w:t>重要提示：本采购项目评分索引表放在商务技术文件目录的前页，</w:t>
      </w:r>
      <w:r>
        <w:rPr>
          <w:rFonts w:hint="eastAsia" w:ascii="宋体" w:hAnsi="宋体"/>
          <w:b/>
          <w:color w:val="auto"/>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highlight w:val="none"/>
          <w:shd w:val="pct10" w:color="auto" w:fill="FFFFFF"/>
        </w:rPr>
        <w:t>)</w:t>
      </w:r>
    </w:p>
    <w:p w14:paraId="38CF6B8E">
      <w:pPr>
        <w:rPr>
          <w:rFonts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供应商名称：</w:t>
      </w:r>
    </w:p>
    <w:tbl>
      <w:tblPr>
        <w:tblStyle w:val="48"/>
        <w:tblW w:w="9788"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88"/>
        <w:gridCol w:w="1012"/>
        <w:gridCol w:w="1200"/>
        <w:gridCol w:w="3525"/>
        <w:gridCol w:w="1763"/>
      </w:tblGrid>
      <w:tr w14:paraId="6935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288" w:type="dxa"/>
            <w:gridSpan w:val="2"/>
            <w:shd w:val="clear" w:color="000000" w:fill="FFFFFF"/>
            <w:vAlign w:val="center"/>
          </w:tcPr>
          <w:p w14:paraId="14775725">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评分内容</w:t>
            </w:r>
          </w:p>
        </w:tc>
        <w:tc>
          <w:tcPr>
            <w:tcW w:w="1012" w:type="dxa"/>
            <w:shd w:val="clear" w:color="000000" w:fill="FFFFFF"/>
            <w:vAlign w:val="center"/>
          </w:tcPr>
          <w:p w14:paraId="33C75BF0">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1200" w:type="dxa"/>
            <w:shd w:val="clear" w:color="000000" w:fill="FFFFFF"/>
            <w:vAlign w:val="center"/>
          </w:tcPr>
          <w:p w14:paraId="37697238">
            <w:pPr>
              <w:widowControl/>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w:t>
            </w:r>
          </w:p>
          <w:p w14:paraId="4B97FADD">
            <w:pPr>
              <w:widowControl/>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响应页码</w:t>
            </w:r>
          </w:p>
        </w:tc>
        <w:tc>
          <w:tcPr>
            <w:tcW w:w="3525" w:type="dxa"/>
            <w:shd w:val="clear" w:color="000000" w:fill="FFFFFF"/>
            <w:vAlign w:val="center"/>
          </w:tcPr>
          <w:p w14:paraId="19CFC26F">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供应商</w:t>
            </w:r>
          </w:p>
          <w:p w14:paraId="02479A2E">
            <w:pPr>
              <w:widowControl/>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应标情况</w:t>
            </w:r>
          </w:p>
        </w:tc>
        <w:tc>
          <w:tcPr>
            <w:tcW w:w="1763" w:type="dxa"/>
            <w:shd w:val="clear" w:color="000000" w:fill="FFFFFF"/>
            <w:vAlign w:val="center"/>
          </w:tcPr>
          <w:p w14:paraId="48B18FCC">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供应商</w:t>
            </w:r>
          </w:p>
          <w:p w14:paraId="4DD2565A">
            <w:pPr>
              <w:widowControl/>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自评分值</w:t>
            </w:r>
          </w:p>
        </w:tc>
      </w:tr>
      <w:tr w14:paraId="1AA0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00" w:type="dxa"/>
            <w:vMerge w:val="restart"/>
            <w:shd w:val="clear" w:color="000000" w:fill="FFFFFF"/>
            <w:vAlign w:val="center"/>
          </w:tcPr>
          <w:p w14:paraId="203F1D0F">
            <w:pPr>
              <w:spacing w:line="240" w:lineRule="auto"/>
              <w:jc w:val="center"/>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商务分（29分）</w:t>
            </w:r>
          </w:p>
        </w:tc>
        <w:tc>
          <w:tcPr>
            <w:tcW w:w="1388" w:type="dxa"/>
            <w:shd w:val="clear" w:color="000000" w:fill="FFFFFF"/>
            <w:vAlign w:val="center"/>
          </w:tcPr>
          <w:p w14:paraId="4431D4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1"/>
                <w:szCs w:val="21"/>
                <w:highlight w:val="none"/>
              </w:rPr>
              <w:t>认证证书</w:t>
            </w:r>
          </w:p>
        </w:tc>
        <w:tc>
          <w:tcPr>
            <w:tcW w:w="1012" w:type="dxa"/>
            <w:shd w:val="clear" w:color="000000" w:fill="FFFFFF"/>
            <w:vAlign w:val="center"/>
          </w:tcPr>
          <w:p w14:paraId="369139E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1200" w:type="dxa"/>
            <w:shd w:val="clear" w:color="000000" w:fill="FFFFFF"/>
            <w:vAlign w:val="center"/>
          </w:tcPr>
          <w:p w14:paraId="550BE7E2">
            <w:pPr>
              <w:spacing w:line="240" w:lineRule="auto"/>
              <w:jc w:val="center"/>
              <w:rPr>
                <w:rFonts w:hint="eastAsia" w:ascii="宋体" w:hAnsi="宋体" w:eastAsia="宋体" w:cs="宋体"/>
                <w:bCs/>
                <w:color w:val="auto"/>
                <w:sz w:val="24"/>
                <w:szCs w:val="24"/>
                <w:highlight w:val="none"/>
                <w:lang w:val="en-US" w:eastAsia="zh-CN"/>
              </w:rPr>
            </w:pPr>
          </w:p>
        </w:tc>
        <w:tc>
          <w:tcPr>
            <w:tcW w:w="3525" w:type="dxa"/>
            <w:shd w:val="clear" w:color="000000" w:fill="FFFFFF"/>
            <w:vAlign w:val="center"/>
          </w:tcPr>
          <w:p w14:paraId="74A40BE2">
            <w:pPr>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shd w:val="pct10" w:color="auto" w:fill="FFFFFF"/>
              </w:rPr>
              <w:t>供应商务必将应标证书内容逐项详细填写齐全，以方便评委进行更加优质、高效的评审</w:t>
            </w:r>
          </w:p>
        </w:tc>
        <w:tc>
          <w:tcPr>
            <w:tcW w:w="1763" w:type="dxa"/>
            <w:shd w:val="clear" w:color="000000" w:fill="FFFFFF"/>
            <w:vAlign w:val="center"/>
          </w:tcPr>
          <w:p w14:paraId="6F3BAA59">
            <w:pPr>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shd w:val="pct10" w:color="auto" w:fill="FFFFFF"/>
              </w:rPr>
              <w:t>供应商将应得分值填写准确</w:t>
            </w:r>
          </w:p>
        </w:tc>
      </w:tr>
      <w:tr w14:paraId="2F99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900" w:type="dxa"/>
            <w:vMerge w:val="continue"/>
            <w:shd w:val="clear" w:color="000000" w:fill="FFFFFF"/>
            <w:vAlign w:val="center"/>
          </w:tcPr>
          <w:p w14:paraId="408E96CD">
            <w:pPr>
              <w:spacing w:line="240" w:lineRule="auto"/>
              <w:jc w:val="center"/>
              <w:rPr>
                <w:rFonts w:hint="eastAsia" w:ascii="宋体" w:hAnsi="宋体" w:eastAsia="宋体" w:cs="宋体"/>
                <w:color w:val="auto"/>
                <w:sz w:val="24"/>
                <w:szCs w:val="24"/>
                <w:highlight w:val="none"/>
              </w:rPr>
            </w:pPr>
          </w:p>
        </w:tc>
        <w:tc>
          <w:tcPr>
            <w:tcW w:w="1388" w:type="dxa"/>
            <w:shd w:val="clear" w:color="000000" w:fill="FFFFFF"/>
            <w:vAlign w:val="center"/>
          </w:tcPr>
          <w:p w14:paraId="15554F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1"/>
                <w:szCs w:val="21"/>
                <w:highlight w:val="none"/>
                <w:lang w:val="en-US" w:eastAsia="zh-CN"/>
              </w:rPr>
              <w:t>企业实力</w:t>
            </w:r>
          </w:p>
        </w:tc>
        <w:tc>
          <w:tcPr>
            <w:tcW w:w="1012" w:type="dxa"/>
            <w:shd w:val="clear" w:color="000000" w:fill="FFFFFF"/>
            <w:vAlign w:val="center"/>
          </w:tcPr>
          <w:p w14:paraId="39B33A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color w:val="auto"/>
                <w:sz w:val="21"/>
                <w:szCs w:val="21"/>
                <w:highlight w:val="none"/>
                <w:lang w:val="en-US" w:eastAsia="zh-CN"/>
              </w:rPr>
              <w:t>4分</w:t>
            </w:r>
          </w:p>
        </w:tc>
        <w:tc>
          <w:tcPr>
            <w:tcW w:w="1200" w:type="dxa"/>
            <w:shd w:val="clear" w:color="000000" w:fill="FFFFFF"/>
            <w:vAlign w:val="center"/>
          </w:tcPr>
          <w:p w14:paraId="7D534B54">
            <w:pPr>
              <w:spacing w:line="240" w:lineRule="auto"/>
              <w:jc w:val="center"/>
              <w:rPr>
                <w:rFonts w:hint="eastAsia" w:ascii="宋体" w:hAnsi="宋体" w:eastAsia="宋体" w:cs="宋体"/>
                <w:bCs/>
                <w:color w:val="auto"/>
                <w:sz w:val="24"/>
                <w:szCs w:val="24"/>
                <w:highlight w:val="none"/>
                <w:lang w:val="en-US" w:eastAsia="zh-CN"/>
              </w:rPr>
            </w:pPr>
          </w:p>
        </w:tc>
        <w:tc>
          <w:tcPr>
            <w:tcW w:w="3525" w:type="dxa"/>
            <w:shd w:val="clear" w:color="000000" w:fill="FFFFFF"/>
            <w:vAlign w:val="center"/>
          </w:tcPr>
          <w:p w14:paraId="41F43F60">
            <w:pPr>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shd w:val="pct10" w:color="auto" w:fill="FFFFFF"/>
              </w:rPr>
              <w:t>供应商务必将应标证书内容逐项详细填写齐全，以方便评委进行更加优质、高效的评审</w:t>
            </w:r>
          </w:p>
        </w:tc>
        <w:tc>
          <w:tcPr>
            <w:tcW w:w="1763" w:type="dxa"/>
            <w:shd w:val="clear" w:color="000000" w:fill="FFFFFF"/>
            <w:vAlign w:val="center"/>
          </w:tcPr>
          <w:p w14:paraId="5ADE6F12">
            <w:pPr>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shd w:val="pct10" w:color="auto" w:fill="FFFFFF"/>
              </w:rPr>
              <w:t>供应商将应得分值填写准确</w:t>
            </w:r>
          </w:p>
        </w:tc>
      </w:tr>
      <w:tr w14:paraId="5185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00" w:type="dxa"/>
            <w:vMerge w:val="continue"/>
            <w:shd w:val="clear" w:color="000000" w:fill="FFFFFF"/>
            <w:vAlign w:val="center"/>
          </w:tcPr>
          <w:p w14:paraId="390A8949">
            <w:pPr>
              <w:spacing w:line="240" w:lineRule="auto"/>
              <w:jc w:val="center"/>
              <w:rPr>
                <w:rFonts w:hint="eastAsia" w:ascii="宋体" w:hAnsi="宋体" w:eastAsia="宋体" w:cs="宋体"/>
                <w:color w:val="auto"/>
                <w:sz w:val="24"/>
                <w:szCs w:val="24"/>
                <w:highlight w:val="none"/>
                <w:lang w:eastAsia="zh-CN"/>
              </w:rPr>
            </w:pPr>
          </w:p>
        </w:tc>
        <w:tc>
          <w:tcPr>
            <w:tcW w:w="1388" w:type="dxa"/>
            <w:shd w:val="clear" w:color="000000" w:fill="FFFFFF"/>
            <w:vAlign w:val="center"/>
          </w:tcPr>
          <w:p w14:paraId="4D90EA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rPr>
              <w:t>企业荣誉</w:t>
            </w:r>
          </w:p>
        </w:tc>
        <w:tc>
          <w:tcPr>
            <w:tcW w:w="1012" w:type="dxa"/>
            <w:shd w:val="clear" w:color="000000" w:fill="FFFFFF"/>
            <w:vAlign w:val="center"/>
          </w:tcPr>
          <w:p w14:paraId="338993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1200" w:type="dxa"/>
            <w:shd w:val="clear" w:color="000000" w:fill="FFFFFF"/>
            <w:vAlign w:val="center"/>
          </w:tcPr>
          <w:p w14:paraId="09C3715C">
            <w:pPr>
              <w:spacing w:line="240" w:lineRule="auto"/>
              <w:jc w:val="center"/>
              <w:rPr>
                <w:rFonts w:hint="eastAsia" w:ascii="宋体" w:hAnsi="宋体" w:eastAsia="宋体" w:cs="宋体"/>
                <w:bCs/>
                <w:color w:val="auto"/>
                <w:sz w:val="24"/>
                <w:szCs w:val="24"/>
                <w:highlight w:val="none"/>
                <w:lang w:val="en-US" w:eastAsia="zh-CN"/>
              </w:rPr>
            </w:pPr>
          </w:p>
        </w:tc>
        <w:tc>
          <w:tcPr>
            <w:tcW w:w="3525" w:type="dxa"/>
            <w:shd w:val="clear" w:color="000000" w:fill="FFFFFF"/>
            <w:vAlign w:val="center"/>
          </w:tcPr>
          <w:p w14:paraId="684538D6">
            <w:pPr>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shd w:val="pct10" w:color="auto" w:fill="FFFFFF"/>
              </w:rPr>
              <w:t>供应商务必将应标证书内容逐项详细填写齐全，以方便评委进行更加优质、高效的评审</w:t>
            </w:r>
          </w:p>
        </w:tc>
        <w:tc>
          <w:tcPr>
            <w:tcW w:w="1763" w:type="dxa"/>
            <w:shd w:val="clear" w:color="000000" w:fill="FFFFFF"/>
            <w:vAlign w:val="center"/>
          </w:tcPr>
          <w:p w14:paraId="37C2D71C">
            <w:pPr>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shd w:val="pct10" w:color="auto" w:fill="FFFFFF"/>
              </w:rPr>
              <w:t>供应商将应得分值填写准确</w:t>
            </w:r>
          </w:p>
        </w:tc>
      </w:tr>
      <w:tr w14:paraId="4C63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00" w:type="dxa"/>
            <w:vMerge w:val="continue"/>
            <w:shd w:val="clear" w:color="000000" w:fill="FFFFFF"/>
            <w:vAlign w:val="center"/>
          </w:tcPr>
          <w:p w14:paraId="2892DD65">
            <w:pPr>
              <w:spacing w:line="240" w:lineRule="auto"/>
              <w:jc w:val="center"/>
              <w:rPr>
                <w:rFonts w:hint="eastAsia" w:ascii="宋体" w:hAnsi="宋体" w:eastAsia="宋体" w:cs="宋体"/>
                <w:color w:val="auto"/>
                <w:sz w:val="24"/>
                <w:szCs w:val="24"/>
                <w:highlight w:val="none"/>
                <w:lang w:val="en-US" w:eastAsia="zh-CN"/>
              </w:rPr>
            </w:pPr>
          </w:p>
        </w:tc>
        <w:tc>
          <w:tcPr>
            <w:tcW w:w="1388" w:type="dxa"/>
            <w:shd w:val="clear" w:color="000000" w:fill="FFFFFF"/>
            <w:vAlign w:val="center"/>
          </w:tcPr>
          <w:p w14:paraId="367551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rPr>
              <w:t>承接经验</w:t>
            </w:r>
          </w:p>
        </w:tc>
        <w:tc>
          <w:tcPr>
            <w:tcW w:w="1012" w:type="dxa"/>
            <w:shd w:val="clear" w:color="000000" w:fill="FFFFFF"/>
            <w:vAlign w:val="center"/>
          </w:tcPr>
          <w:p w14:paraId="47CD8D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1"/>
                <w:szCs w:val="21"/>
                <w:highlight w:val="none"/>
                <w:lang w:val="en-US" w:eastAsia="zh-CN"/>
              </w:rPr>
              <w:t>1分</w:t>
            </w:r>
          </w:p>
        </w:tc>
        <w:tc>
          <w:tcPr>
            <w:tcW w:w="1200" w:type="dxa"/>
            <w:shd w:val="clear" w:color="000000" w:fill="FFFFFF"/>
            <w:vAlign w:val="center"/>
          </w:tcPr>
          <w:p w14:paraId="6BC7854E">
            <w:pPr>
              <w:spacing w:line="240" w:lineRule="auto"/>
              <w:jc w:val="center"/>
              <w:rPr>
                <w:rFonts w:hint="eastAsia" w:ascii="宋体" w:hAnsi="宋体" w:eastAsia="宋体" w:cs="宋体"/>
                <w:bCs/>
                <w:color w:val="auto"/>
                <w:sz w:val="24"/>
                <w:szCs w:val="24"/>
                <w:highlight w:val="none"/>
                <w:lang w:val="en-US" w:eastAsia="zh-CN"/>
              </w:rPr>
            </w:pPr>
          </w:p>
        </w:tc>
        <w:tc>
          <w:tcPr>
            <w:tcW w:w="3525" w:type="dxa"/>
            <w:shd w:val="clear" w:color="000000" w:fill="FFFFFF"/>
            <w:vAlign w:val="center"/>
          </w:tcPr>
          <w:p w14:paraId="606F3A40">
            <w:pPr>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shd w:val="pct10" w:color="auto" w:fill="FFFFFF"/>
              </w:rPr>
              <w:t>供应商务必将应标证书内容逐项详细填写齐全，以方便评委进行更加优质、高效的评审</w:t>
            </w:r>
          </w:p>
        </w:tc>
        <w:tc>
          <w:tcPr>
            <w:tcW w:w="1763" w:type="dxa"/>
            <w:shd w:val="clear" w:color="000000" w:fill="FFFFFF"/>
            <w:vAlign w:val="center"/>
          </w:tcPr>
          <w:p w14:paraId="0021BFD8">
            <w:pPr>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shd w:val="pct10" w:color="auto" w:fill="FFFFFF"/>
              </w:rPr>
              <w:t>供应商将应得分值填写准确</w:t>
            </w:r>
          </w:p>
        </w:tc>
      </w:tr>
      <w:tr w14:paraId="7C44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00" w:type="dxa"/>
            <w:vMerge w:val="continue"/>
            <w:shd w:val="clear" w:color="000000" w:fill="FFFFFF"/>
            <w:vAlign w:val="center"/>
          </w:tcPr>
          <w:p w14:paraId="4104EF5D">
            <w:pPr>
              <w:spacing w:line="240" w:lineRule="auto"/>
              <w:jc w:val="center"/>
              <w:rPr>
                <w:rFonts w:hint="eastAsia" w:ascii="宋体" w:hAnsi="宋体" w:eastAsia="宋体" w:cs="宋体"/>
                <w:color w:val="auto"/>
                <w:sz w:val="24"/>
                <w:szCs w:val="24"/>
                <w:highlight w:val="none"/>
                <w:lang w:val="en-US" w:eastAsia="zh-CN"/>
              </w:rPr>
            </w:pPr>
          </w:p>
        </w:tc>
        <w:tc>
          <w:tcPr>
            <w:tcW w:w="1388" w:type="dxa"/>
            <w:shd w:val="clear" w:color="000000" w:fill="FFFFFF"/>
            <w:vAlign w:val="center"/>
          </w:tcPr>
          <w:p w14:paraId="7B72FA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项目负责人</w:t>
            </w:r>
          </w:p>
        </w:tc>
        <w:tc>
          <w:tcPr>
            <w:tcW w:w="1012" w:type="dxa"/>
            <w:shd w:val="clear" w:color="000000" w:fill="FFFFFF"/>
            <w:vAlign w:val="center"/>
          </w:tcPr>
          <w:p w14:paraId="44E92439">
            <w:pPr>
              <w:keepNext w:val="0"/>
              <w:keepLines w:val="0"/>
              <w:pageBreakBefore w:val="0"/>
              <w:widowControl w:val="0"/>
              <w:tabs>
                <w:tab w:val="left" w:pos="78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1200" w:type="dxa"/>
            <w:shd w:val="clear" w:color="000000" w:fill="FFFFFF"/>
            <w:vAlign w:val="center"/>
          </w:tcPr>
          <w:p w14:paraId="44A06226">
            <w:pPr>
              <w:spacing w:line="240" w:lineRule="auto"/>
              <w:jc w:val="center"/>
              <w:rPr>
                <w:rFonts w:hint="eastAsia" w:ascii="宋体" w:hAnsi="宋体" w:eastAsia="宋体" w:cs="宋体"/>
                <w:bCs/>
                <w:color w:val="auto"/>
                <w:sz w:val="24"/>
                <w:szCs w:val="24"/>
                <w:highlight w:val="none"/>
                <w:lang w:val="en-US" w:eastAsia="zh-CN"/>
              </w:rPr>
            </w:pPr>
          </w:p>
        </w:tc>
        <w:tc>
          <w:tcPr>
            <w:tcW w:w="3525" w:type="dxa"/>
            <w:shd w:val="clear" w:color="000000" w:fill="FFFFFF"/>
            <w:vAlign w:val="center"/>
          </w:tcPr>
          <w:p w14:paraId="11B4C7E8">
            <w:pPr>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shd w:val="pct10" w:color="auto" w:fill="FFFFFF"/>
              </w:rPr>
              <w:t>供应商务必将应标证书内容逐项详细填写齐全，以方便评委进行更加优质、高效的评审</w:t>
            </w:r>
          </w:p>
        </w:tc>
        <w:tc>
          <w:tcPr>
            <w:tcW w:w="1763" w:type="dxa"/>
            <w:shd w:val="clear" w:color="000000" w:fill="FFFFFF"/>
            <w:vAlign w:val="center"/>
          </w:tcPr>
          <w:p w14:paraId="754F7ECA">
            <w:pPr>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shd w:val="pct10" w:color="auto" w:fill="FFFFFF"/>
              </w:rPr>
              <w:t>供应商将应得分值填写准确</w:t>
            </w:r>
          </w:p>
        </w:tc>
      </w:tr>
      <w:tr w14:paraId="16B7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00" w:type="dxa"/>
            <w:vMerge w:val="continue"/>
            <w:shd w:val="clear" w:color="000000" w:fill="FFFFFF"/>
            <w:vAlign w:val="center"/>
          </w:tcPr>
          <w:p w14:paraId="4B77C21F">
            <w:pPr>
              <w:spacing w:line="240" w:lineRule="auto"/>
              <w:jc w:val="center"/>
              <w:rPr>
                <w:rFonts w:hint="eastAsia" w:ascii="宋体" w:hAnsi="宋体" w:eastAsia="宋体" w:cs="宋体"/>
                <w:color w:val="auto"/>
                <w:sz w:val="24"/>
                <w:szCs w:val="24"/>
                <w:highlight w:val="none"/>
                <w:lang w:val="en-US" w:eastAsia="zh-CN"/>
              </w:rPr>
            </w:pPr>
          </w:p>
        </w:tc>
        <w:tc>
          <w:tcPr>
            <w:tcW w:w="1388" w:type="dxa"/>
            <w:shd w:val="clear" w:color="000000" w:fill="FFFFFF"/>
            <w:vAlign w:val="center"/>
          </w:tcPr>
          <w:p w14:paraId="049BE1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rPr>
              <w:t>项目组成员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项目负责人除外</w:t>
            </w:r>
            <w:r>
              <w:rPr>
                <w:rFonts w:hint="eastAsia" w:ascii="宋体" w:hAnsi="宋体" w:eastAsia="宋体" w:cs="宋体"/>
                <w:color w:val="auto"/>
                <w:kern w:val="0"/>
                <w:sz w:val="21"/>
                <w:szCs w:val="21"/>
                <w:highlight w:val="none"/>
                <w:lang w:eastAsia="zh-CN"/>
              </w:rPr>
              <w:t>）</w:t>
            </w:r>
          </w:p>
        </w:tc>
        <w:tc>
          <w:tcPr>
            <w:tcW w:w="1012" w:type="dxa"/>
            <w:shd w:val="clear" w:color="000000" w:fill="FFFFFF"/>
            <w:vAlign w:val="center"/>
          </w:tcPr>
          <w:p w14:paraId="3F15D8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1200" w:type="dxa"/>
            <w:shd w:val="clear" w:color="000000" w:fill="FFFFFF"/>
            <w:vAlign w:val="center"/>
          </w:tcPr>
          <w:p w14:paraId="4DDC1DBA">
            <w:pPr>
              <w:spacing w:line="240" w:lineRule="auto"/>
              <w:jc w:val="center"/>
              <w:rPr>
                <w:rFonts w:hint="eastAsia" w:ascii="宋体" w:hAnsi="宋体" w:eastAsia="宋体" w:cs="宋体"/>
                <w:bCs/>
                <w:color w:val="auto"/>
                <w:sz w:val="24"/>
                <w:szCs w:val="24"/>
                <w:highlight w:val="none"/>
                <w:lang w:val="en-US" w:eastAsia="zh-CN"/>
              </w:rPr>
            </w:pPr>
          </w:p>
        </w:tc>
        <w:tc>
          <w:tcPr>
            <w:tcW w:w="3525" w:type="dxa"/>
            <w:shd w:val="clear" w:color="000000" w:fill="FFFFFF"/>
            <w:vAlign w:val="center"/>
          </w:tcPr>
          <w:p w14:paraId="48B85503">
            <w:pPr>
              <w:spacing w:line="240" w:lineRule="auto"/>
              <w:jc w:val="center"/>
              <w:rPr>
                <w:rFonts w:hint="eastAsia" w:ascii="宋体" w:hAnsi="宋体" w:eastAsia="宋体" w:cs="宋体"/>
                <w:b/>
                <w:bCs/>
                <w:color w:val="auto"/>
                <w:kern w:val="0"/>
                <w:sz w:val="24"/>
                <w:szCs w:val="24"/>
                <w:highlight w:val="none"/>
                <w:shd w:val="pct10" w:color="auto" w:fill="FFFFFF"/>
              </w:rPr>
            </w:pPr>
            <w:r>
              <w:rPr>
                <w:rFonts w:hint="eastAsia" w:ascii="宋体" w:hAnsi="宋体" w:eastAsia="宋体" w:cs="宋体"/>
                <w:b/>
                <w:bCs/>
                <w:color w:val="auto"/>
                <w:kern w:val="0"/>
                <w:sz w:val="24"/>
                <w:szCs w:val="24"/>
                <w:highlight w:val="none"/>
                <w:shd w:val="pct10" w:color="auto" w:fill="FFFFFF"/>
              </w:rPr>
              <w:t>供应商务必将应标证书内容逐项详细填写齐全，以方便评委进行更加优质、高效的评审</w:t>
            </w:r>
          </w:p>
        </w:tc>
        <w:tc>
          <w:tcPr>
            <w:tcW w:w="1763" w:type="dxa"/>
            <w:shd w:val="clear" w:color="000000" w:fill="FFFFFF"/>
            <w:vAlign w:val="center"/>
          </w:tcPr>
          <w:p w14:paraId="46C755C2">
            <w:pPr>
              <w:spacing w:line="240" w:lineRule="auto"/>
              <w:jc w:val="center"/>
              <w:rPr>
                <w:rFonts w:hint="eastAsia" w:ascii="宋体" w:hAnsi="宋体" w:eastAsia="宋体" w:cs="宋体"/>
                <w:b/>
                <w:bCs/>
                <w:color w:val="auto"/>
                <w:kern w:val="0"/>
                <w:sz w:val="24"/>
                <w:szCs w:val="24"/>
                <w:highlight w:val="none"/>
                <w:shd w:val="pct10" w:color="auto" w:fill="FFFFFF"/>
              </w:rPr>
            </w:pPr>
            <w:r>
              <w:rPr>
                <w:rFonts w:hint="eastAsia" w:ascii="宋体" w:hAnsi="宋体" w:eastAsia="宋体" w:cs="宋体"/>
                <w:b/>
                <w:bCs/>
                <w:color w:val="auto"/>
                <w:kern w:val="0"/>
                <w:sz w:val="24"/>
                <w:szCs w:val="24"/>
                <w:highlight w:val="none"/>
                <w:shd w:val="pct10" w:color="auto" w:fill="FFFFFF"/>
              </w:rPr>
              <w:t>供应商将应得分值填写准确</w:t>
            </w:r>
          </w:p>
        </w:tc>
      </w:tr>
      <w:tr w14:paraId="0974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00" w:type="dxa"/>
            <w:vMerge w:val="restart"/>
            <w:shd w:val="clear" w:color="000000" w:fill="FFFFFF"/>
            <w:vAlign w:val="center"/>
          </w:tcPr>
          <w:p w14:paraId="4D21C951">
            <w:pPr>
              <w:spacing w:line="240" w:lineRule="auto"/>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1"/>
                <w:szCs w:val="21"/>
                <w:highlight w:val="none"/>
                <w:lang w:val="en-US" w:eastAsia="zh-CN"/>
              </w:rPr>
              <w:t>技术分（61分）</w:t>
            </w:r>
          </w:p>
        </w:tc>
        <w:tc>
          <w:tcPr>
            <w:tcW w:w="1388" w:type="dxa"/>
            <w:shd w:val="clear" w:color="000000" w:fill="FFFFFF"/>
            <w:vAlign w:val="center"/>
          </w:tcPr>
          <w:p w14:paraId="0DD80F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1"/>
                <w:szCs w:val="21"/>
                <w:highlight w:val="none"/>
              </w:rPr>
              <w:t>项目理解</w:t>
            </w:r>
          </w:p>
        </w:tc>
        <w:tc>
          <w:tcPr>
            <w:tcW w:w="1012" w:type="dxa"/>
            <w:shd w:val="clear" w:color="000000" w:fill="FFFFFF"/>
            <w:vAlign w:val="center"/>
          </w:tcPr>
          <w:p w14:paraId="71BECD64">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hAnsi="宋体" w:cs="宋体"/>
                <w:strike w:val="0"/>
                <w:dstrike w:val="0"/>
                <w:color w:val="auto"/>
                <w:kern w:val="2"/>
                <w:sz w:val="21"/>
                <w:szCs w:val="21"/>
                <w:highlight w:val="none"/>
                <w:lang w:val="en-US" w:eastAsia="zh-CN" w:bidi="ar-SA"/>
              </w:rPr>
              <w:t>8</w:t>
            </w:r>
            <w:r>
              <w:rPr>
                <w:rFonts w:hint="eastAsia" w:ascii="宋体" w:hAnsi="宋体" w:eastAsia="宋体" w:cs="宋体"/>
                <w:strike w:val="0"/>
                <w:dstrike w:val="0"/>
                <w:color w:val="auto"/>
                <w:kern w:val="2"/>
                <w:sz w:val="21"/>
                <w:szCs w:val="21"/>
                <w:highlight w:val="none"/>
                <w:lang w:val="en-US" w:eastAsia="zh-CN" w:bidi="ar-SA"/>
              </w:rPr>
              <w:t>分</w:t>
            </w:r>
          </w:p>
        </w:tc>
        <w:tc>
          <w:tcPr>
            <w:tcW w:w="1200" w:type="dxa"/>
            <w:shd w:val="clear" w:color="000000" w:fill="FFFFFF"/>
            <w:vAlign w:val="center"/>
          </w:tcPr>
          <w:p w14:paraId="061A2214">
            <w:pPr>
              <w:pStyle w:val="28"/>
              <w:spacing w:line="240" w:lineRule="auto"/>
              <w:jc w:val="center"/>
              <w:rPr>
                <w:rFonts w:hint="eastAsia" w:ascii="宋体" w:hAnsi="宋体" w:eastAsia="宋体" w:cs="宋体"/>
                <w:color w:val="auto"/>
                <w:kern w:val="2"/>
                <w:sz w:val="24"/>
                <w:szCs w:val="24"/>
                <w:highlight w:val="none"/>
                <w:lang w:val="en-US" w:eastAsia="zh-CN" w:bidi="ar-SA"/>
              </w:rPr>
            </w:pPr>
          </w:p>
        </w:tc>
        <w:tc>
          <w:tcPr>
            <w:tcW w:w="3525" w:type="dxa"/>
            <w:shd w:val="clear" w:color="000000" w:fill="FFFFFF"/>
            <w:vAlign w:val="center"/>
          </w:tcPr>
          <w:p w14:paraId="6873C64A">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w:t>
            </w:r>
          </w:p>
        </w:tc>
        <w:tc>
          <w:tcPr>
            <w:tcW w:w="1763" w:type="dxa"/>
            <w:shd w:val="clear" w:color="000000" w:fill="FFFFFF"/>
            <w:vAlign w:val="center"/>
          </w:tcPr>
          <w:p w14:paraId="492C7AA4">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w:t>
            </w:r>
          </w:p>
        </w:tc>
      </w:tr>
      <w:tr w14:paraId="2802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00" w:type="dxa"/>
            <w:vMerge w:val="continue"/>
            <w:shd w:val="clear" w:color="000000" w:fill="FFFFFF"/>
            <w:vAlign w:val="center"/>
          </w:tcPr>
          <w:p w14:paraId="120D5B73">
            <w:pPr>
              <w:spacing w:line="240" w:lineRule="auto"/>
              <w:jc w:val="center"/>
              <w:rPr>
                <w:rFonts w:hint="eastAsia" w:ascii="宋体" w:hAnsi="宋体" w:eastAsia="宋体" w:cs="宋体"/>
                <w:color w:val="auto"/>
                <w:sz w:val="24"/>
                <w:szCs w:val="24"/>
                <w:highlight w:val="none"/>
                <w:lang w:val="en-US" w:eastAsia="zh-CN"/>
              </w:rPr>
            </w:pPr>
          </w:p>
        </w:tc>
        <w:tc>
          <w:tcPr>
            <w:tcW w:w="1388" w:type="dxa"/>
            <w:shd w:val="clear" w:color="000000" w:fill="FFFFFF"/>
            <w:vAlign w:val="center"/>
          </w:tcPr>
          <w:p w14:paraId="4F82C4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rPr>
              <w:t>实施方案</w:t>
            </w:r>
          </w:p>
        </w:tc>
        <w:tc>
          <w:tcPr>
            <w:tcW w:w="1012" w:type="dxa"/>
            <w:shd w:val="clear" w:color="000000" w:fill="FFFFFF"/>
            <w:vAlign w:val="center"/>
          </w:tcPr>
          <w:p w14:paraId="55F4EC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tc>
        <w:tc>
          <w:tcPr>
            <w:tcW w:w="1200" w:type="dxa"/>
            <w:shd w:val="clear" w:color="000000" w:fill="FFFFFF"/>
            <w:vAlign w:val="center"/>
          </w:tcPr>
          <w:p w14:paraId="1E20AC81">
            <w:pPr>
              <w:pStyle w:val="28"/>
              <w:spacing w:line="240" w:lineRule="auto"/>
              <w:jc w:val="center"/>
              <w:rPr>
                <w:rFonts w:hint="eastAsia" w:ascii="宋体" w:hAnsi="宋体" w:eastAsia="宋体" w:cs="宋体"/>
                <w:color w:val="auto"/>
                <w:kern w:val="2"/>
                <w:sz w:val="24"/>
                <w:szCs w:val="24"/>
                <w:highlight w:val="none"/>
                <w:lang w:val="en-US" w:eastAsia="zh-CN" w:bidi="ar-SA"/>
              </w:rPr>
            </w:pPr>
          </w:p>
        </w:tc>
        <w:tc>
          <w:tcPr>
            <w:tcW w:w="3525" w:type="dxa"/>
            <w:shd w:val="clear" w:color="000000" w:fill="FFFFFF"/>
            <w:vAlign w:val="center"/>
          </w:tcPr>
          <w:p w14:paraId="7E839E53">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w:t>
            </w:r>
          </w:p>
        </w:tc>
        <w:tc>
          <w:tcPr>
            <w:tcW w:w="1763" w:type="dxa"/>
            <w:shd w:val="clear" w:color="000000" w:fill="FFFFFF"/>
            <w:vAlign w:val="center"/>
          </w:tcPr>
          <w:p w14:paraId="1D244664">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w:t>
            </w:r>
          </w:p>
        </w:tc>
      </w:tr>
      <w:tr w14:paraId="3191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0" w:type="dxa"/>
            <w:vMerge w:val="continue"/>
            <w:shd w:val="clear" w:color="000000" w:fill="FFFFFF"/>
            <w:vAlign w:val="center"/>
          </w:tcPr>
          <w:p w14:paraId="1A5F7396">
            <w:pPr>
              <w:spacing w:line="240" w:lineRule="auto"/>
              <w:jc w:val="center"/>
              <w:rPr>
                <w:rFonts w:hint="eastAsia" w:ascii="宋体" w:hAnsi="宋体" w:eastAsia="宋体" w:cs="宋体"/>
                <w:color w:val="auto"/>
                <w:sz w:val="24"/>
                <w:szCs w:val="24"/>
                <w:highlight w:val="none"/>
                <w:lang w:val="en-US" w:eastAsia="zh-CN"/>
              </w:rPr>
            </w:pPr>
          </w:p>
        </w:tc>
        <w:tc>
          <w:tcPr>
            <w:tcW w:w="1388" w:type="dxa"/>
            <w:shd w:val="clear" w:color="000000" w:fill="FFFFFF"/>
            <w:vAlign w:val="center"/>
          </w:tcPr>
          <w:p w14:paraId="7B07E2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rPr>
              <w:t>重难点分析及解决方案</w:t>
            </w:r>
          </w:p>
        </w:tc>
        <w:tc>
          <w:tcPr>
            <w:tcW w:w="1012" w:type="dxa"/>
            <w:shd w:val="clear" w:color="000000" w:fill="FFFFFF"/>
            <w:vAlign w:val="center"/>
          </w:tcPr>
          <w:p w14:paraId="00430FFC">
            <w:pPr>
              <w:pStyle w:val="2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hAnsi="宋体" w:cs="宋体"/>
                <w:strike w:val="0"/>
                <w:dstrike w:val="0"/>
                <w:color w:val="auto"/>
                <w:kern w:val="2"/>
                <w:sz w:val="21"/>
                <w:szCs w:val="21"/>
                <w:highlight w:val="none"/>
                <w:lang w:val="en-US" w:eastAsia="zh-CN" w:bidi="ar-SA"/>
              </w:rPr>
              <w:t>9</w:t>
            </w:r>
            <w:r>
              <w:rPr>
                <w:rFonts w:hint="eastAsia" w:ascii="宋体" w:hAnsi="宋体" w:eastAsia="宋体" w:cs="宋体"/>
                <w:bCs/>
                <w:strike w:val="0"/>
                <w:dstrike w:val="0"/>
                <w:color w:val="auto"/>
                <w:sz w:val="21"/>
                <w:szCs w:val="21"/>
                <w:highlight w:val="none"/>
                <w:lang w:val="en-US" w:eastAsia="zh-CN"/>
              </w:rPr>
              <w:t>分</w:t>
            </w:r>
          </w:p>
        </w:tc>
        <w:tc>
          <w:tcPr>
            <w:tcW w:w="1200" w:type="dxa"/>
            <w:shd w:val="clear" w:color="000000" w:fill="FFFFFF"/>
            <w:vAlign w:val="center"/>
          </w:tcPr>
          <w:p w14:paraId="6564F584">
            <w:pPr>
              <w:pStyle w:val="28"/>
              <w:spacing w:line="240" w:lineRule="auto"/>
              <w:jc w:val="center"/>
              <w:rPr>
                <w:rFonts w:hint="eastAsia" w:ascii="宋体" w:hAnsi="宋体" w:eastAsia="宋体" w:cs="宋体"/>
                <w:color w:val="auto"/>
                <w:kern w:val="2"/>
                <w:sz w:val="24"/>
                <w:szCs w:val="24"/>
                <w:highlight w:val="none"/>
                <w:lang w:val="en-US" w:eastAsia="zh-CN" w:bidi="ar-SA"/>
              </w:rPr>
            </w:pPr>
          </w:p>
        </w:tc>
        <w:tc>
          <w:tcPr>
            <w:tcW w:w="3525" w:type="dxa"/>
            <w:shd w:val="clear" w:color="000000" w:fill="FFFFFF"/>
            <w:vAlign w:val="center"/>
          </w:tcPr>
          <w:p w14:paraId="75433B99">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w:t>
            </w:r>
          </w:p>
        </w:tc>
        <w:tc>
          <w:tcPr>
            <w:tcW w:w="1763" w:type="dxa"/>
            <w:shd w:val="clear" w:color="000000" w:fill="FFFFFF"/>
            <w:vAlign w:val="center"/>
          </w:tcPr>
          <w:p w14:paraId="2E6AEAF9">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w:t>
            </w:r>
          </w:p>
        </w:tc>
      </w:tr>
      <w:tr w14:paraId="4A95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0" w:type="dxa"/>
            <w:vMerge w:val="continue"/>
            <w:shd w:val="clear" w:color="000000" w:fill="FFFFFF"/>
            <w:vAlign w:val="center"/>
          </w:tcPr>
          <w:p w14:paraId="654AE81C">
            <w:pPr>
              <w:spacing w:line="240" w:lineRule="auto"/>
              <w:jc w:val="center"/>
              <w:rPr>
                <w:rFonts w:hint="eastAsia" w:ascii="宋体" w:hAnsi="宋体" w:eastAsia="宋体" w:cs="宋体"/>
                <w:color w:val="auto"/>
                <w:sz w:val="24"/>
                <w:szCs w:val="24"/>
                <w:highlight w:val="none"/>
              </w:rPr>
            </w:pPr>
          </w:p>
        </w:tc>
        <w:tc>
          <w:tcPr>
            <w:tcW w:w="1388" w:type="dxa"/>
            <w:shd w:val="clear" w:color="000000" w:fill="FFFFFF"/>
            <w:vAlign w:val="center"/>
          </w:tcPr>
          <w:p w14:paraId="46E6C1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进度安排</w:t>
            </w:r>
          </w:p>
        </w:tc>
        <w:tc>
          <w:tcPr>
            <w:tcW w:w="1012" w:type="dxa"/>
            <w:shd w:val="clear" w:color="000000" w:fill="FFFFFF"/>
            <w:vAlign w:val="center"/>
          </w:tcPr>
          <w:p w14:paraId="3C620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tc>
        <w:tc>
          <w:tcPr>
            <w:tcW w:w="1200" w:type="dxa"/>
            <w:shd w:val="clear" w:color="000000" w:fill="FFFFFF"/>
            <w:vAlign w:val="center"/>
          </w:tcPr>
          <w:p w14:paraId="44BBE0E8">
            <w:pPr>
              <w:spacing w:line="240" w:lineRule="auto"/>
              <w:jc w:val="center"/>
              <w:rPr>
                <w:rFonts w:hint="eastAsia" w:ascii="宋体" w:hAnsi="宋体" w:eastAsia="宋体" w:cs="宋体"/>
                <w:color w:val="auto"/>
                <w:sz w:val="24"/>
                <w:szCs w:val="24"/>
                <w:highlight w:val="none"/>
                <w:lang w:val="en-US" w:eastAsia="zh-CN"/>
              </w:rPr>
            </w:pPr>
          </w:p>
        </w:tc>
        <w:tc>
          <w:tcPr>
            <w:tcW w:w="3525" w:type="dxa"/>
            <w:shd w:val="clear" w:color="000000" w:fill="FFFFFF"/>
            <w:vAlign w:val="center"/>
          </w:tcPr>
          <w:p w14:paraId="331EBF92">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w:t>
            </w:r>
          </w:p>
        </w:tc>
        <w:tc>
          <w:tcPr>
            <w:tcW w:w="1763" w:type="dxa"/>
            <w:shd w:val="clear" w:color="000000" w:fill="FFFFFF"/>
            <w:vAlign w:val="center"/>
          </w:tcPr>
          <w:p w14:paraId="4A141C79">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w:t>
            </w:r>
          </w:p>
        </w:tc>
      </w:tr>
      <w:tr w14:paraId="5F05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00" w:type="dxa"/>
            <w:vMerge w:val="continue"/>
            <w:shd w:val="clear" w:color="000000" w:fill="FFFFFF"/>
            <w:vAlign w:val="center"/>
          </w:tcPr>
          <w:p w14:paraId="2FDB7B68">
            <w:pPr>
              <w:spacing w:line="240" w:lineRule="auto"/>
              <w:jc w:val="center"/>
              <w:rPr>
                <w:rFonts w:hint="eastAsia" w:ascii="宋体" w:hAnsi="宋体" w:eastAsia="宋体" w:cs="宋体"/>
                <w:color w:val="auto"/>
                <w:sz w:val="24"/>
                <w:szCs w:val="24"/>
                <w:highlight w:val="none"/>
              </w:rPr>
            </w:pPr>
          </w:p>
        </w:tc>
        <w:tc>
          <w:tcPr>
            <w:tcW w:w="1388" w:type="dxa"/>
            <w:shd w:val="clear" w:color="000000" w:fill="FFFFFF"/>
            <w:vAlign w:val="center"/>
          </w:tcPr>
          <w:p w14:paraId="45F742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质量保障措施和管理制度</w:t>
            </w:r>
          </w:p>
        </w:tc>
        <w:tc>
          <w:tcPr>
            <w:tcW w:w="1012" w:type="dxa"/>
            <w:shd w:val="clear" w:color="000000" w:fill="FFFFFF"/>
            <w:vAlign w:val="center"/>
          </w:tcPr>
          <w:p w14:paraId="7128E4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1200" w:type="dxa"/>
            <w:shd w:val="clear" w:color="000000" w:fill="FFFFFF"/>
            <w:vAlign w:val="center"/>
          </w:tcPr>
          <w:p w14:paraId="6E6252C4">
            <w:pPr>
              <w:spacing w:line="240" w:lineRule="auto"/>
              <w:jc w:val="center"/>
              <w:rPr>
                <w:rFonts w:hint="eastAsia" w:ascii="宋体" w:hAnsi="宋体" w:eastAsia="宋体" w:cs="宋体"/>
                <w:color w:val="auto"/>
                <w:sz w:val="24"/>
                <w:szCs w:val="24"/>
                <w:highlight w:val="none"/>
                <w:lang w:val="en-US" w:eastAsia="zh-CN"/>
              </w:rPr>
            </w:pPr>
          </w:p>
        </w:tc>
        <w:tc>
          <w:tcPr>
            <w:tcW w:w="3525" w:type="dxa"/>
            <w:shd w:val="clear" w:color="000000" w:fill="FFFFFF"/>
            <w:vAlign w:val="center"/>
          </w:tcPr>
          <w:p w14:paraId="2049955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w:t>
            </w:r>
          </w:p>
        </w:tc>
        <w:tc>
          <w:tcPr>
            <w:tcW w:w="1763" w:type="dxa"/>
            <w:shd w:val="clear" w:color="000000" w:fill="FFFFFF"/>
            <w:vAlign w:val="center"/>
          </w:tcPr>
          <w:p w14:paraId="7FC7BDF6">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w:t>
            </w:r>
          </w:p>
        </w:tc>
      </w:tr>
      <w:tr w14:paraId="373C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0" w:type="dxa"/>
            <w:vMerge w:val="continue"/>
            <w:shd w:val="clear" w:color="000000" w:fill="FFFFFF"/>
            <w:vAlign w:val="center"/>
          </w:tcPr>
          <w:p w14:paraId="0F104585">
            <w:pPr>
              <w:spacing w:line="240" w:lineRule="auto"/>
              <w:jc w:val="center"/>
              <w:rPr>
                <w:rFonts w:hint="eastAsia" w:ascii="宋体" w:hAnsi="宋体" w:eastAsia="宋体" w:cs="宋体"/>
                <w:color w:val="auto"/>
                <w:sz w:val="24"/>
                <w:szCs w:val="24"/>
                <w:highlight w:val="none"/>
              </w:rPr>
            </w:pPr>
          </w:p>
        </w:tc>
        <w:tc>
          <w:tcPr>
            <w:tcW w:w="1388" w:type="dxa"/>
            <w:shd w:val="clear" w:color="000000" w:fill="FFFFFF"/>
            <w:vAlign w:val="center"/>
          </w:tcPr>
          <w:p w14:paraId="37C9D43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rPr>
              <w:t>保密制度</w:t>
            </w:r>
          </w:p>
        </w:tc>
        <w:tc>
          <w:tcPr>
            <w:tcW w:w="1012" w:type="dxa"/>
            <w:shd w:val="clear" w:color="000000" w:fill="FFFFFF"/>
            <w:vAlign w:val="center"/>
          </w:tcPr>
          <w:p w14:paraId="22A28AF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1200" w:type="dxa"/>
            <w:shd w:val="clear" w:color="000000" w:fill="FFFFFF"/>
            <w:vAlign w:val="center"/>
          </w:tcPr>
          <w:p w14:paraId="5D0F451A">
            <w:pPr>
              <w:spacing w:line="240" w:lineRule="auto"/>
              <w:jc w:val="center"/>
              <w:rPr>
                <w:rFonts w:hint="eastAsia" w:ascii="宋体" w:hAnsi="宋体" w:eastAsia="宋体" w:cs="宋体"/>
                <w:color w:val="auto"/>
                <w:sz w:val="24"/>
                <w:szCs w:val="24"/>
                <w:highlight w:val="none"/>
                <w:lang w:val="en-US" w:eastAsia="zh-CN"/>
              </w:rPr>
            </w:pPr>
          </w:p>
        </w:tc>
        <w:tc>
          <w:tcPr>
            <w:tcW w:w="3525" w:type="dxa"/>
            <w:shd w:val="clear" w:color="000000" w:fill="FFFFFF"/>
            <w:vAlign w:val="center"/>
          </w:tcPr>
          <w:p w14:paraId="58224A5A">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w:t>
            </w:r>
          </w:p>
        </w:tc>
        <w:tc>
          <w:tcPr>
            <w:tcW w:w="1763" w:type="dxa"/>
            <w:shd w:val="clear" w:color="000000" w:fill="FFFFFF"/>
            <w:vAlign w:val="center"/>
          </w:tcPr>
          <w:p w14:paraId="24E9189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w:t>
            </w:r>
          </w:p>
        </w:tc>
      </w:tr>
      <w:tr w14:paraId="3E73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0" w:type="dxa"/>
            <w:vMerge w:val="continue"/>
            <w:shd w:val="clear" w:color="000000" w:fill="FFFFFF"/>
            <w:vAlign w:val="center"/>
          </w:tcPr>
          <w:p w14:paraId="23832F3E">
            <w:pPr>
              <w:spacing w:line="240" w:lineRule="auto"/>
              <w:jc w:val="center"/>
              <w:rPr>
                <w:rFonts w:hint="eastAsia" w:ascii="宋体" w:hAnsi="宋体" w:eastAsia="宋体" w:cs="宋体"/>
                <w:color w:val="auto"/>
                <w:sz w:val="24"/>
                <w:szCs w:val="24"/>
                <w:highlight w:val="none"/>
              </w:rPr>
            </w:pPr>
          </w:p>
        </w:tc>
        <w:tc>
          <w:tcPr>
            <w:tcW w:w="1388" w:type="dxa"/>
            <w:shd w:val="clear" w:color="000000" w:fill="FFFFFF"/>
            <w:vAlign w:val="center"/>
          </w:tcPr>
          <w:p w14:paraId="7319668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应急方案</w:t>
            </w:r>
          </w:p>
        </w:tc>
        <w:tc>
          <w:tcPr>
            <w:tcW w:w="1012" w:type="dxa"/>
            <w:shd w:val="clear" w:color="000000" w:fill="FFFFFF"/>
            <w:vAlign w:val="center"/>
          </w:tcPr>
          <w:p w14:paraId="383E219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rPr>
              <w:t>3分</w:t>
            </w:r>
          </w:p>
        </w:tc>
        <w:tc>
          <w:tcPr>
            <w:tcW w:w="1200" w:type="dxa"/>
            <w:shd w:val="clear" w:color="000000" w:fill="FFFFFF"/>
            <w:vAlign w:val="center"/>
          </w:tcPr>
          <w:p w14:paraId="7392C18F">
            <w:pPr>
              <w:spacing w:line="240" w:lineRule="auto"/>
              <w:jc w:val="center"/>
              <w:rPr>
                <w:rFonts w:hint="eastAsia" w:ascii="宋体" w:hAnsi="宋体" w:eastAsia="宋体" w:cs="宋体"/>
                <w:color w:val="auto"/>
                <w:sz w:val="24"/>
                <w:szCs w:val="24"/>
                <w:highlight w:val="none"/>
                <w:lang w:val="en-US" w:eastAsia="zh-CN"/>
              </w:rPr>
            </w:pPr>
          </w:p>
        </w:tc>
        <w:tc>
          <w:tcPr>
            <w:tcW w:w="3525" w:type="dxa"/>
            <w:shd w:val="clear" w:color="000000" w:fill="FFFFFF"/>
            <w:vAlign w:val="center"/>
          </w:tcPr>
          <w:p w14:paraId="066B839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w:t>
            </w:r>
          </w:p>
        </w:tc>
        <w:tc>
          <w:tcPr>
            <w:tcW w:w="1763" w:type="dxa"/>
            <w:shd w:val="clear" w:color="000000" w:fill="FFFFFF"/>
            <w:vAlign w:val="center"/>
          </w:tcPr>
          <w:p w14:paraId="075A736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w:t>
            </w:r>
          </w:p>
        </w:tc>
      </w:tr>
      <w:tr w14:paraId="7ACA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0" w:type="dxa"/>
            <w:vMerge w:val="continue"/>
            <w:shd w:val="clear" w:color="000000" w:fill="FFFFFF"/>
            <w:vAlign w:val="center"/>
          </w:tcPr>
          <w:p w14:paraId="030F885E">
            <w:pPr>
              <w:spacing w:line="240" w:lineRule="auto"/>
              <w:jc w:val="center"/>
              <w:rPr>
                <w:rFonts w:hint="eastAsia" w:ascii="宋体" w:hAnsi="宋体" w:eastAsia="宋体" w:cs="宋体"/>
                <w:color w:val="auto"/>
                <w:sz w:val="24"/>
                <w:szCs w:val="24"/>
                <w:highlight w:val="none"/>
              </w:rPr>
            </w:pPr>
          </w:p>
        </w:tc>
        <w:tc>
          <w:tcPr>
            <w:tcW w:w="1388" w:type="dxa"/>
            <w:shd w:val="clear" w:color="000000" w:fill="FFFFFF"/>
            <w:vAlign w:val="center"/>
          </w:tcPr>
          <w:p w14:paraId="449337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服务承诺</w:t>
            </w:r>
          </w:p>
        </w:tc>
        <w:tc>
          <w:tcPr>
            <w:tcW w:w="1012" w:type="dxa"/>
            <w:shd w:val="clear" w:color="000000" w:fill="FFFFFF"/>
            <w:vAlign w:val="center"/>
          </w:tcPr>
          <w:p w14:paraId="4E3415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1200" w:type="dxa"/>
            <w:shd w:val="clear" w:color="000000" w:fill="FFFFFF"/>
            <w:vAlign w:val="center"/>
          </w:tcPr>
          <w:p w14:paraId="3A42DAF1">
            <w:pPr>
              <w:spacing w:line="240" w:lineRule="auto"/>
              <w:jc w:val="center"/>
              <w:rPr>
                <w:rFonts w:hint="eastAsia" w:ascii="宋体" w:hAnsi="宋体" w:eastAsia="宋体" w:cs="宋体"/>
                <w:bCs/>
                <w:color w:val="auto"/>
                <w:sz w:val="24"/>
                <w:szCs w:val="24"/>
                <w:highlight w:val="none"/>
                <w:lang w:val="en-US" w:eastAsia="zh-CN"/>
              </w:rPr>
            </w:pPr>
          </w:p>
        </w:tc>
        <w:tc>
          <w:tcPr>
            <w:tcW w:w="3525" w:type="dxa"/>
            <w:shd w:val="clear" w:color="000000" w:fill="FFFFFF"/>
            <w:vAlign w:val="center"/>
          </w:tcPr>
          <w:p w14:paraId="2F9A7025">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
                <w:color w:val="auto"/>
                <w:sz w:val="24"/>
                <w:szCs w:val="24"/>
                <w:highlight w:val="none"/>
              </w:rPr>
              <w:t>/</w:t>
            </w:r>
          </w:p>
        </w:tc>
        <w:tc>
          <w:tcPr>
            <w:tcW w:w="1763" w:type="dxa"/>
            <w:shd w:val="clear" w:color="000000" w:fill="FFFFFF"/>
            <w:vAlign w:val="center"/>
          </w:tcPr>
          <w:p w14:paraId="42C35BF7">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
                <w:color w:val="auto"/>
                <w:sz w:val="24"/>
                <w:szCs w:val="24"/>
                <w:highlight w:val="none"/>
              </w:rPr>
              <w:t>/</w:t>
            </w:r>
          </w:p>
        </w:tc>
      </w:tr>
      <w:tr w14:paraId="66E4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288" w:type="dxa"/>
            <w:gridSpan w:val="2"/>
            <w:shd w:val="clear" w:color="000000" w:fill="FFFFFF"/>
            <w:vAlign w:val="center"/>
          </w:tcPr>
          <w:p w14:paraId="7B32DD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1012" w:type="dxa"/>
            <w:shd w:val="clear" w:color="000000" w:fill="FFFFFF"/>
            <w:vAlign w:val="center"/>
          </w:tcPr>
          <w:p w14:paraId="19609D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90分</w:t>
            </w:r>
          </w:p>
        </w:tc>
        <w:tc>
          <w:tcPr>
            <w:tcW w:w="1200" w:type="dxa"/>
            <w:shd w:val="clear" w:color="000000" w:fill="FFFFFF"/>
            <w:vAlign w:val="center"/>
          </w:tcPr>
          <w:p w14:paraId="61C0479B">
            <w:pPr>
              <w:spacing w:line="240" w:lineRule="auto"/>
              <w:jc w:val="center"/>
              <w:rPr>
                <w:rFonts w:hint="eastAsia" w:ascii="宋体" w:hAnsi="宋体" w:eastAsia="宋体" w:cs="宋体"/>
                <w:bCs/>
                <w:color w:val="auto"/>
                <w:sz w:val="24"/>
                <w:szCs w:val="24"/>
                <w:highlight w:val="none"/>
                <w:lang w:val="en-US" w:eastAsia="zh-CN"/>
              </w:rPr>
            </w:pPr>
          </w:p>
        </w:tc>
        <w:tc>
          <w:tcPr>
            <w:tcW w:w="3525" w:type="dxa"/>
            <w:shd w:val="clear" w:color="000000" w:fill="FFFFFF"/>
            <w:vAlign w:val="center"/>
          </w:tcPr>
          <w:p w14:paraId="48622BE9">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
                <w:color w:val="auto"/>
                <w:sz w:val="24"/>
                <w:szCs w:val="24"/>
                <w:highlight w:val="none"/>
              </w:rPr>
              <w:t>/</w:t>
            </w:r>
          </w:p>
        </w:tc>
        <w:tc>
          <w:tcPr>
            <w:tcW w:w="1763" w:type="dxa"/>
            <w:shd w:val="clear" w:color="000000" w:fill="FFFFFF"/>
            <w:vAlign w:val="center"/>
          </w:tcPr>
          <w:p w14:paraId="2C40F722">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
                <w:color w:val="auto"/>
                <w:sz w:val="24"/>
                <w:szCs w:val="24"/>
                <w:highlight w:val="none"/>
              </w:rPr>
              <w:t>/</w:t>
            </w:r>
          </w:p>
        </w:tc>
      </w:tr>
    </w:tbl>
    <w:p w14:paraId="5CB25E56">
      <w:pPr>
        <w:rPr>
          <w:rFonts w:ascii="宋体" w:hAnsi="宋体"/>
          <w:b/>
          <w:color w:val="auto"/>
          <w:sz w:val="24"/>
          <w:highlight w:val="none"/>
        </w:rPr>
      </w:pPr>
    </w:p>
    <w:p w14:paraId="3D810DEE">
      <w:pPr>
        <w:spacing w:line="540" w:lineRule="exact"/>
        <w:ind w:firstLine="301" w:firstLineChars="100"/>
        <w:rPr>
          <w:color w:val="auto"/>
          <w:kern w:val="0"/>
          <w:sz w:val="28"/>
          <w:szCs w:val="28"/>
          <w:highlight w:val="none"/>
        </w:rPr>
      </w:pPr>
      <w:r>
        <w:rPr>
          <w:rFonts w:hAnsi="宋体"/>
          <w:b/>
          <w:color w:val="auto"/>
          <w:sz w:val="30"/>
          <w:szCs w:val="30"/>
          <w:highlight w:val="none"/>
        </w:rPr>
        <w:br w:type="page"/>
      </w:r>
    </w:p>
    <w:p w14:paraId="650D7383">
      <w:pPr>
        <w:pStyle w:val="4"/>
        <w:spacing w:line="240" w:lineRule="auto"/>
        <w:jc w:val="center"/>
        <w:rPr>
          <w:color w:val="auto"/>
          <w:highlight w:val="none"/>
        </w:rPr>
      </w:pPr>
      <w:bookmarkStart w:id="56" w:name="_Toc48835715"/>
      <w:r>
        <w:rPr>
          <w:rFonts w:hint="eastAsia" w:hAnsi="宋体"/>
          <w:color w:val="auto"/>
          <w:sz w:val="30"/>
          <w:szCs w:val="30"/>
          <w:highlight w:val="none"/>
        </w:rPr>
        <w:t>第五章  合同主要条款</w:t>
      </w:r>
      <w:bookmarkEnd w:id="56"/>
      <w:bookmarkStart w:id="57" w:name="_Toc466534751"/>
    </w:p>
    <w:p w14:paraId="214E1AFA">
      <w:pPr>
        <w:adjustRightInd w:val="0"/>
        <w:spacing w:line="240" w:lineRule="atLeast"/>
        <w:jc w:val="center"/>
        <w:rPr>
          <w:rFonts w:hAnsi="宋体"/>
          <w:color w:val="auto"/>
          <w:sz w:val="28"/>
          <w:szCs w:val="28"/>
          <w:highlight w:val="none"/>
          <w:shd w:val="pct10" w:color="auto" w:fill="FFFFFF"/>
        </w:rPr>
      </w:pPr>
      <w:r>
        <w:rPr>
          <w:rFonts w:hint="eastAsia" w:hAnsi="宋体"/>
          <w:color w:val="auto"/>
          <w:sz w:val="28"/>
          <w:szCs w:val="28"/>
          <w:highlight w:val="none"/>
          <w:shd w:val="pct10" w:color="auto" w:fill="FFFFFF"/>
        </w:rPr>
        <w:t>（此稿为合同样本，最终定稿待双方协商后商定）</w:t>
      </w:r>
    </w:p>
    <w:p w14:paraId="7C026093">
      <w:pPr>
        <w:adjustRightInd w:val="0"/>
        <w:spacing w:line="240" w:lineRule="atLeast"/>
        <w:jc w:val="center"/>
        <w:rPr>
          <w:rFonts w:hAnsi="宋体"/>
          <w:color w:val="auto"/>
          <w:sz w:val="28"/>
          <w:szCs w:val="28"/>
          <w:highlight w:val="none"/>
          <w:shd w:val="pct10" w:color="auto" w:fill="FFFFFF"/>
        </w:rPr>
      </w:pPr>
    </w:p>
    <w:p w14:paraId="4845E8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项目名称：</w:t>
      </w:r>
      <w:r>
        <w:rPr>
          <w:rFonts w:hint="eastAsia" w:ascii="宋体" w:hAnsi="宋体" w:eastAsia="宋体" w:cs="宋体"/>
          <w:b w:val="0"/>
          <w:bCs/>
          <w:color w:val="auto"/>
          <w:sz w:val="24"/>
          <w:szCs w:val="24"/>
          <w:highlight w:val="none"/>
          <w:u w:val="single"/>
          <w:lang w:val="en-US" w:eastAsia="zh-CN"/>
        </w:rPr>
        <w:t>临海市废气治理设施低效失效排查整治技术服务项目</w:t>
      </w:r>
      <w:r>
        <w:rPr>
          <w:rFonts w:hint="eastAsia" w:ascii="宋体" w:hAnsi="宋体" w:eastAsia="宋体" w:cs="宋体"/>
          <w:color w:val="auto"/>
          <w:kern w:val="0"/>
          <w:sz w:val="24"/>
          <w:szCs w:val="24"/>
          <w:highlight w:val="none"/>
          <w:lang w:val="zh-CN" w:eastAsia="zh-CN"/>
        </w:rPr>
        <w:t xml:space="preserve">                                  </w:t>
      </w:r>
    </w:p>
    <w:p w14:paraId="2D45E2E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项目编号：</w:t>
      </w:r>
      <w:r>
        <w:rPr>
          <w:rFonts w:hint="eastAsia" w:ascii="宋体" w:hAnsi="宋体" w:eastAsia="宋体" w:cs="宋体"/>
          <w:color w:val="auto"/>
          <w:sz w:val="24"/>
          <w:szCs w:val="24"/>
          <w:highlight w:val="none"/>
          <w:u w:val="single"/>
          <w:lang w:eastAsia="zh-CN"/>
        </w:rPr>
        <w:t>TZYA[2025]1号</w:t>
      </w:r>
    </w:p>
    <w:p w14:paraId="25A11FA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甲方：（采购方）</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台州市生态环境局临海分局</w:t>
      </w:r>
      <w:r>
        <w:rPr>
          <w:rFonts w:hint="eastAsia" w:ascii="宋体" w:hAnsi="宋体" w:eastAsia="宋体" w:cs="宋体"/>
          <w:color w:val="auto"/>
          <w:kern w:val="0"/>
          <w:sz w:val="24"/>
          <w:szCs w:val="24"/>
          <w:highlight w:val="none"/>
          <w:lang w:val="zh-CN" w:eastAsia="zh-CN"/>
        </w:rPr>
        <w:t xml:space="preserve">                              </w:t>
      </w:r>
    </w:p>
    <w:p w14:paraId="4CDA3C3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乙方：（供应商）</w:t>
      </w:r>
    </w:p>
    <w:p w14:paraId="474179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见证方：</w:t>
      </w:r>
      <w:r>
        <w:rPr>
          <w:rFonts w:hint="eastAsia" w:ascii="宋体" w:hAnsi="宋体" w:eastAsia="宋体" w:cs="宋体"/>
          <w:color w:val="auto"/>
          <w:sz w:val="24"/>
          <w:szCs w:val="24"/>
          <w:highlight w:val="none"/>
          <w:u w:val="none"/>
          <w:lang w:val="en-US" w:eastAsia="zh-CN"/>
        </w:rPr>
        <w:t>台州永安工程咨询有限公司</w:t>
      </w:r>
    </w:p>
    <w:p w14:paraId="6570FDE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甲、乙双方根据《中华人民共和国政府采购法》、《中华人民共和国民法典》和</w:t>
      </w:r>
      <w:r>
        <w:rPr>
          <w:rFonts w:hint="eastAsia" w:ascii="宋体" w:hAnsi="宋体" w:eastAsia="宋体" w:cs="宋体"/>
          <w:color w:val="auto"/>
          <w:kern w:val="0"/>
          <w:sz w:val="24"/>
          <w:szCs w:val="24"/>
          <w:highlight w:val="none"/>
          <w:u w:val="single"/>
          <w:lang w:val="zh-CN" w:eastAsia="zh-CN"/>
        </w:rPr>
        <w:t>临海市废气治理设施低效失效排查整治技术服务项目</w:t>
      </w:r>
      <w:r>
        <w:rPr>
          <w:rFonts w:hint="eastAsia" w:ascii="宋体" w:hAnsi="宋体" w:eastAsia="宋体" w:cs="宋体"/>
          <w:color w:val="auto"/>
          <w:kern w:val="0"/>
          <w:sz w:val="24"/>
          <w:szCs w:val="24"/>
          <w:highlight w:val="none"/>
          <w:lang w:val="zh-CN" w:eastAsia="zh-CN"/>
        </w:rPr>
        <w:t>竞争性</w:t>
      </w:r>
      <w:r>
        <w:rPr>
          <w:rFonts w:hint="eastAsia" w:ascii="宋体" w:hAnsi="宋体" w:eastAsia="宋体" w:cs="宋体"/>
          <w:color w:val="auto"/>
          <w:kern w:val="0"/>
          <w:sz w:val="24"/>
          <w:szCs w:val="24"/>
          <w:highlight w:val="none"/>
          <w:lang w:val="zh-CN"/>
        </w:rPr>
        <w:t>磋商</w:t>
      </w:r>
      <w:r>
        <w:rPr>
          <w:rFonts w:hint="eastAsia" w:ascii="宋体" w:hAnsi="宋体" w:eastAsia="宋体" w:cs="宋体"/>
          <w:color w:val="auto"/>
          <w:kern w:val="0"/>
          <w:sz w:val="24"/>
          <w:szCs w:val="24"/>
          <w:highlight w:val="none"/>
          <w:lang w:val="zh-CN" w:eastAsia="zh-CN"/>
        </w:rPr>
        <w:t>文件</w:t>
      </w:r>
      <w:r>
        <w:rPr>
          <w:rFonts w:hint="eastAsia" w:ascii="宋体" w:hAnsi="宋体" w:eastAsia="宋体" w:cs="宋体"/>
          <w:color w:val="auto"/>
          <w:kern w:val="0"/>
          <w:sz w:val="24"/>
          <w:szCs w:val="24"/>
          <w:highlight w:val="none"/>
          <w:lang w:val="zh-CN"/>
        </w:rPr>
        <w:t>的</w:t>
      </w:r>
      <w:r>
        <w:rPr>
          <w:rFonts w:hint="eastAsia" w:ascii="宋体" w:hAnsi="宋体" w:eastAsia="宋体" w:cs="宋体"/>
          <w:color w:val="auto"/>
          <w:kern w:val="0"/>
          <w:sz w:val="24"/>
          <w:szCs w:val="24"/>
          <w:highlight w:val="none"/>
          <w:lang w:val="zh-CN" w:eastAsia="zh-CN"/>
        </w:rPr>
        <w:t>相关规定，双方达成一致签署本合同。</w:t>
      </w:r>
    </w:p>
    <w:p w14:paraId="482F34F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一、项目内容</w:t>
      </w:r>
    </w:p>
    <w:p w14:paraId="5C7775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详见本项目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w:t>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部分《</w:t>
      </w:r>
      <w:r>
        <w:rPr>
          <w:rFonts w:hint="eastAsia" w:ascii="宋体" w:hAnsi="宋体" w:eastAsia="宋体" w:cs="宋体"/>
          <w:color w:val="auto"/>
          <w:sz w:val="24"/>
          <w:szCs w:val="24"/>
          <w:highlight w:val="none"/>
          <w:lang w:val="en-US" w:eastAsia="zh-CN"/>
        </w:rPr>
        <w:t>采购内容、需求及要求</w:t>
      </w:r>
      <w:r>
        <w:rPr>
          <w:rFonts w:hint="eastAsia" w:ascii="宋体" w:hAnsi="宋体" w:eastAsia="宋体" w:cs="宋体"/>
          <w:color w:val="auto"/>
          <w:sz w:val="24"/>
          <w:szCs w:val="24"/>
          <w:highlight w:val="none"/>
        </w:rPr>
        <w:t>》。</w:t>
      </w:r>
    </w:p>
    <w:p w14:paraId="5628641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5405CC9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 人民币。</w:t>
      </w:r>
    </w:p>
    <w:tbl>
      <w:tblPr>
        <w:tblStyle w:val="48"/>
        <w:tblW w:w="9427"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5"/>
        <w:gridCol w:w="2081"/>
        <w:gridCol w:w="2704"/>
        <w:gridCol w:w="1500"/>
        <w:gridCol w:w="2317"/>
      </w:tblGrid>
      <w:tr w14:paraId="1D3A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825" w:type="dxa"/>
            <w:noWrap w:val="0"/>
            <w:tcMar>
              <w:top w:w="15" w:type="dxa"/>
              <w:left w:w="15" w:type="dxa"/>
              <w:right w:w="15" w:type="dxa"/>
            </w:tcMar>
            <w:vAlign w:val="center"/>
          </w:tcPr>
          <w:p w14:paraId="601F31F7">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序号</w:t>
            </w:r>
          </w:p>
        </w:tc>
        <w:tc>
          <w:tcPr>
            <w:tcW w:w="2081" w:type="dxa"/>
            <w:noWrap w:val="0"/>
            <w:tcMar>
              <w:top w:w="15" w:type="dxa"/>
              <w:left w:w="15" w:type="dxa"/>
              <w:right w:w="15" w:type="dxa"/>
            </w:tcMar>
            <w:vAlign w:val="center"/>
          </w:tcPr>
          <w:p w14:paraId="42A6D4E6">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内容</w:t>
            </w:r>
          </w:p>
        </w:tc>
        <w:tc>
          <w:tcPr>
            <w:tcW w:w="2704" w:type="dxa"/>
            <w:noWrap w:val="0"/>
            <w:tcMar>
              <w:top w:w="15" w:type="dxa"/>
              <w:left w:w="15" w:type="dxa"/>
              <w:right w:w="15" w:type="dxa"/>
            </w:tcMar>
            <w:vAlign w:val="center"/>
          </w:tcPr>
          <w:p w14:paraId="7D91588C">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val="en-US" w:eastAsia="zh-CN" w:bidi="ar"/>
              </w:rPr>
              <w:t>最高限单价（元/家）</w:t>
            </w:r>
          </w:p>
        </w:tc>
        <w:tc>
          <w:tcPr>
            <w:tcW w:w="1500" w:type="dxa"/>
            <w:noWrap w:val="0"/>
            <w:vAlign w:val="center"/>
          </w:tcPr>
          <w:p w14:paraId="40F7948A">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lang w:bidi="ar"/>
              </w:rPr>
            </w:pPr>
            <w:r>
              <w:rPr>
                <w:rFonts w:hint="eastAsia" w:ascii="宋体" w:hAnsi="宋体" w:eastAsia="宋体" w:cs="宋体"/>
                <w:b/>
                <w:bCs/>
                <w:color w:val="auto"/>
                <w:kern w:val="0"/>
                <w:sz w:val="24"/>
                <w:szCs w:val="24"/>
                <w:highlight w:val="none"/>
                <w:lang w:bidi="ar"/>
              </w:rPr>
              <w:t>数量</w:t>
            </w:r>
            <w:r>
              <w:rPr>
                <w:rFonts w:hint="eastAsia" w:ascii="宋体" w:hAnsi="宋体" w:eastAsia="宋体" w:cs="宋体"/>
                <w:b/>
                <w:bCs/>
                <w:color w:val="auto"/>
                <w:kern w:val="0"/>
                <w:sz w:val="24"/>
                <w:szCs w:val="24"/>
                <w:highlight w:val="none"/>
                <w:shd w:val="clear" w:color="auto" w:fill="FFFFFF"/>
              </w:rPr>
              <w:t>（暂定）</w:t>
            </w:r>
          </w:p>
        </w:tc>
        <w:tc>
          <w:tcPr>
            <w:tcW w:w="2317" w:type="dxa"/>
            <w:noWrap w:val="0"/>
            <w:vAlign w:val="center"/>
          </w:tcPr>
          <w:p w14:paraId="7056F7D7">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b/>
                <w:bCs/>
                <w:color w:val="auto"/>
                <w:kern w:val="0"/>
                <w:sz w:val="24"/>
                <w:szCs w:val="24"/>
                <w:highlight w:val="none"/>
                <w:shd w:val="clear" w:color="auto" w:fill="FFFFFF"/>
                <w:lang w:val="en-US" w:eastAsia="zh-CN"/>
              </w:rPr>
              <w:t>成交单价</w:t>
            </w:r>
            <w:r>
              <w:rPr>
                <w:rFonts w:hint="eastAsia" w:ascii="宋体" w:hAnsi="宋体" w:eastAsia="宋体" w:cs="宋体"/>
                <w:b/>
                <w:bCs/>
                <w:color w:val="auto"/>
                <w:kern w:val="0"/>
                <w:sz w:val="24"/>
                <w:szCs w:val="24"/>
                <w:highlight w:val="none"/>
                <w:lang w:val="en-US" w:eastAsia="zh-CN" w:bidi="ar"/>
              </w:rPr>
              <w:t>（元/家）</w:t>
            </w:r>
          </w:p>
        </w:tc>
      </w:tr>
      <w:tr w14:paraId="0241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825" w:type="dxa"/>
            <w:noWrap w:val="0"/>
            <w:tcMar>
              <w:top w:w="15" w:type="dxa"/>
              <w:left w:w="15" w:type="dxa"/>
              <w:right w:w="15" w:type="dxa"/>
            </w:tcMar>
            <w:vAlign w:val="center"/>
          </w:tcPr>
          <w:p w14:paraId="6C836647">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81" w:type="dxa"/>
            <w:noWrap w:val="0"/>
            <w:tcMar>
              <w:top w:w="15" w:type="dxa"/>
              <w:left w:w="15" w:type="dxa"/>
              <w:right w:w="15" w:type="dxa"/>
            </w:tcMar>
            <w:vAlign w:val="center"/>
          </w:tcPr>
          <w:p w14:paraId="28B54D6A">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shd w:val="clear" w:color="auto" w:fill="FFFFFF"/>
                <w:lang w:val="en-US" w:eastAsia="zh-CN"/>
              </w:rPr>
              <w:t>排查企业</w:t>
            </w:r>
          </w:p>
        </w:tc>
        <w:tc>
          <w:tcPr>
            <w:tcW w:w="2704" w:type="dxa"/>
            <w:noWrap w:val="0"/>
            <w:tcMar>
              <w:top w:w="15" w:type="dxa"/>
              <w:left w:w="15" w:type="dxa"/>
              <w:right w:w="15" w:type="dxa"/>
            </w:tcMar>
            <w:vAlign w:val="center"/>
          </w:tcPr>
          <w:p w14:paraId="5B8C803C">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3000</w:t>
            </w:r>
          </w:p>
        </w:tc>
        <w:tc>
          <w:tcPr>
            <w:tcW w:w="1500" w:type="dxa"/>
            <w:noWrap w:val="0"/>
            <w:vAlign w:val="center"/>
          </w:tcPr>
          <w:p w14:paraId="0BBD4EBD">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100家</w:t>
            </w:r>
          </w:p>
        </w:tc>
        <w:tc>
          <w:tcPr>
            <w:tcW w:w="2317" w:type="dxa"/>
            <w:noWrap w:val="0"/>
            <w:vAlign w:val="center"/>
          </w:tcPr>
          <w:p w14:paraId="2CA6808A">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480" w:firstLineChars="20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B9E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9427" w:type="dxa"/>
            <w:gridSpan w:val="5"/>
            <w:noWrap w:val="0"/>
            <w:tcMar>
              <w:top w:w="15" w:type="dxa"/>
              <w:left w:w="15" w:type="dxa"/>
              <w:right w:w="15" w:type="dxa"/>
            </w:tcMar>
            <w:vAlign w:val="center"/>
          </w:tcPr>
          <w:p w14:paraId="1F1AB5FB">
            <w:pPr>
              <w:keepNext w:val="0"/>
              <w:keepLines w:val="0"/>
              <w:pageBreakBefore w:val="0"/>
              <w:widowControl w:val="0"/>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合计</w:t>
            </w: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ascii="宋体" w:hAnsi="宋体" w:eastAsia="宋体" w:cs="宋体"/>
                <w:b/>
                <w:bCs/>
                <w:i w:val="0"/>
                <w:iCs w:val="0"/>
                <w:color w:val="auto"/>
                <w:kern w:val="0"/>
                <w:sz w:val="24"/>
                <w:szCs w:val="24"/>
                <w:highlight w:val="none"/>
                <w:u w:val="none"/>
                <w:lang w:val="en-US" w:eastAsia="zh-CN" w:bidi="ar"/>
              </w:rPr>
              <w:t>大写：</w:t>
            </w:r>
          </w:p>
          <w:p w14:paraId="78CCAE6E">
            <w:pPr>
              <w:pStyle w:val="2"/>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firstLine="723" w:firstLineChars="300"/>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小写：</w:t>
            </w:r>
          </w:p>
        </w:tc>
      </w:tr>
    </w:tbl>
    <w:p w14:paraId="6D2D0D81">
      <w:pPr>
        <w:pStyle w:val="28"/>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排查企业家数以实际为准，若超过100家，服务总金额不超过</w:t>
      </w:r>
      <w:r>
        <w:rPr>
          <w:rFonts w:hint="eastAsia" w:ascii="宋体" w:hAnsi="宋体" w:eastAsia="宋体" w:cs="宋体"/>
          <w:b/>
          <w:bCs/>
          <w:color w:val="auto"/>
          <w:sz w:val="24"/>
          <w:szCs w:val="24"/>
          <w:highlight w:val="none"/>
          <w:lang w:val="en-US" w:eastAsia="zh-CN"/>
        </w:rPr>
        <w:t>成交金额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若少于100家，以实际家数计。</w:t>
      </w:r>
    </w:p>
    <w:p w14:paraId="7A7B567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三、技术资料</w:t>
      </w:r>
    </w:p>
    <w:p w14:paraId="7FBA376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乙方应按磋商文件规定的时间向甲方提供有关技术资料。</w:t>
      </w:r>
    </w:p>
    <w:p w14:paraId="6BE1DD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81B20D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14:paraId="1A9B533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1．乙方应保证提供服务过程中不会侵犯任何第三方的知识产权。</w:t>
      </w:r>
    </w:p>
    <w:p w14:paraId="1C34B07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2．本项目所有成果的版权属甲方所有，乙方不得以任何形式向第三方提供，否则，按国家法律和有关规定追究乙方的一切责任。</w:t>
      </w:r>
    </w:p>
    <w:p w14:paraId="7F83DD5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3．本项目作业过程中提供的或涉及的所有数据属甲方拥有，乙方无权在技术要求规定之外自行处置数据，不得自行删除、复制、调整完善、转移数据，不得以任何形式向第三方提供。</w:t>
      </w:r>
    </w:p>
    <w:p w14:paraId="6A72E6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4．若侵犯,由乙方赔偿甲方因此遭受的损失（包括但不限于应对及追偿过程中所支付的律师费、差旅费、诉讼费、保全费、鉴定费、评估费等）。</w:t>
      </w:r>
    </w:p>
    <w:p w14:paraId="25ADAA3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、转包或分包</w:t>
      </w:r>
    </w:p>
    <w:p w14:paraId="4E28206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3DF664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除非得到甲方的书面同意，乙方不得将本合同范围的服务全部或部分分包给他人供应；</w:t>
      </w:r>
    </w:p>
    <w:p w14:paraId="5B2363F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3.如有转让和未经甲方同意的分包行为，甲方有权解除合同，并追究乙方的违约责任。</w:t>
      </w:r>
    </w:p>
    <w:p w14:paraId="137102A5">
      <w:pPr>
        <w:pStyle w:val="28"/>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服务期</w:t>
      </w:r>
    </w:p>
    <w:p w14:paraId="09BEE36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合同签订之日起至2025年11月30日，或期间内排查整治评估报告通过审核，满足以上两个条件之一时合同自动终止。</w:t>
      </w:r>
    </w:p>
    <w:p w14:paraId="2B57DD1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、合同履行时间、履行方式及履行地点</w:t>
      </w:r>
    </w:p>
    <w:p w14:paraId="1A9CCF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 </w:t>
      </w:r>
      <w:r>
        <w:rPr>
          <w:rFonts w:hint="eastAsia" w:ascii="宋体" w:hAnsi="宋体" w:eastAsia="宋体" w:cs="宋体"/>
          <w:color w:val="auto"/>
          <w:sz w:val="24"/>
          <w:szCs w:val="24"/>
          <w:highlight w:val="none"/>
        </w:rPr>
        <w:t>履行时间</w:t>
      </w:r>
      <w:r>
        <w:rPr>
          <w:rFonts w:hint="eastAsia" w:ascii="宋体" w:hAnsi="宋体" w:eastAsia="宋体" w:cs="宋体"/>
          <w:bCs/>
          <w:color w:val="auto"/>
          <w:sz w:val="24"/>
          <w:szCs w:val="24"/>
          <w:highlight w:val="none"/>
        </w:rPr>
        <w:t>：</w:t>
      </w:r>
    </w:p>
    <w:p w14:paraId="4A5F467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 </w:t>
      </w:r>
      <w:r>
        <w:rPr>
          <w:rFonts w:hint="eastAsia" w:ascii="宋体" w:hAnsi="宋体" w:eastAsia="宋体" w:cs="宋体"/>
          <w:color w:val="auto"/>
          <w:sz w:val="24"/>
          <w:szCs w:val="24"/>
          <w:highlight w:val="none"/>
        </w:rPr>
        <w:t>履行方式</w:t>
      </w:r>
      <w:r>
        <w:rPr>
          <w:rFonts w:hint="eastAsia" w:ascii="宋体" w:hAnsi="宋体" w:eastAsia="宋体" w:cs="宋体"/>
          <w:bCs/>
          <w:color w:val="auto"/>
          <w:sz w:val="24"/>
          <w:szCs w:val="24"/>
          <w:highlight w:val="none"/>
        </w:rPr>
        <w:t>：</w:t>
      </w:r>
    </w:p>
    <w:p w14:paraId="44F48C7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3. </w:t>
      </w:r>
      <w:r>
        <w:rPr>
          <w:rFonts w:hint="eastAsia" w:ascii="宋体" w:hAnsi="宋体" w:eastAsia="宋体" w:cs="宋体"/>
          <w:color w:val="auto"/>
          <w:sz w:val="24"/>
          <w:szCs w:val="24"/>
          <w:highlight w:val="none"/>
        </w:rPr>
        <w:t>履行地点</w:t>
      </w:r>
      <w:r>
        <w:rPr>
          <w:rFonts w:hint="eastAsia" w:ascii="宋体" w:hAnsi="宋体" w:eastAsia="宋体" w:cs="宋体"/>
          <w:bCs/>
          <w:color w:val="auto"/>
          <w:sz w:val="24"/>
          <w:szCs w:val="24"/>
          <w:highlight w:val="none"/>
        </w:rPr>
        <w:t>：</w:t>
      </w:r>
    </w:p>
    <w:p w14:paraId="77FF134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、款项支付</w:t>
      </w:r>
    </w:p>
    <w:p w14:paraId="1BDDFF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付款方式：</w:t>
      </w:r>
      <w:r>
        <w:rPr>
          <w:rFonts w:hint="eastAsia" w:ascii="宋体" w:hAnsi="宋体" w:eastAsia="宋体" w:cs="宋体"/>
          <w:b w:val="0"/>
          <w:bCs w:val="0"/>
          <w:color w:val="auto"/>
          <w:kern w:val="2"/>
          <w:sz w:val="24"/>
          <w:szCs w:val="24"/>
          <w:highlight w:val="none"/>
          <w:lang w:val="en-US" w:eastAsia="zh-CN" w:bidi="ar-SA"/>
        </w:rPr>
        <w:t>合同生效以及具备实施条件后7个工作日内</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合同金</w:t>
      </w:r>
      <w:r>
        <w:rPr>
          <w:rFonts w:hint="eastAsia" w:ascii="宋体" w:hAnsi="宋体" w:eastAsia="宋体" w:cs="宋体"/>
          <w:color w:val="auto"/>
          <w:sz w:val="24"/>
          <w:szCs w:val="24"/>
          <w:highlight w:val="none"/>
        </w:rPr>
        <w:t>额的40%</w:t>
      </w:r>
      <w:r>
        <w:rPr>
          <w:rFonts w:hint="eastAsia" w:ascii="宋体" w:hAnsi="宋体" w:eastAsia="宋体" w:cs="宋体"/>
          <w:color w:val="auto"/>
          <w:sz w:val="24"/>
          <w:szCs w:val="24"/>
          <w:highlight w:val="none"/>
          <w:lang w:val="en-US" w:eastAsia="zh-CN"/>
        </w:rPr>
        <w:t>作为预付款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服务期满</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val="en-US" w:eastAsia="zh-CN"/>
        </w:rPr>
        <w:t>按实结算，支付剩余款项</w:t>
      </w:r>
      <w:r>
        <w:rPr>
          <w:rFonts w:hint="eastAsia" w:ascii="宋体" w:hAnsi="宋体" w:eastAsia="宋体" w:cs="宋体"/>
          <w:color w:val="auto"/>
          <w:sz w:val="24"/>
          <w:szCs w:val="24"/>
          <w:highlight w:val="none"/>
        </w:rPr>
        <w:t>。</w:t>
      </w:r>
    </w:p>
    <w:p w14:paraId="38773396">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合同款支付到如下账户</w:t>
      </w:r>
      <w:r>
        <w:rPr>
          <w:rFonts w:hint="eastAsia" w:ascii="宋体" w:hAnsi="宋体" w:eastAsia="宋体" w:cs="宋体"/>
          <w:bCs/>
          <w:color w:val="auto"/>
          <w:sz w:val="24"/>
          <w:szCs w:val="24"/>
          <w:highlight w:val="none"/>
        </w:rPr>
        <w:t>（开户名：</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，开户行：</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177A872">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（收款账户须与政采云平台上登记银行账户一致，否则将造成无法支付合同款）</w:t>
      </w:r>
    </w:p>
    <w:p w14:paraId="6F503F3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、税费</w:t>
      </w:r>
    </w:p>
    <w:p w14:paraId="5BE1700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3D7ED48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十、质量保证及后续服务</w:t>
      </w:r>
    </w:p>
    <w:p w14:paraId="74FED659">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乙方应按</w:t>
      </w:r>
      <w:r>
        <w:rPr>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文件规定向甲方提供服务。</w:t>
      </w:r>
    </w:p>
    <w:p w14:paraId="332CE4AE">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乙方提供的服务成果在服务质量保证期内发生故障，乙方应负责免费提供后续服务。对达不到要求者，根据实际情况，经双方协商，可按以下办法处理：</w:t>
      </w:r>
    </w:p>
    <w:p w14:paraId="441E02B9">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重做：由乙方承担所发生的全部费用。</w:t>
      </w:r>
    </w:p>
    <w:p w14:paraId="71F70687">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贬值处理：由甲乙双方合议定价。</w:t>
      </w:r>
    </w:p>
    <w:p w14:paraId="39B02E15">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解除合同。</w:t>
      </w:r>
    </w:p>
    <w:p w14:paraId="193CA0FE">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如在使用过程中发生问题，乙方在接到甲方通知后在</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小时内到达甲方现场。</w:t>
      </w:r>
    </w:p>
    <w:p w14:paraId="5F398A63">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firstLine="464" w:firstLineChars="200"/>
        <w:jc w:val="both"/>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在</w:t>
      </w:r>
      <w:r>
        <w:rPr>
          <w:rFonts w:hint="eastAsia" w:ascii="宋体" w:hAnsi="宋体" w:eastAsia="宋体" w:cs="宋体"/>
          <w:b w:val="0"/>
          <w:bCs/>
          <w:color w:val="auto"/>
          <w:sz w:val="24"/>
          <w:szCs w:val="24"/>
          <w:highlight w:val="none"/>
          <w:lang w:val="en-US" w:eastAsia="zh-CN"/>
        </w:rPr>
        <w:t>服务期</w:t>
      </w:r>
      <w:r>
        <w:rPr>
          <w:rFonts w:hint="eastAsia" w:ascii="宋体" w:hAnsi="宋体" w:eastAsia="宋体" w:cs="宋体"/>
          <w:b w:val="0"/>
          <w:bCs/>
          <w:color w:val="auto"/>
          <w:sz w:val="24"/>
          <w:szCs w:val="24"/>
          <w:highlight w:val="none"/>
        </w:rPr>
        <w:t>内，乙方应对出现的质量及安全问题负责处理解决并承担一切费用。</w:t>
      </w:r>
    </w:p>
    <w:p w14:paraId="4214079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、违约责任</w:t>
      </w:r>
    </w:p>
    <w:p w14:paraId="3408226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1．甲方无正当理由拒收接受服务的，甲方向乙方偿付合同款项百分之五作为违约金。</w:t>
      </w:r>
    </w:p>
    <w:p w14:paraId="3FE2C43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2．甲方无故逾期验收和办理款项支付手续的,甲方应按逾期付款总额每日万分之五向乙方支付违约金。甲方因故需延迟验收或办理款项支付手续的，应征得乙方同意。</w:t>
      </w:r>
    </w:p>
    <w:p w14:paraId="08765C1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62B4FF8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十二、不可抗力事件处理</w:t>
      </w:r>
    </w:p>
    <w:p w14:paraId="4FDA98D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w:t>
      </w:r>
    </w:p>
    <w:p w14:paraId="6CDCD74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期可延长，其延长期与不可抗力影响期相同。</w:t>
      </w:r>
    </w:p>
    <w:p w14:paraId="675D08A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061E11E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w:t>
      </w:r>
    </w:p>
    <w:p w14:paraId="327B6F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w:t>
      </w:r>
    </w:p>
    <w:p w14:paraId="167CFBF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、诉讼</w:t>
      </w:r>
    </w:p>
    <w:p w14:paraId="7C9EBD4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双方在执行合同中所发生的一切争议，应通过协商解决。如协商不成，可向甲</w:t>
      </w:r>
    </w:p>
    <w:p w14:paraId="25937EE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方所在地法院起诉。</w:t>
      </w:r>
    </w:p>
    <w:p w14:paraId="6B718A8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、合同生效及其它</w:t>
      </w:r>
    </w:p>
    <w:p w14:paraId="40186C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1．合同经双方法定代表人或授权代表签字并加盖单位公章后生效。招标文件、投标文件与本合同具有同等法律效力。</w:t>
      </w:r>
    </w:p>
    <w:p w14:paraId="0AE03A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16220B1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3．本合同未尽事宜，遵照《中华人民共和国民法典》有关条文执行。</w:t>
      </w:r>
    </w:p>
    <w:p w14:paraId="3CDE7EB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auto"/>
          <w:kern w:val="0"/>
          <w:sz w:val="24"/>
          <w:highlight w:val="none"/>
          <w:lang w:val="zh-CN" w:eastAsia="zh-CN"/>
        </w:rPr>
      </w:pPr>
      <w:r>
        <w:rPr>
          <w:rFonts w:hint="eastAsia" w:ascii="宋体" w:hAnsi="宋体" w:eastAsia="宋体" w:cs="宋体"/>
          <w:color w:val="auto"/>
          <w:kern w:val="0"/>
          <w:sz w:val="24"/>
          <w:szCs w:val="24"/>
          <w:highlight w:val="none"/>
          <w:lang w:val="zh-CN" w:eastAsia="zh-CN"/>
        </w:rPr>
        <w:t>4. 本合同正本一式</w:t>
      </w:r>
      <w:r>
        <w:rPr>
          <w:rFonts w:hint="eastAsia" w:ascii="宋体" w:hAnsi="宋体" w:eastAsia="宋体" w:cs="宋体"/>
          <w:color w:val="auto"/>
          <w:kern w:val="0"/>
          <w:sz w:val="24"/>
          <w:szCs w:val="24"/>
          <w:highlight w:val="none"/>
          <w:lang w:val="en-US" w:eastAsia="zh-CN"/>
        </w:rPr>
        <w:t>陆</w:t>
      </w:r>
      <w:r>
        <w:rPr>
          <w:rFonts w:hint="eastAsia" w:ascii="宋体" w:hAnsi="宋体" w:eastAsia="宋体" w:cs="宋体"/>
          <w:color w:val="auto"/>
          <w:kern w:val="0"/>
          <w:sz w:val="24"/>
          <w:szCs w:val="24"/>
          <w:highlight w:val="none"/>
          <w:lang w:val="zh-CN" w:eastAsia="zh-CN"/>
        </w:rPr>
        <w:t>份,甲乙双方签订后采购代理机构见证盖章</w:t>
      </w:r>
      <w:r>
        <w:rPr>
          <w:rFonts w:hint="eastAsia" w:ascii="宋体" w:hAnsi="宋体" w:eastAsia="宋体" w:cs="宋体"/>
          <w:color w:val="auto"/>
          <w:kern w:val="0"/>
          <w:sz w:val="24"/>
          <w:szCs w:val="24"/>
          <w:highlight w:val="none"/>
          <w:lang w:val="zh-CN"/>
        </w:rPr>
        <w:t>，</w:t>
      </w:r>
      <w:r>
        <w:rPr>
          <w:rFonts w:hint="eastAsia" w:ascii="宋体" w:hAnsi="宋体" w:eastAsia="宋体" w:cs="宋体"/>
          <w:b/>
          <w:bCs/>
          <w:color w:val="auto"/>
          <w:kern w:val="0"/>
          <w:sz w:val="24"/>
          <w:szCs w:val="24"/>
          <w:highlight w:val="none"/>
          <w:lang w:val="zh-CN" w:eastAsia="zh-CN"/>
        </w:rPr>
        <w:t>采购代理机构需留备二份。</w:t>
      </w:r>
    </w:p>
    <w:p w14:paraId="0DBF4E9B">
      <w:pPr>
        <w:snapToGrid w:val="0"/>
        <w:spacing w:line="480" w:lineRule="exact"/>
        <w:ind w:firstLine="240" w:firstLineChars="100"/>
        <w:rPr>
          <w:rFonts w:hint="eastAsia" w:ascii="宋体" w:hAnsi="宋体"/>
          <w:color w:val="auto"/>
          <w:kern w:val="0"/>
          <w:sz w:val="24"/>
          <w:highlight w:val="none"/>
          <w:lang w:val="zh-CN" w:eastAsia="zh-CN"/>
        </w:rPr>
      </w:pPr>
    </w:p>
    <w:p w14:paraId="3904840B">
      <w:pPr>
        <w:snapToGrid w:val="0"/>
        <w:spacing w:line="480" w:lineRule="exact"/>
        <w:ind w:firstLine="240" w:firstLineChars="100"/>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 xml:space="preserve">甲方：                                   乙方： </w:t>
      </w:r>
    </w:p>
    <w:p w14:paraId="5F3A0FF7">
      <w:pPr>
        <w:snapToGrid w:val="0"/>
        <w:spacing w:line="480" w:lineRule="exact"/>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 xml:space="preserve">  地址：                                   地址： </w:t>
      </w:r>
    </w:p>
    <w:p w14:paraId="7C673C88">
      <w:pPr>
        <w:snapToGrid w:val="0"/>
        <w:spacing w:line="480" w:lineRule="exact"/>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 xml:space="preserve">  法定（授权）代表人：                     法定（授权）代表人：</w:t>
      </w:r>
    </w:p>
    <w:p w14:paraId="2BED065A">
      <w:pPr>
        <w:snapToGrid w:val="0"/>
        <w:spacing w:line="480" w:lineRule="exact"/>
        <w:ind w:firstLine="360" w:firstLineChars="150"/>
        <w:rPr>
          <w:rFonts w:ascii="宋体" w:hAnsi="宋体"/>
          <w:color w:val="auto"/>
          <w:kern w:val="0"/>
          <w:sz w:val="24"/>
          <w:highlight w:val="none"/>
          <w:lang w:val="zh-CN" w:eastAsia="zh-CN"/>
        </w:rPr>
      </w:pPr>
      <w:r>
        <w:rPr>
          <w:rFonts w:hint="eastAsia" w:ascii="宋体" w:hAnsi="宋体"/>
          <w:color w:val="auto"/>
          <w:kern w:val="0"/>
          <w:sz w:val="24"/>
          <w:highlight w:val="none"/>
          <w:lang w:val="zh-CN" w:eastAsia="zh-CN"/>
        </w:rPr>
        <w:t>签订日期：     年　  月　 日            签订日期：     年　  月　 日</w:t>
      </w:r>
    </w:p>
    <w:p w14:paraId="599496A2">
      <w:pPr>
        <w:snapToGrid w:val="0"/>
        <w:spacing w:line="480" w:lineRule="exact"/>
        <w:ind w:firstLine="360" w:firstLineChars="150"/>
        <w:rPr>
          <w:rFonts w:ascii="宋体" w:hAnsi="宋体"/>
          <w:color w:val="auto"/>
          <w:kern w:val="0"/>
          <w:sz w:val="24"/>
          <w:highlight w:val="none"/>
          <w:lang w:val="zh-CN"/>
        </w:rPr>
      </w:pPr>
    </w:p>
    <w:p w14:paraId="1795BB7D">
      <w:pPr>
        <w:pStyle w:val="28"/>
        <w:snapToGrid w:val="0"/>
        <w:spacing w:before="120" w:after="120" w:line="420" w:lineRule="exact"/>
        <w:ind w:firstLine="201"/>
        <w:rPr>
          <w:rFonts w:hAnsi="宋体"/>
          <w:b/>
          <w:bCs/>
          <w:color w:val="auto"/>
          <w:highlight w:val="none"/>
        </w:rPr>
      </w:pPr>
      <w:r>
        <w:rPr>
          <w:rFonts w:hint="eastAsia" w:ascii="Times New Roman" w:hAnsi="宋体"/>
          <w:b/>
          <w:bCs/>
          <w:color w:val="auto"/>
          <w:highlight w:val="none"/>
        </w:rPr>
        <w:t xml:space="preserve">见证方：（盖章）  </w:t>
      </w:r>
      <w:r>
        <w:rPr>
          <w:rFonts w:hint="eastAsia" w:ascii="Times New Roman" w:hAnsi="宋体"/>
          <w:b/>
          <w:bCs/>
          <w:color w:val="auto"/>
          <w:sz w:val="21"/>
          <w:highlight w:val="none"/>
        </w:rPr>
        <w:t xml:space="preserve"> </w:t>
      </w:r>
      <w:r>
        <w:rPr>
          <w:rFonts w:hint="eastAsia" w:ascii="Times New Roman" w:hAnsi="宋体"/>
          <w:color w:val="auto"/>
          <w:sz w:val="21"/>
          <w:highlight w:val="none"/>
        </w:rPr>
        <w:t xml:space="preserve">     </w:t>
      </w:r>
    </w:p>
    <w:p w14:paraId="53166877">
      <w:pPr>
        <w:adjustRightInd w:val="0"/>
        <w:spacing w:line="240" w:lineRule="atLeast"/>
        <w:rPr>
          <w:rFonts w:hAnsi="宋体"/>
          <w:b/>
          <w:bCs/>
          <w:color w:val="auto"/>
          <w:sz w:val="28"/>
          <w:szCs w:val="28"/>
          <w:highlight w:val="none"/>
          <w:u w:val="single"/>
          <w:shd w:val="pct10" w:color="auto" w:fill="FFFFFF"/>
        </w:rPr>
      </w:pPr>
    </w:p>
    <w:p w14:paraId="4F97E573">
      <w:pPr>
        <w:adjustRightInd w:val="0"/>
        <w:spacing w:line="240" w:lineRule="atLeast"/>
        <w:ind w:left="3092" w:hanging="3092" w:hangingChars="1100"/>
        <w:rPr>
          <w:rFonts w:hAnsi="宋体"/>
          <w:b/>
          <w:bCs/>
          <w:color w:val="auto"/>
          <w:sz w:val="28"/>
          <w:szCs w:val="28"/>
          <w:highlight w:val="none"/>
          <w:u w:val="single"/>
          <w:shd w:val="pct10" w:color="auto" w:fill="FFFFFF"/>
        </w:rPr>
      </w:pPr>
      <w:r>
        <w:rPr>
          <w:rFonts w:hint="eastAsia" w:hAnsi="宋体"/>
          <w:b/>
          <w:bCs/>
          <w:color w:val="auto"/>
          <w:sz w:val="28"/>
          <w:szCs w:val="28"/>
          <w:highlight w:val="none"/>
          <w:u w:val="single"/>
          <w:shd w:val="pct10" w:color="auto" w:fill="FFFFFF"/>
        </w:rPr>
        <w:t>附件：附上报价明细表</w:t>
      </w:r>
      <w:r>
        <w:rPr>
          <w:rFonts w:hAnsi="宋体"/>
          <w:b/>
          <w:bCs/>
          <w:color w:val="auto"/>
          <w:sz w:val="28"/>
          <w:szCs w:val="28"/>
          <w:highlight w:val="none"/>
          <w:u w:val="single"/>
          <w:shd w:val="pct10" w:color="auto" w:fill="FFFFFF"/>
        </w:rPr>
        <w:t xml:space="preserve">   </w:t>
      </w:r>
      <w:r>
        <w:rPr>
          <w:rFonts w:hint="eastAsia" w:hAnsi="宋体"/>
          <w:color w:val="auto"/>
          <w:highlight w:val="none"/>
        </w:rPr>
        <w:t xml:space="preserve">     </w:t>
      </w:r>
      <w:r>
        <w:rPr>
          <w:rFonts w:asciiTheme="minorEastAsia" w:hAnsiTheme="minorEastAsia" w:eastAsiaTheme="minorEastAsia"/>
          <w:b/>
          <w:bCs/>
          <w:color w:val="auto"/>
          <w:highlight w:val="none"/>
        </w:rPr>
        <w:br w:type="page"/>
      </w:r>
      <w:r>
        <w:rPr>
          <w:rFonts w:hint="eastAsia" w:hAnsi="宋体"/>
          <w:b/>
          <w:color w:val="auto"/>
          <w:sz w:val="30"/>
          <w:szCs w:val="30"/>
          <w:highlight w:val="none"/>
        </w:rPr>
        <w:t>第六章　响应文件格式</w:t>
      </w:r>
    </w:p>
    <w:p w14:paraId="284F7D1A">
      <w:pPr>
        <w:pStyle w:val="28"/>
        <w:snapToGrid w:val="0"/>
        <w:spacing w:beforeLines="0" w:afterLines="0" w:line="420" w:lineRule="exact"/>
        <w:jc w:val="center"/>
        <w:rPr>
          <w:rFonts w:hAnsi="宋体"/>
          <w:color w:val="auto"/>
          <w:sz w:val="30"/>
          <w:szCs w:val="30"/>
          <w:highlight w:val="none"/>
        </w:rPr>
      </w:pPr>
    </w:p>
    <w:p w14:paraId="01C273CB">
      <w:pPr>
        <w:snapToGrid w:val="0"/>
        <w:spacing w:before="120" w:beforeLines="50" w:after="50"/>
        <w:jc w:val="center"/>
        <w:outlineLvl w:val="1"/>
        <w:rPr>
          <w:rFonts w:ascii="宋体" w:hAnsi="宋体"/>
          <w:b/>
          <w:bCs/>
          <w:color w:val="auto"/>
          <w:sz w:val="28"/>
          <w:szCs w:val="28"/>
          <w:highlight w:val="none"/>
        </w:rPr>
      </w:pPr>
      <w:bookmarkStart w:id="58" w:name="_Toc265669850"/>
      <w:r>
        <w:rPr>
          <w:rFonts w:hint="eastAsia" w:ascii="宋体" w:hAnsi="宋体"/>
          <w:b/>
          <w:bCs/>
          <w:color w:val="auto"/>
          <w:sz w:val="28"/>
          <w:szCs w:val="28"/>
          <w:highlight w:val="none"/>
        </w:rPr>
        <w:t>一、资格响应文件格式</w:t>
      </w:r>
    </w:p>
    <w:p w14:paraId="2F7FB019">
      <w:pPr>
        <w:snapToGrid w:val="0"/>
        <w:spacing w:before="120" w:beforeLines="50" w:after="50"/>
        <w:jc w:val="center"/>
        <w:rPr>
          <w:rFonts w:ascii="宋体" w:hAnsi="宋体"/>
          <w:color w:val="auto"/>
          <w:sz w:val="28"/>
          <w:szCs w:val="28"/>
          <w:highlight w:val="none"/>
        </w:rPr>
      </w:pPr>
    </w:p>
    <w:p w14:paraId="1514DBEE">
      <w:pPr>
        <w:snapToGrid w:val="0"/>
        <w:spacing w:before="120" w:beforeLines="50" w:after="50"/>
        <w:jc w:val="center"/>
        <w:rPr>
          <w:rFonts w:ascii="宋体" w:hAnsi="宋体"/>
          <w:color w:val="auto"/>
          <w:sz w:val="28"/>
          <w:szCs w:val="28"/>
          <w:highlight w:val="none"/>
        </w:rPr>
      </w:pPr>
    </w:p>
    <w:p w14:paraId="3C198DC4">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 xml:space="preserve">.资格响应文件封面格式： </w:t>
      </w:r>
    </w:p>
    <w:p w14:paraId="0BE4DE59">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30D59147">
      <w:pPr>
        <w:snapToGrid w:val="0"/>
        <w:spacing w:before="120" w:beforeLines="50" w:after="50"/>
        <w:rPr>
          <w:rFonts w:ascii="宋体" w:hAnsi="宋体"/>
          <w:color w:val="auto"/>
          <w:sz w:val="28"/>
          <w:szCs w:val="28"/>
          <w:highlight w:val="none"/>
        </w:rPr>
      </w:pPr>
    </w:p>
    <w:p w14:paraId="13660DF6">
      <w:pPr>
        <w:snapToGrid w:val="0"/>
        <w:spacing w:before="120" w:beforeLines="50" w:after="50"/>
        <w:jc w:val="center"/>
        <w:rPr>
          <w:rFonts w:ascii="宋体" w:hAnsi="宋体"/>
          <w:bCs/>
          <w:color w:val="auto"/>
          <w:sz w:val="28"/>
          <w:szCs w:val="28"/>
          <w:highlight w:val="none"/>
        </w:rPr>
      </w:pPr>
    </w:p>
    <w:p w14:paraId="72FBB154">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资格响应文件</w:t>
      </w:r>
    </w:p>
    <w:p w14:paraId="6AA4A910">
      <w:pPr>
        <w:snapToGrid w:val="0"/>
        <w:spacing w:before="120" w:beforeLines="50" w:after="50" w:line="360" w:lineRule="auto"/>
        <w:jc w:val="center"/>
        <w:rPr>
          <w:rFonts w:ascii="宋体" w:hAnsi="宋体"/>
          <w:bCs/>
          <w:color w:val="auto"/>
          <w:sz w:val="28"/>
          <w:szCs w:val="28"/>
          <w:highlight w:val="none"/>
        </w:rPr>
      </w:pPr>
    </w:p>
    <w:p w14:paraId="378B9418">
      <w:pPr>
        <w:snapToGrid w:val="0"/>
        <w:spacing w:before="120" w:beforeLines="50" w:after="50" w:line="360" w:lineRule="auto"/>
        <w:jc w:val="center"/>
        <w:rPr>
          <w:rFonts w:ascii="宋体" w:hAnsi="宋体"/>
          <w:bCs/>
          <w:color w:val="auto"/>
          <w:sz w:val="28"/>
          <w:szCs w:val="28"/>
          <w:highlight w:val="none"/>
        </w:rPr>
      </w:pPr>
    </w:p>
    <w:p w14:paraId="7B68EC62">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160B652A">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2763CDF1">
      <w:pPr>
        <w:pStyle w:val="15"/>
        <w:snapToGrid w:val="0"/>
        <w:spacing w:before="50" w:after="50" w:line="360" w:lineRule="auto"/>
        <w:ind w:firstLine="1164" w:firstLineChars="416"/>
        <w:rPr>
          <w:rFonts w:ascii="宋体" w:hAnsi="宋体"/>
          <w:bCs/>
          <w:color w:val="auto"/>
          <w:sz w:val="28"/>
          <w:szCs w:val="28"/>
          <w:highlight w:val="none"/>
        </w:rPr>
      </w:pPr>
    </w:p>
    <w:p w14:paraId="516108C2">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28F86436">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619F3C2E">
      <w:pPr>
        <w:pStyle w:val="15"/>
        <w:snapToGrid w:val="0"/>
        <w:spacing w:before="50" w:after="50"/>
        <w:ind w:firstLine="1120" w:firstLineChars="400"/>
        <w:rPr>
          <w:rFonts w:ascii="宋体" w:hAnsi="宋体"/>
          <w:bCs/>
          <w:color w:val="auto"/>
          <w:sz w:val="28"/>
          <w:szCs w:val="28"/>
          <w:highlight w:val="none"/>
        </w:rPr>
      </w:pPr>
    </w:p>
    <w:p w14:paraId="2C469CA1">
      <w:pPr>
        <w:snapToGrid w:val="0"/>
        <w:spacing w:line="360" w:lineRule="auto"/>
        <w:ind w:firstLine="3360" w:firstLineChars="1200"/>
        <w:jc w:val="left"/>
        <w:rPr>
          <w:rFonts w:ascii="宋体" w:hAnsi="宋体"/>
          <w:color w:val="auto"/>
          <w:sz w:val="28"/>
          <w:szCs w:val="28"/>
          <w:highlight w:val="none"/>
        </w:rPr>
      </w:pPr>
    </w:p>
    <w:p w14:paraId="4E93A93F">
      <w:pPr>
        <w:snapToGrid w:val="0"/>
        <w:spacing w:line="360" w:lineRule="auto"/>
        <w:ind w:firstLine="3640" w:firstLineChars="1300"/>
        <w:jc w:val="left"/>
        <w:rPr>
          <w:rFonts w:ascii="宋体" w:hAnsi="宋体"/>
          <w:color w:val="auto"/>
          <w:sz w:val="24"/>
          <w:highlight w:val="none"/>
        </w:rPr>
      </w:pPr>
      <w:r>
        <w:rPr>
          <w:rFonts w:hint="eastAsia" w:ascii="宋体" w:hAnsi="宋体"/>
          <w:color w:val="auto"/>
          <w:sz w:val="28"/>
          <w:szCs w:val="28"/>
          <w:highlight w:val="none"/>
        </w:rPr>
        <w:t>年  月  日</w:t>
      </w:r>
      <w:r>
        <w:rPr>
          <w:rFonts w:ascii="宋体" w:hAnsi="宋体"/>
          <w:color w:val="auto"/>
          <w:sz w:val="28"/>
          <w:szCs w:val="28"/>
          <w:highlight w:val="none"/>
        </w:rPr>
        <w:br w:type="page"/>
      </w:r>
      <w:bookmarkStart w:id="59" w:name="_Hlk60757343"/>
      <w:r>
        <w:rPr>
          <w:rFonts w:ascii="宋体" w:hAnsi="宋体"/>
          <w:color w:val="auto"/>
          <w:sz w:val="24"/>
          <w:highlight w:val="none"/>
        </w:rPr>
        <w:t>2</w:t>
      </w:r>
      <w:r>
        <w:rPr>
          <w:rFonts w:hint="eastAsia" w:ascii="宋体" w:hAnsi="宋体"/>
          <w:color w:val="auto"/>
          <w:sz w:val="24"/>
          <w:highlight w:val="none"/>
        </w:rPr>
        <w:t>.营业执照等：</w:t>
      </w:r>
      <w:bookmarkEnd w:id="59"/>
    </w:p>
    <w:p w14:paraId="53BDBD1C">
      <w:pPr>
        <w:snapToGrid w:val="0"/>
        <w:spacing w:line="360" w:lineRule="auto"/>
        <w:jc w:val="center"/>
        <w:rPr>
          <w:rFonts w:ascii="仿宋_GB2312" w:hAnsi="仿宋" w:eastAsia="仿宋_GB2312" w:cs="仿宋_GB2312"/>
          <w:b/>
          <w:color w:val="auto"/>
          <w:kern w:val="0"/>
          <w:sz w:val="32"/>
          <w:szCs w:val="32"/>
          <w:highlight w:val="none"/>
          <w:lang w:val="zh-CN"/>
        </w:rPr>
      </w:pPr>
    </w:p>
    <w:p w14:paraId="7E41150C">
      <w:pPr>
        <w:snapToGrid w:val="0"/>
        <w:spacing w:line="360" w:lineRule="auto"/>
        <w:jc w:val="center"/>
        <w:rPr>
          <w:rFonts w:ascii="宋体" w:hAnsi="宋体" w:cs="仿宋_GB2312"/>
          <w:b/>
          <w:color w:val="auto"/>
          <w:kern w:val="0"/>
          <w:sz w:val="32"/>
          <w:szCs w:val="32"/>
          <w:highlight w:val="none"/>
          <w:lang w:val="zh-CN"/>
        </w:rPr>
      </w:pPr>
    </w:p>
    <w:p w14:paraId="6E71C183">
      <w:pPr>
        <w:snapToGrid w:val="0"/>
        <w:spacing w:line="360" w:lineRule="auto"/>
        <w:jc w:val="center"/>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营业执照（推荐使用电子营业执照）</w:t>
      </w:r>
    </w:p>
    <w:p w14:paraId="45ED01F9">
      <w:pPr>
        <w:snapToGrid w:val="0"/>
        <w:spacing w:line="360" w:lineRule="auto"/>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或事业法人登记证或其他工商等登记证明材料原件扫描件或复印件</w:t>
      </w:r>
    </w:p>
    <w:p w14:paraId="4E11F75C">
      <w:pPr>
        <w:snapToGrid w:val="0"/>
        <w:spacing w:line="360" w:lineRule="auto"/>
        <w:rPr>
          <w:rFonts w:ascii="宋体" w:hAnsi="宋体" w:cs="仿宋_GB2312"/>
          <w:bCs/>
          <w:color w:val="auto"/>
          <w:kern w:val="0"/>
          <w:sz w:val="28"/>
          <w:szCs w:val="28"/>
          <w:highlight w:val="none"/>
          <w:lang w:val="zh-CN"/>
        </w:rPr>
      </w:pPr>
      <w:r>
        <w:rPr>
          <w:rFonts w:hint="eastAsia" w:ascii="宋体" w:hAnsi="宋体" w:cs="仿宋_GB2312"/>
          <w:bCs/>
          <w:color w:val="auto"/>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auto"/>
          <w:sz w:val="32"/>
          <w:szCs w:val="32"/>
          <w:highlight w:val="none"/>
        </w:rPr>
      </w:pPr>
    </w:p>
    <w:p w14:paraId="3180E5BD">
      <w:pPr>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特定资格条件要求的资质文件复印件（如有）</w:t>
      </w:r>
    </w:p>
    <w:p w14:paraId="6D7C0F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color w:val="auto"/>
          <w:sz w:val="24"/>
          <w:highlight w:val="none"/>
        </w:rPr>
      </w:pPr>
    </w:p>
    <w:p w14:paraId="0EB8F2B9">
      <w:pPr>
        <w:spacing w:line="360" w:lineRule="auto"/>
        <w:jc w:val="center"/>
        <w:rPr>
          <w:rFonts w:ascii="宋体" w:hAnsi="宋体"/>
          <w:b/>
          <w:bCs/>
          <w:color w:val="auto"/>
          <w:sz w:val="32"/>
          <w:szCs w:val="32"/>
          <w:highlight w:val="none"/>
        </w:rPr>
      </w:pPr>
    </w:p>
    <w:p w14:paraId="5C16EBFA">
      <w:pPr>
        <w:widowControl/>
        <w:spacing w:line="360" w:lineRule="auto"/>
        <w:ind w:firstLine="480" w:firstLineChars="200"/>
        <w:jc w:val="left"/>
        <w:rPr>
          <w:rFonts w:ascii="宋体" w:hAnsi="宋体" w:cs="宋体"/>
          <w:color w:val="auto"/>
          <w:sz w:val="24"/>
          <w:highlight w:val="none"/>
        </w:rPr>
      </w:pPr>
    </w:p>
    <w:p w14:paraId="53C885A6">
      <w:pPr>
        <w:spacing w:line="360" w:lineRule="auto"/>
        <w:jc w:val="left"/>
        <w:rPr>
          <w:rFonts w:ascii="宋体" w:hAnsi="宋体"/>
          <w:b/>
          <w:bCs/>
          <w:color w:val="auto"/>
          <w:sz w:val="28"/>
          <w:szCs w:val="28"/>
          <w:highlight w:val="none"/>
        </w:rPr>
      </w:pPr>
      <w:r>
        <w:rPr>
          <w:rFonts w:ascii="宋体" w:hAnsi="宋体" w:cs="仿宋_GB2312"/>
          <w:b/>
          <w:color w:val="auto"/>
          <w:sz w:val="30"/>
          <w:szCs w:val="30"/>
          <w:highlight w:val="none"/>
        </w:rPr>
        <w:br w:type="page"/>
      </w:r>
    </w:p>
    <w:p w14:paraId="3E0CD32B">
      <w:pPr>
        <w:spacing w:line="360" w:lineRule="auto"/>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color w:val="auto"/>
          <w:highlight w:val="none"/>
        </w:rPr>
        <w:t xml:space="preserve"> </w:t>
      </w:r>
      <w:r>
        <w:rPr>
          <w:rFonts w:hint="eastAsia" w:ascii="宋体" w:hAnsi="宋体"/>
          <w:color w:val="auto"/>
          <w:sz w:val="24"/>
          <w:highlight w:val="none"/>
        </w:rPr>
        <w:t>没有重大违法记录的承诺函格式：</w:t>
      </w:r>
    </w:p>
    <w:p w14:paraId="2BA67C49">
      <w:pPr>
        <w:spacing w:line="360" w:lineRule="auto"/>
        <w:jc w:val="center"/>
        <w:rPr>
          <w:rFonts w:ascii="宋体" w:hAnsi="宋体" w:cs="仿宋_GB2312"/>
          <w:b/>
          <w:color w:val="auto"/>
          <w:kern w:val="0"/>
          <w:sz w:val="32"/>
          <w:szCs w:val="32"/>
          <w:highlight w:val="none"/>
        </w:rPr>
      </w:pPr>
    </w:p>
    <w:p w14:paraId="002EF41C">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参加本次政府采购项目前三年内在经营活动中</w:t>
      </w:r>
    </w:p>
    <w:p w14:paraId="67F9A2C9">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没有重大违法记录的承诺函</w:t>
      </w:r>
    </w:p>
    <w:p w14:paraId="57E740A7">
      <w:pPr>
        <w:spacing w:line="520" w:lineRule="exact"/>
        <w:jc w:val="center"/>
        <w:rPr>
          <w:rFonts w:ascii="宋体" w:hAnsi="宋体" w:cs="宋体"/>
          <w:bCs/>
          <w:color w:val="auto"/>
          <w:sz w:val="24"/>
          <w:highlight w:val="none"/>
        </w:rPr>
      </w:pPr>
    </w:p>
    <w:p w14:paraId="7735804B">
      <w:pPr>
        <w:ind w:firstLine="420"/>
        <w:rPr>
          <w:rFonts w:ascii="宋体" w:hAnsi="宋体" w:cs="宋体"/>
          <w:color w:val="auto"/>
          <w:sz w:val="24"/>
          <w:highlight w:val="none"/>
        </w:rPr>
      </w:pPr>
    </w:p>
    <w:p w14:paraId="494F104B">
      <w:pPr>
        <w:spacing w:line="360" w:lineRule="auto"/>
        <w:rPr>
          <w:rFonts w:ascii="宋体" w:hAnsi="宋体" w:cs="宋体"/>
          <w:color w:val="auto"/>
          <w:kern w:val="0"/>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olor w:val="auto"/>
          <w:sz w:val="24"/>
          <w:highlight w:val="none"/>
        </w:rPr>
        <w:t>采购</w:t>
      </w:r>
      <w:r>
        <w:rPr>
          <w:rFonts w:hint="eastAsia" w:ascii="宋体" w:hAnsi="宋体"/>
          <w:color w:val="auto"/>
          <w:sz w:val="24"/>
          <w:highlight w:val="none"/>
          <w:lang w:val="en-US" w:eastAsia="zh-CN"/>
        </w:rPr>
        <w:t>人</w:t>
      </w:r>
      <w:r>
        <w:rPr>
          <w:rFonts w:hint="eastAsia" w:ascii="宋体" w:hAnsi="宋体"/>
          <w:color w:val="auto"/>
          <w:sz w:val="24"/>
          <w:highlight w:val="none"/>
        </w:rPr>
        <w:t>名称</w:t>
      </w:r>
      <w:r>
        <w:rPr>
          <w:rFonts w:hint="eastAsia" w:ascii="宋体" w:hAnsi="宋体" w:cs="宋体"/>
          <w:color w:val="auto"/>
          <w:sz w:val="24"/>
          <w:highlight w:val="none"/>
        </w:rPr>
        <w:t>）</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14:paraId="6920846E">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auto"/>
          <w:sz w:val="24"/>
          <w:highlight w:val="none"/>
        </w:rPr>
      </w:pPr>
    </w:p>
    <w:p w14:paraId="4D055401">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w:t>
      </w:r>
      <w:r>
        <w:rPr>
          <w:rFonts w:hint="eastAsia" w:ascii="宋体" w:hAnsi="宋体" w:cs="宋体"/>
          <w:color w:val="auto"/>
          <w:kern w:val="0"/>
          <w:sz w:val="24"/>
          <w:highlight w:val="none"/>
        </w:rPr>
        <w:t>承诺</w:t>
      </w:r>
      <w:r>
        <w:rPr>
          <w:rFonts w:hint="eastAsia" w:ascii="宋体" w:hAnsi="宋体" w:cs="宋体"/>
          <w:color w:val="auto"/>
          <w:sz w:val="24"/>
          <w:highlight w:val="none"/>
        </w:rPr>
        <w:t>！</w:t>
      </w:r>
    </w:p>
    <w:p w14:paraId="1A86C85B">
      <w:pPr>
        <w:snapToGrid w:val="0"/>
        <w:spacing w:before="50" w:after="120" w:afterLines="50"/>
        <w:jc w:val="left"/>
        <w:rPr>
          <w:rFonts w:ascii="宋体" w:hAnsi="宋体" w:cs="宋体"/>
          <w:color w:val="auto"/>
          <w:kern w:val="0"/>
          <w:sz w:val="24"/>
          <w:highlight w:val="none"/>
          <w:lang w:val="zh-CN"/>
        </w:rPr>
      </w:pPr>
    </w:p>
    <w:p w14:paraId="58A9B0B2">
      <w:pPr>
        <w:snapToGrid w:val="0"/>
        <w:spacing w:before="50" w:after="120" w:afterLines="50"/>
        <w:jc w:val="left"/>
        <w:rPr>
          <w:rFonts w:ascii="宋体" w:hAnsi="宋体" w:cs="宋体"/>
          <w:color w:val="auto"/>
          <w:kern w:val="0"/>
          <w:sz w:val="24"/>
          <w:highlight w:val="none"/>
          <w:lang w:val="zh-CN"/>
        </w:rPr>
      </w:pPr>
    </w:p>
    <w:p w14:paraId="5D4AD00E">
      <w:pPr>
        <w:snapToGrid w:val="0"/>
        <w:spacing w:before="50" w:after="120" w:afterLines="50"/>
        <w:jc w:val="left"/>
        <w:rPr>
          <w:rFonts w:ascii="宋体" w:hAnsi="宋体" w:cs="宋体"/>
          <w:color w:val="auto"/>
          <w:kern w:val="0"/>
          <w:sz w:val="24"/>
          <w:highlight w:val="none"/>
          <w:lang w:val="zh-CN"/>
        </w:rPr>
      </w:pPr>
    </w:p>
    <w:p w14:paraId="04E2286A">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0CE98557">
      <w:pPr>
        <w:snapToGrid w:val="0"/>
        <w:spacing w:before="50" w:after="120" w:afterLines="50"/>
        <w:jc w:val="left"/>
        <w:rPr>
          <w:rFonts w:ascii="宋体" w:hAnsi="宋体"/>
          <w:b/>
          <w:color w:val="auto"/>
          <w:sz w:val="24"/>
          <w:highlight w:val="none"/>
        </w:rPr>
      </w:pPr>
    </w:p>
    <w:p w14:paraId="7FF0A9F0">
      <w:pPr>
        <w:snapToGrid w:val="0"/>
        <w:spacing w:before="50" w:after="120" w:afterLines="50"/>
        <w:jc w:val="left"/>
        <w:rPr>
          <w:rFonts w:ascii="宋体" w:hAnsi="宋体"/>
          <w:b/>
          <w:color w:val="auto"/>
          <w:sz w:val="24"/>
          <w:highlight w:val="none"/>
        </w:rPr>
      </w:pPr>
    </w:p>
    <w:p w14:paraId="699BFC3C">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0A9227D2">
      <w:pPr>
        <w:snapToGrid w:val="0"/>
        <w:spacing w:before="50" w:after="120" w:afterLines="50"/>
        <w:jc w:val="left"/>
        <w:rPr>
          <w:rFonts w:ascii="宋体" w:hAnsi="宋体"/>
          <w:color w:val="auto"/>
          <w:sz w:val="28"/>
          <w:szCs w:val="28"/>
          <w:highlight w:val="none"/>
        </w:rPr>
      </w:pPr>
    </w:p>
    <w:p w14:paraId="770BCA99">
      <w:pPr>
        <w:snapToGrid w:val="0"/>
        <w:spacing w:line="360" w:lineRule="auto"/>
        <w:rPr>
          <w:rFonts w:ascii="宋体" w:hAnsi="宋体" w:cs="仿宋_GB2312"/>
          <w:color w:val="auto"/>
          <w:kern w:val="0"/>
          <w:sz w:val="24"/>
          <w:highlight w:val="none"/>
        </w:rPr>
      </w:pPr>
      <w:r>
        <w:rPr>
          <w:rFonts w:ascii="宋体" w:hAnsi="宋体" w:cs="仿宋_GB2312"/>
          <w:color w:val="auto"/>
          <w:kern w:val="0"/>
          <w:sz w:val="24"/>
          <w:highlight w:val="none"/>
          <w:lang w:val="zh-CN"/>
        </w:rPr>
        <w:br w:type="page"/>
      </w:r>
    </w:p>
    <w:p w14:paraId="018A4E3D">
      <w:pPr>
        <w:snapToGrid w:val="0"/>
        <w:spacing w:before="120" w:beforeLines="50" w:after="50"/>
        <w:outlineLvl w:val="1"/>
        <w:rPr>
          <w:rFonts w:ascii="宋体" w:hAnsi="宋体" w:cs="仿宋_GB2312"/>
          <w:color w:val="auto"/>
          <w:kern w:val="0"/>
          <w:sz w:val="24"/>
          <w:highlight w:val="none"/>
        </w:rPr>
      </w:pPr>
      <w:r>
        <w:rPr>
          <w:rFonts w:hAnsi="宋体"/>
          <w:color w:val="auto"/>
          <w:sz w:val="24"/>
          <w:highlight w:val="none"/>
        </w:rPr>
        <w:t>4</w:t>
      </w:r>
      <w:r>
        <w:rPr>
          <w:rFonts w:hint="eastAsia" w:hAnsi="宋体"/>
          <w:color w:val="auto"/>
          <w:sz w:val="24"/>
          <w:highlight w:val="none"/>
        </w:rPr>
        <w:t>.中小企业声明函</w:t>
      </w:r>
    </w:p>
    <w:p w14:paraId="118662B8">
      <w:pPr>
        <w:pStyle w:val="28"/>
        <w:snapToGrid w:val="0"/>
        <w:spacing w:before="120" w:beforeLines="0" w:after="120" w:afterLines="0" w:line="240" w:lineRule="auto"/>
        <w:jc w:val="center"/>
        <w:rPr>
          <w:b/>
          <w:color w:val="auto"/>
          <w:sz w:val="28"/>
          <w:szCs w:val="28"/>
          <w:highlight w:val="none"/>
        </w:rPr>
      </w:pPr>
      <w:r>
        <w:rPr>
          <w:rFonts w:hint="eastAsia"/>
          <w:b/>
          <w:color w:val="auto"/>
          <w:sz w:val="28"/>
          <w:szCs w:val="28"/>
          <w:highlight w:val="none"/>
        </w:rPr>
        <w:t>中小企业声明函</w:t>
      </w:r>
    </w:p>
    <w:p w14:paraId="46BD17FD">
      <w:pPr>
        <w:pStyle w:val="28"/>
        <w:snapToGrid w:val="0"/>
        <w:spacing w:before="120" w:beforeLines="0" w:after="120" w:afterLines="0" w:line="360" w:lineRule="auto"/>
        <w:ind w:firstLine="480"/>
        <w:jc w:val="left"/>
        <w:rPr>
          <w:bCs/>
          <w:color w:val="auto"/>
          <w:highlight w:val="none"/>
        </w:rPr>
      </w:pPr>
      <w:r>
        <w:rPr>
          <w:rFonts w:hint="eastAsia"/>
          <w:bCs/>
          <w:color w:val="auto"/>
          <w:highlight w:val="none"/>
        </w:rPr>
        <w:t>本公司（联合体）郑重声明，根据《政府采购促进中小企业发展管理办法》（财库［20</w:t>
      </w:r>
      <w:r>
        <w:rPr>
          <w:bCs/>
          <w:color w:val="auto"/>
          <w:highlight w:val="none"/>
        </w:rPr>
        <w:t>20</w:t>
      </w:r>
      <w:r>
        <w:rPr>
          <w:rFonts w:hint="eastAsia"/>
          <w:bCs/>
          <w:color w:val="auto"/>
          <w:highlight w:val="none"/>
        </w:rPr>
        <w:t>］</w:t>
      </w:r>
      <w:r>
        <w:rPr>
          <w:bCs/>
          <w:color w:val="auto"/>
          <w:highlight w:val="none"/>
        </w:rPr>
        <w:t>46</w:t>
      </w:r>
      <w:r>
        <w:rPr>
          <w:rFonts w:hint="eastAsia"/>
          <w:bCs/>
          <w:color w:val="auto"/>
          <w:highlight w:val="none"/>
        </w:rPr>
        <w:t>号）的规定，本公司（联合体）参加</w:t>
      </w:r>
      <w:r>
        <w:rPr>
          <w:rFonts w:hint="eastAsia"/>
          <w:bCs/>
          <w:color w:val="auto"/>
          <w:highlight w:val="none"/>
          <w:u w:val="single"/>
        </w:rPr>
        <w:t>（单位名称）</w:t>
      </w:r>
      <w:r>
        <w:rPr>
          <w:rFonts w:hint="eastAsia"/>
          <w:bCs/>
          <w:color w:val="auto"/>
          <w:highlight w:val="none"/>
        </w:rPr>
        <w:t xml:space="preserve"> 的</w:t>
      </w:r>
      <w:r>
        <w:rPr>
          <w:rFonts w:hint="eastAsia"/>
          <w:bCs/>
          <w:color w:val="auto"/>
          <w:highlight w:val="none"/>
          <w:u w:val="single"/>
        </w:rPr>
        <w:t xml:space="preserve"> （项目名称）</w:t>
      </w:r>
      <w:r>
        <w:rPr>
          <w:rFonts w:hint="eastAsia"/>
          <w:bCs/>
          <w:color w:val="auto"/>
          <w:highlight w:val="none"/>
        </w:rPr>
        <w:t>采购活动，服务全部由符合政策要求的中小企业承接。相关企业（含联合体中的中小企业、签订分包意向协议的中小企业）的具体情况如下：</w:t>
      </w:r>
    </w:p>
    <w:p w14:paraId="4AF32EA0">
      <w:pPr>
        <w:pStyle w:val="28"/>
        <w:snapToGrid w:val="0"/>
        <w:spacing w:before="120" w:beforeLines="0" w:after="120" w:afterLines="0" w:line="360" w:lineRule="auto"/>
        <w:ind w:firstLine="480"/>
        <w:jc w:val="left"/>
        <w:rPr>
          <w:bCs/>
          <w:color w:val="auto"/>
          <w:highlight w:val="none"/>
          <w:u w:val="single"/>
        </w:rPr>
      </w:pPr>
      <w:r>
        <w:rPr>
          <w:rFonts w:hint="eastAsia"/>
          <w:bCs/>
          <w:color w:val="auto"/>
          <w:highlight w:val="none"/>
        </w:rPr>
        <w:t>1、</w:t>
      </w:r>
      <w:r>
        <w:rPr>
          <w:rFonts w:hint="eastAsia"/>
          <w:bCs/>
          <w:color w:val="auto"/>
          <w:highlight w:val="none"/>
          <w:u w:val="single"/>
        </w:rPr>
        <w:t>（标的名称）</w:t>
      </w:r>
      <w:r>
        <w:rPr>
          <w:rFonts w:hint="eastAsia"/>
          <w:bCs/>
          <w:color w:val="auto"/>
          <w:highlight w:val="none"/>
        </w:rPr>
        <w:t>，属于</w:t>
      </w:r>
      <w:r>
        <w:rPr>
          <w:rFonts w:hint="eastAsia" w:hAnsi="宋体" w:cs="宋体"/>
          <w:color w:val="auto"/>
          <w:highlight w:val="none"/>
          <w:u w:val="single"/>
        </w:rPr>
        <w:t>（磋商文件中明确的所属行业）</w:t>
      </w:r>
      <w:r>
        <w:rPr>
          <w:rFonts w:hint="eastAsia" w:hAnsi="宋体" w:cs="宋体"/>
          <w:color w:val="auto"/>
          <w:highlight w:val="none"/>
        </w:rPr>
        <w:t>行业，</w:t>
      </w:r>
      <w:r>
        <w:rPr>
          <w:rFonts w:hint="eastAsia"/>
          <w:bCs/>
          <w:color w:val="auto"/>
          <w:highlight w:val="none"/>
        </w:rPr>
        <w:t>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14:paraId="47ED46D9">
      <w:pPr>
        <w:pStyle w:val="28"/>
        <w:snapToGrid w:val="0"/>
        <w:spacing w:before="120" w:beforeLines="0" w:after="120" w:afterLines="0" w:line="360" w:lineRule="auto"/>
        <w:ind w:firstLine="480"/>
        <w:jc w:val="left"/>
        <w:rPr>
          <w:bCs/>
          <w:color w:val="auto"/>
          <w:highlight w:val="none"/>
          <w:u w:val="single"/>
        </w:rPr>
      </w:pPr>
      <w:r>
        <w:rPr>
          <w:bCs/>
          <w:color w:val="auto"/>
          <w:highlight w:val="none"/>
        </w:rPr>
        <w:t>2</w:t>
      </w:r>
      <w:r>
        <w:rPr>
          <w:rFonts w:hint="eastAsia"/>
          <w:bCs/>
          <w:color w:val="auto"/>
          <w:highlight w:val="none"/>
        </w:rPr>
        <w:t>、</w:t>
      </w:r>
      <w:r>
        <w:rPr>
          <w:rFonts w:hint="eastAsia"/>
          <w:bCs/>
          <w:color w:val="auto"/>
          <w:highlight w:val="none"/>
          <w:u w:val="single"/>
        </w:rPr>
        <w:t>（标的名称）</w:t>
      </w:r>
      <w:r>
        <w:rPr>
          <w:rFonts w:hint="eastAsia"/>
          <w:bCs/>
          <w:color w:val="auto"/>
          <w:highlight w:val="none"/>
        </w:rPr>
        <w:t>，属于</w:t>
      </w:r>
      <w:r>
        <w:rPr>
          <w:rFonts w:hint="eastAsia" w:hAnsi="宋体" w:cs="宋体"/>
          <w:color w:val="auto"/>
          <w:highlight w:val="none"/>
          <w:u w:val="single"/>
        </w:rPr>
        <w:t>（磋商文件中明确的所属行业）</w:t>
      </w:r>
      <w:r>
        <w:rPr>
          <w:rFonts w:hint="eastAsia" w:hAnsi="宋体" w:cs="宋体"/>
          <w:color w:val="auto"/>
          <w:highlight w:val="none"/>
        </w:rPr>
        <w:t>行业，</w:t>
      </w:r>
      <w:r>
        <w:rPr>
          <w:rFonts w:hint="eastAsia"/>
          <w:bCs/>
          <w:color w:val="auto"/>
          <w:highlight w:val="none"/>
        </w:rPr>
        <w:t>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14:paraId="58988AC5">
      <w:pPr>
        <w:pStyle w:val="28"/>
        <w:snapToGrid w:val="0"/>
        <w:spacing w:before="120" w:beforeLines="0" w:after="120" w:afterLines="0" w:line="360" w:lineRule="auto"/>
        <w:ind w:firstLine="480" w:firstLineChars="200"/>
        <w:jc w:val="left"/>
        <w:rPr>
          <w:bCs/>
          <w:color w:val="auto"/>
          <w:highlight w:val="none"/>
        </w:rPr>
      </w:pPr>
      <w:r>
        <w:rPr>
          <w:bCs/>
          <w:color w:val="auto"/>
          <w:highlight w:val="none"/>
        </w:rPr>
        <w:t>………</w:t>
      </w:r>
    </w:p>
    <w:p w14:paraId="6E9A114E">
      <w:pPr>
        <w:pStyle w:val="28"/>
        <w:snapToGrid w:val="0"/>
        <w:spacing w:before="120" w:beforeLines="0" w:after="120" w:afterLines="0" w:line="360" w:lineRule="auto"/>
        <w:ind w:firstLine="480" w:firstLineChars="200"/>
        <w:jc w:val="left"/>
        <w:rPr>
          <w:bCs/>
          <w:color w:val="auto"/>
          <w:highlight w:val="none"/>
        </w:rPr>
      </w:pPr>
      <w:r>
        <w:rPr>
          <w:rFonts w:hint="eastAsia"/>
          <w:bCs/>
          <w:color w:val="auto"/>
          <w:highlight w:val="none"/>
        </w:rPr>
        <w:t>以上企业，不属于大企业的分支机构，不存在控股股东为大企业的情形，也不存在与大企业的负责人为同一人的情形。</w:t>
      </w:r>
    </w:p>
    <w:p w14:paraId="3CC36877">
      <w:pPr>
        <w:pStyle w:val="28"/>
        <w:snapToGrid w:val="0"/>
        <w:spacing w:before="120" w:beforeLines="0" w:after="120" w:afterLines="0" w:line="240" w:lineRule="auto"/>
        <w:rPr>
          <w:b/>
          <w:bCs/>
          <w:color w:val="auto"/>
          <w:highlight w:val="none"/>
          <w:u w:val="single"/>
          <w:shd w:val="pct10" w:color="auto" w:fill="FFFFFF"/>
        </w:rPr>
      </w:pPr>
      <w:r>
        <w:rPr>
          <w:rFonts w:hint="eastAsia"/>
          <w:b/>
          <w:bCs/>
          <w:color w:val="auto"/>
          <w:highlight w:val="none"/>
          <w:u w:val="single"/>
          <w:shd w:val="pct10" w:color="auto" w:fill="FFFFFF"/>
        </w:rPr>
        <w:t>本企业对上述声明内容的真实性负责。如有虚假，将依法承担相应责任。</w:t>
      </w:r>
    </w:p>
    <w:p w14:paraId="37E698DC">
      <w:pPr>
        <w:pStyle w:val="28"/>
        <w:snapToGrid w:val="0"/>
        <w:spacing w:before="120" w:beforeLines="0" w:after="120" w:afterLines="0" w:line="240" w:lineRule="auto"/>
        <w:rPr>
          <w:rFonts w:hAnsi="宋体"/>
          <w:color w:val="auto"/>
          <w:spacing w:val="20"/>
          <w:highlight w:val="none"/>
        </w:rPr>
      </w:pPr>
    </w:p>
    <w:p w14:paraId="0D6354FF">
      <w:pPr>
        <w:pStyle w:val="28"/>
        <w:snapToGrid w:val="0"/>
        <w:spacing w:before="120" w:beforeLines="0" w:after="12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供应商（盖章）： </w:t>
      </w:r>
    </w:p>
    <w:p w14:paraId="34EBFF19">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 xml:space="preserve">                                              </w:t>
      </w:r>
    </w:p>
    <w:p w14:paraId="7A602800">
      <w:pPr>
        <w:snapToGrid w:val="0"/>
        <w:spacing w:line="360" w:lineRule="auto"/>
        <w:jc w:val="center"/>
        <w:rPr>
          <w:b/>
          <w:color w:val="auto"/>
          <w:highlight w:val="none"/>
        </w:rPr>
      </w:pPr>
      <w:r>
        <w:rPr>
          <w:rFonts w:hint="eastAsia"/>
          <w:b/>
          <w:color w:val="auto"/>
          <w:highlight w:val="none"/>
        </w:rPr>
        <w:t xml:space="preserve">                                             日期:_____年___月___日</w:t>
      </w:r>
    </w:p>
    <w:p w14:paraId="76685685">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7E3F5CA6">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1、供应商请将《中小企业声明函》中加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7E949AF0">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0AE668D1">
      <w:pPr>
        <w:pStyle w:val="28"/>
        <w:snapToGrid w:val="0"/>
        <w:spacing w:before="120" w:beforeLines="0" w:after="120" w:afterLines="0"/>
        <w:jc w:val="left"/>
        <w:rPr>
          <w:rFonts w:hint="eastAsia"/>
          <w:b/>
          <w:bCs/>
          <w:color w:val="auto"/>
          <w:sz w:val="28"/>
          <w:szCs w:val="28"/>
          <w:highlight w:val="none"/>
          <w:u w:val="single"/>
          <w:shd w:val="pct10" w:color="auto" w:fill="FFFFFF"/>
        </w:rPr>
      </w:pPr>
    </w:p>
    <w:p w14:paraId="4E39E5CB">
      <w:pPr>
        <w:pStyle w:val="28"/>
        <w:snapToGrid w:val="0"/>
        <w:spacing w:before="120" w:beforeLines="0" w:after="120" w:afterLines="0"/>
        <w:jc w:val="left"/>
        <w:rPr>
          <w:rFonts w:hint="eastAsia"/>
          <w:b/>
          <w:bCs/>
          <w:color w:val="auto"/>
          <w:sz w:val="28"/>
          <w:szCs w:val="28"/>
          <w:highlight w:val="none"/>
          <w:u w:val="single"/>
          <w:shd w:val="pct10" w:color="auto" w:fill="FFFFFF"/>
        </w:rPr>
      </w:pPr>
    </w:p>
    <w:p w14:paraId="4661C4B6">
      <w:pPr>
        <w:pStyle w:val="28"/>
        <w:snapToGrid w:val="0"/>
        <w:spacing w:before="120" w:beforeLines="0" w:after="120" w:afterLines="0"/>
        <w:jc w:val="left"/>
        <w:rPr>
          <w:rFonts w:hint="eastAsia"/>
          <w:b/>
          <w:bCs/>
          <w:color w:val="auto"/>
          <w:sz w:val="28"/>
          <w:szCs w:val="28"/>
          <w:highlight w:val="none"/>
          <w:u w:val="single"/>
          <w:shd w:val="pct10" w:color="auto" w:fill="FFFFFF"/>
        </w:rPr>
      </w:pPr>
    </w:p>
    <w:p w14:paraId="3037ACD4">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填表说明：</w:t>
      </w:r>
    </w:p>
    <w:p w14:paraId="612DFFEE">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1、标的分别由不同承接企业承接的，请按序号填写齐全所有标的承接企业的信息。</w:t>
      </w:r>
    </w:p>
    <w:p w14:paraId="58386057">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2、从业人员、营业收入、资产总额填报上一年度数据，无上一年度数据的新成立企业可不填报。</w:t>
      </w:r>
    </w:p>
    <w:p w14:paraId="63FC447B">
      <w:pPr>
        <w:pStyle w:val="28"/>
        <w:snapToGrid w:val="0"/>
        <w:spacing w:before="120" w:after="12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3、（1）按照国家统计局统计口径规定，单位从业人员指报告期末最后一日在本单位工作，并取得工资或其他形式劳动报酬的人员数。</w:t>
      </w:r>
    </w:p>
    <w:p w14:paraId="4F04AE0F">
      <w:pPr>
        <w:pStyle w:val="28"/>
        <w:snapToGrid w:val="0"/>
        <w:spacing w:before="120" w:after="12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（2）企业划型时，应将分公司的从业人员、营业收入纳入合并计算。</w:t>
      </w:r>
    </w:p>
    <w:p w14:paraId="693F2242">
      <w:pPr>
        <w:pStyle w:val="28"/>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4、供应商应当按照</w:t>
      </w:r>
      <w:r>
        <w:rPr>
          <w:rFonts w:hint="eastAsia"/>
          <w:b/>
          <w:bCs/>
          <w:color w:val="auto"/>
          <w:sz w:val="24"/>
          <w:szCs w:val="24"/>
          <w:highlight w:val="none"/>
          <w:u w:val="single"/>
          <w:shd w:val="pct10" w:color="auto" w:fill="FFFFFF"/>
          <w:lang w:val="en-US" w:eastAsia="zh-CN"/>
        </w:rPr>
        <w:t>磋商</w:t>
      </w:r>
      <w:r>
        <w:rPr>
          <w:rFonts w:hint="eastAsia"/>
          <w:b/>
          <w:bCs/>
          <w:color w:val="auto"/>
          <w:sz w:val="24"/>
          <w:szCs w:val="24"/>
          <w:highlight w:val="none"/>
          <w:u w:val="single"/>
          <w:shd w:val="pct10" w:color="auto" w:fill="FFFFFF"/>
          <w:lang w:eastAsia="zh-CN"/>
        </w:rPr>
        <w:t>文件中明确的采购标的所属行业的划分标准来评判承接企业的企业规模</w:t>
      </w:r>
      <w:r>
        <w:rPr>
          <w:rFonts w:hint="eastAsia"/>
          <w:b/>
          <w:bCs/>
          <w:color w:val="auto"/>
          <w:sz w:val="24"/>
          <w:szCs w:val="24"/>
          <w:highlight w:val="none"/>
          <w:u w:val="single"/>
          <w:shd w:val="pct10" w:color="auto" w:fill="FFFFFF"/>
          <w:lang w:val="en-US" w:eastAsia="zh-CN"/>
        </w:rPr>
        <w:t>类型</w:t>
      </w:r>
      <w:r>
        <w:rPr>
          <w:rFonts w:hint="eastAsia"/>
          <w:b/>
          <w:bCs/>
          <w:color w:val="auto"/>
          <w:sz w:val="24"/>
          <w:szCs w:val="24"/>
          <w:highlight w:val="none"/>
          <w:u w:val="single"/>
          <w:shd w:val="pct10" w:color="auto" w:fill="FFFFFF"/>
          <w:lang w:eastAsia="zh-CN"/>
        </w:rPr>
        <w:t>（大型、中型、小型、微型企业），而非按照承接企业自身经营范围所属行业的划分标准来评判承接企业的企业规模</w:t>
      </w:r>
      <w:r>
        <w:rPr>
          <w:rFonts w:hint="eastAsia"/>
          <w:b/>
          <w:bCs/>
          <w:color w:val="auto"/>
          <w:sz w:val="24"/>
          <w:szCs w:val="24"/>
          <w:highlight w:val="none"/>
          <w:u w:val="single"/>
          <w:shd w:val="pct10" w:color="auto" w:fill="FFFFFF"/>
          <w:lang w:val="en-US" w:eastAsia="zh-CN"/>
        </w:rPr>
        <w:t>类型</w:t>
      </w:r>
      <w:r>
        <w:rPr>
          <w:rFonts w:hint="eastAsia"/>
          <w:b/>
          <w:bCs/>
          <w:color w:val="auto"/>
          <w:sz w:val="24"/>
          <w:szCs w:val="24"/>
          <w:highlight w:val="none"/>
          <w:u w:val="single"/>
          <w:shd w:val="pct10" w:color="auto" w:fill="FFFFFF"/>
          <w:lang w:eastAsia="zh-CN"/>
        </w:rPr>
        <w:t>。</w:t>
      </w:r>
    </w:p>
    <w:p w14:paraId="6D97A5CF">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5</w:t>
      </w:r>
      <w:r>
        <w:rPr>
          <w:rFonts w:hint="eastAsia"/>
          <w:b/>
          <w:bCs/>
          <w:color w:val="auto"/>
          <w:sz w:val="24"/>
          <w:szCs w:val="24"/>
          <w:highlight w:val="none"/>
          <w:u w:val="single"/>
          <w:shd w:val="pct10" w:color="auto" w:fill="FFFFFF"/>
        </w:rPr>
        <w:t>、为了更加准确判定制造商是否为小微企业，请</w:t>
      </w:r>
      <w:r>
        <w:rPr>
          <w:rFonts w:hint="eastAsia"/>
          <w:b/>
          <w:bCs/>
          <w:color w:val="auto"/>
          <w:sz w:val="24"/>
          <w:szCs w:val="24"/>
          <w:highlight w:val="none"/>
          <w:u w:val="single"/>
          <w:shd w:val="pct10" w:color="auto" w:fill="FFFFFF"/>
          <w:lang w:eastAsia="zh-CN"/>
        </w:rPr>
        <w:t>供应商</w:t>
      </w:r>
      <w:r>
        <w:rPr>
          <w:rFonts w:hint="eastAsia"/>
          <w:b/>
          <w:bCs/>
          <w:color w:val="auto"/>
          <w:sz w:val="24"/>
          <w:szCs w:val="24"/>
          <w:highlight w:val="none"/>
          <w:u w:val="single"/>
          <w:shd w:val="pct10" w:color="auto" w:fill="FFFFFF"/>
        </w:rPr>
        <w:t>根据工业和信息化部官方网站---中小企业规模类型自测小程序来辨别制造商企业规模类型，中小企业规模类型自测小程序链接网址为</w:t>
      </w:r>
    </w:p>
    <w:p w14:paraId="72D0CAD1">
      <w:pPr>
        <w:pStyle w:val="28"/>
        <w:snapToGrid w:val="0"/>
        <w:spacing w:before="120" w:beforeLines="0" w:after="120" w:afterLines="0"/>
        <w:jc w:val="left"/>
        <w:rPr>
          <w:b/>
          <w:bCs/>
          <w:color w:val="auto"/>
          <w:sz w:val="24"/>
          <w:szCs w:val="24"/>
          <w:highlight w:val="none"/>
          <w:u w:val="single"/>
          <w:shd w:val="pct10" w:color="auto" w:fill="FFFFFF"/>
        </w:rPr>
      </w:pPr>
      <w:r>
        <w:rPr>
          <w:b/>
          <w:bCs/>
          <w:color w:val="auto"/>
          <w:sz w:val="24"/>
          <w:szCs w:val="24"/>
          <w:highlight w:val="none"/>
          <w:u w:val="single"/>
          <w:shd w:val="pct10" w:color="auto" w:fill="FFFFFF"/>
        </w:rPr>
        <w:t>http://202.106.120.146/baosong/appweb/orgScale.html</w:t>
      </w:r>
    </w:p>
    <w:p w14:paraId="68485D13">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w:t>
      </w:r>
      <w:r>
        <w:rPr>
          <w:rFonts w:hint="eastAsia" w:ascii="宋体" w:hAnsi="宋体" w:eastAsia="宋体"/>
          <w:b/>
          <w:color w:val="auto"/>
          <w:sz w:val="24"/>
          <w:szCs w:val="24"/>
          <w:highlight w:val="none"/>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14:paraId="5046F022">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中标供应商享受中小企业扶持政策的，将在成交结果公告中公开中标供应商的《中小企业声明函》。</w:t>
      </w:r>
    </w:p>
    <w:p w14:paraId="5279D814">
      <w:pPr>
        <w:pStyle w:val="28"/>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7、鼓励供应商在投标时一并提供对承接企业相关信息的核实核验情况以及其他佐证材料。</w:t>
      </w:r>
    </w:p>
    <w:p w14:paraId="3F946954">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8</w:t>
      </w:r>
      <w:r>
        <w:rPr>
          <w:rFonts w:hint="eastAsia"/>
          <w:b/>
          <w:bCs/>
          <w:color w:val="auto"/>
          <w:sz w:val="24"/>
          <w:szCs w:val="24"/>
          <w:highlight w:val="none"/>
          <w:u w:val="single"/>
          <w:shd w:val="pct10" w:color="auto" w:fill="FFFFFF"/>
        </w:rPr>
        <w:t>、如国家对中小企业划型标准有新的规定的，从其规定。</w:t>
      </w:r>
    </w:p>
    <w:p w14:paraId="58F8B1DC">
      <w:pPr>
        <w:snapToGrid w:val="0"/>
        <w:spacing w:before="120" w:beforeLines="50" w:after="50"/>
        <w:outlineLvl w:val="1"/>
        <w:rPr>
          <w:color w:val="auto"/>
          <w:highlight w:val="none"/>
        </w:rPr>
      </w:pPr>
    </w:p>
    <w:p w14:paraId="6B6FF9E3">
      <w:pPr>
        <w:snapToGrid w:val="0"/>
        <w:spacing w:before="120" w:beforeLines="50" w:after="50"/>
        <w:outlineLvl w:val="1"/>
        <w:rPr>
          <w:rFonts w:ascii="宋体" w:hAnsi="宋体"/>
          <w:b/>
          <w:bCs/>
          <w:color w:val="auto"/>
          <w:sz w:val="24"/>
          <w:highlight w:val="none"/>
        </w:rPr>
      </w:pPr>
      <w:r>
        <w:rPr>
          <w:color w:val="auto"/>
          <w:highlight w:val="none"/>
        </w:rPr>
        <w:br w:type="page"/>
      </w:r>
    </w:p>
    <w:p w14:paraId="6F1541FB">
      <w:pPr>
        <w:widowControl/>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48"/>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auto"/>
                <w:spacing w:val="-12"/>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83EFB5D">
      <w:pPr>
        <w:widowControl/>
        <w:spacing w:line="540" w:lineRule="exact"/>
        <w:rPr>
          <w:rFonts w:hint="eastAsia" w:asciiTheme="majorEastAsia" w:hAnsiTheme="majorEastAsia" w:eastAsiaTheme="majorEastAsia" w:cstheme="majorEastAsia"/>
          <w:b/>
          <w:bCs/>
          <w:color w:val="auto"/>
          <w:spacing w:val="8"/>
          <w:kern w:val="0"/>
          <w:sz w:val="24"/>
          <w:szCs w:val="24"/>
          <w:highlight w:val="none"/>
        </w:rPr>
      </w:pPr>
      <w:r>
        <w:rPr>
          <w:rFonts w:hint="eastAsia" w:asciiTheme="majorEastAsia" w:hAnsiTheme="majorEastAsia" w:eastAsiaTheme="majorEastAsia" w:cstheme="majorEastAsia"/>
          <w:b/>
          <w:bCs/>
          <w:color w:val="auto"/>
          <w:spacing w:val="8"/>
          <w:kern w:val="0"/>
          <w:sz w:val="24"/>
          <w:szCs w:val="24"/>
          <w:highlight w:val="none"/>
        </w:rPr>
        <w:t>说明：</w:t>
      </w:r>
    </w:p>
    <w:p w14:paraId="3961C396">
      <w:pPr>
        <w:spacing w:line="540" w:lineRule="exact"/>
        <w:rPr>
          <w:rFonts w:hint="eastAsia" w:asciiTheme="majorEastAsia" w:hAnsiTheme="majorEastAsia" w:eastAsiaTheme="majorEastAsia" w:cstheme="majorEastAsia"/>
          <w:color w:val="auto"/>
          <w:spacing w:val="8"/>
          <w:kern w:val="0"/>
          <w:sz w:val="24"/>
          <w:szCs w:val="24"/>
          <w:highlight w:val="none"/>
        </w:rPr>
      </w:pPr>
      <w:r>
        <w:rPr>
          <w:rFonts w:hint="eastAsia" w:asciiTheme="majorEastAsia" w:hAnsiTheme="majorEastAsia" w:eastAsiaTheme="majorEastAsia" w:cstheme="majorEastAsia"/>
          <w:color w:val="auto"/>
          <w:spacing w:val="8"/>
          <w:kern w:val="0"/>
          <w:sz w:val="24"/>
          <w:szCs w:val="24"/>
          <w:highlight w:val="none"/>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auto"/>
          <w:spacing w:val="8"/>
          <w:kern w:val="0"/>
          <w:sz w:val="24"/>
          <w:szCs w:val="24"/>
          <w:highlight w:val="none"/>
        </w:rPr>
      </w:pPr>
      <w:r>
        <w:rPr>
          <w:rFonts w:hint="eastAsia" w:asciiTheme="majorEastAsia" w:hAnsiTheme="majorEastAsia" w:eastAsiaTheme="majorEastAsia" w:cstheme="majorEastAsia"/>
          <w:color w:val="auto"/>
          <w:spacing w:val="8"/>
          <w:kern w:val="0"/>
          <w:sz w:val="24"/>
          <w:szCs w:val="24"/>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auto"/>
          <w:spacing w:val="8"/>
          <w:kern w:val="0"/>
          <w:sz w:val="24"/>
          <w:szCs w:val="24"/>
          <w:highlight w:val="none"/>
        </w:rPr>
      </w:pPr>
      <w:r>
        <w:rPr>
          <w:rFonts w:hint="eastAsia" w:asciiTheme="majorEastAsia" w:hAnsiTheme="majorEastAsia" w:eastAsiaTheme="majorEastAsia" w:cstheme="majorEastAsia"/>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57"/>
        <w:rPr>
          <w:rFonts w:hint="eastAsia"/>
          <w:color w:val="auto"/>
          <w:highlight w:val="none"/>
        </w:rPr>
      </w:pPr>
    </w:p>
    <w:p w14:paraId="4A66C3E3">
      <w:pPr>
        <w:rPr>
          <w:rFonts w:ascii="宋体" w:hAnsi="宋体"/>
          <w:color w:val="auto"/>
          <w:sz w:val="24"/>
          <w:highlight w:val="none"/>
        </w:rPr>
      </w:pPr>
      <w:r>
        <w:rPr>
          <w:rFonts w:ascii="宋体" w:hAnsi="宋体"/>
          <w:color w:val="auto"/>
          <w:sz w:val="24"/>
          <w:highlight w:val="none"/>
        </w:rPr>
        <w:br w:type="page"/>
      </w:r>
    </w:p>
    <w:p w14:paraId="6648E585">
      <w:pPr>
        <w:snapToGrid w:val="0"/>
        <w:spacing w:before="120" w:beforeLines="50" w:after="50"/>
        <w:outlineLvl w:val="1"/>
        <w:rPr>
          <w:rFonts w:ascii="宋体" w:hAnsi="宋体"/>
          <w:b/>
          <w:bCs/>
          <w:color w:val="auto"/>
          <w:sz w:val="24"/>
          <w:highlight w:val="none"/>
        </w:rPr>
      </w:pPr>
    </w:p>
    <w:p w14:paraId="1B2F2AE1">
      <w:pPr>
        <w:snapToGrid w:val="0"/>
        <w:spacing w:before="120" w:beforeLines="50" w:after="50"/>
        <w:outlineLvl w:val="1"/>
        <w:rPr>
          <w:rFonts w:ascii="宋体" w:hAnsi="宋体" w:cs="仿宋_GB2312"/>
          <w:color w:val="auto"/>
          <w:kern w:val="0"/>
          <w:sz w:val="24"/>
          <w:highlight w:val="none"/>
        </w:rPr>
      </w:pPr>
    </w:p>
    <w:p w14:paraId="5764D0F1">
      <w:pPr>
        <w:snapToGrid w:val="0"/>
        <w:spacing w:before="120" w:beforeLines="50" w:after="50"/>
        <w:outlineLvl w:val="1"/>
        <w:rPr>
          <w:rFonts w:ascii="宋体" w:hAnsi="宋体"/>
          <w:b/>
          <w:bCs/>
          <w:color w:val="auto"/>
          <w:sz w:val="24"/>
          <w:highlight w:val="none"/>
        </w:rPr>
      </w:pPr>
    </w:p>
    <w:p w14:paraId="6B4D8536">
      <w:pPr>
        <w:snapToGrid w:val="0"/>
        <w:spacing w:before="120" w:beforeLines="50" w:after="50"/>
        <w:outlineLvl w:val="1"/>
        <w:rPr>
          <w:rFonts w:ascii="宋体" w:hAnsi="宋体"/>
          <w:b/>
          <w:bCs/>
          <w:color w:val="auto"/>
          <w:sz w:val="24"/>
          <w:highlight w:val="none"/>
        </w:rPr>
      </w:pPr>
    </w:p>
    <w:p w14:paraId="265909CF">
      <w:pPr>
        <w:snapToGrid w:val="0"/>
        <w:spacing w:before="120" w:beforeLines="50" w:after="50"/>
        <w:jc w:val="center"/>
        <w:outlineLvl w:val="1"/>
        <w:rPr>
          <w:rFonts w:ascii="宋体" w:hAnsi="宋体"/>
          <w:b/>
          <w:bCs/>
          <w:color w:val="auto"/>
          <w:sz w:val="24"/>
          <w:highlight w:val="none"/>
        </w:rPr>
      </w:pPr>
    </w:p>
    <w:p w14:paraId="5858404B">
      <w:pPr>
        <w:snapToGrid w:val="0"/>
        <w:spacing w:before="120" w:beforeLines="50" w:after="50"/>
        <w:jc w:val="center"/>
        <w:outlineLvl w:val="1"/>
        <w:rPr>
          <w:rFonts w:ascii="宋体" w:hAnsi="宋体"/>
          <w:b/>
          <w:bCs/>
          <w:color w:val="auto"/>
          <w:sz w:val="28"/>
          <w:szCs w:val="28"/>
          <w:highlight w:val="none"/>
        </w:rPr>
      </w:pPr>
      <w:bookmarkStart w:id="60" w:name="_Toc466534753"/>
      <w:r>
        <w:rPr>
          <w:rFonts w:hint="eastAsia" w:ascii="宋体" w:hAnsi="宋体"/>
          <w:b/>
          <w:bCs/>
          <w:color w:val="auto"/>
          <w:sz w:val="28"/>
          <w:szCs w:val="28"/>
          <w:highlight w:val="none"/>
        </w:rPr>
        <w:t>二、商务技术文件格式</w:t>
      </w:r>
      <w:bookmarkEnd w:id="58"/>
      <w:bookmarkEnd w:id="60"/>
    </w:p>
    <w:p w14:paraId="364E36B7">
      <w:pPr>
        <w:snapToGrid w:val="0"/>
        <w:spacing w:before="120" w:beforeLines="50" w:after="50"/>
        <w:jc w:val="center"/>
        <w:rPr>
          <w:rFonts w:ascii="宋体" w:hAnsi="宋体"/>
          <w:color w:val="auto"/>
          <w:sz w:val="28"/>
          <w:szCs w:val="28"/>
          <w:highlight w:val="none"/>
        </w:rPr>
      </w:pPr>
    </w:p>
    <w:p w14:paraId="7666F85B">
      <w:pPr>
        <w:snapToGrid w:val="0"/>
        <w:spacing w:before="120" w:beforeLines="50" w:after="50"/>
        <w:jc w:val="center"/>
        <w:rPr>
          <w:rFonts w:ascii="宋体" w:hAnsi="宋体"/>
          <w:color w:val="auto"/>
          <w:sz w:val="28"/>
          <w:szCs w:val="28"/>
          <w:highlight w:val="none"/>
        </w:rPr>
      </w:pPr>
    </w:p>
    <w:p w14:paraId="7F24E20A">
      <w:pPr>
        <w:snapToGrid w:val="0"/>
        <w:spacing w:before="120" w:beforeLines="50" w:after="50"/>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.商务技术文件封面格式： </w:t>
      </w:r>
    </w:p>
    <w:p w14:paraId="1659A728">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2D549821">
      <w:pPr>
        <w:snapToGrid w:val="0"/>
        <w:spacing w:before="120" w:beforeLines="50" w:after="50"/>
        <w:rPr>
          <w:rFonts w:ascii="宋体" w:hAnsi="宋体"/>
          <w:color w:val="auto"/>
          <w:sz w:val="28"/>
          <w:szCs w:val="28"/>
          <w:highlight w:val="none"/>
        </w:rPr>
      </w:pPr>
    </w:p>
    <w:p w14:paraId="59319CF1">
      <w:pPr>
        <w:snapToGrid w:val="0"/>
        <w:spacing w:before="120" w:beforeLines="50" w:after="50"/>
        <w:jc w:val="center"/>
        <w:rPr>
          <w:rFonts w:ascii="宋体" w:hAnsi="宋体"/>
          <w:bCs/>
          <w:color w:val="auto"/>
          <w:sz w:val="28"/>
          <w:szCs w:val="28"/>
          <w:highlight w:val="none"/>
        </w:rPr>
      </w:pPr>
    </w:p>
    <w:p w14:paraId="46786EE6">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商务技术文件</w:t>
      </w:r>
    </w:p>
    <w:p w14:paraId="02EA9832">
      <w:pPr>
        <w:snapToGrid w:val="0"/>
        <w:spacing w:before="120" w:beforeLines="50" w:after="50" w:line="360" w:lineRule="auto"/>
        <w:jc w:val="center"/>
        <w:rPr>
          <w:rFonts w:ascii="宋体" w:hAnsi="宋体"/>
          <w:bCs/>
          <w:color w:val="auto"/>
          <w:sz w:val="28"/>
          <w:szCs w:val="28"/>
          <w:highlight w:val="none"/>
        </w:rPr>
      </w:pPr>
    </w:p>
    <w:p w14:paraId="50F45EC4">
      <w:pPr>
        <w:snapToGrid w:val="0"/>
        <w:spacing w:before="120" w:beforeLines="50" w:after="50" w:line="360" w:lineRule="auto"/>
        <w:jc w:val="center"/>
        <w:rPr>
          <w:rFonts w:ascii="宋体" w:hAnsi="宋体"/>
          <w:bCs/>
          <w:color w:val="auto"/>
          <w:sz w:val="28"/>
          <w:szCs w:val="28"/>
          <w:highlight w:val="none"/>
        </w:rPr>
      </w:pPr>
    </w:p>
    <w:p w14:paraId="048DE3E8">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4E6D3907">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1E003710">
      <w:pPr>
        <w:pStyle w:val="15"/>
        <w:snapToGrid w:val="0"/>
        <w:spacing w:before="50" w:after="50" w:line="360" w:lineRule="auto"/>
        <w:ind w:firstLine="1164" w:firstLineChars="416"/>
        <w:rPr>
          <w:rFonts w:ascii="宋体" w:hAnsi="宋体"/>
          <w:bCs/>
          <w:color w:val="auto"/>
          <w:sz w:val="28"/>
          <w:szCs w:val="28"/>
          <w:highlight w:val="none"/>
        </w:rPr>
      </w:pPr>
    </w:p>
    <w:p w14:paraId="5A262C16">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73A27A39">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4C47FE6E">
      <w:pPr>
        <w:pStyle w:val="15"/>
        <w:snapToGrid w:val="0"/>
        <w:spacing w:before="50" w:after="50"/>
        <w:ind w:firstLine="1120" w:firstLineChars="400"/>
        <w:rPr>
          <w:rFonts w:ascii="宋体" w:hAnsi="宋体"/>
          <w:bCs/>
          <w:color w:val="auto"/>
          <w:sz w:val="28"/>
          <w:szCs w:val="28"/>
          <w:highlight w:val="none"/>
        </w:rPr>
      </w:pPr>
    </w:p>
    <w:p w14:paraId="5B5B4221">
      <w:pPr>
        <w:pStyle w:val="28"/>
        <w:snapToGrid w:val="0"/>
        <w:spacing w:beforeLines="0" w:afterLines="0" w:line="420" w:lineRule="exact"/>
        <w:jc w:val="left"/>
        <w:outlineLvl w:val="0"/>
        <w:rPr>
          <w:rFonts w:hAnsi="宋体"/>
          <w:color w:val="auto"/>
          <w:sz w:val="28"/>
          <w:szCs w:val="28"/>
          <w:highlight w:val="none"/>
        </w:rPr>
      </w:pPr>
      <w:r>
        <w:rPr>
          <w:rFonts w:hint="eastAsia" w:hAnsi="宋体"/>
          <w:color w:val="auto"/>
          <w:sz w:val="28"/>
          <w:szCs w:val="28"/>
          <w:highlight w:val="none"/>
        </w:rPr>
        <w:t xml:space="preserve">                        年  月  日</w:t>
      </w:r>
      <w:r>
        <w:rPr>
          <w:rFonts w:hAnsi="宋体"/>
          <w:color w:val="auto"/>
          <w:sz w:val="28"/>
          <w:szCs w:val="28"/>
          <w:highlight w:val="none"/>
        </w:rPr>
        <w:br w:type="page"/>
      </w:r>
    </w:p>
    <w:p w14:paraId="30727580">
      <w:pPr>
        <w:snapToGrid w:val="0"/>
        <w:spacing w:before="120" w:beforeLines="50" w:after="50"/>
        <w:jc w:val="left"/>
        <w:rPr>
          <w:rFonts w:ascii="宋体" w:hAnsi="宋体"/>
          <w:color w:val="auto"/>
          <w:sz w:val="24"/>
          <w:highlight w:val="none"/>
        </w:rPr>
      </w:pPr>
      <w:bookmarkStart w:id="61" w:name="_Hlk60757098"/>
      <w:r>
        <w:rPr>
          <w:rFonts w:hint="eastAsia" w:ascii="宋体" w:hAnsi="宋体"/>
          <w:color w:val="auto"/>
          <w:sz w:val="24"/>
          <w:highlight w:val="none"/>
          <w:lang w:val="en-US" w:eastAsia="zh-CN"/>
        </w:rPr>
        <w:t>6</w:t>
      </w:r>
      <w:r>
        <w:rPr>
          <w:rFonts w:hint="eastAsia" w:ascii="宋体" w:hAnsi="宋体"/>
          <w:color w:val="auto"/>
          <w:sz w:val="24"/>
          <w:highlight w:val="none"/>
        </w:rPr>
        <w:t>.投标函格式：</w:t>
      </w:r>
      <w:bookmarkEnd w:id="61"/>
    </w:p>
    <w:p w14:paraId="23C93186">
      <w:pPr>
        <w:snapToGrid w:val="0"/>
        <w:spacing w:before="120" w:beforeLines="50" w:after="50"/>
        <w:jc w:val="center"/>
        <w:rPr>
          <w:rFonts w:ascii="宋体" w:hAnsi="宋体"/>
          <w:b/>
          <w:color w:val="auto"/>
          <w:sz w:val="36"/>
          <w:szCs w:val="36"/>
          <w:highlight w:val="none"/>
        </w:rPr>
      </w:pPr>
      <w:r>
        <w:rPr>
          <w:rFonts w:hint="eastAsia" w:ascii="宋体" w:hAnsi="宋体"/>
          <w:b/>
          <w:color w:val="auto"/>
          <w:sz w:val="36"/>
          <w:szCs w:val="36"/>
          <w:highlight w:val="none"/>
        </w:rPr>
        <w:t>投 标 函</w:t>
      </w:r>
    </w:p>
    <w:p w14:paraId="436EB1D6">
      <w:pPr>
        <w:snapToGrid w:val="0"/>
        <w:spacing w:before="120" w:beforeLines="50" w:after="50" w:line="380" w:lineRule="exact"/>
        <w:rPr>
          <w:rFonts w:ascii="宋体" w:hAnsi="宋体"/>
          <w:color w:val="auto"/>
          <w:sz w:val="24"/>
          <w:szCs w:val="20"/>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_（采购</w:t>
      </w:r>
      <w:r>
        <w:rPr>
          <w:rFonts w:hint="eastAsia" w:ascii="宋体" w:hAnsi="宋体"/>
          <w:color w:val="auto"/>
          <w:sz w:val="24"/>
          <w:highlight w:val="none"/>
          <w:lang w:val="en-US" w:eastAsia="zh-CN"/>
        </w:rPr>
        <w:t>人</w:t>
      </w:r>
      <w:r>
        <w:rPr>
          <w:rFonts w:hint="eastAsia" w:ascii="宋体" w:hAnsi="宋体"/>
          <w:color w:val="auto"/>
          <w:sz w:val="24"/>
          <w:highlight w:val="none"/>
        </w:rPr>
        <w:t>名称）：</w:t>
      </w:r>
    </w:p>
    <w:p w14:paraId="70082DB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1、我方自愿参加贵方组织的_____</w:t>
      </w:r>
      <w:r>
        <w:rPr>
          <w:rFonts w:hint="eastAsia" w:ascii="宋体" w:hAnsi="宋体"/>
          <w:color w:val="auto"/>
          <w:sz w:val="24"/>
          <w:highlight w:val="none"/>
          <w:u w:val="single"/>
        </w:rPr>
        <w:t>_              _</w:t>
      </w:r>
      <w:r>
        <w:rPr>
          <w:rFonts w:hint="eastAsia" w:ascii="宋体" w:hAnsi="宋体"/>
          <w:color w:val="auto"/>
          <w:sz w:val="24"/>
          <w:highlight w:val="none"/>
        </w:rPr>
        <w:t>_项目（项目编号：____</w:t>
      </w:r>
      <w:r>
        <w:rPr>
          <w:rFonts w:hint="eastAsia" w:ascii="宋体" w:hAnsi="宋体"/>
          <w:color w:val="auto"/>
          <w:sz w:val="24"/>
          <w:highlight w:val="none"/>
          <w:u w:val="single"/>
        </w:rPr>
        <w:t>_     _</w:t>
      </w:r>
      <w:r>
        <w:rPr>
          <w:rFonts w:hint="eastAsia" w:ascii="宋体" w:hAnsi="宋体"/>
          <w:color w:val="auto"/>
          <w:sz w:val="24"/>
          <w:highlight w:val="none"/>
        </w:rPr>
        <w:t>_）的投标，并</w:t>
      </w:r>
      <w:r>
        <w:rPr>
          <w:rFonts w:ascii="宋体" w:hAnsi="宋体"/>
          <w:color w:val="auto"/>
          <w:sz w:val="24"/>
          <w:highlight w:val="none"/>
        </w:rPr>
        <w:t>按采购文件的要求</w:t>
      </w:r>
      <w:r>
        <w:rPr>
          <w:rFonts w:hint="eastAsia" w:ascii="宋体" w:hAnsi="宋体"/>
          <w:color w:val="auto"/>
          <w:sz w:val="24"/>
          <w:highlight w:val="none"/>
        </w:rPr>
        <w:t>提交商务技术文件、报价文件。</w:t>
      </w:r>
    </w:p>
    <w:p w14:paraId="5CE84AD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、我方完全理解并接受磋商文件（包括修改补</w:t>
      </w:r>
      <w:r>
        <w:rPr>
          <w:rFonts w:ascii="宋体" w:hAnsi="宋体"/>
          <w:color w:val="auto"/>
          <w:sz w:val="24"/>
          <w:highlight w:val="none"/>
        </w:rPr>
        <w:t>充</w:t>
      </w:r>
      <w:r>
        <w:rPr>
          <w:rFonts w:hint="eastAsia" w:ascii="宋体" w:hAnsi="宋体"/>
          <w:color w:val="auto"/>
          <w:sz w:val="24"/>
          <w:highlight w:val="none"/>
        </w:rPr>
        <w:t>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再对磋商文件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14:paraId="5B92D60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、我方不是采购单位的附属机构以及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规定的限制投标单位</w:t>
      </w:r>
      <w:r>
        <w:rPr>
          <w:rFonts w:hint="eastAsia" w:ascii="宋体" w:hAnsi="宋体"/>
          <w:color w:val="auto"/>
          <w:sz w:val="24"/>
          <w:highlight w:val="none"/>
        </w:rPr>
        <w:t>。</w:t>
      </w:r>
    </w:p>
    <w:p w14:paraId="19E24848">
      <w:pPr>
        <w:snapToGrid w:val="0"/>
        <w:spacing w:line="360" w:lineRule="auto"/>
        <w:ind w:firstLine="482" w:firstLineChars="200"/>
        <w:rPr>
          <w:rFonts w:ascii="宋体" w:hAnsi="宋体"/>
          <w:b/>
          <w:bCs/>
          <w:color w:val="auto"/>
          <w:sz w:val="24"/>
          <w:highlight w:val="none"/>
          <w:shd w:val="pct10" w:color="auto" w:fill="FFFFFF"/>
        </w:rPr>
      </w:pPr>
      <w:r>
        <w:rPr>
          <w:rFonts w:ascii="宋体" w:hAnsi="宋体"/>
          <w:b/>
          <w:bCs/>
          <w:color w:val="auto"/>
          <w:sz w:val="24"/>
          <w:highlight w:val="none"/>
          <w:shd w:val="pct10" w:color="auto" w:fill="FFFFFF"/>
        </w:rPr>
        <w:t>4</w:t>
      </w:r>
      <w:r>
        <w:rPr>
          <w:rFonts w:hint="eastAsia" w:ascii="宋体" w:hAnsi="宋体"/>
          <w:b/>
          <w:bCs/>
          <w:color w:val="auto"/>
          <w:sz w:val="24"/>
          <w:highlight w:val="none"/>
          <w:shd w:val="pct10" w:color="auto" w:fill="FFFFFF"/>
        </w:rPr>
        <w:t>.、我方向贵方提交的所有响应文件、资料（包括所有</w:t>
      </w:r>
      <w:bookmarkStart w:id="62" w:name="_Hlk59707887"/>
      <w:r>
        <w:rPr>
          <w:rFonts w:hint="eastAsia" w:ascii="宋体" w:hAnsi="宋体"/>
          <w:b/>
          <w:bCs/>
          <w:color w:val="auto"/>
          <w:sz w:val="24"/>
          <w:highlight w:val="none"/>
          <w:shd w:val="pct10" w:color="auto" w:fill="FFFFFF"/>
        </w:rPr>
        <w:t>证书、合同、报告等</w:t>
      </w:r>
      <w:bookmarkEnd w:id="62"/>
      <w:r>
        <w:rPr>
          <w:rFonts w:hint="eastAsia" w:ascii="宋体" w:hAnsi="宋体"/>
          <w:b/>
          <w:bCs/>
          <w:color w:val="auto"/>
          <w:sz w:val="24"/>
          <w:highlight w:val="none"/>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、自投标截止日起 90天</w:t>
      </w:r>
      <w:r>
        <w:rPr>
          <w:rFonts w:ascii="宋体" w:hAnsi="宋体"/>
          <w:color w:val="auto"/>
          <w:sz w:val="24"/>
          <w:highlight w:val="none"/>
        </w:rPr>
        <w:t>内</w:t>
      </w:r>
      <w:r>
        <w:rPr>
          <w:rFonts w:hint="eastAsia" w:ascii="宋体" w:hAnsi="宋体"/>
          <w:color w:val="auto"/>
          <w:sz w:val="24"/>
          <w:highlight w:val="none"/>
        </w:rPr>
        <w:t>有效。</w:t>
      </w:r>
    </w:p>
    <w:p w14:paraId="4EB72D4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并对招标采购单位</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14:paraId="0F2E061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办理针对上述项目的投标、开标、磋商、签约等具体事务和签署相关文件，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14:paraId="6DD3D89B">
      <w:pPr>
        <w:snapToGrid w:val="0"/>
        <w:spacing w:line="360" w:lineRule="auto"/>
        <w:ind w:firstLine="361" w:firstLineChars="150"/>
        <w:rPr>
          <w:rFonts w:ascii="宋体" w:hAnsi="宋体"/>
          <w:b/>
          <w:bCs/>
          <w:color w:val="auto"/>
          <w:sz w:val="24"/>
          <w:highlight w:val="none"/>
          <w:u w:val="single"/>
          <w:shd w:val="pct10" w:color="auto" w:fill="FFFFFF"/>
        </w:rPr>
      </w:pPr>
      <w:bookmarkStart w:id="63" w:name="_Hlk36048718"/>
      <w:r>
        <w:rPr>
          <w:rFonts w:hint="eastAsia" w:ascii="宋体" w:hAnsi="宋体"/>
          <w:b/>
          <w:bCs/>
          <w:color w:val="auto"/>
          <w:sz w:val="24"/>
          <w:highlight w:val="none"/>
        </w:rPr>
        <w:t>与本投标有关的一切正式往来信函、传真或邮件</w:t>
      </w:r>
      <w:r>
        <w:rPr>
          <w:rFonts w:hint="eastAsia" w:ascii="宋体" w:hAnsi="宋体"/>
          <w:b/>
          <w:bCs/>
          <w:color w:val="auto"/>
          <w:sz w:val="24"/>
          <w:highlight w:val="none"/>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邮寄详细地址：__________</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邮编：__________</w:t>
      </w:r>
    </w:p>
    <w:p w14:paraId="3E91ED38">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收件人姓名：_______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rPr>
        <w:t>联系手机：</w:t>
      </w:r>
      <w:bookmarkStart w:id="64" w:name="_Hlk59370410"/>
      <w:r>
        <w:rPr>
          <w:rFonts w:hint="eastAsia" w:ascii="宋体" w:hAnsi="宋体"/>
          <w:color w:val="auto"/>
          <w:sz w:val="24"/>
          <w:highlight w:val="none"/>
        </w:rPr>
        <w:t>_______</w:t>
      </w:r>
      <w:r>
        <w:rPr>
          <w:rFonts w:hint="eastAsia" w:ascii="宋体" w:hAnsi="宋体"/>
          <w:color w:val="auto"/>
          <w:sz w:val="24"/>
          <w:highlight w:val="none"/>
          <w:u w:val="single"/>
        </w:rPr>
        <w:t>_</w:t>
      </w:r>
      <w:r>
        <w:rPr>
          <w:rFonts w:ascii="宋体" w:hAnsi="宋体"/>
          <w:color w:val="auto"/>
          <w:sz w:val="24"/>
          <w:highlight w:val="none"/>
          <w:u w:val="single"/>
        </w:rPr>
        <w:t xml:space="preserve">       </w:t>
      </w:r>
      <w:bookmarkEnd w:id="64"/>
      <w:r>
        <w:rPr>
          <w:rFonts w:hint="eastAsia" w:ascii="宋体" w:hAnsi="宋体"/>
          <w:color w:val="auto"/>
          <w:sz w:val="24"/>
          <w:highlight w:val="none"/>
        </w:rPr>
        <w:t>公司电子邮箱</w:t>
      </w:r>
      <w:r>
        <w:rPr>
          <w:rFonts w:hint="eastAsia" w:ascii="宋体" w:hAnsi="宋体"/>
          <w:b/>
          <w:bCs/>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r>
        <w:rPr>
          <w:rFonts w:ascii="宋体" w:hAnsi="宋体"/>
          <w:color w:val="auto"/>
          <w:sz w:val="24"/>
          <w:highlight w:val="none"/>
        </w:rPr>
        <w:t xml:space="preserve"> </w:t>
      </w:r>
    </w:p>
    <w:p w14:paraId="2831167E">
      <w:pPr>
        <w:snapToGrid w:val="0"/>
        <w:spacing w:line="360" w:lineRule="auto"/>
        <w:ind w:firstLine="361" w:firstLineChars="150"/>
        <w:jc w:val="left"/>
        <w:rPr>
          <w:rFonts w:ascii="宋体" w:hAnsi="宋体"/>
          <w:b/>
          <w:bCs/>
          <w:color w:val="auto"/>
          <w:sz w:val="24"/>
          <w:highlight w:val="none"/>
          <w:shd w:val="pct10" w:color="auto" w:fill="FFFFFF"/>
        </w:rPr>
      </w:pPr>
      <w:bookmarkStart w:id="65" w:name="_Hlk59370586"/>
      <w:r>
        <w:rPr>
          <w:rFonts w:hint="eastAsia" w:ascii="宋体" w:hAnsi="宋体"/>
          <w:b/>
          <w:bCs/>
          <w:color w:val="auto"/>
          <w:sz w:val="24"/>
          <w:highlight w:val="none"/>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响应文件编制人</w:t>
      </w:r>
      <w:bookmarkEnd w:id="65"/>
      <w:r>
        <w:rPr>
          <w:rFonts w:hint="eastAsia" w:ascii="宋体" w:hAnsi="宋体"/>
          <w:b/>
          <w:bCs/>
          <w:color w:val="auto"/>
          <w:sz w:val="24"/>
          <w:highlight w:val="none"/>
        </w:rPr>
        <w:t>姓名：_</w:t>
      </w:r>
      <w:r>
        <w:rPr>
          <w:rFonts w:hint="eastAsia" w:ascii="宋体" w:hAnsi="宋体"/>
          <w:b/>
          <w:bCs/>
          <w:color w:val="auto"/>
          <w:sz w:val="24"/>
          <w:highlight w:val="none"/>
          <w:u w:val="single"/>
        </w:rPr>
        <w:t>_</w:t>
      </w:r>
      <w:r>
        <w:rPr>
          <w:rFonts w:hint="eastAsia" w:ascii="宋体" w:hAnsi="宋体"/>
          <w:b/>
          <w:bCs/>
          <w:color w:val="auto"/>
          <w:sz w:val="24"/>
          <w:highlight w:val="none"/>
        </w:rPr>
        <w:t xml:space="preserve">________  </w:t>
      </w:r>
      <w:r>
        <w:rPr>
          <w:rFonts w:ascii="宋体" w:hAnsi="宋体"/>
          <w:b/>
          <w:bCs/>
          <w:color w:val="auto"/>
          <w:sz w:val="24"/>
          <w:highlight w:val="none"/>
        </w:rPr>
        <w:t xml:space="preserve">  </w:t>
      </w:r>
      <w:r>
        <w:rPr>
          <w:rFonts w:hint="eastAsia" w:ascii="宋体" w:hAnsi="宋体"/>
          <w:b/>
          <w:bCs/>
          <w:color w:val="auto"/>
          <w:sz w:val="24"/>
          <w:highlight w:val="none"/>
        </w:rPr>
        <w:t>手机号码：__</w:t>
      </w:r>
      <w:r>
        <w:rPr>
          <w:rFonts w:hint="eastAsia" w:ascii="宋体" w:hAnsi="宋体"/>
          <w:b/>
          <w:bCs/>
          <w:color w:val="auto"/>
          <w:sz w:val="24"/>
          <w:highlight w:val="none"/>
          <w:u w:val="single"/>
        </w:rPr>
        <w:t>____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__</w:t>
      </w:r>
    </w:p>
    <w:p w14:paraId="54B92C71">
      <w:pPr>
        <w:snapToGrid w:val="0"/>
        <w:spacing w:line="360" w:lineRule="auto"/>
        <w:ind w:firstLine="361" w:firstLineChars="150"/>
        <w:jc w:val="left"/>
        <w:rPr>
          <w:rFonts w:ascii="宋体" w:hAnsi="宋体"/>
          <w:b/>
          <w:color w:val="auto"/>
          <w:sz w:val="24"/>
          <w:highlight w:val="none"/>
          <w:u w:val="single"/>
          <w:shd w:val="pct10" w:color="auto" w:fill="FFFFFF"/>
        </w:rPr>
      </w:pPr>
      <w:r>
        <w:rPr>
          <w:rFonts w:hint="eastAsia" w:ascii="宋体" w:hAnsi="宋体"/>
          <w:b/>
          <w:color w:val="auto"/>
          <w:sz w:val="24"/>
          <w:highlight w:val="none"/>
          <w:shd w:val="pct10" w:color="auto" w:fill="FFFFFF"/>
        </w:rPr>
        <w:t>法定代表人（签字或盖章）：</w:t>
      </w:r>
    </w:p>
    <w:p w14:paraId="3EAAE434">
      <w:pPr>
        <w:snapToGrid w:val="0"/>
        <w:spacing w:line="360" w:lineRule="auto"/>
        <w:ind w:firstLine="361" w:firstLineChars="150"/>
        <w:jc w:val="left"/>
        <w:rPr>
          <w:rFonts w:ascii="宋体" w:hAnsi="宋体"/>
          <w:b/>
          <w:bCs/>
          <w:color w:val="auto"/>
          <w:sz w:val="24"/>
          <w:highlight w:val="none"/>
        </w:rPr>
      </w:pPr>
      <w:r>
        <w:rPr>
          <w:rFonts w:hint="eastAsia" w:ascii="宋体" w:hAnsi="宋体"/>
          <w:b/>
          <w:color w:val="auto"/>
          <w:sz w:val="24"/>
          <w:highlight w:val="none"/>
          <w:shd w:val="pct10" w:color="auto" w:fill="FFFFFF"/>
        </w:rPr>
        <w:t>被授权人（签字）:</w:t>
      </w:r>
      <w:bookmarkStart w:id="66" w:name="_Hlk34136414"/>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w:t>
      </w:r>
      <w:r>
        <w:rPr>
          <w:rFonts w:hint="eastAsia" w:ascii="宋体" w:hAnsi="宋体"/>
          <w:color w:val="auto"/>
          <w:sz w:val="24"/>
          <w:highlight w:val="none"/>
        </w:rPr>
        <w:t>________</w:t>
      </w:r>
      <w:bookmarkEnd w:id="66"/>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____</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p>
    <w:bookmarkEnd w:id="63"/>
    <w:p w14:paraId="153F4AA7">
      <w:pPr>
        <w:snapToGrid w:val="0"/>
        <w:spacing w:line="360" w:lineRule="auto"/>
        <w:jc w:val="left"/>
        <w:rPr>
          <w:rFonts w:ascii="宋体" w:hAnsi="宋体"/>
          <w:color w:val="auto"/>
          <w:sz w:val="24"/>
          <w:highlight w:val="none"/>
        </w:rPr>
      </w:pPr>
    </w:p>
    <w:p w14:paraId="6DD17FC8">
      <w:pPr>
        <w:snapToGrid w:val="0"/>
        <w:spacing w:line="360" w:lineRule="auto"/>
        <w:ind w:firstLine="482" w:firstLineChars="200"/>
        <w:jc w:val="left"/>
        <w:rPr>
          <w:rFonts w:ascii="宋体" w:hAnsi="宋体"/>
          <w:color w:val="auto"/>
          <w:sz w:val="24"/>
          <w:highlight w:val="none"/>
        </w:rPr>
      </w:pPr>
      <w:r>
        <w:rPr>
          <w:rFonts w:hint="eastAsia" w:ascii="宋体" w:hAnsi="宋体"/>
          <w:b/>
          <w:bCs/>
          <w:color w:val="auto"/>
          <w:sz w:val="24"/>
          <w:highlight w:val="none"/>
        </w:rPr>
        <w:t xml:space="preserve">供应商:(公章) </w:t>
      </w: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日期:_____年___月___日</w:t>
      </w:r>
    </w:p>
    <w:p w14:paraId="10336C94">
      <w:pPr>
        <w:snapToGrid w:val="0"/>
        <w:spacing w:before="120" w:beforeLines="50" w:after="50"/>
        <w:rPr>
          <w:rFonts w:ascii="宋体" w:hAnsi="宋体"/>
          <w:color w:val="auto"/>
          <w:sz w:val="24"/>
          <w:szCs w:val="20"/>
          <w:highlight w:val="none"/>
        </w:rPr>
      </w:pPr>
      <w:r>
        <w:rPr>
          <w:rFonts w:hint="eastAsia" w:ascii="宋体" w:hAnsi="宋体"/>
          <w:color w:val="auto"/>
          <w:highlight w:val="none"/>
        </w:rPr>
        <w:br w:type="page"/>
      </w:r>
      <w:r>
        <w:rPr>
          <w:rFonts w:hint="eastAsia" w:ascii="宋体" w:hAnsi="宋体"/>
          <w:color w:val="auto"/>
          <w:sz w:val="24"/>
          <w:highlight w:val="none"/>
          <w:lang w:val="en-US" w:eastAsia="zh-CN"/>
        </w:rPr>
        <w:t>7</w:t>
      </w:r>
      <w:r>
        <w:rPr>
          <w:rFonts w:hint="eastAsia" w:ascii="宋体" w:hAnsi="宋体"/>
          <w:color w:val="auto"/>
          <w:sz w:val="24"/>
          <w:highlight w:val="none"/>
        </w:rPr>
        <w:t>.法定代表人授权委托书格式：</w:t>
      </w:r>
    </w:p>
    <w:p w14:paraId="185BC0BD">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法定代表人授权委托书</w:t>
      </w:r>
    </w:p>
    <w:p w14:paraId="199BF17E">
      <w:pPr>
        <w:snapToGrid w:val="0"/>
        <w:spacing w:before="120" w:beforeLines="50" w:after="50" w:line="460" w:lineRule="exact"/>
        <w:rPr>
          <w:rFonts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olor w:val="auto"/>
          <w:sz w:val="24"/>
          <w:highlight w:val="none"/>
        </w:rPr>
        <w:t>______</w:t>
      </w:r>
      <w:r>
        <w:rPr>
          <w:rFonts w:hint="eastAsia" w:ascii="宋体" w:hAnsi="宋体"/>
          <w:color w:val="auto"/>
          <w:sz w:val="24"/>
          <w:highlight w:val="none"/>
          <w:u w:val="single"/>
        </w:rPr>
        <w:t>_     _</w:t>
      </w:r>
      <w:r>
        <w:rPr>
          <w:rFonts w:hint="eastAsia" w:ascii="宋体" w:hAnsi="宋体"/>
          <w:color w:val="auto"/>
          <w:sz w:val="24"/>
          <w:highlight w:val="none"/>
        </w:rPr>
        <w:t>_（采购</w:t>
      </w:r>
      <w:r>
        <w:rPr>
          <w:rFonts w:hint="eastAsia" w:ascii="宋体" w:hAnsi="宋体"/>
          <w:color w:val="auto"/>
          <w:sz w:val="24"/>
          <w:highlight w:val="none"/>
          <w:lang w:val="en-US" w:eastAsia="zh-CN"/>
        </w:rPr>
        <w:t>人</w:t>
      </w:r>
      <w:r>
        <w:rPr>
          <w:rFonts w:hint="eastAsia" w:ascii="宋体" w:hAnsi="宋体"/>
          <w:color w:val="auto"/>
          <w:sz w:val="24"/>
          <w:highlight w:val="none"/>
        </w:rPr>
        <w:t>名称）：</w:t>
      </w:r>
    </w:p>
    <w:p w14:paraId="305F86A8">
      <w:pPr>
        <w:snapToGrid w:val="0"/>
        <w:spacing w:before="120" w:beforeLines="50" w:after="50"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我</w:t>
      </w:r>
      <w:bookmarkStart w:id="67" w:name="_Hlk12177807"/>
      <w:r>
        <w:rPr>
          <w:rFonts w:hint="eastAsia" w:ascii="宋体" w:hAnsi="宋体"/>
          <w:color w:val="auto"/>
          <w:sz w:val="24"/>
          <w:highlight w:val="none"/>
        </w:rPr>
        <w:t>______</w:t>
      </w:r>
      <w:r>
        <w:rPr>
          <w:rFonts w:hint="eastAsia" w:ascii="宋体" w:hAnsi="宋体"/>
          <w:color w:val="auto"/>
          <w:sz w:val="24"/>
          <w:highlight w:val="none"/>
          <w:u w:val="single"/>
        </w:rPr>
        <w:t>_</w:t>
      </w:r>
      <w:r>
        <w:rPr>
          <w:rFonts w:hint="eastAsia" w:ascii="宋体" w:hAnsi="宋体"/>
          <w:color w:val="auto"/>
          <w:sz w:val="24"/>
          <w:highlight w:val="none"/>
        </w:rPr>
        <w:t>_</w:t>
      </w:r>
      <w:bookmarkEnd w:id="67"/>
      <w:r>
        <w:rPr>
          <w:rFonts w:hint="eastAsia" w:ascii="宋体" w:hAnsi="宋体"/>
          <w:color w:val="auto"/>
          <w:sz w:val="24"/>
          <w:highlight w:val="none"/>
        </w:rPr>
        <w:t>（姓名）系______</w:t>
      </w:r>
      <w:r>
        <w:rPr>
          <w:rFonts w:hint="eastAsia" w:ascii="宋体" w:hAnsi="宋体"/>
          <w:color w:val="auto"/>
          <w:sz w:val="24"/>
          <w:highlight w:val="none"/>
          <w:u w:val="single"/>
        </w:rPr>
        <w:t>_     _</w:t>
      </w:r>
      <w:r>
        <w:rPr>
          <w:rFonts w:hint="eastAsia" w:ascii="宋体" w:hAnsi="宋体"/>
          <w:color w:val="auto"/>
          <w:sz w:val="24"/>
          <w:highlight w:val="none"/>
        </w:rPr>
        <w:t xml:space="preserve">_（投标单位名称）的法定代表人，现授权委托本单位职工 </w:t>
      </w:r>
      <w:bookmarkStart w:id="68" w:name="_Hlk12177819"/>
      <w:r>
        <w:rPr>
          <w:rFonts w:hint="eastAsia" w:ascii="宋体" w:hAnsi="宋体"/>
          <w:color w:val="auto"/>
          <w:sz w:val="24"/>
          <w:highlight w:val="none"/>
        </w:rPr>
        <w:t>______</w:t>
      </w:r>
      <w:r>
        <w:rPr>
          <w:rFonts w:hint="eastAsia" w:ascii="宋体" w:hAnsi="宋体"/>
          <w:color w:val="auto"/>
          <w:sz w:val="24"/>
          <w:highlight w:val="none"/>
          <w:u w:val="single"/>
        </w:rPr>
        <w:t xml:space="preserve">_ </w:t>
      </w:r>
      <w:bookmarkEnd w:id="68"/>
      <w:r>
        <w:rPr>
          <w:rFonts w:hint="eastAsia" w:ascii="宋体" w:hAnsi="宋体"/>
          <w:color w:val="auto"/>
          <w:sz w:val="24"/>
          <w:highlight w:val="none"/>
        </w:rPr>
        <w:t>（姓名）以我方的名义参加______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14:paraId="3AC8B546">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6B78BC25">
      <w:pPr>
        <w:snapToGrid w:val="0"/>
        <w:spacing w:before="120" w:beforeLines="50" w:after="50" w:line="460" w:lineRule="exact"/>
        <w:rPr>
          <w:rFonts w:ascii="宋体" w:hAnsi="宋体"/>
          <w:color w:val="auto"/>
          <w:sz w:val="28"/>
          <w:szCs w:val="28"/>
          <w:highlight w:val="none"/>
        </w:rPr>
      </w:pPr>
      <w:r>
        <w:rPr>
          <w:rFonts w:hint="eastAsia" w:ascii="宋体" w:hAnsi="宋体"/>
          <w:b/>
          <w:bCs/>
          <w:color w:val="auto"/>
          <w:sz w:val="28"/>
          <w:szCs w:val="28"/>
          <w:highlight w:val="none"/>
          <w:u w:val="single"/>
        </w:rPr>
        <w:t>法定代表人签名或盖章：</w:t>
      </w:r>
      <w:r>
        <w:rPr>
          <w:rFonts w:hint="eastAsia" w:ascii="宋体" w:hAnsi="宋体"/>
          <w:b/>
          <w:bCs/>
          <w:color w:val="auto"/>
          <w:sz w:val="28"/>
          <w:szCs w:val="28"/>
          <w:highlight w:val="none"/>
        </w:rPr>
        <w:t xml:space="preserve"> </w:t>
      </w:r>
      <w:r>
        <w:rPr>
          <w:rFonts w:ascii="宋体" w:hAnsi="宋体"/>
          <w:b/>
          <w:bCs/>
          <w:color w:val="auto"/>
          <w:sz w:val="28"/>
          <w:szCs w:val="28"/>
          <w:highlight w:val="none"/>
        </w:rPr>
        <w:t xml:space="preserve">            </w:t>
      </w:r>
      <w:r>
        <w:rPr>
          <w:rFonts w:hint="eastAsia" w:ascii="宋体" w:hAnsi="宋体"/>
          <w:b/>
          <w:bCs/>
          <w:color w:val="auto"/>
          <w:sz w:val="28"/>
          <w:szCs w:val="28"/>
          <w:highlight w:val="none"/>
          <w:u w:val="single"/>
        </w:rPr>
        <w:t xml:space="preserve">被授权人签字： </w:t>
      </w:r>
      <w:r>
        <w:rPr>
          <w:rFonts w:hint="eastAsia" w:ascii="宋体" w:hAnsi="宋体"/>
          <w:color w:val="auto"/>
          <w:sz w:val="28"/>
          <w:szCs w:val="28"/>
          <w:highlight w:val="none"/>
        </w:rPr>
        <w:t xml:space="preserve">               </w:t>
      </w:r>
    </w:p>
    <w:p w14:paraId="25DB9FE6">
      <w:pPr>
        <w:snapToGrid w:val="0"/>
        <w:spacing w:before="120" w:beforeLines="50" w:after="50" w:line="460" w:lineRule="exact"/>
        <w:rPr>
          <w:rFonts w:ascii="宋体" w:hAnsi="宋体"/>
          <w:color w:val="auto"/>
          <w:sz w:val="24"/>
          <w:szCs w:val="20"/>
          <w:highlight w:val="none"/>
          <w:u w:val="single"/>
        </w:rPr>
      </w:pPr>
    </w:p>
    <w:p w14:paraId="708BA95F">
      <w:pPr>
        <w:snapToGrid w:val="0"/>
        <w:spacing w:before="120" w:beforeLines="50" w:after="50" w:line="460" w:lineRule="exact"/>
        <w:rPr>
          <w:rFonts w:ascii="宋体" w:hAnsi="宋体"/>
          <w:b/>
          <w:bCs/>
          <w:color w:val="auto"/>
          <w:sz w:val="28"/>
          <w:szCs w:val="28"/>
          <w:highlight w:val="none"/>
        </w:rPr>
      </w:pPr>
      <w:r>
        <w:rPr>
          <w:rFonts w:hint="eastAsia" w:ascii="宋体" w:hAnsi="宋体"/>
          <w:b/>
          <w:bCs/>
          <w:color w:val="auto"/>
          <w:sz w:val="28"/>
          <w:szCs w:val="28"/>
          <w:highlight w:val="none"/>
        </w:rPr>
        <w:t xml:space="preserve">法定代表人身份证复印件 </w:t>
      </w:r>
      <w:r>
        <w:rPr>
          <w:rFonts w:ascii="宋体" w:hAnsi="宋体"/>
          <w:b/>
          <w:bCs/>
          <w:color w:val="auto"/>
          <w:sz w:val="28"/>
          <w:szCs w:val="28"/>
          <w:highlight w:val="none"/>
        </w:rPr>
        <w:t xml:space="preserve">           </w:t>
      </w:r>
      <w:r>
        <w:rPr>
          <w:rFonts w:hint="eastAsia" w:ascii="宋体" w:hAnsi="宋体"/>
          <w:b/>
          <w:bCs/>
          <w:color w:val="auto"/>
          <w:sz w:val="28"/>
          <w:szCs w:val="28"/>
          <w:highlight w:val="none"/>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rPr>
          <w:trHeight w:val="3238" w:hRule="atLeast"/>
        </w:trPr>
        <w:tc>
          <w:tcPr>
            <w:tcW w:w="4962" w:type="dxa"/>
          </w:tcPr>
          <w:p w14:paraId="49F1670E">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c>
          <w:tcPr>
            <w:tcW w:w="4961" w:type="dxa"/>
          </w:tcPr>
          <w:p w14:paraId="5A931411">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color w:val="auto"/>
                <w:sz w:val="30"/>
                <w:szCs w:val="30"/>
                <w:highlight w:val="none"/>
              </w:rPr>
            </w:pPr>
          </w:p>
        </w:tc>
        <w:tc>
          <w:tcPr>
            <w:tcW w:w="4961" w:type="dxa"/>
          </w:tcPr>
          <w:p w14:paraId="7675066F">
            <w:pPr>
              <w:spacing w:line="360" w:lineRule="auto"/>
              <w:rPr>
                <w:color w:val="auto"/>
                <w:sz w:val="30"/>
                <w:szCs w:val="30"/>
                <w:highlight w:val="none"/>
              </w:rPr>
            </w:pPr>
          </w:p>
        </w:tc>
      </w:tr>
    </w:tbl>
    <w:p w14:paraId="79511A46">
      <w:pPr>
        <w:snapToGrid w:val="0"/>
        <w:spacing w:line="360" w:lineRule="auto"/>
        <w:jc w:val="left"/>
        <w:rPr>
          <w:rFonts w:ascii="宋体" w:hAnsi="宋体"/>
          <w:color w:val="auto"/>
          <w:sz w:val="24"/>
          <w:highlight w:val="none"/>
        </w:rPr>
      </w:pPr>
    </w:p>
    <w:p w14:paraId="2F5D47D4">
      <w:pPr>
        <w:snapToGrid w:val="0"/>
        <w:spacing w:line="360" w:lineRule="auto"/>
        <w:jc w:val="left"/>
        <w:rPr>
          <w:rFonts w:ascii="宋体" w:hAnsi="宋体"/>
          <w:color w:val="auto"/>
          <w:sz w:val="24"/>
          <w:highlight w:val="none"/>
        </w:rPr>
      </w:pPr>
      <w:r>
        <w:rPr>
          <w:rFonts w:hint="eastAsia" w:ascii="宋体" w:hAnsi="宋体"/>
          <w:b/>
          <w:bCs/>
          <w:color w:val="auto"/>
          <w:sz w:val="24"/>
          <w:highlight w:val="none"/>
        </w:rPr>
        <w:t xml:space="preserve">供应商:(公章) </w:t>
      </w:r>
      <w:r>
        <w:rPr>
          <w:rFonts w:ascii="宋体" w:hAnsi="宋体"/>
          <w:color w:val="auto"/>
          <w:sz w:val="24"/>
          <w:highlight w:val="none"/>
        </w:rPr>
        <w:t xml:space="preserve">                                 </w:t>
      </w:r>
      <w:r>
        <w:rPr>
          <w:rFonts w:hint="eastAsia" w:ascii="宋体" w:hAnsi="宋体"/>
          <w:b/>
          <w:color w:val="auto"/>
          <w:sz w:val="24"/>
          <w:highlight w:val="none"/>
        </w:rPr>
        <w:t>日期:_____年___月___日</w:t>
      </w:r>
    </w:p>
    <w:p w14:paraId="2712378E">
      <w:pPr>
        <w:snapToGrid w:val="0"/>
        <w:spacing w:before="120" w:beforeLines="50" w:after="50" w:line="460" w:lineRule="exact"/>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.服务内容响应表格式：</w:t>
      </w:r>
    </w:p>
    <w:p w14:paraId="43E997B4">
      <w:pPr>
        <w:snapToGrid w:val="0"/>
        <w:spacing w:before="120" w:beforeLines="50" w:after="50" w:line="360" w:lineRule="auto"/>
        <w:jc w:val="center"/>
        <w:rPr>
          <w:rFonts w:ascii="宋体" w:hAnsi="宋体"/>
          <w:b/>
          <w:color w:val="auto"/>
          <w:sz w:val="24"/>
          <w:highlight w:val="none"/>
        </w:rPr>
      </w:pPr>
      <w:r>
        <w:rPr>
          <w:rFonts w:hint="eastAsia" w:ascii="宋体" w:hAnsi="宋体"/>
          <w:b/>
          <w:color w:val="auto"/>
          <w:sz w:val="24"/>
          <w:highlight w:val="none"/>
        </w:rPr>
        <w:t>服务内容响应表</w:t>
      </w:r>
    </w:p>
    <w:p w14:paraId="71C5B6CE">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14AC121F">
      <w:pPr>
        <w:snapToGrid w:val="0"/>
        <w:spacing w:before="120" w:beforeLines="50" w:after="50" w:line="360" w:lineRule="auto"/>
        <w:rPr>
          <w:rFonts w:ascii="宋体" w:hAnsi="宋体"/>
          <w:bCs/>
          <w:color w:val="auto"/>
          <w:sz w:val="24"/>
          <w:highlight w:val="none"/>
        </w:rPr>
      </w:pPr>
      <w:r>
        <w:rPr>
          <w:rFonts w:hint="eastAsia" w:ascii="宋体" w:hAnsi="宋体"/>
          <w:bCs/>
          <w:color w:val="auto"/>
          <w:sz w:val="24"/>
          <w:highlight w:val="none"/>
        </w:rPr>
        <w:t>项目编号：</w:t>
      </w:r>
    </w:p>
    <w:tbl>
      <w:tblPr>
        <w:tblStyle w:val="48"/>
        <w:tblW w:w="0" w:type="auto"/>
        <w:tblInd w:w="93" w:type="dxa"/>
        <w:tblLayout w:type="fixed"/>
        <w:tblCellMar>
          <w:top w:w="0" w:type="dxa"/>
          <w:left w:w="108" w:type="dxa"/>
          <w:bottom w:w="0" w:type="dxa"/>
          <w:right w:w="108" w:type="dxa"/>
        </w:tblCellMar>
      </w:tblPr>
      <w:tblGrid>
        <w:gridCol w:w="1036"/>
        <w:gridCol w:w="2552"/>
        <w:gridCol w:w="3544"/>
        <w:gridCol w:w="1417"/>
      </w:tblGrid>
      <w:tr w14:paraId="73CD701D">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764BE">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A233B">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DB210">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22C9420">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0F979FB2">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08331A0">
            <w:pPr>
              <w:widowControl/>
              <w:jc w:val="left"/>
              <w:rPr>
                <w:rFonts w:ascii="宋体" w:hAnsi="宋体" w:cs="宋体"/>
                <w:color w:val="auto"/>
                <w:kern w:val="0"/>
                <w:sz w:val="24"/>
                <w:highlight w:val="none"/>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4B9C7AE0">
            <w:pPr>
              <w:widowControl/>
              <w:jc w:val="left"/>
              <w:rPr>
                <w:rFonts w:ascii="宋体" w:hAnsi="宋体" w:cs="宋体"/>
                <w:color w:val="auto"/>
                <w:kern w:val="0"/>
                <w:sz w:val="24"/>
                <w:highlight w:val="none"/>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6332B98">
            <w:pPr>
              <w:widowControl/>
              <w:jc w:val="left"/>
              <w:rPr>
                <w:rFonts w:ascii="宋体" w:hAnsi="宋体" w:cs="宋体"/>
                <w:color w:val="auto"/>
                <w:kern w:val="0"/>
                <w:sz w:val="24"/>
                <w:highlight w:val="none"/>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1F4DA7EC">
            <w:pPr>
              <w:widowControl/>
              <w:jc w:val="left"/>
              <w:rPr>
                <w:rFonts w:ascii="宋体" w:hAnsi="宋体" w:cs="宋体"/>
                <w:color w:val="auto"/>
                <w:kern w:val="0"/>
                <w:sz w:val="24"/>
                <w:highlight w:val="none"/>
              </w:rPr>
            </w:pPr>
          </w:p>
        </w:tc>
      </w:tr>
      <w:tr w14:paraId="434F4E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3DD84A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552" w:type="dxa"/>
            <w:tcBorders>
              <w:top w:val="nil"/>
              <w:left w:val="nil"/>
              <w:bottom w:val="single" w:color="000000" w:sz="4" w:space="0"/>
              <w:right w:val="single" w:color="000000" w:sz="4" w:space="0"/>
            </w:tcBorders>
            <w:shd w:val="clear" w:color="auto" w:fill="FFFFFF"/>
            <w:vAlign w:val="center"/>
          </w:tcPr>
          <w:p w14:paraId="1EB18662">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09FF756">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2241F7">
            <w:pPr>
              <w:widowControl/>
              <w:jc w:val="center"/>
              <w:rPr>
                <w:rFonts w:ascii="宋体" w:hAnsi="宋体" w:cs="宋体"/>
                <w:color w:val="auto"/>
                <w:kern w:val="0"/>
                <w:sz w:val="24"/>
                <w:highlight w:val="none"/>
              </w:rPr>
            </w:pPr>
          </w:p>
        </w:tc>
      </w:tr>
      <w:tr w14:paraId="12BF698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D63C0D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552" w:type="dxa"/>
            <w:tcBorders>
              <w:top w:val="nil"/>
              <w:left w:val="nil"/>
              <w:bottom w:val="single" w:color="000000" w:sz="4" w:space="0"/>
              <w:right w:val="single" w:color="000000" w:sz="4" w:space="0"/>
            </w:tcBorders>
            <w:shd w:val="clear" w:color="auto" w:fill="FFFFFF"/>
            <w:vAlign w:val="center"/>
          </w:tcPr>
          <w:p w14:paraId="24847510">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046696F">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AA524BE">
            <w:pPr>
              <w:widowControl/>
              <w:jc w:val="center"/>
              <w:rPr>
                <w:rFonts w:ascii="宋体" w:hAnsi="宋体" w:cs="宋体"/>
                <w:color w:val="auto"/>
                <w:kern w:val="0"/>
                <w:sz w:val="24"/>
                <w:highlight w:val="none"/>
              </w:rPr>
            </w:pPr>
          </w:p>
        </w:tc>
      </w:tr>
      <w:tr w14:paraId="19E3638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EB557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552" w:type="dxa"/>
            <w:tcBorders>
              <w:top w:val="nil"/>
              <w:left w:val="nil"/>
              <w:bottom w:val="single" w:color="000000" w:sz="4" w:space="0"/>
              <w:right w:val="single" w:color="000000" w:sz="4" w:space="0"/>
            </w:tcBorders>
            <w:shd w:val="clear" w:color="auto" w:fill="FFFFFF"/>
            <w:vAlign w:val="center"/>
          </w:tcPr>
          <w:p w14:paraId="5D405AC1">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DC9EAA4">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D41E8A">
            <w:pPr>
              <w:widowControl/>
              <w:jc w:val="center"/>
              <w:rPr>
                <w:rFonts w:ascii="宋体" w:hAnsi="宋体" w:cs="宋体"/>
                <w:color w:val="auto"/>
                <w:kern w:val="0"/>
                <w:sz w:val="24"/>
                <w:highlight w:val="none"/>
              </w:rPr>
            </w:pPr>
          </w:p>
        </w:tc>
      </w:tr>
      <w:tr w14:paraId="571455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689DD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552" w:type="dxa"/>
            <w:tcBorders>
              <w:top w:val="nil"/>
              <w:left w:val="nil"/>
              <w:bottom w:val="single" w:color="000000" w:sz="4" w:space="0"/>
              <w:right w:val="single" w:color="000000" w:sz="4" w:space="0"/>
            </w:tcBorders>
            <w:shd w:val="clear" w:color="auto" w:fill="FFFFFF"/>
            <w:vAlign w:val="center"/>
          </w:tcPr>
          <w:p w14:paraId="3411297A">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EDE45AE">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B023423">
            <w:pPr>
              <w:widowControl/>
              <w:jc w:val="center"/>
              <w:rPr>
                <w:rFonts w:ascii="宋体" w:hAnsi="宋体" w:cs="宋体"/>
                <w:color w:val="auto"/>
                <w:kern w:val="0"/>
                <w:sz w:val="24"/>
                <w:highlight w:val="none"/>
              </w:rPr>
            </w:pPr>
          </w:p>
        </w:tc>
      </w:tr>
      <w:tr w14:paraId="5F4778F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EC5CA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552" w:type="dxa"/>
            <w:tcBorders>
              <w:top w:val="nil"/>
              <w:left w:val="nil"/>
              <w:bottom w:val="single" w:color="000000" w:sz="4" w:space="0"/>
              <w:right w:val="single" w:color="000000" w:sz="4" w:space="0"/>
            </w:tcBorders>
            <w:shd w:val="clear" w:color="auto" w:fill="FFFFFF"/>
            <w:vAlign w:val="center"/>
          </w:tcPr>
          <w:p w14:paraId="3E61EFD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DD066C4">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9F5E7F">
            <w:pPr>
              <w:widowControl/>
              <w:jc w:val="center"/>
              <w:rPr>
                <w:rFonts w:ascii="宋体" w:hAnsi="宋体" w:cs="宋体"/>
                <w:color w:val="auto"/>
                <w:kern w:val="0"/>
                <w:sz w:val="24"/>
                <w:highlight w:val="none"/>
              </w:rPr>
            </w:pPr>
          </w:p>
        </w:tc>
      </w:tr>
      <w:tr w14:paraId="6E0052E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0B6BEB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552" w:type="dxa"/>
            <w:tcBorders>
              <w:top w:val="nil"/>
              <w:left w:val="nil"/>
              <w:bottom w:val="single" w:color="000000" w:sz="4" w:space="0"/>
              <w:right w:val="single" w:color="000000" w:sz="4" w:space="0"/>
            </w:tcBorders>
            <w:shd w:val="clear" w:color="auto" w:fill="FFFFFF"/>
            <w:vAlign w:val="center"/>
          </w:tcPr>
          <w:p w14:paraId="1E1805F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43D1528">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4E982E">
            <w:pPr>
              <w:widowControl/>
              <w:jc w:val="center"/>
              <w:rPr>
                <w:rFonts w:ascii="宋体" w:hAnsi="宋体" w:cs="宋体"/>
                <w:color w:val="auto"/>
                <w:kern w:val="0"/>
                <w:sz w:val="24"/>
                <w:highlight w:val="none"/>
              </w:rPr>
            </w:pPr>
          </w:p>
        </w:tc>
      </w:tr>
      <w:tr w14:paraId="2206748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54DD51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552" w:type="dxa"/>
            <w:tcBorders>
              <w:top w:val="nil"/>
              <w:left w:val="nil"/>
              <w:bottom w:val="single" w:color="000000" w:sz="4" w:space="0"/>
              <w:right w:val="single" w:color="000000" w:sz="4" w:space="0"/>
            </w:tcBorders>
            <w:shd w:val="clear" w:color="auto" w:fill="FFFFFF"/>
            <w:vAlign w:val="center"/>
          </w:tcPr>
          <w:p w14:paraId="029E989E">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ED66D3E">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2A67081">
            <w:pPr>
              <w:widowControl/>
              <w:jc w:val="center"/>
              <w:rPr>
                <w:rFonts w:ascii="宋体" w:hAnsi="宋体" w:cs="宋体"/>
                <w:color w:val="auto"/>
                <w:kern w:val="0"/>
                <w:sz w:val="24"/>
                <w:highlight w:val="none"/>
              </w:rPr>
            </w:pPr>
          </w:p>
        </w:tc>
      </w:tr>
      <w:tr w14:paraId="1E986CE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64F850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552" w:type="dxa"/>
            <w:tcBorders>
              <w:top w:val="nil"/>
              <w:left w:val="nil"/>
              <w:bottom w:val="single" w:color="000000" w:sz="4" w:space="0"/>
              <w:right w:val="single" w:color="000000" w:sz="4" w:space="0"/>
            </w:tcBorders>
            <w:shd w:val="clear" w:color="auto" w:fill="FFFFFF"/>
            <w:vAlign w:val="center"/>
          </w:tcPr>
          <w:p w14:paraId="6304687F">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63F7D3D">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D338477">
            <w:pPr>
              <w:widowControl/>
              <w:jc w:val="center"/>
              <w:rPr>
                <w:rFonts w:ascii="宋体" w:hAnsi="宋体" w:cs="宋体"/>
                <w:color w:val="auto"/>
                <w:kern w:val="0"/>
                <w:sz w:val="24"/>
                <w:highlight w:val="none"/>
              </w:rPr>
            </w:pPr>
          </w:p>
        </w:tc>
      </w:tr>
      <w:tr w14:paraId="07F313A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53ABD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552" w:type="dxa"/>
            <w:tcBorders>
              <w:top w:val="nil"/>
              <w:left w:val="nil"/>
              <w:bottom w:val="single" w:color="000000" w:sz="4" w:space="0"/>
              <w:right w:val="single" w:color="000000" w:sz="4" w:space="0"/>
            </w:tcBorders>
            <w:shd w:val="clear" w:color="auto" w:fill="FFFFFF"/>
            <w:vAlign w:val="center"/>
          </w:tcPr>
          <w:p w14:paraId="0A364211">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5F0CCEAB">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B98EA3F">
            <w:pPr>
              <w:widowControl/>
              <w:jc w:val="center"/>
              <w:rPr>
                <w:rFonts w:ascii="宋体" w:hAnsi="宋体" w:cs="宋体"/>
                <w:color w:val="auto"/>
                <w:kern w:val="0"/>
                <w:sz w:val="24"/>
                <w:highlight w:val="none"/>
              </w:rPr>
            </w:pPr>
          </w:p>
        </w:tc>
      </w:tr>
      <w:tr w14:paraId="7768BE6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F5858F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552" w:type="dxa"/>
            <w:tcBorders>
              <w:top w:val="nil"/>
              <w:left w:val="nil"/>
              <w:bottom w:val="single" w:color="000000" w:sz="4" w:space="0"/>
              <w:right w:val="single" w:color="000000" w:sz="4" w:space="0"/>
            </w:tcBorders>
            <w:shd w:val="clear" w:color="auto" w:fill="FFFFFF"/>
            <w:vAlign w:val="center"/>
          </w:tcPr>
          <w:p w14:paraId="48F551E3">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438D7ED">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AD5A0">
            <w:pPr>
              <w:widowControl/>
              <w:jc w:val="center"/>
              <w:rPr>
                <w:rFonts w:ascii="宋体" w:hAnsi="宋体" w:cs="宋体"/>
                <w:color w:val="auto"/>
                <w:kern w:val="0"/>
                <w:sz w:val="24"/>
                <w:highlight w:val="none"/>
              </w:rPr>
            </w:pPr>
          </w:p>
        </w:tc>
      </w:tr>
      <w:tr w14:paraId="3EDEEF0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D27A60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552" w:type="dxa"/>
            <w:tcBorders>
              <w:top w:val="nil"/>
              <w:left w:val="nil"/>
              <w:bottom w:val="single" w:color="000000" w:sz="4" w:space="0"/>
              <w:right w:val="single" w:color="000000" w:sz="4" w:space="0"/>
            </w:tcBorders>
            <w:shd w:val="clear" w:color="auto" w:fill="FFFFFF"/>
            <w:vAlign w:val="center"/>
          </w:tcPr>
          <w:p w14:paraId="684120B8">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5D70F5F3">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CCFFD4">
            <w:pPr>
              <w:widowControl/>
              <w:jc w:val="center"/>
              <w:rPr>
                <w:rFonts w:ascii="宋体" w:hAnsi="宋体" w:cs="宋体"/>
                <w:color w:val="auto"/>
                <w:kern w:val="0"/>
                <w:sz w:val="24"/>
                <w:highlight w:val="none"/>
              </w:rPr>
            </w:pPr>
          </w:p>
        </w:tc>
      </w:tr>
      <w:tr w14:paraId="0B5196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E5F1F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552" w:type="dxa"/>
            <w:tcBorders>
              <w:top w:val="nil"/>
              <w:left w:val="nil"/>
              <w:bottom w:val="single" w:color="000000" w:sz="4" w:space="0"/>
              <w:right w:val="single" w:color="000000" w:sz="4" w:space="0"/>
            </w:tcBorders>
            <w:shd w:val="clear" w:color="auto" w:fill="FFFFFF"/>
            <w:vAlign w:val="center"/>
          </w:tcPr>
          <w:p w14:paraId="4030ECCA">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4543F172">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0A6E45B">
            <w:pPr>
              <w:widowControl/>
              <w:jc w:val="center"/>
              <w:rPr>
                <w:rFonts w:ascii="宋体" w:hAnsi="宋体" w:cs="宋体"/>
                <w:color w:val="auto"/>
                <w:kern w:val="0"/>
                <w:sz w:val="24"/>
                <w:highlight w:val="none"/>
              </w:rPr>
            </w:pPr>
          </w:p>
        </w:tc>
      </w:tr>
      <w:tr w14:paraId="43F1C7C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907640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552" w:type="dxa"/>
            <w:tcBorders>
              <w:top w:val="nil"/>
              <w:left w:val="nil"/>
              <w:bottom w:val="single" w:color="000000" w:sz="4" w:space="0"/>
              <w:right w:val="single" w:color="000000" w:sz="4" w:space="0"/>
            </w:tcBorders>
            <w:shd w:val="clear" w:color="auto" w:fill="FFFFFF"/>
            <w:vAlign w:val="center"/>
          </w:tcPr>
          <w:p w14:paraId="158C1D4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BE68EF4">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9D011E">
            <w:pPr>
              <w:widowControl/>
              <w:jc w:val="center"/>
              <w:rPr>
                <w:rFonts w:ascii="宋体" w:hAnsi="宋体" w:cs="宋体"/>
                <w:color w:val="auto"/>
                <w:kern w:val="0"/>
                <w:sz w:val="24"/>
                <w:highlight w:val="none"/>
              </w:rPr>
            </w:pPr>
          </w:p>
        </w:tc>
      </w:tr>
    </w:tbl>
    <w:p w14:paraId="2CEA15F5">
      <w:pPr>
        <w:snapToGrid w:val="0"/>
        <w:spacing w:before="50" w:after="120" w:afterLines="50"/>
        <w:jc w:val="left"/>
        <w:rPr>
          <w:rFonts w:ascii="宋体" w:hAnsi="宋体"/>
          <w:color w:val="auto"/>
          <w:spacing w:val="20"/>
          <w:sz w:val="24"/>
          <w:highlight w:val="none"/>
        </w:rPr>
      </w:pPr>
    </w:p>
    <w:p w14:paraId="681830FC">
      <w:pPr>
        <w:snapToGrid w:val="0"/>
        <w:spacing w:before="120" w:beforeLines="50" w:after="50" w:line="360" w:lineRule="auto"/>
        <w:rPr>
          <w:rFonts w:ascii="宋体" w:hAnsi="宋体"/>
          <w:b/>
          <w:color w:val="auto"/>
          <w:sz w:val="24"/>
          <w:highlight w:val="none"/>
        </w:rPr>
      </w:pPr>
      <w:r>
        <w:rPr>
          <w:rFonts w:hint="eastAsia" w:ascii="宋体" w:hAnsi="宋体"/>
          <w:b/>
          <w:color w:val="auto"/>
          <w:sz w:val="24"/>
          <w:highlight w:val="none"/>
        </w:rPr>
        <w:t>注：供应商根据采购服务需求中的内容进行填写，</w:t>
      </w:r>
      <w:bookmarkStart w:id="69" w:name="_Hlk52958408"/>
      <w:r>
        <w:rPr>
          <w:rFonts w:hint="eastAsia" w:ascii="宋体" w:hAnsi="宋体"/>
          <w:b/>
          <w:color w:val="auto"/>
          <w:sz w:val="24"/>
          <w:highlight w:val="none"/>
        </w:rPr>
        <w:t>勿填写价格信息。</w:t>
      </w:r>
      <w:bookmarkEnd w:id="69"/>
    </w:p>
    <w:p w14:paraId="3A758591">
      <w:pPr>
        <w:snapToGrid w:val="0"/>
        <w:spacing w:before="50" w:after="120" w:afterLines="50"/>
        <w:jc w:val="left"/>
        <w:rPr>
          <w:rFonts w:ascii="宋体" w:hAnsi="宋体"/>
          <w:color w:val="auto"/>
          <w:spacing w:val="20"/>
          <w:sz w:val="24"/>
          <w:highlight w:val="none"/>
        </w:rPr>
      </w:pPr>
    </w:p>
    <w:p w14:paraId="65F4C454">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17A74EA2">
      <w:pPr>
        <w:snapToGrid w:val="0"/>
        <w:spacing w:before="50" w:after="120" w:afterLines="50"/>
        <w:jc w:val="left"/>
        <w:rPr>
          <w:rFonts w:ascii="宋体" w:hAnsi="宋体"/>
          <w:b/>
          <w:color w:val="auto"/>
          <w:spacing w:val="20"/>
          <w:sz w:val="24"/>
          <w:highlight w:val="none"/>
        </w:rPr>
      </w:pPr>
    </w:p>
    <w:p w14:paraId="1953EB7A">
      <w:pPr>
        <w:snapToGrid w:val="0"/>
        <w:spacing w:before="50" w:after="120" w:afterLines="50"/>
        <w:jc w:val="left"/>
        <w:rPr>
          <w:rFonts w:ascii="宋体" w:hAnsi="宋体"/>
          <w:b/>
          <w:color w:val="auto"/>
          <w:spacing w:val="20"/>
          <w:sz w:val="24"/>
          <w:highlight w:val="none"/>
        </w:rPr>
      </w:pPr>
      <w:r>
        <w:rPr>
          <w:rFonts w:hint="eastAsia" w:ascii="宋体" w:hAnsi="宋体"/>
          <w:b/>
          <w:color w:val="auto"/>
          <w:sz w:val="24"/>
          <w:highlight w:val="none"/>
        </w:rPr>
        <w:t>日期:_____年___月___日</w:t>
      </w:r>
    </w:p>
    <w:p w14:paraId="66F573C0">
      <w:pPr>
        <w:snapToGrid w:val="0"/>
        <w:spacing w:before="50" w:after="120" w:afterLines="50"/>
        <w:jc w:val="left"/>
        <w:rPr>
          <w:rFonts w:ascii="宋体" w:hAnsi="宋体"/>
          <w:color w:val="auto"/>
          <w:sz w:val="24"/>
          <w:highlight w:val="none"/>
        </w:rPr>
      </w:pPr>
      <w:r>
        <w:rPr>
          <w:rFonts w:ascii="宋体" w:hAnsi="宋体"/>
          <w:color w:val="auto"/>
          <w:sz w:val="24"/>
          <w:highlight w:val="none"/>
        </w:rPr>
        <w:br w:type="page"/>
      </w:r>
    </w:p>
    <w:p w14:paraId="41766FE3">
      <w:pPr>
        <w:snapToGrid w:val="0"/>
        <w:spacing w:before="50" w:after="120" w:afterLines="50"/>
        <w:jc w:val="left"/>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.项目负责人简历</w:t>
      </w:r>
      <w:r>
        <w:rPr>
          <w:rFonts w:hint="eastAsia" w:ascii="宋体" w:hAnsi="宋体"/>
          <w:color w:val="auto"/>
          <w:sz w:val="24"/>
          <w:highlight w:val="none"/>
          <w:lang w:val="en-US" w:eastAsia="zh-CN"/>
        </w:rPr>
        <w:t>表格式</w:t>
      </w:r>
      <w:r>
        <w:rPr>
          <w:rFonts w:hint="eastAsia" w:ascii="宋体" w:hAnsi="宋体"/>
          <w:color w:val="auto"/>
          <w:sz w:val="24"/>
          <w:highlight w:val="none"/>
        </w:rPr>
        <w:t>：</w:t>
      </w:r>
    </w:p>
    <w:p w14:paraId="34D1891A">
      <w:pPr>
        <w:snapToGrid w:val="0"/>
        <w:spacing w:before="50" w:after="120" w:afterLines="50"/>
        <w:jc w:val="left"/>
        <w:rPr>
          <w:rFonts w:ascii="宋体" w:hAnsi="宋体"/>
          <w:color w:val="auto"/>
          <w:sz w:val="24"/>
          <w:szCs w:val="20"/>
          <w:highlight w:val="none"/>
        </w:rPr>
      </w:pPr>
    </w:p>
    <w:p w14:paraId="58F57D0D">
      <w:pPr>
        <w:jc w:val="center"/>
        <w:rPr>
          <w:rFonts w:ascii="宋体" w:hAnsi="宋体"/>
          <w:snapToGrid w:val="0"/>
          <w:color w:val="auto"/>
          <w:sz w:val="28"/>
          <w:highlight w:val="none"/>
        </w:rPr>
      </w:pPr>
      <w:r>
        <w:rPr>
          <w:rFonts w:hint="eastAsia" w:ascii="宋体" w:hAnsi="宋体"/>
          <w:snapToGrid w:val="0"/>
          <w:color w:val="auto"/>
          <w:sz w:val="28"/>
          <w:highlight w:val="none"/>
        </w:rPr>
        <w:t>项目负责人简历表</w:t>
      </w:r>
    </w:p>
    <w:p w14:paraId="24A8F622">
      <w:pPr>
        <w:snapToGrid w:val="0"/>
        <w:spacing w:before="120" w:beforeLines="50" w:after="50" w:line="360" w:lineRule="auto"/>
        <w:jc w:val="center"/>
        <w:rPr>
          <w:rFonts w:ascii="宋体" w:hAnsi="宋体"/>
          <w:bCs/>
          <w:color w:val="auto"/>
          <w:sz w:val="24"/>
          <w:highlight w:val="none"/>
        </w:rPr>
      </w:pPr>
    </w:p>
    <w:p w14:paraId="4E16BCED">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31F1AAB2">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项目编号：</w:t>
      </w:r>
    </w:p>
    <w:tbl>
      <w:tblPr>
        <w:tblStyle w:val="48"/>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spacing w:line="351" w:lineRule="atLeast"/>
              <w:jc w:val="center"/>
              <w:rPr>
                <w:rFonts w:ascii="宋体" w:hAnsi="宋体"/>
                <w:color w:val="auto"/>
                <w:sz w:val="28"/>
                <w:highlight w:val="none"/>
                <w:u w:color="000000"/>
              </w:rPr>
            </w:pPr>
            <w:r>
              <w:rPr>
                <w:rFonts w:hint="eastAsia" w:ascii="宋体" w:hAnsi="宋体"/>
                <w:color w:val="auto"/>
                <w:sz w:val="28"/>
                <w:highlight w:val="none"/>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spacing w:line="351" w:lineRule="atLeast"/>
              <w:jc w:val="center"/>
              <w:rPr>
                <w:rFonts w:ascii="宋体" w:hAnsi="宋体"/>
                <w:color w:val="auto"/>
                <w:sz w:val="28"/>
                <w:highlight w:val="none"/>
                <w:u w:color="000000"/>
              </w:rPr>
            </w:pPr>
            <w:r>
              <w:rPr>
                <w:rFonts w:hint="eastAsia" w:ascii="宋体" w:hAnsi="宋体"/>
                <w:color w:val="auto"/>
                <w:sz w:val="28"/>
                <w:highlight w:val="none"/>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spacing w:line="351" w:lineRule="atLeast"/>
              <w:jc w:val="center"/>
              <w:rPr>
                <w:rFonts w:ascii="宋体" w:hAnsi="宋体"/>
                <w:color w:val="auto"/>
                <w:sz w:val="28"/>
                <w:highlight w:val="none"/>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spacing w:line="351" w:lineRule="atLeast"/>
              <w:jc w:val="center"/>
              <w:rPr>
                <w:rFonts w:ascii="宋体" w:hAnsi="宋体"/>
                <w:color w:val="auto"/>
                <w:sz w:val="28"/>
                <w:highlight w:val="none"/>
              </w:rPr>
            </w:pPr>
            <w:r>
              <w:rPr>
                <w:rFonts w:hint="eastAsia" w:ascii="宋体" w:hAnsi="宋体"/>
                <w:color w:val="auto"/>
                <w:sz w:val="28"/>
                <w:highlight w:val="none"/>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spacing w:line="351" w:lineRule="atLeast"/>
              <w:jc w:val="center"/>
              <w:rPr>
                <w:rFonts w:ascii="宋体" w:hAnsi="宋体"/>
                <w:color w:val="auto"/>
                <w:sz w:val="28"/>
                <w:highlight w:val="none"/>
              </w:rPr>
            </w:pPr>
            <w:r>
              <w:rPr>
                <w:rFonts w:hint="eastAsia" w:ascii="宋体" w:hAnsi="宋体"/>
                <w:color w:val="auto"/>
                <w:sz w:val="28"/>
                <w:highlight w:val="none"/>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spacing w:line="351" w:lineRule="atLeast"/>
              <w:jc w:val="center"/>
              <w:rPr>
                <w:rFonts w:ascii="宋体" w:hAnsi="宋体"/>
                <w:color w:val="auto"/>
                <w:sz w:val="28"/>
                <w:highlight w:val="none"/>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spacing w:line="351" w:lineRule="atLeast"/>
              <w:jc w:val="center"/>
              <w:rPr>
                <w:rFonts w:ascii="宋体" w:hAnsi="宋体"/>
                <w:color w:val="auto"/>
                <w:sz w:val="28"/>
                <w:highlight w:val="none"/>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spacing w:line="351" w:lineRule="atLeast"/>
              <w:ind w:firstLine="557" w:firstLineChars="199"/>
              <w:rPr>
                <w:rFonts w:ascii="宋体" w:hAnsi="宋体"/>
                <w:color w:val="auto"/>
                <w:sz w:val="28"/>
                <w:highlight w:val="none"/>
                <w:u w:color="000000"/>
              </w:rPr>
            </w:pPr>
            <w:r>
              <w:rPr>
                <w:rFonts w:hint="eastAsia" w:ascii="宋体" w:hAnsi="宋体"/>
                <w:color w:val="auto"/>
                <w:sz w:val="28"/>
                <w:highlight w:val="none"/>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spacing w:line="351" w:lineRule="atLeast"/>
              <w:ind w:firstLine="419"/>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spacing w:line="351" w:lineRule="atLeast"/>
              <w:ind w:firstLine="554" w:firstLineChars="198"/>
              <w:rPr>
                <w:rFonts w:ascii="宋体" w:hAnsi="宋体"/>
                <w:color w:val="auto"/>
                <w:sz w:val="28"/>
                <w:highlight w:val="none"/>
                <w:u w:color="000000"/>
              </w:rPr>
            </w:pPr>
            <w:r>
              <w:rPr>
                <w:rFonts w:hint="eastAsia" w:ascii="宋体" w:hAnsi="宋体"/>
                <w:color w:val="auto"/>
                <w:sz w:val="28"/>
                <w:highlight w:val="none"/>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spacing w:line="351" w:lineRule="atLeast"/>
              <w:jc w:val="center"/>
              <w:rPr>
                <w:rFonts w:ascii="宋体" w:hAnsi="宋体"/>
                <w:color w:val="auto"/>
                <w:sz w:val="28"/>
                <w:highlight w:val="none"/>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spacing w:line="351" w:lineRule="atLeast"/>
              <w:jc w:val="center"/>
              <w:rPr>
                <w:rFonts w:ascii="宋体" w:hAnsi="宋体"/>
                <w:color w:val="auto"/>
                <w:sz w:val="28"/>
                <w:highlight w:val="none"/>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jc w:val="center"/>
              <w:rPr>
                <w:rFonts w:ascii="宋体" w:hAnsi="宋体"/>
                <w:color w:val="auto"/>
                <w:sz w:val="28"/>
                <w:highlight w:val="none"/>
                <w:u w:color="000000"/>
              </w:rPr>
            </w:pPr>
            <w:r>
              <w:rPr>
                <w:rFonts w:hint="eastAsia" w:ascii="宋体" w:hAnsi="宋体"/>
                <w:color w:val="auto"/>
                <w:sz w:val="28"/>
                <w:highlight w:val="none"/>
              </w:rPr>
              <w:t>简</w:t>
            </w:r>
          </w:p>
          <w:p w14:paraId="0015E275">
            <w:pPr>
              <w:jc w:val="center"/>
              <w:rPr>
                <w:rFonts w:ascii="宋体" w:hAnsi="宋体"/>
                <w:color w:val="auto"/>
                <w:sz w:val="28"/>
                <w:highlight w:val="none"/>
              </w:rPr>
            </w:pPr>
          </w:p>
          <w:p w14:paraId="11B9B714">
            <w:pPr>
              <w:jc w:val="center"/>
              <w:rPr>
                <w:rFonts w:ascii="宋体" w:hAnsi="宋体"/>
                <w:color w:val="auto"/>
                <w:sz w:val="28"/>
                <w:highlight w:val="none"/>
              </w:rPr>
            </w:pPr>
          </w:p>
          <w:p w14:paraId="410B1CAF">
            <w:pPr>
              <w:spacing w:line="351" w:lineRule="atLeast"/>
              <w:jc w:val="center"/>
              <w:rPr>
                <w:rFonts w:ascii="宋体" w:hAnsi="宋体"/>
                <w:color w:val="auto"/>
                <w:highlight w:val="none"/>
                <w:u w:color="000000"/>
              </w:rPr>
            </w:pPr>
            <w:r>
              <w:rPr>
                <w:rFonts w:hint="eastAsia" w:ascii="宋体" w:hAnsi="宋体"/>
                <w:color w:val="auto"/>
                <w:sz w:val="28"/>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spacing w:line="351" w:lineRule="atLeast"/>
              <w:jc w:val="center"/>
              <w:rPr>
                <w:rFonts w:ascii="宋体" w:hAnsi="宋体"/>
                <w:color w:val="auto"/>
                <w:highlight w:val="none"/>
                <w:u w:color="000000"/>
              </w:rPr>
            </w:pPr>
          </w:p>
        </w:tc>
      </w:tr>
    </w:tbl>
    <w:p w14:paraId="77B2A070">
      <w:pPr>
        <w:rPr>
          <w:rFonts w:ascii="宋体" w:hAnsi="宋体"/>
          <w:bCs/>
          <w:snapToGrid w:val="0"/>
          <w:color w:val="auto"/>
          <w:highlight w:val="none"/>
        </w:rPr>
      </w:pPr>
    </w:p>
    <w:p w14:paraId="7649C49B">
      <w:pPr>
        <w:snapToGrid w:val="0"/>
        <w:spacing w:before="50" w:after="120" w:afterLines="50"/>
        <w:jc w:val="left"/>
        <w:rPr>
          <w:rFonts w:ascii="宋体" w:hAnsi="宋体"/>
          <w:b/>
          <w:color w:val="auto"/>
          <w:spacing w:val="20"/>
          <w:sz w:val="24"/>
          <w:highlight w:val="none"/>
        </w:rPr>
      </w:pPr>
      <w:bookmarkStart w:id="70" w:name="_Hlk60757472"/>
      <w:r>
        <w:rPr>
          <w:rFonts w:hint="eastAsia" w:ascii="宋体" w:hAnsi="宋体"/>
          <w:b/>
          <w:color w:val="auto"/>
          <w:spacing w:val="20"/>
          <w:sz w:val="24"/>
          <w:highlight w:val="none"/>
        </w:rPr>
        <w:t>法定代表人签字（或盖章）：            供应商（盖章）：</w:t>
      </w:r>
    </w:p>
    <w:p w14:paraId="5E1BAA67">
      <w:pPr>
        <w:snapToGrid w:val="0"/>
        <w:spacing w:before="50" w:after="120" w:afterLines="50"/>
        <w:jc w:val="left"/>
        <w:rPr>
          <w:rFonts w:ascii="宋体" w:hAnsi="宋体"/>
          <w:b/>
          <w:color w:val="auto"/>
          <w:sz w:val="24"/>
          <w:highlight w:val="none"/>
        </w:rPr>
      </w:pPr>
    </w:p>
    <w:p w14:paraId="19370387">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bookmarkEnd w:id="70"/>
    <w:p w14:paraId="2E019D8D">
      <w:pPr>
        <w:snapToGrid w:val="0"/>
        <w:spacing w:before="50" w:after="120" w:afterLines="50"/>
        <w:jc w:val="left"/>
        <w:rPr>
          <w:rFonts w:ascii="宋体" w:hAnsi="宋体"/>
          <w:color w:val="auto"/>
          <w:sz w:val="24"/>
          <w:highlight w:val="none"/>
        </w:rPr>
      </w:pPr>
      <w:r>
        <w:rPr>
          <w:rFonts w:ascii="宋体" w:hAnsi="宋体"/>
          <w:color w:val="auto"/>
          <w:sz w:val="24"/>
          <w:highlight w:val="none"/>
        </w:rPr>
        <w:br w:type="page"/>
      </w:r>
    </w:p>
    <w:p w14:paraId="41B4FDBF">
      <w:pPr>
        <w:snapToGrid w:val="0"/>
        <w:spacing w:before="50" w:after="120" w:afterLines="5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项目实施人员一览表格式</w:t>
      </w:r>
    </w:p>
    <w:p w14:paraId="20F3CA65">
      <w:pPr>
        <w:snapToGrid w:val="0"/>
        <w:spacing w:before="50" w:after="120" w:afterLines="50"/>
        <w:jc w:val="left"/>
        <w:rPr>
          <w:rFonts w:ascii="宋体" w:hAnsi="宋体"/>
          <w:color w:val="auto"/>
          <w:sz w:val="24"/>
          <w:szCs w:val="20"/>
          <w:highlight w:val="none"/>
        </w:rPr>
      </w:pPr>
    </w:p>
    <w:p w14:paraId="428FEC10">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项目实施人员（主要从业人员及其技术资格）一览表</w:t>
      </w:r>
    </w:p>
    <w:p w14:paraId="38FF19C7">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70689D68">
      <w:pPr>
        <w:snapToGrid w:val="0"/>
        <w:spacing w:before="120" w:beforeLines="50" w:after="50" w:line="480" w:lineRule="auto"/>
        <w:rPr>
          <w:rFonts w:ascii="宋体" w:hAnsi="宋体"/>
          <w:bCs/>
          <w:color w:val="auto"/>
          <w:sz w:val="24"/>
          <w:highlight w:val="none"/>
        </w:rPr>
      </w:pPr>
      <w:r>
        <w:rPr>
          <w:rFonts w:hint="eastAsia" w:ascii="宋体" w:hAnsi="宋体"/>
          <w:bCs/>
          <w:color w:val="auto"/>
          <w:sz w:val="24"/>
          <w:highlight w:val="none"/>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snapToGrid w:val="0"/>
              <w:spacing w:before="120" w:beforeLines="50" w:after="50" w:line="360" w:lineRule="auto"/>
              <w:jc w:val="center"/>
              <w:rPr>
                <w:rFonts w:ascii="宋体" w:hAnsi="宋体"/>
                <w:bCs/>
                <w:color w:val="auto"/>
                <w:sz w:val="24"/>
                <w:highlight w:val="none"/>
              </w:rPr>
            </w:pPr>
            <w:r>
              <w:rPr>
                <w:rFonts w:hint="eastAsia" w:ascii="宋体" w:hAnsi="宋体"/>
                <w:bCs/>
                <w:color w:val="auto"/>
                <w:sz w:val="24"/>
                <w:highlight w:val="none"/>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A5F2CF7">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61F326C">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EF071FC">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1308CC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DA66F92">
            <w:pPr>
              <w:snapToGrid w:val="0"/>
              <w:spacing w:before="120" w:beforeLines="50" w:after="50" w:line="360" w:lineRule="auto"/>
              <w:rPr>
                <w:rFonts w:ascii="宋体" w:hAnsi="宋体"/>
                <w:color w:val="auto"/>
                <w:sz w:val="24"/>
                <w:highlight w:val="none"/>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A2DB53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DC83D32">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A8C334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D78354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0545ED7">
            <w:pPr>
              <w:snapToGrid w:val="0"/>
              <w:spacing w:before="120" w:beforeLines="50" w:after="50" w:line="360" w:lineRule="auto"/>
              <w:rPr>
                <w:rFonts w:ascii="宋体" w:hAnsi="宋体"/>
                <w:color w:val="auto"/>
                <w:sz w:val="24"/>
                <w:highlight w:val="none"/>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A0D5453">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36A891">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29"/>
              <w:snapToGrid w:val="0"/>
              <w:spacing w:before="120" w:beforeLines="50" w:after="50" w:line="360" w:lineRule="auto"/>
              <w:ind w:left="5250"/>
              <w:rPr>
                <w:rFonts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AABEF0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7E1C8ED">
            <w:pPr>
              <w:snapToGrid w:val="0"/>
              <w:spacing w:before="120" w:beforeLines="50" w:after="50" w:line="360" w:lineRule="auto"/>
              <w:rPr>
                <w:rFonts w:ascii="宋体" w:hAnsi="宋体"/>
                <w:color w:val="auto"/>
                <w:sz w:val="24"/>
                <w:highlight w:val="none"/>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3F238C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B4C28FF">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2745EA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D41B08F">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E9B2DD4">
            <w:pPr>
              <w:snapToGrid w:val="0"/>
              <w:spacing w:before="120" w:beforeLines="50" w:after="50" w:line="360" w:lineRule="auto"/>
              <w:rPr>
                <w:rFonts w:ascii="宋体" w:hAnsi="宋体"/>
                <w:color w:val="auto"/>
                <w:sz w:val="24"/>
                <w:highlight w:val="none"/>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C348291">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9A052E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2E4198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90B967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D932AD4">
            <w:pPr>
              <w:snapToGrid w:val="0"/>
              <w:spacing w:before="120" w:beforeLines="50" w:after="50" w:line="360" w:lineRule="auto"/>
              <w:rPr>
                <w:rFonts w:ascii="宋体" w:hAnsi="宋体"/>
                <w:color w:val="auto"/>
                <w:sz w:val="24"/>
                <w:highlight w:val="none"/>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294B64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AB3061E">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E9537B6">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DDA185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2C972AA">
            <w:pPr>
              <w:snapToGrid w:val="0"/>
              <w:spacing w:before="120" w:beforeLines="50" w:after="50" w:line="360" w:lineRule="auto"/>
              <w:rPr>
                <w:rFonts w:ascii="宋体" w:hAnsi="宋体"/>
                <w:color w:val="auto"/>
                <w:sz w:val="24"/>
                <w:highlight w:val="none"/>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EAD466F">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D10C84E">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F9E418A">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30FD86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F68D8CE">
            <w:pPr>
              <w:snapToGrid w:val="0"/>
              <w:spacing w:before="120" w:beforeLines="50" w:after="50" w:line="360" w:lineRule="auto"/>
              <w:rPr>
                <w:rFonts w:ascii="宋体" w:hAnsi="宋体"/>
                <w:color w:val="auto"/>
                <w:sz w:val="24"/>
                <w:highlight w:val="none"/>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6EB3068">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7F46A69">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B33583E">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BD05505">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0477079">
            <w:pPr>
              <w:snapToGrid w:val="0"/>
              <w:spacing w:before="120" w:beforeLines="50" w:after="50" w:line="360" w:lineRule="auto"/>
              <w:rPr>
                <w:rFonts w:ascii="宋体" w:hAnsi="宋体"/>
                <w:color w:val="auto"/>
                <w:sz w:val="24"/>
                <w:highlight w:val="none"/>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D60596E">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EA12E5C">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2471EC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EB50CC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3B69B91">
            <w:pPr>
              <w:snapToGrid w:val="0"/>
              <w:spacing w:before="120" w:beforeLines="50" w:after="50" w:line="360" w:lineRule="auto"/>
              <w:rPr>
                <w:rFonts w:ascii="宋体" w:hAnsi="宋体"/>
                <w:color w:val="auto"/>
                <w:sz w:val="24"/>
                <w:highlight w:val="none"/>
              </w:rPr>
            </w:pPr>
          </w:p>
        </w:tc>
      </w:tr>
    </w:tbl>
    <w:p w14:paraId="44E57E48">
      <w:pPr>
        <w:snapToGrid w:val="0"/>
        <w:spacing w:before="120" w:beforeLines="50" w:after="50" w:line="480" w:lineRule="auto"/>
        <w:rPr>
          <w:rFonts w:ascii="宋体" w:hAnsi="宋体"/>
          <w:bCs/>
          <w:color w:val="auto"/>
          <w:sz w:val="24"/>
          <w:highlight w:val="none"/>
        </w:rPr>
      </w:pPr>
    </w:p>
    <w:p w14:paraId="1AF55D4C">
      <w:pPr>
        <w:snapToGrid w:val="0"/>
        <w:spacing w:before="50" w:after="120" w:afterLines="50"/>
        <w:jc w:val="left"/>
        <w:rPr>
          <w:rFonts w:ascii="宋体" w:hAnsi="宋体"/>
          <w:b/>
          <w:bCs/>
          <w:color w:val="auto"/>
          <w:sz w:val="24"/>
          <w:highlight w:val="none"/>
        </w:rPr>
      </w:pPr>
      <w:r>
        <w:rPr>
          <w:rFonts w:hint="eastAsia" w:ascii="宋体" w:hAnsi="宋体"/>
          <w:b/>
          <w:bCs/>
          <w:color w:val="auto"/>
          <w:sz w:val="24"/>
          <w:highlight w:val="none"/>
        </w:rPr>
        <w:t>注：填写本表格时如不适合供应商的实际情况，可根据本表格式自行修订填写。</w:t>
      </w:r>
    </w:p>
    <w:p w14:paraId="70132BA9">
      <w:pPr>
        <w:snapToGrid w:val="0"/>
        <w:spacing w:before="50" w:after="120" w:afterLines="50" w:line="360" w:lineRule="auto"/>
        <w:jc w:val="left"/>
        <w:rPr>
          <w:rFonts w:ascii="宋体" w:hAnsi="宋体"/>
          <w:color w:val="auto"/>
          <w:sz w:val="24"/>
          <w:szCs w:val="20"/>
          <w:highlight w:val="none"/>
        </w:rPr>
      </w:pPr>
    </w:p>
    <w:p w14:paraId="0E057FAC">
      <w:pPr>
        <w:snapToGrid w:val="0"/>
        <w:spacing w:before="50" w:after="50" w:line="360" w:lineRule="auto"/>
        <w:rPr>
          <w:rFonts w:ascii="宋体" w:hAnsi="宋体"/>
          <w:b/>
          <w:color w:val="auto"/>
          <w:sz w:val="24"/>
          <w:szCs w:val="20"/>
          <w:highlight w:val="none"/>
        </w:rPr>
      </w:pPr>
      <w:r>
        <w:rPr>
          <w:rFonts w:hint="eastAsia" w:ascii="宋体" w:hAnsi="宋体"/>
          <w:b/>
          <w:color w:val="auto"/>
          <w:spacing w:val="20"/>
          <w:sz w:val="24"/>
          <w:highlight w:val="none"/>
        </w:rPr>
        <w:t xml:space="preserve">法定代表人签字（或盖章）：            供应商（盖章）：          </w:t>
      </w:r>
    </w:p>
    <w:p w14:paraId="53062466">
      <w:pPr>
        <w:pStyle w:val="28"/>
        <w:snapToGrid w:val="0"/>
        <w:spacing w:beforeLines="0" w:afterLines="0" w:line="240" w:lineRule="auto"/>
        <w:rPr>
          <w:rFonts w:hAnsi="宋体"/>
          <w:b/>
          <w:color w:val="auto"/>
          <w:highlight w:val="none"/>
        </w:rPr>
      </w:pPr>
    </w:p>
    <w:p w14:paraId="306BA1AD">
      <w:pPr>
        <w:pStyle w:val="28"/>
        <w:snapToGrid w:val="0"/>
        <w:spacing w:beforeLines="0" w:afterLines="0" w:line="240" w:lineRule="auto"/>
        <w:rPr>
          <w:rFonts w:hAnsi="宋体"/>
          <w:b/>
          <w:color w:val="auto"/>
          <w:highlight w:val="none"/>
        </w:rPr>
      </w:pPr>
      <w:r>
        <w:rPr>
          <w:rFonts w:hint="eastAsia" w:hAnsi="宋体"/>
          <w:b/>
          <w:color w:val="auto"/>
          <w:highlight w:val="none"/>
        </w:rPr>
        <w:t>日期:_____年___月___日</w:t>
      </w:r>
    </w:p>
    <w:p w14:paraId="1C69D219">
      <w:pPr>
        <w:pStyle w:val="28"/>
        <w:snapToGrid w:val="0"/>
        <w:spacing w:beforeLines="0" w:afterLines="0" w:line="240" w:lineRule="auto"/>
        <w:rPr>
          <w:rFonts w:hAnsi="宋体"/>
          <w:color w:val="auto"/>
          <w:highlight w:val="none"/>
        </w:rPr>
      </w:pPr>
    </w:p>
    <w:p w14:paraId="50B2C118">
      <w:pPr>
        <w:pStyle w:val="28"/>
        <w:snapToGrid w:val="0"/>
        <w:spacing w:beforeLines="0" w:afterLines="0" w:line="240" w:lineRule="auto"/>
        <w:rPr>
          <w:rFonts w:hAnsi="宋体"/>
          <w:color w:val="auto"/>
          <w:highlight w:val="none"/>
        </w:rPr>
      </w:pPr>
    </w:p>
    <w:p w14:paraId="50A4B6F2">
      <w:pPr>
        <w:pStyle w:val="28"/>
        <w:snapToGrid w:val="0"/>
        <w:spacing w:beforeLines="0" w:afterLines="0" w:line="240" w:lineRule="auto"/>
        <w:rPr>
          <w:rFonts w:hAnsi="宋体"/>
          <w:color w:val="auto"/>
          <w:highlight w:val="none"/>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.供应商类似合同案例一览表格式：</w:t>
      </w:r>
    </w:p>
    <w:p w14:paraId="67BD1E0A">
      <w:pPr>
        <w:snapToGrid w:val="0"/>
        <w:spacing w:before="50" w:after="120" w:afterLines="50"/>
        <w:jc w:val="center"/>
        <w:rPr>
          <w:rFonts w:ascii="宋体" w:hAnsi="宋体"/>
          <w:b/>
          <w:color w:val="auto"/>
          <w:sz w:val="24"/>
          <w:highlight w:val="none"/>
        </w:rPr>
      </w:pPr>
      <w:r>
        <w:rPr>
          <w:rFonts w:hint="eastAsia" w:ascii="宋体" w:hAnsi="宋体"/>
          <w:b/>
          <w:color w:val="auto"/>
          <w:sz w:val="24"/>
          <w:highlight w:val="none"/>
        </w:rPr>
        <w:t>供应商类似合同案例一览表</w:t>
      </w:r>
    </w:p>
    <w:p w14:paraId="2466FAB9">
      <w:pPr>
        <w:snapToGrid w:val="0"/>
        <w:spacing w:before="120" w:beforeLines="50" w:after="50" w:line="480" w:lineRule="auto"/>
        <w:ind w:firstLine="1068" w:firstLineChars="445"/>
        <w:rPr>
          <w:rFonts w:ascii="宋体" w:hAnsi="宋体"/>
          <w:bCs/>
          <w:color w:val="auto"/>
          <w:sz w:val="24"/>
          <w:highlight w:val="none"/>
        </w:rPr>
      </w:pPr>
    </w:p>
    <w:p w14:paraId="4F98CB1A">
      <w:pPr>
        <w:snapToGrid w:val="0"/>
        <w:spacing w:before="120" w:beforeLines="50" w:after="50" w:line="480" w:lineRule="auto"/>
        <w:ind w:firstLine="1068" w:firstLineChars="445"/>
        <w:rPr>
          <w:rFonts w:ascii="宋体" w:hAnsi="宋体"/>
          <w:bCs/>
          <w:color w:val="auto"/>
          <w:sz w:val="24"/>
          <w:szCs w:val="20"/>
          <w:highlight w:val="none"/>
        </w:rPr>
      </w:pPr>
      <w:r>
        <w:rPr>
          <w:rFonts w:hint="eastAsia" w:ascii="宋体" w:hAnsi="宋体"/>
          <w:bCs/>
          <w:color w:val="auto"/>
          <w:sz w:val="24"/>
          <w:highlight w:val="none"/>
        </w:rPr>
        <w:t xml:space="preserve">项目名称：                                            </w:t>
      </w:r>
      <w:r>
        <w:rPr>
          <w:rFonts w:hint="eastAsia" w:ascii="宋体" w:hAnsi="宋体"/>
          <w:color w:val="auto"/>
          <w:sz w:val="24"/>
          <w:highlight w:val="none"/>
        </w:rPr>
        <w:t>项目编号：</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color w:val="auto"/>
                <w:sz w:val="24"/>
                <w:highlight w:val="none"/>
              </w:rPr>
            </w:pPr>
            <w:r>
              <w:rPr>
                <w:rFonts w:hint="eastAsia" w:ascii="宋体" w:hAnsi="宋体"/>
                <w:color w:val="auto"/>
                <w:sz w:val="24"/>
                <w:highlight w:val="none"/>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合同金额</w:t>
            </w:r>
          </w:p>
          <w:p w14:paraId="58F3C75D">
            <w:pPr>
              <w:snapToGrid w:val="0"/>
              <w:spacing w:line="360" w:lineRule="auto"/>
              <w:jc w:val="center"/>
              <w:rPr>
                <w:rFonts w:ascii="宋体" w:hAnsi="宋体"/>
                <w:color w:val="auto"/>
                <w:sz w:val="24"/>
                <w:highlight w:val="none"/>
              </w:rPr>
            </w:pPr>
            <w:r>
              <w:rPr>
                <w:rFonts w:hint="eastAsia" w:ascii="宋体" w:hAnsi="宋体"/>
                <w:color w:val="auto"/>
                <w:sz w:val="24"/>
                <w:highlight w:val="none"/>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color w:val="auto"/>
                <w:sz w:val="24"/>
                <w:highlight w:val="none"/>
              </w:rPr>
            </w:pPr>
            <w:r>
              <w:rPr>
                <w:rFonts w:hint="eastAsia" w:ascii="宋体" w:hAnsi="宋体"/>
                <w:color w:val="auto"/>
                <w:sz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color w:val="auto"/>
                <w:sz w:val="24"/>
                <w:highlight w:val="none"/>
              </w:rPr>
            </w:pPr>
            <w:r>
              <w:rPr>
                <w:rFonts w:hint="eastAsia" w:ascii="宋体" w:hAnsi="宋体"/>
                <w:color w:val="auto"/>
                <w:sz w:val="24"/>
                <w:highlight w:val="none"/>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color w:val="auto"/>
                <w:sz w:val="24"/>
                <w:highlight w:val="none"/>
              </w:rPr>
            </w:pPr>
            <w:r>
              <w:rPr>
                <w:rFonts w:hint="eastAsia" w:ascii="宋体" w:hAnsi="宋体"/>
                <w:color w:val="auto"/>
                <w:sz w:val="24"/>
                <w:highlight w:val="none"/>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color w:val="auto"/>
                <w:sz w:val="24"/>
                <w:highlight w:val="none"/>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color w:val="auto"/>
                <w:sz w:val="24"/>
                <w:highlight w:val="none"/>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auto"/>
                <w:sz w:val="24"/>
                <w:szCs w:val="20"/>
                <w:highlight w:val="none"/>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auto"/>
                <w:sz w:val="24"/>
                <w:szCs w:val="20"/>
                <w:highlight w:val="none"/>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auto"/>
                <w:sz w:val="24"/>
                <w:szCs w:val="20"/>
                <w:highlight w:val="none"/>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auto"/>
                <w:sz w:val="24"/>
                <w:szCs w:val="20"/>
                <w:highlight w:val="none"/>
              </w:rPr>
            </w:pPr>
          </w:p>
        </w:tc>
      </w:tr>
    </w:tbl>
    <w:p w14:paraId="15FBCB7E">
      <w:pPr>
        <w:pStyle w:val="16"/>
        <w:snapToGrid w:val="0"/>
        <w:ind w:firstLine="960" w:firstLineChars="4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148EB736">
      <w:pPr>
        <w:pStyle w:val="16"/>
        <w:snapToGrid w:val="0"/>
        <w:ind w:firstLine="360" w:firstLineChars="150"/>
        <w:rPr>
          <w:rFonts w:ascii="宋体" w:hAnsi="宋体" w:eastAsia="宋体"/>
          <w:color w:val="auto"/>
          <w:sz w:val="24"/>
          <w:szCs w:val="24"/>
          <w:highlight w:val="none"/>
        </w:rPr>
      </w:pPr>
    </w:p>
    <w:p w14:paraId="450ADD33">
      <w:pPr>
        <w:pStyle w:val="16"/>
        <w:snapToGrid w:val="0"/>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法定代表人签字（或盖章）：                            供应商（盖章）：                    日期:_____年___月___日</w:t>
      </w:r>
    </w:p>
    <w:p w14:paraId="652B7D0F">
      <w:pPr>
        <w:pStyle w:val="16"/>
        <w:snapToGrid w:val="0"/>
        <w:rPr>
          <w:rFonts w:ascii="宋体" w:hAnsi="宋体" w:eastAsia="宋体"/>
          <w:color w:val="auto"/>
          <w:sz w:val="24"/>
          <w:szCs w:val="24"/>
          <w:highlight w:val="none"/>
        </w:rPr>
      </w:pPr>
    </w:p>
    <w:p w14:paraId="0FA267DB">
      <w:pPr>
        <w:rPr>
          <w:color w:val="auto"/>
          <w:highlight w:val="none"/>
        </w:rPr>
        <w:sectPr>
          <w:pgSz w:w="16838" w:h="11906" w:orient="landscape"/>
          <w:pgMar w:top="1588" w:right="1021" w:bottom="1588" w:left="851" w:header="851" w:footer="851" w:gutter="0"/>
          <w:cols w:space="720" w:num="1"/>
        </w:sectPr>
      </w:pPr>
    </w:p>
    <w:p w14:paraId="3241161F">
      <w:pPr>
        <w:snapToGrid w:val="0"/>
        <w:spacing w:before="50" w:after="120" w:afterLines="5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.售后服务网点情况表格式：</w:t>
      </w:r>
    </w:p>
    <w:p w14:paraId="7F9B39FB">
      <w:pPr>
        <w:snapToGrid w:val="0"/>
        <w:spacing w:before="50" w:after="120" w:afterLines="50"/>
        <w:jc w:val="left"/>
        <w:rPr>
          <w:rFonts w:ascii="宋体" w:hAnsi="宋体"/>
          <w:color w:val="auto"/>
          <w:sz w:val="24"/>
          <w:szCs w:val="20"/>
          <w:highlight w:val="none"/>
        </w:rPr>
      </w:pPr>
      <w:r>
        <w:rPr>
          <w:rFonts w:hint="eastAsia" w:ascii="宋体" w:hAnsi="宋体"/>
          <w:color w:val="auto"/>
          <w:sz w:val="24"/>
          <w:szCs w:val="20"/>
          <w:highlight w:val="none"/>
        </w:rPr>
        <w:t xml:space="preserve"> </w:t>
      </w:r>
    </w:p>
    <w:p w14:paraId="429CAF5A">
      <w:pPr>
        <w:pStyle w:val="37"/>
        <w:snapToGrid w:val="0"/>
        <w:ind w:left="480" w:hanging="480"/>
        <w:rPr>
          <w:rFonts w:ascii="宋体" w:hAnsi="宋体"/>
          <w:color w:val="auto"/>
          <w:sz w:val="24"/>
          <w:highlight w:val="none"/>
        </w:rPr>
      </w:pPr>
    </w:p>
    <w:p w14:paraId="6DE1EC64">
      <w:pPr>
        <w:pStyle w:val="37"/>
        <w:snapToGrid w:val="0"/>
        <w:ind w:left="482" w:hanging="482"/>
        <w:jc w:val="center"/>
        <w:rPr>
          <w:rFonts w:ascii="宋体" w:hAnsi="宋体"/>
          <w:b/>
          <w:color w:val="auto"/>
          <w:sz w:val="24"/>
          <w:highlight w:val="none"/>
        </w:rPr>
      </w:pPr>
      <w:r>
        <w:rPr>
          <w:rFonts w:hint="eastAsia" w:ascii="宋体" w:hAnsi="宋体"/>
          <w:b/>
          <w:color w:val="auto"/>
          <w:sz w:val="24"/>
          <w:highlight w:val="none"/>
        </w:rPr>
        <w:t>售后服务网点情况表</w:t>
      </w:r>
    </w:p>
    <w:p w14:paraId="7C8DF2B9">
      <w:pPr>
        <w:snapToGrid w:val="0"/>
        <w:spacing w:before="120" w:beforeLines="50" w:after="50" w:line="360" w:lineRule="auto"/>
        <w:jc w:val="center"/>
        <w:rPr>
          <w:rFonts w:ascii="宋体" w:hAnsi="宋体"/>
          <w:bCs/>
          <w:color w:val="auto"/>
          <w:sz w:val="24"/>
          <w:highlight w:val="none"/>
        </w:rPr>
      </w:pPr>
    </w:p>
    <w:p w14:paraId="10F919B3">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项目名称：</w:t>
      </w:r>
    </w:p>
    <w:p w14:paraId="5ED18343">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48"/>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ascii="宋体" w:hAnsi="宋体"/>
                <w:color w:val="auto"/>
                <w:sz w:val="24"/>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ascii="宋体" w:hAnsi="宋体"/>
                <w:color w:val="auto"/>
                <w:sz w:val="24"/>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ascii="宋体" w:hAnsi="宋体"/>
                <w:color w:val="auto"/>
                <w:sz w:val="24"/>
                <w:szCs w:val="20"/>
                <w:highlight w:val="none"/>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ascii="宋体" w:hAnsi="宋体"/>
                <w:color w:val="auto"/>
                <w:sz w:val="24"/>
                <w:szCs w:val="20"/>
                <w:highlight w:val="none"/>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ascii="宋体" w:hAnsi="宋体"/>
                <w:color w:val="auto"/>
                <w:sz w:val="24"/>
                <w:szCs w:val="20"/>
                <w:highlight w:val="none"/>
              </w:rPr>
            </w:pPr>
            <w:r>
              <w:rPr>
                <w:rFonts w:hint="eastAsia" w:ascii="宋体" w:hAnsi="宋体"/>
                <w:color w:val="auto"/>
                <w:sz w:val="24"/>
                <w:highlight w:val="none"/>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ascii="宋体" w:hAnsi="宋体"/>
                <w:color w:val="auto"/>
                <w:sz w:val="24"/>
                <w:szCs w:val="20"/>
                <w:highlight w:val="none"/>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szCs w:val="20"/>
                <w:highlight w:val="none"/>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ascii="宋体" w:hAnsi="宋体"/>
                <w:color w:val="auto"/>
                <w:sz w:val="24"/>
                <w:szCs w:val="20"/>
                <w:highlight w:val="none"/>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ascii="宋体" w:hAnsi="宋体"/>
                <w:color w:val="auto"/>
                <w:sz w:val="24"/>
                <w:szCs w:val="20"/>
                <w:highlight w:val="none"/>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ascii="宋体" w:hAnsi="宋体"/>
                <w:color w:val="auto"/>
                <w:sz w:val="24"/>
                <w:szCs w:val="20"/>
                <w:highlight w:val="none"/>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ascii="宋体" w:hAnsi="宋体"/>
                <w:color w:val="auto"/>
                <w:sz w:val="24"/>
                <w:szCs w:val="20"/>
                <w:highlight w:val="none"/>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ascii="宋体" w:hAnsi="宋体"/>
                <w:color w:val="auto"/>
                <w:sz w:val="24"/>
                <w:szCs w:val="20"/>
                <w:highlight w:val="none"/>
              </w:rPr>
            </w:pPr>
          </w:p>
        </w:tc>
      </w:tr>
    </w:tbl>
    <w:p w14:paraId="6216219D">
      <w:pPr>
        <w:pStyle w:val="37"/>
        <w:snapToGrid w:val="0"/>
        <w:ind w:left="199" w:hanging="199" w:hangingChars="83"/>
        <w:rPr>
          <w:rFonts w:ascii="宋体" w:hAnsi="宋体"/>
          <w:color w:val="auto"/>
          <w:sz w:val="24"/>
          <w:highlight w:val="none"/>
        </w:rPr>
      </w:pPr>
    </w:p>
    <w:p w14:paraId="0617EC29">
      <w:pPr>
        <w:pStyle w:val="16"/>
        <w:snapToGrid w:val="0"/>
        <w:rPr>
          <w:rFonts w:ascii="宋体" w:hAnsi="宋体" w:eastAsia="宋体"/>
          <w:color w:val="auto"/>
          <w:sz w:val="24"/>
          <w:highlight w:val="none"/>
        </w:rPr>
      </w:pPr>
    </w:p>
    <w:p w14:paraId="7F6E2839">
      <w:pPr>
        <w:pStyle w:val="3"/>
        <w:snapToGrid w:val="0"/>
        <w:rPr>
          <w:rFonts w:ascii="宋体" w:hAnsi="宋体"/>
          <w:b/>
          <w:color w:val="auto"/>
          <w:sz w:val="24"/>
          <w:highlight w:val="none"/>
        </w:rPr>
      </w:pPr>
      <w:r>
        <w:rPr>
          <w:rFonts w:hint="eastAsia" w:ascii="宋体" w:hAnsi="宋体"/>
          <w:b/>
          <w:color w:val="auto"/>
          <w:spacing w:val="20"/>
          <w:sz w:val="24"/>
          <w:highlight w:val="none"/>
        </w:rPr>
        <w:t xml:space="preserve">法定代表人签字（或盖章）：            供应商（盖章）： </w:t>
      </w:r>
      <w:r>
        <w:rPr>
          <w:rFonts w:hint="eastAsia" w:ascii="宋体" w:hAnsi="宋体"/>
          <w:b/>
          <w:color w:val="auto"/>
          <w:sz w:val="24"/>
          <w:highlight w:val="none"/>
        </w:rPr>
        <w:t xml:space="preserve">           　 </w:t>
      </w:r>
    </w:p>
    <w:p w14:paraId="4D27EDCF">
      <w:pPr>
        <w:pStyle w:val="3"/>
        <w:snapToGrid w:val="0"/>
        <w:rPr>
          <w:rFonts w:ascii="宋体" w:hAnsi="宋体"/>
          <w:b/>
          <w:color w:val="auto"/>
          <w:sz w:val="24"/>
          <w:highlight w:val="none"/>
        </w:rPr>
      </w:pPr>
    </w:p>
    <w:p w14:paraId="42587F3C">
      <w:pPr>
        <w:snapToGrid w:val="0"/>
        <w:spacing w:before="50" w:after="120" w:afterLines="50"/>
        <w:jc w:val="left"/>
        <w:rPr>
          <w:rFonts w:ascii="宋体" w:hAnsi="宋体"/>
          <w:b/>
          <w:color w:val="auto"/>
          <w:sz w:val="24"/>
          <w:szCs w:val="20"/>
          <w:highlight w:val="none"/>
        </w:rPr>
      </w:pPr>
      <w:r>
        <w:rPr>
          <w:rFonts w:hint="eastAsia" w:ascii="宋体" w:hAnsi="宋体"/>
          <w:b/>
          <w:color w:val="auto"/>
          <w:sz w:val="24"/>
          <w:szCs w:val="20"/>
          <w:highlight w:val="none"/>
        </w:rPr>
        <w:t>日期:_____年___月___日</w:t>
      </w:r>
    </w:p>
    <w:p w14:paraId="189641C7">
      <w:pPr>
        <w:snapToGrid w:val="0"/>
        <w:spacing w:before="50"/>
        <w:jc w:val="left"/>
        <w:rPr>
          <w:rFonts w:ascii="宋体" w:hAnsi="宋体"/>
          <w:color w:val="auto"/>
          <w:sz w:val="24"/>
          <w:highlight w:val="none"/>
        </w:rPr>
      </w:pPr>
    </w:p>
    <w:p w14:paraId="4EFCF9FC">
      <w:pPr>
        <w:snapToGrid w:val="0"/>
        <w:spacing w:before="50"/>
        <w:jc w:val="left"/>
        <w:rPr>
          <w:rFonts w:ascii="宋体" w:hAnsi="宋体"/>
          <w:color w:val="auto"/>
          <w:sz w:val="24"/>
          <w:highlight w:val="none"/>
        </w:rPr>
      </w:pPr>
    </w:p>
    <w:p w14:paraId="3CC8FF43">
      <w:pPr>
        <w:snapToGrid w:val="0"/>
        <w:spacing w:before="50"/>
        <w:jc w:val="left"/>
        <w:rPr>
          <w:rFonts w:ascii="宋体" w:hAnsi="宋体"/>
          <w:color w:val="auto"/>
          <w:sz w:val="24"/>
          <w:highlight w:val="none"/>
        </w:rPr>
      </w:pPr>
      <w:r>
        <w:rPr>
          <w:rFonts w:ascii="宋体" w:hAnsi="宋体"/>
          <w:color w:val="auto"/>
          <w:sz w:val="24"/>
          <w:highlight w:val="none"/>
        </w:rPr>
        <w:br w:type="page"/>
      </w:r>
      <w:r>
        <w:rPr>
          <w:rFonts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.商务及技术响应表格式：</w:t>
      </w:r>
    </w:p>
    <w:p w14:paraId="7A9AFBC0">
      <w:pPr>
        <w:snapToGrid w:val="0"/>
        <w:spacing w:before="50"/>
        <w:jc w:val="left"/>
        <w:rPr>
          <w:rFonts w:ascii="宋体" w:hAnsi="宋体"/>
          <w:color w:val="auto"/>
          <w:sz w:val="24"/>
          <w:highlight w:val="none"/>
        </w:rPr>
      </w:pPr>
    </w:p>
    <w:p w14:paraId="21A1543A">
      <w:pPr>
        <w:snapToGrid w:val="0"/>
        <w:spacing w:before="50"/>
        <w:jc w:val="center"/>
        <w:rPr>
          <w:rFonts w:ascii="宋体" w:hAnsi="宋体"/>
          <w:b/>
          <w:color w:val="auto"/>
          <w:sz w:val="24"/>
          <w:highlight w:val="none"/>
        </w:rPr>
      </w:pPr>
      <w:r>
        <w:rPr>
          <w:rFonts w:hint="eastAsia" w:ascii="宋体" w:hAnsi="宋体"/>
          <w:b/>
          <w:color w:val="auto"/>
          <w:sz w:val="24"/>
          <w:highlight w:val="none"/>
        </w:rPr>
        <w:t>商务及技术响应表</w:t>
      </w:r>
    </w:p>
    <w:p w14:paraId="1C093DF7">
      <w:pPr>
        <w:snapToGrid w:val="0"/>
        <w:spacing w:before="120" w:beforeLines="50" w:after="50" w:line="360" w:lineRule="auto"/>
        <w:jc w:val="center"/>
        <w:rPr>
          <w:rFonts w:ascii="宋体" w:hAnsi="宋体"/>
          <w:bCs/>
          <w:color w:val="auto"/>
          <w:sz w:val="24"/>
          <w:highlight w:val="none"/>
        </w:rPr>
      </w:pPr>
    </w:p>
    <w:p w14:paraId="263038F7">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392B4682">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48"/>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color w:val="auto"/>
                <w:sz w:val="24"/>
                <w:highlight w:val="none"/>
              </w:rPr>
            </w:pPr>
            <w:r>
              <w:rPr>
                <w:rFonts w:hint="eastAsia" w:ascii="宋体" w:hAnsi="宋体"/>
                <w:b/>
                <w:color w:val="auto"/>
                <w:sz w:val="24"/>
                <w:highlight w:val="none"/>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51592C1">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CE6B8B9">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auto"/>
                <w:sz w:val="24"/>
                <w:szCs w:val="20"/>
                <w:highlight w:val="none"/>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2495A05">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3743ACD3">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auto"/>
                <w:sz w:val="24"/>
                <w:szCs w:val="20"/>
                <w:highlight w:val="none"/>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6905D467">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946C80B">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auto"/>
                <w:sz w:val="24"/>
                <w:szCs w:val="20"/>
                <w:highlight w:val="none"/>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46A651D5">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FC2BC4D">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auto"/>
                <w:sz w:val="24"/>
                <w:szCs w:val="20"/>
                <w:highlight w:val="none"/>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1B50066D">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6325EB6">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auto"/>
                <w:sz w:val="24"/>
                <w:szCs w:val="20"/>
                <w:highlight w:val="none"/>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1A1E65DE">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CF7E0AF">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auto"/>
                <w:sz w:val="24"/>
                <w:szCs w:val="20"/>
                <w:highlight w:val="none"/>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auto"/>
                <w:sz w:val="24"/>
                <w:szCs w:val="20"/>
                <w:highlight w:val="none"/>
              </w:rPr>
            </w:pPr>
          </w:p>
        </w:tc>
      </w:tr>
    </w:tbl>
    <w:p w14:paraId="1D3702A6">
      <w:pPr>
        <w:snapToGrid w:val="0"/>
        <w:spacing w:line="400" w:lineRule="exact"/>
        <w:rPr>
          <w:rFonts w:ascii="宋体" w:hAnsi="宋体"/>
          <w:b/>
          <w:color w:val="auto"/>
          <w:sz w:val="24"/>
          <w:szCs w:val="20"/>
          <w:highlight w:val="none"/>
          <w:u w:val="single"/>
          <w:shd w:val="pct10" w:color="auto" w:fill="FFFFFF"/>
        </w:rPr>
      </w:pPr>
      <w:r>
        <w:rPr>
          <w:rFonts w:hint="eastAsia" w:ascii="宋体" w:hAnsi="宋体"/>
          <w:b/>
          <w:color w:val="auto"/>
          <w:sz w:val="24"/>
          <w:szCs w:val="20"/>
          <w:highlight w:val="none"/>
          <w:u w:val="single"/>
          <w:shd w:val="pct10" w:color="auto" w:fill="FFFFFF"/>
        </w:rPr>
        <w:t>特别说明：</w:t>
      </w:r>
    </w:p>
    <w:p w14:paraId="70D172A7">
      <w:pPr>
        <w:snapToGrid w:val="0"/>
        <w:spacing w:line="400" w:lineRule="exact"/>
        <w:rPr>
          <w:rFonts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1、投标人应在此表中将招标文件中列明</w:t>
      </w:r>
      <w:bookmarkStart w:id="71" w:name="_Hlk535995896"/>
      <w:r>
        <w:rPr>
          <w:rFonts w:hint="eastAsia" w:ascii="宋体" w:hAnsi="宋体"/>
          <w:b/>
          <w:color w:val="auto"/>
          <w:sz w:val="24"/>
          <w:highlight w:val="none"/>
          <w:u w:val="single"/>
          <w:shd w:val="pct10" w:color="auto" w:fill="FFFFFF"/>
        </w:rPr>
        <w:t>的商务要求和技术参数要求的正偏离或负偏离的应标内容详细写明，</w:t>
      </w:r>
      <w:bookmarkEnd w:id="71"/>
      <w:r>
        <w:rPr>
          <w:rFonts w:hint="eastAsia" w:ascii="宋体" w:hAnsi="宋体"/>
          <w:b/>
          <w:color w:val="auto"/>
          <w:sz w:val="24"/>
          <w:highlight w:val="none"/>
          <w:u w:val="single"/>
          <w:shd w:val="pct10" w:color="auto" w:fill="FFFFFF"/>
        </w:rPr>
        <w:t>特别是勿遗漏招标文件中打▲的商务和技术要求的应标内容。</w:t>
      </w:r>
      <w:r>
        <w:rPr>
          <w:rFonts w:hint="eastAsia" w:hAnsi="宋体"/>
          <w:b/>
          <w:color w:val="auto"/>
          <w:sz w:val="24"/>
          <w:highlight w:val="none"/>
          <w:u w:val="single"/>
          <w:shd w:val="pct10" w:color="auto" w:fill="FFFFFF"/>
        </w:rPr>
        <w:t>如果投标人在本响应表中缺失部分招标文件中</w:t>
      </w:r>
      <w:r>
        <w:rPr>
          <w:rFonts w:hint="eastAsia" w:ascii="宋体" w:hAnsi="宋体"/>
          <w:b/>
          <w:color w:val="auto"/>
          <w:sz w:val="24"/>
          <w:highlight w:val="none"/>
          <w:u w:val="single"/>
          <w:shd w:val="pct10" w:color="auto" w:fill="FFFFFF"/>
        </w:rPr>
        <w:t>打▲</w:t>
      </w:r>
      <w:r>
        <w:rPr>
          <w:rFonts w:hint="eastAsia" w:hAnsi="宋体"/>
          <w:b/>
          <w:color w:val="auto"/>
          <w:sz w:val="24"/>
          <w:highlight w:val="none"/>
          <w:u w:val="single"/>
          <w:shd w:val="pct10" w:color="auto" w:fill="FFFFFF"/>
        </w:rPr>
        <w:t>的</w:t>
      </w:r>
      <w:r>
        <w:rPr>
          <w:rFonts w:hint="eastAsia" w:ascii="宋体" w:hAnsi="宋体"/>
          <w:b/>
          <w:color w:val="auto"/>
          <w:sz w:val="24"/>
          <w:highlight w:val="none"/>
          <w:u w:val="single"/>
          <w:shd w:val="pct10" w:color="auto" w:fill="FFFFFF"/>
        </w:rPr>
        <w:t>商务和技术</w:t>
      </w:r>
      <w:r>
        <w:rPr>
          <w:rFonts w:hint="eastAsia" w:hAnsi="宋体"/>
          <w:b/>
          <w:color w:val="auto"/>
          <w:sz w:val="24"/>
          <w:highlight w:val="none"/>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color w:val="auto"/>
          <w:sz w:val="24"/>
          <w:highlight w:val="none"/>
          <w:u w:val="single"/>
          <w:shd w:val="pct10" w:color="auto" w:fill="FFFFFF"/>
        </w:rPr>
      </w:pPr>
    </w:p>
    <w:p w14:paraId="08C0430D">
      <w:pPr>
        <w:pStyle w:val="28"/>
        <w:snapToGrid w:val="0"/>
        <w:spacing w:beforeLines="0" w:afterLines="0" w:line="240" w:lineRule="auto"/>
        <w:rPr>
          <w:rFonts w:hAnsi="宋体"/>
          <w:color w:val="auto"/>
          <w:spacing w:val="20"/>
          <w:highlight w:val="none"/>
        </w:rPr>
      </w:pPr>
    </w:p>
    <w:p w14:paraId="0FD54F15">
      <w:pPr>
        <w:pStyle w:val="28"/>
        <w:snapToGrid w:val="0"/>
        <w:spacing w:beforeLines="0" w:afterLines="0" w:line="240" w:lineRule="auto"/>
        <w:rPr>
          <w:rFonts w:hAnsi="宋体"/>
          <w:b/>
          <w:color w:val="auto"/>
          <w:highlight w:val="none"/>
        </w:rPr>
      </w:pPr>
      <w:r>
        <w:rPr>
          <w:rFonts w:hint="eastAsia" w:hAnsi="宋体"/>
          <w:b/>
          <w:color w:val="auto"/>
          <w:spacing w:val="20"/>
          <w:highlight w:val="none"/>
        </w:rPr>
        <w:t>法定代表人签字（或盖章）：            供应商（盖章）：</w:t>
      </w:r>
    </w:p>
    <w:p w14:paraId="4E5E6E8B">
      <w:pPr>
        <w:widowControl/>
        <w:jc w:val="left"/>
        <w:rPr>
          <w:rFonts w:ascii="宋体" w:hAnsi="宋体"/>
          <w:b/>
          <w:color w:val="auto"/>
          <w:sz w:val="24"/>
          <w:highlight w:val="none"/>
        </w:rPr>
      </w:pPr>
    </w:p>
    <w:p w14:paraId="45A645AB">
      <w:pPr>
        <w:snapToGrid w:val="0"/>
        <w:spacing w:before="50" w:after="120" w:afterLines="50"/>
        <w:jc w:val="left"/>
        <w:rPr>
          <w:rFonts w:ascii="宋体" w:hAnsi="宋体"/>
          <w:b/>
          <w:color w:val="auto"/>
          <w:sz w:val="24"/>
          <w:szCs w:val="20"/>
          <w:highlight w:val="none"/>
        </w:rPr>
      </w:pPr>
      <w:bookmarkStart w:id="72" w:name="_Toc265669851"/>
      <w:r>
        <w:rPr>
          <w:rFonts w:hint="eastAsia" w:ascii="宋体" w:hAnsi="宋体"/>
          <w:b/>
          <w:color w:val="auto"/>
          <w:sz w:val="24"/>
          <w:szCs w:val="20"/>
          <w:highlight w:val="none"/>
        </w:rPr>
        <w:t>日期:_____年___月___日</w:t>
      </w:r>
    </w:p>
    <w:p w14:paraId="738D2AEB">
      <w:pPr>
        <w:snapToGrid w:val="0"/>
        <w:spacing w:before="50" w:after="120" w:afterLines="50"/>
        <w:outlineLvl w:val="1"/>
        <w:rPr>
          <w:rFonts w:ascii="宋体" w:hAnsi="宋体"/>
          <w:b/>
          <w:color w:val="auto"/>
          <w:sz w:val="24"/>
          <w:highlight w:val="none"/>
        </w:rPr>
      </w:pPr>
      <w:r>
        <w:rPr>
          <w:rFonts w:ascii="宋体" w:hAnsi="宋体"/>
          <w:b/>
          <w:color w:val="auto"/>
          <w:sz w:val="24"/>
          <w:highlight w:val="none"/>
        </w:rPr>
        <w:br w:type="page"/>
      </w:r>
    </w:p>
    <w:p w14:paraId="1F48D0F2">
      <w:pPr>
        <w:snapToGrid w:val="0"/>
        <w:spacing w:before="50" w:after="120" w:afterLines="50"/>
        <w:jc w:val="center"/>
        <w:outlineLvl w:val="1"/>
        <w:rPr>
          <w:rFonts w:ascii="宋体" w:hAnsi="宋体"/>
          <w:b/>
          <w:color w:val="auto"/>
          <w:sz w:val="24"/>
          <w:highlight w:val="none"/>
        </w:rPr>
      </w:pPr>
    </w:p>
    <w:bookmarkEnd w:id="57"/>
    <w:bookmarkEnd w:id="72"/>
    <w:p w14:paraId="4B3F8F04">
      <w:pPr>
        <w:snapToGrid w:val="0"/>
        <w:spacing w:before="50" w:after="120" w:afterLines="50"/>
        <w:jc w:val="center"/>
        <w:outlineLvl w:val="1"/>
        <w:rPr>
          <w:rFonts w:ascii="宋体" w:hAnsi="宋体"/>
          <w:b/>
          <w:color w:val="auto"/>
          <w:sz w:val="30"/>
          <w:szCs w:val="30"/>
          <w:highlight w:val="none"/>
        </w:rPr>
      </w:pPr>
      <w:bookmarkStart w:id="73" w:name="_Toc466534754"/>
      <w:r>
        <w:rPr>
          <w:rFonts w:hint="eastAsia" w:ascii="宋体" w:hAnsi="宋体"/>
          <w:b/>
          <w:color w:val="auto"/>
          <w:sz w:val="30"/>
          <w:szCs w:val="30"/>
          <w:highlight w:val="none"/>
        </w:rPr>
        <w:t>三、报价文件格式</w:t>
      </w:r>
      <w:bookmarkEnd w:id="73"/>
    </w:p>
    <w:p w14:paraId="509D2D57">
      <w:pPr>
        <w:snapToGrid w:val="0"/>
        <w:spacing w:before="120" w:beforeLines="50" w:after="50"/>
        <w:ind w:firstLine="645"/>
        <w:jc w:val="center"/>
        <w:rPr>
          <w:rFonts w:ascii="宋体" w:hAnsi="宋体"/>
          <w:color w:val="auto"/>
          <w:sz w:val="24"/>
          <w:szCs w:val="20"/>
          <w:highlight w:val="none"/>
        </w:rPr>
      </w:pPr>
      <w:r>
        <w:rPr>
          <w:rFonts w:ascii="宋体" w:hAnsi="宋体"/>
          <w:bCs/>
          <w:color w:val="auto"/>
          <w:sz w:val="24"/>
          <w:highlight w:val="none"/>
        </w:rPr>
        <w:t xml:space="preserve"> </w:t>
      </w:r>
    </w:p>
    <w:p w14:paraId="02F392A7">
      <w:pPr>
        <w:snapToGrid w:val="0"/>
        <w:spacing w:before="120" w:beforeLines="50" w:after="50"/>
        <w:rPr>
          <w:rFonts w:ascii="宋体" w:hAnsi="宋体"/>
          <w:color w:val="auto"/>
          <w:sz w:val="24"/>
          <w:szCs w:val="20"/>
          <w:highlight w:val="none"/>
        </w:rPr>
      </w:pPr>
    </w:p>
    <w:p w14:paraId="1ADF1C93">
      <w:pPr>
        <w:snapToGrid w:val="0"/>
        <w:spacing w:before="120" w:beforeLines="50" w:after="50"/>
        <w:rPr>
          <w:rFonts w:ascii="宋体" w:hAnsi="宋体"/>
          <w:color w:val="auto"/>
          <w:sz w:val="24"/>
          <w:szCs w:val="20"/>
          <w:highlight w:val="none"/>
        </w:rPr>
      </w:pPr>
    </w:p>
    <w:p w14:paraId="0993A2CB">
      <w:pPr>
        <w:snapToGrid w:val="0"/>
        <w:spacing w:before="120" w:beforeLines="50" w:after="50"/>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 xml:space="preserve">.报价文件封面格式： </w:t>
      </w:r>
    </w:p>
    <w:p w14:paraId="34C0987B">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报 价 文 件</w:t>
      </w:r>
    </w:p>
    <w:p w14:paraId="41840EB5">
      <w:pPr>
        <w:snapToGrid w:val="0"/>
        <w:spacing w:before="120" w:beforeLines="50" w:after="50"/>
        <w:jc w:val="center"/>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000BD6CB">
      <w:pPr>
        <w:snapToGrid w:val="0"/>
        <w:spacing w:before="120" w:beforeLines="50" w:after="50" w:line="360" w:lineRule="auto"/>
        <w:jc w:val="center"/>
        <w:rPr>
          <w:rFonts w:ascii="宋体" w:hAnsi="宋体"/>
          <w:bCs/>
          <w:color w:val="auto"/>
          <w:sz w:val="28"/>
          <w:szCs w:val="28"/>
          <w:highlight w:val="none"/>
        </w:rPr>
      </w:pPr>
    </w:p>
    <w:p w14:paraId="33F659D6">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58D6BA62">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w:t>
      </w:r>
    </w:p>
    <w:p w14:paraId="6DC38CEF">
      <w:pPr>
        <w:pStyle w:val="15"/>
        <w:snapToGrid w:val="0"/>
        <w:spacing w:before="50" w:after="50" w:line="360" w:lineRule="auto"/>
        <w:ind w:firstLine="1164" w:firstLineChars="416"/>
        <w:rPr>
          <w:rFonts w:ascii="宋体" w:hAnsi="宋体"/>
          <w:bCs/>
          <w:color w:val="auto"/>
          <w:sz w:val="28"/>
          <w:szCs w:val="28"/>
          <w:highlight w:val="none"/>
        </w:rPr>
      </w:pPr>
    </w:p>
    <w:p w14:paraId="5CD05E57">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034F472D">
      <w:pPr>
        <w:pStyle w:val="15"/>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16539F54">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w:t>
      </w:r>
    </w:p>
    <w:p w14:paraId="576801CF">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38461472">
      <w:pPr>
        <w:pStyle w:val="28"/>
        <w:snapToGrid w:val="0"/>
        <w:spacing w:beforeLines="0" w:afterLines="0" w:line="240" w:lineRule="auto"/>
        <w:rPr>
          <w:rFonts w:hAnsi="宋体"/>
          <w:color w:val="auto"/>
          <w:highlight w:val="none"/>
        </w:rPr>
      </w:pPr>
      <w:r>
        <w:rPr>
          <w:rFonts w:hint="eastAsia" w:hAnsi="宋体"/>
          <w:color w:val="auto"/>
          <w:highlight w:val="none"/>
        </w:rPr>
        <w:br w:type="page"/>
      </w:r>
      <w:r>
        <w:rPr>
          <w:rFonts w:hint="eastAsia" w:hAnsi="宋体"/>
          <w:color w:val="auto"/>
          <w:highlight w:val="none"/>
        </w:rPr>
        <w:t>1</w:t>
      </w:r>
      <w:r>
        <w:rPr>
          <w:rFonts w:hint="eastAsia" w:hAnsi="宋体"/>
          <w:color w:val="auto"/>
          <w:highlight w:val="none"/>
          <w:lang w:val="en-US" w:eastAsia="zh-CN"/>
        </w:rPr>
        <w:t>5</w:t>
      </w:r>
      <w:r>
        <w:rPr>
          <w:rFonts w:hint="eastAsia" w:hAnsi="宋体"/>
          <w:color w:val="auto"/>
          <w:highlight w:val="none"/>
        </w:rPr>
        <w:t>.开标一览表格式：</w:t>
      </w:r>
    </w:p>
    <w:p w14:paraId="2A4DC8E2">
      <w:pPr>
        <w:pStyle w:val="28"/>
        <w:snapToGrid w:val="0"/>
        <w:spacing w:beforeLines="0" w:afterLines="0" w:line="240" w:lineRule="auto"/>
        <w:jc w:val="center"/>
        <w:rPr>
          <w:rFonts w:hAnsi="宋体"/>
          <w:b/>
          <w:color w:val="auto"/>
          <w:highlight w:val="none"/>
        </w:rPr>
      </w:pPr>
      <w:r>
        <w:rPr>
          <w:rFonts w:hint="eastAsia" w:hAnsi="宋体"/>
          <w:b/>
          <w:color w:val="auto"/>
          <w:highlight w:val="none"/>
        </w:rPr>
        <w:t>开标一览表</w:t>
      </w:r>
    </w:p>
    <w:p w14:paraId="26F80BBF">
      <w:pPr>
        <w:snapToGrid w:val="0"/>
        <w:spacing w:before="120" w:beforeLines="50" w:after="50" w:line="480" w:lineRule="auto"/>
        <w:rPr>
          <w:rFonts w:ascii="宋体" w:hAnsi="宋体"/>
          <w:b/>
          <w:color w:val="auto"/>
          <w:sz w:val="24"/>
          <w:highlight w:val="none"/>
        </w:rPr>
      </w:pPr>
    </w:p>
    <w:p w14:paraId="1AC12F43">
      <w:pPr>
        <w:snapToGrid w:val="0"/>
        <w:spacing w:before="120" w:beforeLines="50" w:after="50" w:line="480" w:lineRule="auto"/>
        <w:ind w:firstLine="588" w:firstLineChars="245"/>
        <w:rPr>
          <w:rFonts w:ascii="宋体" w:hAnsi="宋体"/>
          <w:bCs/>
          <w:color w:val="auto"/>
          <w:sz w:val="24"/>
          <w:szCs w:val="20"/>
          <w:highlight w:val="none"/>
        </w:rPr>
      </w:pPr>
      <w:r>
        <w:rPr>
          <w:rFonts w:hint="eastAsia" w:ascii="宋体" w:hAnsi="宋体"/>
          <w:bCs/>
          <w:color w:val="auto"/>
          <w:sz w:val="24"/>
          <w:highlight w:val="none"/>
        </w:rPr>
        <w:t>项目名称：</w:t>
      </w:r>
    </w:p>
    <w:p w14:paraId="35B3318D">
      <w:pPr>
        <w:snapToGrid w:val="0"/>
        <w:spacing w:before="120" w:beforeLines="50" w:after="50" w:line="480" w:lineRule="auto"/>
        <w:ind w:firstLine="480" w:firstLineChars="200"/>
        <w:rPr>
          <w:rFonts w:ascii="宋体" w:hAnsi="宋体"/>
          <w:b/>
          <w:color w:val="auto"/>
          <w:sz w:val="24"/>
          <w:highlight w:val="none"/>
        </w:rPr>
      </w:pPr>
      <w:r>
        <w:rPr>
          <w:rFonts w:hint="eastAsia" w:ascii="宋体" w:hAnsi="宋体"/>
          <w:color w:val="auto"/>
          <w:sz w:val="24"/>
          <w:highlight w:val="none"/>
        </w:rPr>
        <w:t>项目编号：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28"/>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名称</w:t>
            </w:r>
          </w:p>
        </w:tc>
        <w:tc>
          <w:tcPr>
            <w:tcW w:w="5760" w:type="dxa"/>
            <w:vAlign w:val="center"/>
          </w:tcPr>
          <w:p w14:paraId="45E509A4">
            <w:pPr>
              <w:pStyle w:val="28"/>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内容</w:t>
            </w:r>
          </w:p>
        </w:tc>
        <w:tc>
          <w:tcPr>
            <w:tcW w:w="1620" w:type="dxa"/>
            <w:vAlign w:val="center"/>
          </w:tcPr>
          <w:p w14:paraId="64DF79D0">
            <w:pPr>
              <w:pStyle w:val="28"/>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8"/>
              <w:snapToGrid w:val="0"/>
              <w:spacing w:beforeLines="0" w:afterLines="0" w:line="240" w:lineRule="auto"/>
              <w:jc w:val="center"/>
              <w:rPr>
                <w:rFonts w:hAnsi="宋体"/>
                <w:b/>
                <w:color w:val="auto"/>
                <w:kern w:val="2"/>
                <w:highlight w:val="none"/>
              </w:rPr>
            </w:pPr>
          </w:p>
          <w:p w14:paraId="533EADC8">
            <w:pPr>
              <w:pStyle w:val="28"/>
              <w:snapToGrid w:val="0"/>
              <w:spacing w:beforeLines="0" w:afterLines="0" w:line="240" w:lineRule="auto"/>
              <w:jc w:val="center"/>
              <w:rPr>
                <w:rFonts w:hAnsi="宋体"/>
                <w:color w:val="auto"/>
                <w:kern w:val="2"/>
                <w:highlight w:val="none"/>
              </w:rPr>
            </w:pPr>
            <w:r>
              <w:rPr>
                <w:rFonts w:hint="eastAsia" w:hAnsi="宋体"/>
                <w:color w:val="auto"/>
                <w:kern w:val="2"/>
                <w:highlight w:val="none"/>
              </w:rPr>
              <w:t>投标</w:t>
            </w:r>
            <w:r>
              <w:rPr>
                <w:rFonts w:hint="eastAsia" w:hAnsi="宋体"/>
                <w:b/>
                <w:bCs/>
                <w:color w:val="auto"/>
                <w:kern w:val="2"/>
                <w:highlight w:val="none"/>
              </w:rPr>
              <w:t>总</w:t>
            </w:r>
            <w:r>
              <w:rPr>
                <w:rFonts w:hint="eastAsia" w:hAnsi="宋体"/>
                <w:color w:val="auto"/>
                <w:kern w:val="2"/>
                <w:highlight w:val="none"/>
              </w:rPr>
              <w:t>报价</w:t>
            </w:r>
          </w:p>
          <w:p w14:paraId="6FC016A9">
            <w:pPr>
              <w:pStyle w:val="28"/>
              <w:snapToGrid w:val="0"/>
              <w:spacing w:beforeLines="0" w:afterLines="0" w:line="240" w:lineRule="auto"/>
              <w:jc w:val="center"/>
              <w:rPr>
                <w:rFonts w:hAnsi="宋体"/>
                <w:b/>
                <w:color w:val="auto"/>
                <w:kern w:val="2"/>
                <w:highlight w:val="none"/>
              </w:rPr>
            </w:pPr>
          </w:p>
          <w:p w14:paraId="62645755">
            <w:pPr>
              <w:pStyle w:val="28"/>
              <w:snapToGrid w:val="0"/>
              <w:spacing w:beforeLines="0" w:afterLines="0" w:line="240" w:lineRule="auto"/>
              <w:jc w:val="center"/>
              <w:rPr>
                <w:rFonts w:hAnsi="宋体"/>
                <w:b/>
                <w:color w:val="auto"/>
                <w:kern w:val="2"/>
                <w:highlight w:val="none"/>
              </w:rPr>
            </w:pPr>
          </w:p>
          <w:p w14:paraId="72854FD2">
            <w:pPr>
              <w:pStyle w:val="28"/>
              <w:snapToGrid w:val="0"/>
              <w:spacing w:beforeLines="0" w:afterLines="0" w:line="240" w:lineRule="auto"/>
              <w:jc w:val="center"/>
              <w:rPr>
                <w:rFonts w:hAnsi="宋体"/>
                <w:b/>
                <w:color w:val="auto"/>
                <w:kern w:val="2"/>
                <w:highlight w:val="none"/>
              </w:rPr>
            </w:pPr>
          </w:p>
        </w:tc>
        <w:tc>
          <w:tcPr>
            <w:tcW w:w="5760" w:type="dxa"/>
            <w:vAlign w:val="center"/>
          </w:tcPr>
          <w:p w14:paraId="36AE7B36">
            <w:pPr>
              <w:pStyle w:val="28"/>
              <w:snapToGrid w:val="0"/>
              <w:spacing w:beforeLines="0" w:afterLines="0" w:line="240" w:lineRule="auto"/>
              <w:rPr>
                <w:rFonts w:hAnsi="宋体"/>
                <w:color w:val="auto"/>
                <w:kern w:val="2"/>
                <w:highlight w:val="none"/>
              </w:rPr>
            </w:pPr>
          </w:p>
          <w:p w14:paraId="043F1939">
            <w:pPr>
              <w:pStyle w:val="28"/>
              <w:snapToGrid w:val="0"/>
              <w:spacing w:beforeLines="0" w:afterLines="0" w:line="240" w:lineRule="auto"/>
              <w:ind w:left="240" w:hanging="240" w:hangingChars="100"/>
              <w:rPr>
                <w:rFonts w:hAnsi="宋体"/>
                <w:color w:val="auto"/>
                <w:kern w:val="2"/>
                <w:highlight w:val="none"/>
              </w:rPr>
            </w:pPr>
            <w:r>
              <w:rPr>
                <w:rFonts w:hint="eastAsia" w:hAnsi="宋体"/>
                <w:color w:val="auto"/>
                <w:kern w:val="2"/>
                <w:highlight w:val="none"/>
              </w:rPr>
              <w:t>大写：人民币</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万</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仟</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p>
          <w:p w14:paraId="56EF3A0B">
            <w:pPr>
              <w:pStyle w:val="28"/>
              <w:snapToGrid w:val="0"/>
              <w:spacing w:beforeLines="0" w:afterLines="0" w:line="240" w:lineRule="auto"/>
              <w:ind w:left="210" w:leftChars="100" w:firstLine="480" w:firstLineChars="200"/>
              <w:rPr>
                <w:rFonts w:hAnsi="宋体"/>
                <w:color w:val="auto"/>
                <w:kern w:val="2"/>
                <w:highlight w:val="none"/>
              </w:rPr>
            </w:pP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元</w:t>
            </w:r>
            <w:r>
              <w:rPr>
                <w:rFonts w:hAnsi="宋体"/>
                <w:color w:val="auto"/>
                <w:kern w:val="2"/>
                <w:highlight w:val="none"/>
              </w:rPr>
              <w:t xml:space="preserve"> </w:t>
            </w:r>
            <w:r>
              <w:rPr>
                <w:rFonts w:hAnsi="宋体"/>
                <w:color w:val="auto"/>
                <w:kern w:val="2"/>
                <w:highlight w:val="none"/>
                <w:u w:val="single"/>
              </w:rPr>
              <w:t xml:space="preserve"> </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角</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分整</w:t>
            </w:r>
          </w:p>
          <w:p w14:paraId="227A62BA">
            <w:pPr>
              <w:pStyle w:val="28"/>
              <w:snapToGrid w:val="0"/>
              <w:spacing w:beforeLines="0" w:afterLines="0" w:line="240" w:lineRule="auto"/>
              <w:rPr>
                <w:rFonts w:hAnsi="宋体"/>
                <w:color w:val="auto"/>
                <w:kern w:val="2"/>
                <w:highlight w:val="none"/>
              </w:rPr>
            </w:pPr>
          </w:p>
          <w:p w14:paraId="745E468C">
            <w:pPr>
              <w:pStyle w:val="28"/>
              <w:snapToGrid w:val="0"/>
              <w:spacing w:beforeLines="0" w:afterLines="0" w:line="240" w:lineRule="auto"/>
              <w:rPr>
                <w:rFonts w:hAnsi="宋体"/>
                <w:color w:val="auto"/>
                <w:kern w:val="2"/>
                <w:highlight w:val="none"/>
              </w:rPr>
            </w:pPr>
            <w:r>
              <w:rPr>
                <w:rFonts w:hint="eastAsia" w:hAnsi="宋体"/>
                <w:color w:val="auto"/>
                <w:kern w:val="2"/>
                <w:highlight w:val="none"/>
              </w:rPr>
              <w:t>小写：</w:t>
            </w:r>
            <w:r>
              <w:rPr>
                <w:rFonts w:hint="eastAsia" w:hAnsi="宋体"/>
                <w:color w:val="auto"/>
                <w:kern w:val="2"/>
                <w:highlight w:val="none"/>
                <w:u w:val="single"/>
              </w:rPr>
              <w:t>￥_</w:t>
            </w:r>
            <w:r>
              <w:rPr>
                <w:rFonts w:hint="eastAsia" w:hAnsi="宋体"/>
                <w:color w:val="auto"/>
                <w:kern w:val="2"/>
                <w:highlight w:val="none"/>
              </w:rPr>
              <w:t>_______________________元整</w:t>
            </w:r>
          </w:p>
          <w:p w14:paraId="3304B81A">
            <w:pPr>
              <w:pStyle w:val="28"/>
              <w:snapToGrid w:val="0"/>
              <w:spacing w:beforeLines="0" w:afterLines="0" w:line="240" w:lineRule="auto"/>
              <w:rPr>
                <w:rFonts w:hAnsi="宋体"/>
                <w:b/>
                <w:color w:val="auto"/>
                <w:kern w:val="2"/>
                <w:highlight w:val="none"/>
              </w:rPr>
            </w:pPr>
          </w:p>
        </w:tc>
        <w:tc>
          <w:tcPr>
            <w:tcW w:w="1620" w:type="dxa"/>
          </w:tcPr>
          <w:p w14:paraId="4E4B189C">
            <w:pPr>
              <w:pStyle w:val="28"/>
              <w:snapToGrid w:val="0"/>
              <w:spacing w:beforeLines="0" w:afterLines="0" w:line="240" w:lineRule="auto"/>
              <w:rPr>
                <w:rFonts w:hAnsi="宋体"/>
                <w:b/>
                <w:color w:val="auto"/>
                <w:kern w:val="2"/>
                <w:highlight w:val="none"/>
              </w:rPr>
            </w:pPr>
          </w:p>
        </w:tc>
      </w:tr>
    </w:tbl>
    <w:p w14:paraId="057620E4">
      <w:pPr>
        <w:pStyle w:val="28"/>
        <w:snapToGrid w:val="0"/>
        <w:spacing w:beforeLines="0" w:afterLines="0" w:line="240" w:lineRule="auto"/>
        <w:rPr>
          <w:rFonts w:hAnsi="宋体"/>
          <w:b/>
          <w:color w:val="auto"/>
          <w:highlight w:val="none"/>
        </w:rPr>
      </w:pPr>
    </w:p>
    <w:p w14:paraId="3129F90E">
      <w:pPr>
        <w:pStyle w:val="28"/>
        <w:snapToGrid w:val="0"/>
        <w:spacing w:beforeLines="0" w:afterLines="0" w:line="480" w:lineRule="exact"/>
        <w:rPr>
          <w:rFonts w:hAnsi="宋体"/>
          <w:b/>
          <w:color w:val="auto"/>
          <w:kern w:val="2"/>
          <w:szCs w:val="20"/>
          <w:highlight w:val="none"/>
        </w:rPr>
      </w:pPr>
    </w:p>
    <w:p w14:paraId="51AEC34C">
      <w:pPr>
        <w:pStyle w:val="28"/>
        <w:snapToGrid w:val="0"/>
        <w:spacing w:beforeLines="0" w:afterLines="0" w:line="360" w:lineRule="auto"/>
        <w:rPr>
          <w:rFonts w:hAnsi="宋体"/>
          <w:b/>
          <w:color w:val="auto"/>
          <w:kern w:val="2"/>
          <w:szCs w:val="20"/>
          <w:highlight w:val="none"/>
        </w:rPr>
      </w:pPr>
      <w:r>
        <w:rPr>
          <w:rFonts w:hint="eastAsia" w:hAnsi="宋体"/>
          <w:b/>
          <w:color w:val="auto"/>
          <w:kern w:val="2"/>
          <w:szCs w:val="20"/>
          <w:highlight w:val="none"/>
        </w:rPr>
        <w:t>投标</w:t>
      </w:r>
      <w:r>
        <w:rPr>
          <w:rFonts w:hint="eastAsia" w:hAnsi="宋体"/>
          <w:b/>
          <w:color w:val="auto"/>
          <w:kern w:val="2"/>
          <w:szCs w:val="20"/>
          <w:highlight w:val="none"/>
          <w:lang w:val="en-US" w:eastAsia="zh-CN"/>
        </w:rPr>
        <w:t>总</w:t>
      </w:r>
      <w:r>
        <w:rPr>
          <w:rFonts w:hint="eastAsia" w:hAnsi="宋体"/>
          <w:b/>
          <w:color w:val="auto"/>
          <w:kern w:val="2"/>
          <w:szCs w:val="20"/>
          <w:highlight w:val="none"/>
        </w:rPr>
        <w:t>报价是履行合同的最终价格，应包含所有人员的人工费、交通费、住宿费、伙食费、办公设施费、管理费、利润、税金及成果鉴定验收会发生的费用等一切费用。</w:t>
      </w:r>
    </w:p>
    <w:p w14:paraId="7AD12F44">
      <w:pPr>
        <w:snapToGrid w:val="0"/>
        <w:spacing w:before="50" w:after="120" w:afterLines="50" w:line="360" w:lineRule="auto"/>
        <w:jc w:val="left"/>
        <w:rPr>
          <w:rFonts w:ascii="宋体" w:hAnsi="宋体"/>
          <w:color w:val="auto"/>
          <w:sz w:val="24"/>
          <w:szCs w:val="20"/>
          <w:highlight w:val="none"/>
        </w:rPr>
      </w:pPr>
    </w:p>
    <w:p w14:paraId="637FCF07">
      <w:pPr>
        <w:pStyle w:val="28"/>
        <w:snapToGrid w:val="0"/>
        <w:spacing w:beforeLines="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供应商（盖章）：  </w:t>
      </w:r>
    </w:p>
    <w:p w14:paraId="1DDCBAA4">
      <w:pPr>
        <w:pStyle w:val="28"/>
        <w:snapToGrid w:val="0"/>
        <w:spacing w:beforeLines="0" w:afterLines="0" w:line="240" w:lineRule="auto"/>
        <w:rPr>
          <w:rFonts w:hAnsi="宋体"/>
          <w:color w:val="auto"/>
          <w:highlight w:val="none"/>
        </w:rPr>
      </w:pPr>
    </w:p>
    <w:p w14:paraId="1FBB0FA8">
      <w:pPr>
        <w:snapToGrid w:val="0"/>
        <w:spacing w:before="50" w:after="120" w:afterLines="50"/>
        <w:jc w:val="left"/>
        <w:rPr>
          <w:rFonts w:ascii="宋体" w:hAnsi="宋体"/>
          <w:b/>
          <w:color w:val="auto"/>
          <w:sz w:val="24"/>
          <w:szCs w:val="20"/>
          <w:highlight w:val="none"/>
        </w:rPr>
      </w:pPr>
    </w:p>
    <w:p w14:paraId="007EFD4E">
      <w:pPr>
        <w:snapToGrid w:val="0"/>
        <w:spacing w:before="50" w:after="120" w:afterLines="50"/>
        <w:jc w:val="left"/>
        <w:rPr>
          <w:rFonts w:ascii="宋体" w:hAnsi="宋体"/>
          <w:b/>
          <w:color w:val="auto"/>
          <w:sz w:val="24"/>
          <w:szCs w:val="20"/>
          <w:highlight w:val="none"/>
        </w:rPr>
      </w:pPr>
      <w:r>
        <w:rPr>
          <w:rFonts w:hint="eastAsia" w:ascii="宋体" w:hAnsi="宋体"/>
          <w:b/>
          <w:color w:val="auto"/>
          <w:sz w:val="24"/>
          <w:szCs w:val="20"/>
          <w:highlight w:val="none"/>
        </w:rPr>
        <w:t>日期:_____年___月___日</w:t>
      </w:r>
    </w:p>
    <w:p w14:paraId="06B4B8B6">
      <w:pPr>
        <w:pStyle w:val="28"/>
        <w:snapToGrid w:val="0"/>
        <w:spacing w:beforeLines="0" w:afterLines="0" w:line="240" w:lineRule="auto"/>
        <w:rPr>
          <w:rFonts w:hAnsi="宋体"/>
          <w:color w:val="auto"/>
          <w:highlight w:val="none"/>
        </w:rPr>
      </w:pPr>
    </w:p>
    <w:p w14:paraId="7B480536">
      <w:pPr>
        <w:pStyle w:val="28"/>
        <w:snapToGrid w:val="0"/>
        <w:spacing w:beforeLines="0" w:afterLines="0" w:line="240" w:lineRule="auto"/>
        <w:rPr>
          <w:rFonts w:hAnsi="宋体"/>
          <w:color w:val="auto"/>
          <w:highlight w:val="none"/>
        </w:rPr>
      </w:pPr>
    </w:p>
    <w:p w14:paraId="792BFEB3">
      <w:pPr>
        <w:pStyle w:val="28"/>
        <w:snapToGrid w:val="0"/>
        <w:spacing w:beforeLines="0" w:afterLines="0" w:line="240" w:lineRule="auto"/>
        <w:rPr>
          <w:rFonts w:hAnsi="宋体"/>
          <w:color w:val="auto"/>
          <w:highlight w:val="none"/>
        </w:rPr>
      </w:pPr>
    </w:p>
    <w:p w14:paraId="69404860">
      <w:pPr>
        <w:pStyle w:val="28"/>
        <w:snapToGrid w:val="0"/>
        <w:spacing w:beforeLines="0" w:afterLines="0" w:line="240" w:lineRule="auto"/>
        <w:rPr>
          <w:rFonts w:hAnsi="宋体"/>
          <w:color w:val="auto"/>
          <w:highlight w:val="none"/>
        </w:rPr>
      </w:pPr>
      <w:r>
        <w:rPr>
          <w:rFonts w:hAnsi="宋体"/>
          <w:color w:val="auto"/>
          <w:highlight w:val="none"/>
        </w:rPr>
        <w:br w:type="page"/>
      </w:r>
    </w:p>
    <w:p w14:paraId="1C7BF0C3">
      <w:pPr>
        <w:pStyle w:val="28"/>
        <w:snapToGrid w:val="0"/>
        <w:spacing w:beforeLines="0" w:afterLines="0" w:line="240" w:lineRule="auto"/>
        <w:rPr>
          <w:rFonts w:hAnsi="宋体"/>
          <w:color w:val="auto"/>
          <w:highlight w:val="none"/>
        </w:rPr>
      </w:pPr>
      <w:r>
        <w:rPr>
          <w:rFonts w:hint="eastAsia" w:hAnsi="宋体"/>
          <w:color w:val="auto"/>
          <w:highlight w:val="none"/>
        </w:rPr>
        <w:t>1</w:t>
      </w:r>
      <w:r>
        <w:rPr>
          <w:rFonts w:hint="eastAsia" w:hAnsi="宋体"/>
          <w:color w:val="auto"/>
          <w:highlight w:val="none"/>
          <w:lang w:val="en-US" w:eastAsia="zh-CN"/>
        </w:rPr>
        <w:t>6</w:t>
      </w:r>
      <w:r>
        <w:rPr>
          <w:rFonts w:hint="eastAsia" w:hAnsi="宋体"/>
          <w:color w:val="auto"/>
          <w:highlight w:val="none"/>
        </w:rPr>
        <w:t xml:space="preserve">.报价明细表格式：       </w:t>
      </w:r>
    </w:p>
    <w:p w14:paraId="2EC4D456">
      <w:pPr>
        <w:pStyle w:val="28"/>
        <w:snapToGrid w:val="0"/>
        <w:spacing w:beforeLines="0" w:afterLines="0" w:line="240" w:lineRule="auto"/>
        <w:jc w:val="center"/>
        <w:rPr>
          <w:rFonts w:hAnsi="宋体"/>
          <w:b/>
          <w:color w:val="auto"/>
          <w:highlight w:val="none"/>
        </w:rPr>
      </w:pPr>
      <w:r>
        <w:rPr>
          <w:rFonts w:hint="eastAsia" w:hAnsi="宋体"/>
          <w:b/>
          <w:color w:val="auto"/>
          <w:highlight w:val="none"/>
        </w:rPr>
        <w:t>报价明细表</w:t>
      </w:r>
    </w:p>
    <w:p w14:paraId="6D6F3C2F">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2324BC82">
      <w:pPr>
        <w:snapToGrid w:val="0"/>
        <w:spacing w:before="120" w:beforeLines="50" w:after="50" w:line="360" w:lineRule="auto"/>
        <w:rPr>
          <w:rFonts w:ascii="宋体" w:hAnsi="宋体"/>
          <w:bCs/>
          <w:color w:val="auto"/>
          <w:sz w:val="24"/>
          <w:highlight w:val="none"/>
        </w:rPr>
      </w:pPr>
      <w:r>
        <w:rPr>
          <w:rFonts w:hint="eastAsia" w:ascii="宋体" w:hAnsi="宋体"/>
          <w:color w:val="auto"/>
          <w:sz w:val="24"/>
          <w:highlight w:val="none"/>
        </w:rPr>
        <w:t>项目编号：</w:t>
      </w:r>
    </w:p>
    <w:tbl>
      <w:tblPr>
        <w:tblStyle w:val="4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1701"/>
        <w:gridCol w:w="1559"/>
        <w:gridCol w:w="851"/>
        <w:gridCol w:w="1134"/>
        <w:gridCol w:w="850"/>
        <w:gridCol w:w="993"/>
      </w:tblGrid>
      <w:tr w14:paraId="6728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1" w:type="dxa"/>
            <w:vAlign w:val="center"/>
          </w:tcPr>
          <w:p w14:paraId="040392C0">
            <w:pPr>
              <w:jc w:val="center"/>
              <w:rPr>
                <w:b/>
                <w:color w:val="auto"/>
                <w:sz w:val="24"/>
                <w:highlight w:val="none"/>
              </w:rPr>
            </w:pPr>
            <w:r>
              <w:rPr>
                <w:rFonts w:hint="eastAsia"/>
                <w:b/>
                <w:color w:val="auto"/>
                <w:sz w:val="24"/>
                <w:highlight w:val="none"/>
              </w:rPr>
              <w:t>序号</w:t>
            </w:r>
          </w:p>
        </w:tc>
        <w:tc>
          <w:tcPr>
            <w:tcW w:w="1559" w:type="dxa"/>
            <w:vAlign w:val="center"/>
          </w:tcPr>
          <w:p w14:paraId="139E0741">
            <w:pPr>
              <w:jc w:val="center"/>
              <w:rPr>
                <w:b/>
                <w:color w:val="auto"/>
                <w:sz w:val="24"/>
                <w:highlight w:val="none"/>
              </w:rPr>
            </w:pPr>
            <w:r>
              <w:rPr>
                <w:rFonts w:hint="eastAsia"/>
                <w:b/>
                <w:color w:val="auto"/>
                <w:sz w:val="24"/>
                <w:highlight w:val="none"/>
              </w:rPr>
              <w:t>服务内容</w:t>
            </w:r>
          </w:p>
        </w:tc>
        <w:tc>
          <w:tcPr>
            <w:tcW w:w="1701" w:type="dxa"/>
            <w:vAlign w:val="center"/>
          </w:tcPr>
          <w:p w14:paraId="06BD44CF">
            <w:pPr>
              <w:jc w:val="center"/>
              <w:rPr>
                <w:b/>
                <w:color w:val="auto"/>
                <w:sz w:val="24"/>
                <w:highlight w:val="none"/>
              </w:rPr>
            </w:pPr>
            <w:r>
              <w:rPr>
                <w:rFonts w:hint="eastAsia"/>
                <w:b/>
                <w:color w:val="auto"/>
                <w:sz w:val="24"/>
                <w:highlight w:val="none"/>
              </w:rPr>
              <w:t>承接企业名称</w:t>
            </w:r>
          </w:p>
        </w:tc>
        <w:tc>
          <w:tcPr>
            <w:tcW w:w="1559" w:type="dxa"/>
            <w:vAlign w:val="center"/>
          </w:tcPr>
          <w:p w14:paraId="4328FA39">
            <w:pPr>
              <w:jc w:val="center"/>
              <w:rPr>
                <w:b/>
                <w:color w:val="auto"/>
                <w:sz w:val="24"/>
                <w:highlight w:val="none"/>
              </w:rPr>
            </w:pPr>
            <w:r>
              <w:rPr>
                <w:rFonts w:hint="eastAsia"/>
                <w:b/>
                <w:color w:val="auto"/>
                <w:sz w:val="24"/>
                <w:highlight w:val="none"/>
              </w:rPr>
              <w:t>是否是中小企业</w:t>
            </w:r>
          </w:p>
        </w:tc>
        <w:tc>
          <w:tcPr>
            <w:tcW w:w="851" w:type="dxa"/>
            <w:vAlign w:val="center"/>
          </w:tcPr>
          <w:p w14:paraId="441E080F">
            <w:pPr>
              <w:jc w:val="center"/>
              <w:rPr>
                <w:b/>
                <w:color w:val="auto"/>
                <w:sz w:val="24"/>
                <w:highlight w:val="none"/>
              </w:rPr>
            </w:pPr>
            <w:r>
              <w:rPr>
                <w:rFonts w:hint="eastAsia"/>
                <w:b/>
                <w:color w:val="auto"/>
                <w:sz w:val="24"/>
                <w:highlight w:val="none"/>
              </w:rPr>
              <w:t>数量</w:t>
            </w:r>
          </w:p>
        </w:tc>
        <w:tc>
          <w:tcPr>
            <w:tcW w:w="1134" w:type="dxa"/>
            <w:vAlign w:val="center"/>
          </w:tcPr>
          <w:p w14:paraId="49D01197">
            <w:pPr>
              <w:jc w:val="center"/>
              <w:rPr>
                <w:b/>
                <w:color w:val="auto"/>
                <w:sz w:val="24"/>
                <w:highlight w:val="none"/>
              </w:rPr>
            </w:pPr>
            <w:r>
              <w:rPr>
                <w:rFonts w:hint="eastAsia"/>
                <w:b/>
                <w:color w:val="auto"/>
                <w:sz w:val="24"/>
                <w:highlight w:val="none"/>
              </w:rPr>
              <w:t>单位</w:t>
            </w:r>
          </w:p>
        </w:tc>
        <w:tc>
          <w:tcPr>
            <w:tcW w:w="850" w:type="dxa"/>
            <w:vAlign w:val="center"/>
          </w:tcPr>
          <w:p w14:paraId="272B0106">
            <w:pPr>
              <w:jc w:val="center"/>
              <w:rPr>
                <w:b/>
                <w:color w:val="auto"/>
                <w:sz w:val="24"/>
                <w:highlight w:val="none"/>
              </w:rPr>
            </w:pPr>
            <w:r>
              <w:rPr>
                <w:rFonts w:hint="eastAsia"/>
                <w:b/>
                <w:color w:val="auto"/>
                <w:sz w:val="24"/>
                <w:highlight w:val="none"/>
              </w:rPr>
              <w:t>单价</w:t>
            </w:r>
          </w:p>
        </w:tc>
        <w:tc>
          <w:tcPr>
            <w:tcW w:w="993" w:type="dxa"/>
            <w:vAlign w:val="center"/>
          </w:tcPr>
          <w:p w14:paraId="6125D001">
            <w:pPr>
              <w:jc w:val="center"/>
              <w:rPr>
                <w:b/>
                <w:color w:val="auto"/>
                <w:sz w:val="24"/>
                <w:highlight w:val="none"/>
              </w:rPr>
            </w:pPr>
            <w:r>
              <w:rPr>
                <w:rFonts w:hint="eastAsia"/>
                <w:b/>
                <w:color w:val="auto"/>
                <w:sz w:val="24"/>
                <w:highlight w:val="none"/>
              </w:rPr>
              <w:t>总价</w:t>
            </w:r>
          </w:p>
        </w:tc>
      </w:tr>
      <w:tr w14:paraId="5540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5383332F">
            <w:pPr>
              <w:spacing w:line="480" w:lineRule="auto"/>
              <w:jc w:val="center"/>
              <w:rPr>
                <w:rFonts w:ascii="宋体" w:hAnsi="宋体"/>
                <w:b/>
                <w:color w:val="auto"/>
                <w:sz w:val="24"/>
                <w:highlight w:val="none"/>
              </w:rPr>
            </w:pPr>
          </w:p>
        </w:tc>
        <w:tc>
          <w:tcPr>
            <w:tcW w:w="1559" w:type="dxa"/>
          </w:tcPr>
          <w:p w14:paraId="2D9BFCFF">
            <w:pPr>
              <w:spacing w:line="480" w:lineRule="auto"/>
              <w:jc w:val="center"/>
              <w:rPr>
                <w:rFonts w:ascii="宋体" w:hAnsi="宋体"/>
                <w:color w:val="auto"/>
                <w:sz w:val="24"/>
                <w:highlight w:val="none"/>
              </w:rPr>
            </w:pPr>
          </w:p>
        </w:tc>
        <w:tc>
          <w:tcPr>
            <w:tcW w:w="1701" w:type="dxa"/>
            <w:vAlign w:val="center"/>
          </w:tcPr>
          <w:p w14:paraId="4E310AF4">
            <w:pPr>
              <w:spacing w:line="480" w:lineRule="auto"/>
              <w:jc w:val="center"/>
              <w:rPr>
                <w:rFonts w:ascii="宋体" w:hAnsi="宋体"/>
                <w:b/>
                <w:color w:val="auto"/>
                <w:sz w:val="24"/>
                <w:highlight w:val="none"/>
              </w:rPr>
            </w:pPr>
          </w:p>
        </w:tc>
        <w:tc>
          <w:tcPr>
            <w:tcW w:w="1559" w:type="dxa"/>
            <w:vAlign w:val="center"/>
          </w:tcPr>
          <w:p w14:paraId="73B999BF">
            <w:pPr>
              <w:spacing w:line="480" w:lineRule="auto"/>
              <w:jc w:val="center"/>
              <w:rPr>
                <w:rFonts w:ascii="宋体" w:hAnsi="宋体"/>
                <w:b/>
                <w:color w:val="auto"/>
                <w:sz w:val="24"/>
                <w:highlight w:val="none"/>
              </w:rPr>
            </w:pPr>
          </w:p>
        </w:tc>
        <w:tc>
          <w:tcPr>
            <w:tcW w:w="851" w:type="dxa"/>
            <w:vAlign w:val="center"/>
          </w:tcPr>
          <w:p w14:paraId="17BCCBC8">
            <w:pPr>
              <w:spacing w:line="480" w:lineRule="auto"/>
              <w:jc w:val="center"/>
              <w:rPr>
                <w:rFonts w:ascii="宋体" w:hAnsi="宋体"/>
                <w:b/>
                <w:color w:val="auto"/>
                <w:sz w:val="24"/>
                <w:highlight w:val="none"/>
              </w:rPr>
            </w:pPr>
          </w:p>
        </w:tc>
        <w:tc>
          <w:tcPr>
            <w:tcW w:w="1134" w:type="dxa"/>
            <w:vAlign w:val="center"/>
          </w:tcPr>
          <w:p w14:paraId="506B2E36">
            <w:pPr>
              <w:spacing w:line="480" w:lineRule="auto"/>
              <w:jc w:val="center"/>
              <w:rPr>
                <w:rFonts w:ascii="宋体" w:hAnsi="宋体"/>
                <w:b/>
                <w:color w:val="auto"/>
                <w:sz w:val="24"/>
                <w:highlight w:val="none"/>
              </w:rPr>
            </w:pPr>
          </w:p>
        </w:tc>
        <w:tc>
          <w:tcPr>
            <w:tcW w:w="850" w:type="dxa"/>
            <w:vAlign w:val="center"/>
          </w:tcPr>
          <w:p w14:paraId="0069FC42">
            <w:pPr>
              <w:spacing w:line="480" w:lineRule="auto"/>
              <w:jc w:val="center"/>
              <w:rPr>
                <w:rFonts w:ascii="宋体" w:hAnsi="宋体"/>
                <w:b/>
                <w:color w:val="auto"/>
                <w:sz w:val="24"/>
                <w:highlight w:val="none"/>
              </w:rPr>
            </w:pPr>
          </w:p>
        </w:tc>
        <w:tc>
          <w:tcPr>
            <w:tcW w:w="993" w:type="dxa"/>
            <w:vAlign w:val="center"/>
          </w:tcPr>
          <w:p w14:paraId="370F3C2A">
            <w:pPr>
              <w:spacing w:line="480" w:lineRule="auto"/>
              <w:jc w:val="center"/>
              <w:rPr>
                <w:rFonts w:ascii="宋体" w:hAnsi="宋体"/>
                <w:b/>
                <w:color w:val="auto"/>
                <w:sz w:val="24"/>
                <w:highlight w:val="none"/>
              </w:rPr>
            </w:pPr>
          </w:p>
        </w:tc>
      </w:tr>
      <w:tr w14:paraId="3D34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A4ACDEC">
            <w:pPr>
              <w:spacing w:line="480" w:lineRule="auto"/>
              <w:jc w:val="center"/>
              <w:rPr>
                <w:rFonts w:ascii="宋体" w:hAnsi="宋体"/>
                <w:b/>
                <w:color w:val="auto"/>
                <w:sz w:val="24"/>
                <w:highlight w:val="none"/>
              </w:rPr>
            </w:pPr>
          </w:p>
        </w:tc>
        <w:tc>
          <w:tcPr>
            <w:tcW w:w="1559" w:type="dxa"/>
          </w:tcPr>
          <w:p w14:paraId="1CA018F3">
            <w:pPr>
              <w:spacing w:line="480" w:lineRule="auto"/>
              <w:jc w:val="center"/>
              <w:rPr>
                <w:rFonts w:ascii="宋体" w:hAnsi="宋体"/>
                <w:color w:val="auto"/>
                <w:sz w:val="24"/>
                <w:highlight w:val="none"/>
              </w:rPr>
            </w:pPr>
          </w:p>
        </w:tc>
        <w:tc>
          <w:tcPr>
            <w:tcW w:w="1701" w:type="dxa"/>
            <w:vAlign w:val="center"/>
          </w:tcPr>
          <w:p w14:paraId="3D1131E3">
            <w:pPr>
              <w:spacing w:line="480" w:lineRule="auto"/>
              <w:jc w:val="center"/>
              <w:rPr>
                <w:rFonts w:ascii="宋体" w:hAnsi="宋体"/>
                <w:b/>
                <w:color w:val="auto"/>
                <w:sz w:val="24"/>
                <w:highlight w:val="none"/>
              </w:rPr>
            </w:pPr>
          </w:p>
        </w:tc>
        <w:tc>
          <w:tcPr>
            <w:tcW w:w="1559" w:type="dxa"/>
            <w:vAlign w:val="center"/>
          </w:tcPr>
          <w:p w14:paraId="2CA06E7C">
            <w:pPr>
              <w:spacing w:line="480" w:lineRule="auto"/>
              <w:jc w:val="center"/>
              <w:rPr>
                <w:rFonts w:ascii="宋体" w:hAnsi="宋体"/>
                <w:color w:val="auto"/>
                <w:highlight w:val="none"/>
              </w:rPr>
            </w:pPr>
          </w:p>
        </w:tc>
        <w:tc>
          <w:tcPr>
            <w:tcW w:w="851" w:type="dxa"/>
            <w:vAlign w:val="center"/>
          </w:tcPr>
          <w:p w14:paraId="44E7BDC7">
            <w:pPr>
              <w:spacing w:line="480" w:lineRule="auto"/>
              <w:jc w:val="center"/>
              <w:rPr>
                <w:rFonts w:ascii="宋体" w:hAnsi="宋体"/>
                <w:color w:val="auto"/>
                <w:highlight w:val="none"/>
              </w:rPr>
            </w:pPr>
          </w:p>
        </w:tc>
        <w:tc>
          <w:tcPr>
            <w:tcW w:w="1134" w:type="dxa"/>
            <w:vAlign w:val="center"/>
          </w:tcPr>
          <w:p w14:paraId="6CE12CBD">
            <w:pPr>
              <w:spacing w:line="480" w:lineRule="auto"/>
              <w:jc w:val="center"/>
              <w:rPr>
                <w:rFonts w:ascii="宋体" w:hAnsi="宋体"/>
                <w:b/>
                <w:color w:val="auto"/>
                <w:sz w:val="24"/>
                <w:highlight w:val="none"/>
              </w:rPr>
            </w:pPr>
          </w:p>
        </w:tc>
        <w:tc>
          <w:tcPr>
            <w:tcW w:w="850" w:type="dxa"/>
            <w:vAlign w:val="center"/>
          </w:tcPr>
          <w:p w14:paraId="09C4065F">
            <w:pPr>
              <w:spacing w:line="480" w:lineRule="auto"/>
              <w:jc w:val="center"/>
              <w:rPr>
                <w:rFonts w:ascii="宋体" w:hAnsi="宋体"/>
                <w:b/>
                <w:color w:val="auto"/>
                <w:sz w:val="24"/>
                <w:highlight w:val="none"/>
              </w:rPr>
            </w:pPr>
          </w:p>
        </w:tc>
        <w:tc>
          <w:tcPr>
            <w:tcW w:w="993" w:type="dxa"/>
            <w:vAlign w:val="center"/>
          </w:tcPr>
          <w:p w14:paraId="5F801268">
            <w:pPr>
              <w:spacing w:line="480" w:lineRule="auto"/>
              <w:jc w:val="center"/>
              <w:rPr>
                <w:rFonts w:ascii="宋体" w:hAnsi="宋体"/>
                <w:b/>
                <w:color w:val="auto"/>
                <w:sz w:val="24"/>
                <w:highlight w:val="none"/>
              </w:rPr>
            </w:pPr>
          </w:p>
        </w:tc>
      </w:tr>
      <w:tr w14:paraId="28BC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0943FCC">
            <w:pPr>
              <w:spacing w:line="480" w:lineRule="auto"/>
              <w:jc w:val="center"/>
              <w:rPr>
                <w:rFonts w:ascii="宋体" w:hAnsi="宋体"/>
                <w:b/>
                <w:color w:val="auto"/>
                <w:sz w:val="24"/>
                <w:highlight w:val="none"/>
              </w:rPr>
            </w:pPr>
          </w:p>
        </w:tc>
        <w:tc>
          <w:tcPr>
            <w:tcW w:w="1559" w:type="dxa"/>
          </w:tcPr>
          <w:p w14:paraId="51C5E2D2">
            <w:pPr>
              <w:spacing w:line="480" w:lineRule="auto"/>
              <w:jc w:val="center"/>
              <w:rPr>
                <w:rFonts w:ascii="宋体" w:hAnsi="宋体"/>
                <w:color w:val="auto"/>
                <w:sz w:val="24"/>
                <w:highlight w:val="none"/>
              </w:rPr>
            </w:pPr>
          </w:p>
        </w:tc>
        <w:tc>
          <w:tcPr>
            <w:tcW w:w="1701" w:type="dxa"/>
            <w:vAlign w:val="center"/>
          </w:tcPr>
          <w:p w14:paraId="4A224764">
            <w:pPr>
              <w:spacing w:line="480" w:lineRule="auto"/>
              <w:jc w:val="center"/>
              <w:rPr>
                <w:rFonts w:ascii="宋体" w:hAnsi="宋体"/>
                <w:b/>
                <w:color w:val="auto"/>
                <w:sz w:val="24"/>
                <w:highlight w:val="none"/>
              </w:rPr>
            </w:pPr>
          </w:p>
        </w:tc>
        <w:tc>
          <w:tcPr>
            <w:tcW w:w="1559" w:type="dxa"/>
            <w:vAlign w:val="center"/>
          </w:tcPr>
          <w:p w14:paraId="34D62725">
            <w:pPr>
              <w:spacing w:line="480" w:lineRule="auto"/>
              <w:jc w:val="center"/>
              <w:rPr>
                <w:rFonts w:ascii="宋体" w:hAnsi="宋体"/>
                <w:color w:val="auto"/>
                <w:highlight w:val="none"/>
              </w:rPr>
            </w:pPr>
          </w:p>
        </w:tc>
        <w:tc>
          <w:tcPr>
            <w:tcW w:w="851" w:type="dxa"/>
            <w:vAlign w:val="center"/>
          </w:tcPr>
          <w:p w14:paraId="7E606A8C">
            <w:pPr>
              <w:spacing w:line="480" w:lineRule="auto"/>
              <w:jc w:val="center"/>
              <w:rPr>
                <w:rFonts w:ascii="宋体" w:hAnsi="宋体"/>
                <w:color w:val="auto"/>
                <w:highlight w:val="none"/>
              </w:rPr>
            </w:pPr>
          </w:p>
        </w:tc>
        <w:tc>
          <w:tcPr>
            <w:tcW w:w="1134" w:type="dxa"/>
            <w:vAlign w:val="center"/>
          </w:tcPr>
          <w:p w14:paraId="6D589CC6">
            <w:pPr>
              <w:spacing w:line="480" w:lineRule="auto"/>
              <w:jc w:val="center"/>
              <w:rPr>
                <w:rFonts w:ascii="宋体" w:hAnsi="宋体"/>
                <w:b/>
                <w:color w:val="auto"/>
                <w:sz w:val="24"/>
                <w:highlight w:val="none"/>
              </w:rPr>
            </w:pPr>
          </w:p>
        </w:tc>
        <w:tc>
          <w:tcPr>
            <w:tcW w:w="850" w:type="dxa"/>
            <w:vAlign w:val="center"/>
          </w:tcPr>
          <w:p w14:paraId="635CE3F2">
            <w:pPr>
              <w:spacing w:line="480" w:lineRule="auto"/>
              <w:jc w:val="center"/>
              <w:rPr>
                <w:rFonts w:ascii="宋体" w:hAnsi="宋体"/>
                <w:b/>
                <w:color w:val="auto"/>
                <w:sz w:val="24"/>
                <w:highlight w:val="none"/>
              </w:rPr>
            </w:pPr>
          </w:p>
        </w:tc>
        <w:tc>
          <w:tcPr>
            <w:tcW w:w="993" w:type="dxa"/>
            <w:vAlign w:val="center"/>
          </w:tcPr>
          <w:p w14:paraId="56F14F1F">
            <w:pPr>
              <w:spacing w:line="480" w:lineRule="auto"/>
              <w:jc w:val="center"/>
              <w:rPr>
                <w:rFonts w:ascii="宋体" w:hAnsi="宋体"/>
                <w:b/>
                <w:color w:val="auto"/>
                <w:sz w:val="24"/>
                <w:highlight w:val="none"/>
              </w:rPr>
            </w:pPr>
          </w:p>
        </w:tc>
      </w:tr>
      <w:tr w14:paraId="5E18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7AFF1389">
            <w:pPr>
              <w:spacing w:line="480" w:lineRule="auto"/>
              <w:jc w:val="center"/>
              <w:rPr>
                <w:rFonts w:ascii="宋体" w:hAnsi="宋体"/>
                <w:b/>
                <w:color w:val="auto"/>
                <w:sz w:val="24"/>
                <w:highlight w:val="none"/>
              </w:rPr>
            </w:pPr>
          </w:p>
        </w:tc>
        <w:tc>
          <w:tcPr>
            <w:tcW w:w="1559" w:type="dxa"/>
          </w:tcPr>
          <w:p w14:paraId="148219C4">
            <w:pPr>
              <w:spacing w:line="480" w:lineRule="auto"/>
              <w:jc w:val="center"/>
              <w:rPr>
                <w:rFonts w:ascii="宋体" w:hAnsi="宋体"/>
                <w:color w:val="auto"/>
                <w:sz w:val="24"/>
                <w:highlight w:val="none"/>
              </w:rPr>
            </w:pPr>
          </w:p>
        </w:tc>
        <w:tc>
          <w:tcPr>
            <w:tcW w:w="1701" w:type="dxa"/>
            <w:vAlign w:val="center"/>
          </w:tcPr>
          <w:p w14:paraId="32414F2B">
            <w:pPr>
              <w:spacing w:line="480" w:lineRule="auto"/>
              <w:jc w:val="center"/>
              <w:rPr>
                <w:rFonts w:ascii="宋体" w:hAnsi="宋体"/>
                <w:b/>
                <w:color w:val="auto"/>
                <w:sz w:val="24"/>
                <w:highlight w:val="none"/>
              </w:rPr>
            </w:pPr>
          </w:p>
        </w:tc>
        <w:tc>
          <w:tcPr>
            <w:tcW w:w="1559" w:type="dxa"/>
            <w:vAlign w:val="center"/>
          </w:tcPr>
          <w:p w14:paraId="3F493C24">
            <w:pPr>
              <w:spacing w:line="480" w:lineRule="auto"/>
              <w:jc w:val="center"/>
              <w:rPr>
                <w:rFonts w:ascii="宋体" w:hAnsi="宋体"/>
                <w:color w:val="auto"/>
                <w:highlight w:val="none"/>
              </w:rPr>
            </w:pPr>
          </w:p>
        </w:tc>
        <w:tc>
          <w:tcPr>
            <w:tcW w:w="851" w:type="dxa"/>
            <w:vAlign w:val="center"/>
          </w:tcPr>
          <w:p w14:paraId="7772B39E">
            <w:pPr>
              <w:spacing w:line="480" w:lineRule="auto"/>
              <w:jc w:val="center"/>
              <w:rPr>
                <w:rFonts w:ascii="宋体" w:hAnsi="宋体"/>
                <w:color w:val="auto"/>
                <w:highlight w:val="none"/>
              </w:rPr>
            </w:pPr>
          </w:p>
        </w:tc>
        <w:tc>
          <w:tcPr>
            <w:tcW w:w="1134" w:type="dxa"/>
            <w:vAlign w:val="center"/>
          </w:tcPr>
          <w:p w14:paraId="6127826E">
            <w:pPr>
              <w:spacing w:line="480" w:lineRule="auto"/>
              <w:jc w:val="center"/>
              <w:rPr>
                <w:rFonts w:ascii="宋体" w:hAnsi="宋体"/>
                <w:b/>
                <w:color w:val="auto"/>
                <w:sz w:val="24"/>
                <w:highlight w:val="none"/>
              </w:rPr>
            </w:pPr>
          </w:p>
        </w:tc>
        <w:tc>
          <w:tcPr>
            <w:tcW w:w="850" w:type="dxa"/>
            <w:vAlign w:val="center"/>
          </w:tcPr>
          <w:p w14:paraId="6309E20F">
            <w:pPr>
              <w:spacing w:line="480" w:lineRule="auto"/>
              <w:jc w:val="center"/>
              <w:rPr>
                <w:rFonts w:ascii="宋体" w:hAnsi="宋体"/>
                <w:b/>
                <w:color w:val="auto"/>
                <w:sz w:val="24"/>
                <w:highlight w:val="none"/>
              </w:rPr>
            </w:pPr>
          </w:p>
        </w:tc>
        <w:tc>
          <w:tcPr>
            <w:tcW w:w="993" w:type="dxa"/>
            <w:vAlign w:val="center"/>
          </w:tcPr>
          <w:p w14:paraId="51AE1D7A">
            <w:pPr>
              <w:spacing w:line="480" w:lineRule="auto"/>
              <w:jc w:val="center"/>
              <w:rPr>
                <w:rFonts w:ascii="宋体" w:hAnsi="宋体"/>
                <w:b/>
                <w:color w:val="auto"/>
                <w:sz w:val="24"/>
                <w:highlight w:val="none"/>
              </w:rPr>
            </w:pPr>
          </w:p>
        </w:tc>
      </w:tr>
      <w:tr w14:paraId="67BB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995993D">
            <w:pPr>
              <w:spacing w:line="480" w:lineRule="auto"/>
              <w:jc w:val="center"/>
              <w:rPr>
                <w:rFonts w:ascii="宋体" w:hAnsi="宋体"/>
                <w:b/>
                <w:color w:val="auto"/>
                <w:sz w:val="24"/>
                <w:highlight w:val="none"/>
              </w:rPr>
            </w:pPr>
          </w:p>
        </w:tc>
        <w:tc>
          <w:tcPr>
            <w:tcW w:w="1559" w:type="dxa"/>
          </w:tcPr>
          <w:p w14:paraId="1A3BDC24">
            <w:pPr>
              <w:spacing w:line="480" w:lineRule="auto"/>
              <w:jc w:val="center"/>
              <w:rPr>
                <w:rFonts w:ascii="宋体" w:hAnsi="宋体"/>
                <w:color w:val="auto"/>
                <w:sz w:val="24"/>
                <w:highlight w:val="none"/>
              </w:rPr>
            </w:pPr>
          </w:p>
        </w:tc>
        <w:tc>
          <w:tcPr>
            <w:tcW w:w="1701" w:type="dxa"/>
            <w:vAlign w:val="center"/>
          </w:tcPr>
          <w:p w14:paraId="51D469D9">
            <w:pPr>
              <w:spacing w:line="480" w:lineRule="auto"/>
              <w:jc w:val="center"/>
              <w:rPr>
                <w:rFonts w:ascii="宋体" w:hAnsi="宋体"/>
                <w:b/>
                <w:color w:val="auto"/>
                <w:sz w:val="24"/>
                <w:highlight w:val="none"/>
              </w:rPr>
            </w:pPr>
          </w:p>
        </w:tc>
        <w:tc>
          <w:tcPr>
            <w:tcW w:w="1559" w:type="dxa"/>
            <w:vAlign w:val="center"/>
          </w:tcPr>
          <w:p w14:paraId="67E90F67">
            <w:pPr>
              <w:spacing w:line="480" w:lineRule="auto"/>
              <w:jc w:val="center"/>
              <w:rPr>
                <w:rFonts w:ascii="宋体" w:hAnsi="宋体"/>
                <w:color w:val="auto"/>
                <w:highlight w:val="none"/>
              </w:rPr>
            </w:pPr>
          </w:p>
        </w:tc>
        <w:tc>
          <w:tcPr>
            <w:tcW w:w="851" w:type="dxa"/>
            <w:vAlign w:val="center"/>
          </w:tcPr>
          <w:p w14:paraId="0C506494">
            <w:pPr>
              <w:spacing w:line="480" w:lineRule="auto"/>
              <w:jc w:val="center"/>
              <w:rPr>
                <w:rFonts w:ascii="宋体" w:hAnsi="宋体"/>
                <w:color w:val="auto"/>
                <w:highlight w:val="none"/>
              </w:rPr>
            </w:pPr>
          </w:p>
        </w:tc>
        <w:tc>
          <w:tcPr>
            <w:tcW w:w="1134" w:type="dxa"/>
            <w:vAlign w:val="center"/>
          </w:tcPr>
          <w:p w14:paraId="5D8776CF">
            <w:pPr>
              <w:spacing w:line="480" w:lineRule="auto"/>
              <w:jc w:val="center"/>
              <w:rPr>
                <w:rFonts w:ascii="宋体" w:hAnsi="宋体"/>
                <w:b/>
                <w:color w:val="auto"/>
                <w:sz w:val="24"/>
                <w:highlight w:val="none"/>
              </w:rPr>
            </w:pPr>
          </w:p>
        </w:tc>
        <w:tc>
          <w:tcPr>
            <w:tcW w:w="850" w:type="dxa"/>
            <w:vAlign w:val="center"/>
          </w:tcPr>
          <w:p w14:paraId="561A18E0">
            <w:pPr>
              <w:spacing w:line="480" w:lineRule="auto"/>
              <w:jc w:val="center"/>
              <w:rPr>
                <w:rFonts w:ascii="宋体" w:hAnsi="宋体"/>
                <w:b/>
                <w:color w:val="auto"/>
                <w:sz w:val="24"/>
                <w:highlight w:val="none"/>
              </w:rPr>
            </w:pPr>
          </w:p>
        </w:tc>
        <w:tc>
          <w:tcPr>
            <w:tcW w:w="993" w:type="dxa"/>
            <w:vAlign w:val="center"/>
          </w:tcPr>
          <w:p w14:paraId="5CA38F1E">
            <w:pPr>
              <w:spacing w:line="480" w:lineRule="auto"/>
              <w:jc w:val="center"/>
              <w:rPr>
                <w:rFonts w:ascii="宋体" w:hAnsi="宋体"/>
                <w:b/>
                <w:color w:val="auto"/>
                <w:sz w:val="24"/>
                <w:highlight w:val="none"/>
              </w:rPr>
            </w:pPr>
          </w:p>
        </w:tc>
      </w:tr>
      <w:tr w14:paraId="746E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32CEB77">
            <w:pPr>
              <w:spacing w:line="480" w:lineRule="auto"/>
              <w:jc w:val="center"/>
              <w:rPr>
                <w:rFonts w:ascii="宋体" w:hAnsi="宋体"/>
                <w:b/>
                <w:color w:val="auto"/>
                <w:sz w:val="24"/>
                <w:highlight w:val="none"/>
              </w:rPr>
            </w:pPr>
          </w:p>
        </w:tc>
        <w:tc>
          <w:tcPr>
            <w:tcW w:w="1559" w:type="dxa"/>
          </w:tcPr>
          <w:p w14:paraId="17B398F7">
            <w:pPr>
              <w:spacing w:line="480" w:lineRule="auto"/>
              <w:jc w:val="center"/>
              <w:rPr>
                <w:rFonts w:ascii="宋体" w:hAnsi="宋体"/>
                <w:color w:val="auto"/>
                <w:sz w:val="24"/>
                <w:highlight w:val="none"/>
              </w:rPr>
            </w:pPr>
          </w:p>
        </w:tc>
        <w:tc>
          <w:tcPr>
            <w:tcW w:w="1701" w:type="dxa"/>
            <w:vAlign w:val="center"/>
          </w:tcPr>
          <w:p w14:paraId="7CE016D6">
            <w:pPr>
              <w:spacing w:line="480" w:lineRule="auto"/>
              <w:jc w:val="center"/>
              <w:rPr>
                <w:rFonts w:ascii="宋体" w:hAnsi="宋体"/>
                <w:b/>
                <w:color w:val="auto"/>
                <w:sz w:val="24"/>
                <w:highlight w:val="none"/>
              </w:rPr>
            </w:pPr>
          </w:p>
        </w:tc>
        <w:tc>
          <w:tcPr>
            <w:tcW w:w="1559" w:type="dxa"/>
            <w:vAlign w:val="center"/>
          </w:tcPr>
          <w:p w14:paraId="66896943">
            <w:pPr>
              <w:spacing w:line="480" w:lineRule="auto"/>
              <w:jc w:val="center"/>
              <w:rPr>
                <w:rFonts w:ascii="宋体" w:hAnsi="宋体"/>
                <w:color w:val="auto"/>
                <w:highlight w:val="none"/>
              </w:rPr>
            </w:pPr>
          </w:p>
        </w:tc>
        <w:tc>
          <w:tcPr>
            <w:tcW w:w="851" w:type="dxa"/>
            <w:vAlign w:val="center"/>
          </w:tcPr>
          <w:p w14:paraId="2CFF7CEB">
            <w:pPr>
              <w:spacing w:line="480" w:lineRule="auto"/>
              <w:jc w:val="center"/>
              <w:rPr>
                <w:rFonts w:ascii="宋体" w:hAnsi="宋体"/>
                <w:color w:val="auto"/>
                <w:highlight w:val="none"/>
              </w:rPr>
            </w:pPr>
          </w:p>
        </w:tc>
        <w:tc>
          <w:tcPr>
            <w:tcW w:w="1134" w:type="dxa"/>
            <w:vAlign w:val="center"/>
          </w:tcPr>
          <w:p w14:paraId="0560C19C">
            <w:pPr>
              <w:spacing w:line="480" w:lineRule="auto"/>
              <w:jc w:val="center"/>
              <w:rPr>
                <w:rFonts w:ascii="宋体" w:hAnsi="宋体"/>
                <w:b/>
                <w:color w:val="auto"/>
                <w:sz w:val="24"/>
                <w:highlight w:val="none"/>
              </w:rPr>
            </w:pPr>
          </w:p>
        </w:tc>
        <w:tc>
          <w:tcPr>
            <w:tcW w:w="850" w:type="dxa"/>
            <w:vAlign w:val="center"/>
          </w:tcPr>
          <w:p w14:paraId="57A59963">
            <w:pPr>
              <w:spacing w:line="480" w:lineRule="auto"/>
              <w:jc w:val="center"/>
              <w:rPr>
                <w:rFonts w:ascii="宋体" w:hAnsi="宋体"/>
                <w:b/>
                <w:color w:val="auto"/>
                <w:sz w:val="24"/>
                <w:highlight w:val="none"/>
              </w:rPr>
            </w:pPr>
          </w:p>
        </w:tc>
        <w:tc>
          <w:tcPr>
            <w:tcW w:w="993" w:type="dxa"/>
            <w:vAlign w:val="center"/>
          </w:tcPr>
          <w:p w14:paraId="3DFB8588">
            <w:pPr>
              <w:spacing w:line="480" w:lineRule="auto"/>
              <w:jc w:val="center"/>
              <w:rPr>
                <w:rFonts w:ascii="宋体" w:hAnsi="宋体"/>
                <w:b/>
                <w:color w:val="auto"/>
                <w:sz w:val="24"/>
                <w:highlight w:val="none"/>
              </w:rPr>
            </w:pPr>
          </w:p>
        </w:tc>
      </w:tr>
      <w:tr w14:paraId="1169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709A197">
            <w:pPr>
              <w:spacing w:line="480" w:lineRule="auto"/>
              <w:jc w:val="center"/>
              <w:rPr>
                <w:rFonts w:ascii="宋体" w:hAnsi="宋体"/>
                <w:b/>
                <w:color w:val="auto"/>
                <w:sz w:val="24"/>
                <w:highlight w:val="none"/>
              </w:rPr>
            </w:pPr>
          </w:p>
        </w:tc>
        <w:tc>
          <w:tcPr>
            <w:tcW w:w="1559" w:type="dxa"/>
          </w:tcPr>
          <w:p w14:paraId="6513138F">
            <w:pPr>
              <w:spacing w:line="480" w:lineRule="auto"/>
              <w:jc w:val="center"/>
              <w:rPr>
                <w:rFonts w:ascii="宋体" w:hAnsi="宋体"/>
                <w:color w:val="auto"/>
                <w:sz w:val="24"/>
                <w:highlight w:val="none"/>
              </w:rPr>
            </w:pPr>
          </w:p>
        </w:tc>
        <w:tc>
          <w:tcPr>
            <w:tcW w:w="1701" w:type="dxa"/>
            <w:vAlign w:val="center"/>
          </w:tcPr>
          <w:p w14:paraId="3DCFE9B5">
            <w:pPr>
              <w:spacing w:line="480" w:lineRule="auto"/>
              <w:jc w:val="center"/>
              <w:rPr>
                <w:rFonts w:ascii="宋体" w:hAnsi="宋体"/>
                <w:b/>
                <w:color w:val="auto"/>
                <w:sz w:val="24"/>
                <w:highlight w:val="none"/>
              </w:rPr>
            </w:pPr>
          </w:p>
        </w:tc>
        <w:tc>
          <w:tcPr>
            <w:tcW w:w="1559" w:type="dxa"/>
            <w:vAlign w:val="center"/>
          </w:tcPr>
          <w:p w14:paraId="10F2A8B2">
            <w:pPr>
              <w:spacing w:line="480" w:lineRule="auto"/>
              <w:jc w:val="center"/>
              <w:rPr>
                <w:rFonts w:ascii="宋体" w:hAnsi="宋体"/>
                <w:color w:val="auto"/>
                <w:highlight w:val="none"/>
              </w:rPr>
            </w:pPr>
          </w:p>
        </w:tc>
        <w:tc>
          <w:tcPr>
            <w:tcW w:w="851" w:type="dxa"/>
            <w:vAlign w:val="center"/>
          </w:tcPr>
          <w:p w14:paraId="18C70245">
            <w:pPr>
              <w:spacing w:line="480" w:lineRule="auto"/>
              <w:jc w:val="center"/>
              <w:rPr>
                <w:rFonts w:ascii="宋体" w:hAnsi="宋体"/>
                <w:color w:val="auto"/>
                <w:highlight w:val="none"/>
              </w:rPr>
            </w:pPr>
          </w:p>
        </w:tc>
        <w:tc>
          <w:tcPr>
            <w:tcW w:w="1134" w:type="dxa"/>
            <w:vAlign w:val="center"/>
          </w:tcPr>
          <w:p w14:paraId="3873C3E3">
            <w:pPr>
              <w:spacing w:line="480" w:lineRule="auto"/>
              <w:jc w:val="center"/>
              <w:rPr>
                <w:rFonts w:ascii="宋体" w:hAnsi="宋体"/>
                <w:b/>
                <w:color w:val="auto"/>
                <w:sz w:val="24"/>
                <w:highlight w:val="none"/>
              </w:rPr>
            </w:pPr>
          </w:p>
        </w:tc>
        <w:tc>
          <w:tcPr>
            <w:tcW w:w="850" w:type="dxa"/>
            <w:vAlign w:val="center"/>
          </w:tcPr>
          <w:p w14:paraId="0CE48405">
            <w:pPr>
              <w:spacing w:line="480" w:lineRule="auto"/>
              <w:jc w:val="center"/>
              <w:rPr>
                <w:rFonts w:ascii="宋体" w:hAnsi="宋体"/>
                <w:b/>
                <w:color w:val="auto"/>
                <w:sz w:val="24"/>
                <w:highlight w:val="none"/>
              </w:rPr>
            </w:pPr>
          </w:p>
        </w:tc>
        <w:tc>
          <w:tcPr>
            <w:tcW w:w="993" w:type="dxa"/>
            <w:vAlign w:val="center"/>
          </w:tcPr>
          <w:p w14:paraId="229AE4A5">
            <w:pPr>
              <w:spacing w:line="480" w:lineRule="auto"/>
              <w:jc w:val="center"/>
              <w:rPr>
                <w:rFonts w:ascii="宋体" w:hAnsi="宋体"/>
                <w:b/>
                <w:color w:val="auto"/>
                <w:sz w:val="24"/>
                <w:highlight w:val="none"/>
              </w:rPr>
            </w:pPr>
          </w:p>
        </w:tc>
      </w:tr>
      <w:tr w14:paraId="5183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C4765B8">
            <w:pPr>
              <w:spacing w:line="480" w:lineRule="auto"/>
              <w:jc w:val="center"/>
              <w:rPr>
                <w:rFonts w:ascii="宋体" w:hAnsi="宋体"/>
                <w:b/>
                <w:color w:val="auto"/>
                <w:sz w:val="24"/>
                <w:highlight w:val="none"/>
              </w:rPr>
            </w:pPr>
          </w:p>
        </w:tc>
        <w:tc>
          <w:tcPr>
            <w:tcW w:w="1559" w:type="dxa"/>
          </w:tcPr>
          <w:p w14:paraId="34224BCD">
            <w:pPr>
              <w:spacing w:line="480" w:lineRule="auto"/>
              <w:jc w:val="center"/>
              <w:rPr>
                <w:rFonts w:ascii="宋体" w:hAnsi="宋体"/>
                <w:color w:val="auto"/>
                <w:sz w:val="24"/>
                <w:highlight w:val="none"/>
              </w:rPr>
            </w:pPr>
          </w:p>
        </w:tc>
        <w:tc>
          <w:tcPr>
            <w:tcW w:w="1701" w:type="dxa"/>
            <w:vAlign w:val="center"/>
          </w:tcPr>
          <w:p w14:paraId="0EC78A00">
            <w:pPr>
              <w:spacing w:line="480" w:lineRule="auto"/>
              <w:jc w:val="center"/>
              <w:rPr>
                <w:rFonts w:ascii="宋体" w:hAnsi="宋体"/>
                <w:b/>
                <w:color w:val="auto"/>
                <w:sz w:val="24"/>
                <w:highlight w:val="none"/>
              </w:rPr>
            </w:pPr>
          </w:p>
        </w:tc>
        <w:tc>
          <w:tcPr>
            <w:tcW w:w="1559" w:type="dxa"/>
            <w:vAlign w:val="center"/>
          </w:tcPr>
          <w:p w14:paraId="3BF13D65">
            <w:pPr>
              <w:spacing w:line="480" w:lineRule="auto"/>
              <w:jc w:val="center"/>
              <w:rPr>
                <w:rFonts w:ascii="宋体" w:hAnsi="宋体"/>
                <w:color w:val="auto"/>
                <w:highlight w:val="none"/>
              </w:rPr>
            </w:pPr>
          </w:p>
        </w:tc>
        <w:tc>
          <w:tcPr>
            <w:tcW w:w="851" w:type="dxa"/>
            <w:vAlign w:val="center"/>
          </w:tcPr>
          <w:p w14:paraId="60203C68">
            <w:pPr>
              <w:spacing w:line="480" w:lineRule="auto"/>
              <w:jc w:val="center"/>
              <w:rPr>
                <w:rFonts w:ascii="宋体" w:hAnsi="宋体"/>
                <w:color w:val="auto"/>
                <w:highlight w:val="none"/>
              </w:rPr>
            </w:pPr>
          </w:p>
        </w:tc>
        <w:tc>
          <w:tcPr>
            <w:tcW w:w="1134" w:type="dxa"/>
            <w:vAlign w:val="center"/>
          </w:tcPr>
          <w:p w14:paraId="5D185729">
            <w:pPr>
              <w:spacing w:line="480" w:lineRule="auto"/>
              <w:jc w:val="center"/>
              <w:rPr>
                <w:rFonts w:ascii="宋体" w:hAnsi="宋体"/>
                <w:b/>
                <w:color w:val="auto"/>
                <w:sz w:val="24"/>
                <w:highlight w:val="none"/>
              </w:rPr>
            </w:pPr>
          </w:p>
        </w:tc>
        <w:tc>
          <w:tcPr>
            <w:tcW w:w="850" w:type="dxa"/>
            <w:vAlign w:val="center"/>
          </w:tcPr>
          <w:p w14:paraId="3F306F7C">
            <w:pPr>
              <w:spacing w:line="480" w:lineRule="auto"/>
              <w:jc w:val="center"/>
              <w:rPr>
                <w:rFonts w:ascii="宋体" w:hAnsi="宋体"/>
                <w:b/>
                <w:color w:val="auto"/>
                <w:sz w:val="24"/>
                <w:highlight w:val="none"/>
              </w:rPr>
            </w:pPr>
          </w:p>
        </w:tc>
        <w:tc>
          <w:tcPr>
            <w:tcW w:w="993" w:type="dxa"/>
            <w:vAlign w:val="center"/>
          </w:tcPr>
          <w:p w14:paraId="3F0C3B11">
            <w:pPr>
              <w:spacing w:line="480" w:lineRule="auto"/>
              <w:jc w:val="center"/>
              <w:rPr>
                <w:rFonts w:ascii="宋体" w:hAnsi="宋体"/>
                <w:b/>
                <w:color w:val="auto"/>
                <w:sz w:val="24"/>
                <w:highlight w:val="none"/>
              </w:rPr>
            </w:pPr>
          </w:p>
        </w:tc>
      </w:tr>
      <w:tr w14:paraId="72EF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D483C3C">
            <w:pPr>
              <w:spacing w:line="480" w:lineRule="auto"/>
              <w:jc w:val="center"/>
              <w:rPr>
                <w:rFonts w:ascii="宋体" w:hAnsi="宋体"/>
                <w:b/>
                <w:color w:val="auto"/>
                <w:sz w:val="24"/>
                <w:highlight w:val="none"/>
              </w:rPr>
            </w:pPr>
          </w:p>
        </w:tc>
        <w:tc>
          <w:tcPr>
            <w:tcW w:w="1559" w:type="dxa"/>
          </w:tcPr>
          <w:p w14:paraId="014DB0F7">
            <w:pPr>
              <w:spacing w:line="480" w:lineRule="auto"/>
              <w:jc w:val="center"/>
              <w:rPr>
                <w:rFonts w:ascii="宋体" w:hAnsi="宋体"/>
                <w:color w:val="auto"/>
                <w:sz w:val="24"/>
                <w:highlight w:val="none"/>
              </w:rPr>
            </w:pPr>
          </w:p>
        </w:tc>
        <w:tc>
          <w:tcPr>
            <w:tcW w:w="1701" w:type="dxa"/>
            <w:vAlign w:val="center"/>
          </w:tcPr>
          <w:p w14:paraId="2DA1DBE8">
            <w:pPr>
              <w:spacing w:line="480" w:lineRule="auto"/>
              <w:jc w:val="center"/>
              <w:rPr>
                <w:rFonts w:ascii="宋体" w:hAnsi="宋体"/>
                <w:b/>
                <w:color w:val="auto"/>
                <w:sz w:val="24"/>
                <w:highlight w:val="none"/>
              </w:rPr>
            </w:pPr>
          </w:p>
        </w:tc>
        <w:tc>
          <w:tcPr>
            <w:tcW w:w="1559" w:type="dxa"/>
            <w:vAlign w:val="center"/>
          </w:tcPr>
          <w:p w14:paraId="4B8D0466">
            <w:pPr>
              <w:spacing w:line="480" w:lineRule="auto"/>
              <w:jc w:val="center"/>
              <w:rPr>
                <w:rFonts w:ascii="宋体" w:hAnsi="宋体"/>
                <w:color w:val="auto"/>
                <w:highlight w:val="none"/>
              </w:rPr>
            </w:pPr>
          </w:p>
        </w:tc>
        <w:tc>
          <w:tcPr>
            <w:tcW w:w="851" w:type="dxa"/>
            <w:vAlign w:val="center"/>
          </w:tcPr>
          <w:p w14:paraId="5B9434B7">
            <w:pPr>
              <w:spacing w:line="480" w:lineRule="auto"/>
              <w:jc w:val="center"/>
              <w:rPr>
                <w:rFonts w:ascii="宋体" w:hAnsi="宋体"/>
                <w:color w:val="auto"/>
                <w:highlight w:val="none"/>
              </w:rPr>
            </w:pPr>
          </w:p>
        </w:tc>
        <w:tc>
          <w:tcPr>
            <w:tcW w:w="1134" w:type="dxa"/>
            <w:vAlign w:val="center"/>
          </w:tcPr>
          <w:p w14:paraId="78FBDFB8">
            <w:pPr>
              <w:spacing w:line="480" w:lineRule="auto"/>
              <w:jc w:val="center"/>
              <w:rPr>
                <w:rFonts w:ascii="宋体" w:hAnsi="宋体"/>
                <w:b/>
                <w:color w:val="auto"/>
                <w:sz w:val="24"/>
                <w:highlight w:val="none"/>
              </w:rPr>
            </w:pPr>
          </w:p>
        </w:tc>
        <w:tc>
          <w:tcPr>
            <w:tcW w:w="850" w:type="dxa"/>
            <w:vAlign w:val="center"/>
          </w:tcPr>
          <w:p w14:paraId="54335F98">
            <w:pPr>
              <w:spacing w:line="480" w:lineRule="auto"/>
              <w:jc w:val="center"/>
              <w:rPr>
                <w:rFonts w:ascii="宋体" w:hAnsi="宋体"/>
                <w:b/>
                <w:color w:val="auto"/>
                <w:sz w:val="24"/>
                <w:highlight w:val="none"/>
              </w:rPr>
            </w:pPr>
          </w:p>
        </w:tc>
        <w:tc>
          <w:tcPr>
            <w:tcW w:w="993" w:type="dxa"/>
            <w:vAlign w:val="center"/>
          </w:tcPr>
          <w:p w14:paraId="2CCCDD8C">
            <w:pPr>
              <w:spacing w:line="480" w:lineRule="auto"/>
              <w:jc w:val="center"/>
              <w:rPr>
                <w:rFonts w:ascii="宋体" w:hAnsi="宋体"/>
                <w:b/>
                <w:color w:val="auto"/>
                <w:sz w:val="24"/>
                <w:highlight w:val="none"/>
              </w:rPr>
            </w:pPr>
          </w:p>
        </w:tc>
      </w:tr>
      <w:tr w14:paraId="7387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498" w:type="dxa"/>
            <w:gridSpan w:val="8"/>
            <w:vAlign w:val="center"/>
          </w:tcPr>
          <w:p w14:paraId="75FD5FC0">
            <w:pPr>
              <w:spacing w:line="480" w:lineRule="auto"/>
              <w:jc w:val="left"/>
              <w:rPr>
                <w:rFonts w:ascii="宋体" w:hAnsi="宋体"/>
                <w:b/>
                <w:color w:val="auto"/>
                <w:sz w:val="28"/>
                <w:szCs w:val="28"/>
                <w:highlight w:val="none"/>
              </w:rPr>
            </w:pPr>
            <w:r>
              <w:rPr>
                <w:rFonts w:hint="eastAsia" w:ascii="宋体" w:hAnsi="宋体"/>
                <w:b/>
                <w:color w:val="auto"/>
                <w:sz w:val="24"/>
                <w:highlight w:val="none"/>
              </w:rPr>
              <w:t xml:space="preserve">合计人民币：大写                             </w:t>
            </w:r>
            <w:r>
              <w:rPr>
                <w:rFonts w:ascii="宋体" w:hAnsi="宋体"/>
                <w:b/>
                <w:color w:val="auto"/>
                <w:sz w:val="24"/>
                <w:highlight w:val="none"/>
              </w:rPr>
              <w:t xml:space="preserve">              </w:t>
            </w:r>
            <w:r>
              <w:rPr>
                <w:rFonts w:hint="eastAsia" w:ascii="宋体" w:hAnsi="宋体"/>
                <w:b/>
                <w:color w:val="auto"/>
                <w:sz w:val="24"/>
                <w:highlight w:val="none"/>
              </w:rPr>
              <w:t xml:space="preserve">  小写</w:t>
            </w:r>
          </w:p>
        </w:tc>
      </w:tr>
    </w:tbl>
    <w:p w14:paraId="4423CDFB">
      <w:pPr>
        <w:snapToGrid w:val="0"/>
        <w:spacing w:before="50" w:after="50" w:line="420" w:lineRule="exact"/>
        <w:jc w:val="left"/>
        <w:rPr>
          <w:rFonts w:ascii="宋体" w:hAnsi="宋体"/>
          <w:b/>
          <w:bCs/>
          <w:color w:val="auto"/>
          <w:sz w:val="24"/>
          <w:highlight w:val="none"/>
        </w:rPr>
      </w:pPr>
      <w:r>
        <w:rPr>
          <w:rFonts w:hint="eastAsia" w:ascii="宋体" w:hAnsi="宋体"/>
          <w:b/>
          <w:bCs/>
          <w:color w:val="auto"/>
          <w:sz w:val="24"/>
          <w:highlight w:val="none"/>
        </w:rPr>
        <w:t>说明：</w:t>
      </w:r>
    </w:p>
    <w:p w14:paraId="55A1962F">
      <w:pPr>
        <w:snapToGrid w:val="0"/>
        <w:spacing w:before="50" w:after="120" w:afterLines="50" w:line="360" w:lineRule="auto"/>
        <w:jc w:val="left"/>
        <w:rPr>
          <w:rFonts w:ascii="宋体" w:hAnsi="宋体"/>
          <w:b/>
          <w:bCs/>
          <w:color w:val="auto"/>
          <w:sz w:val="24"/>
          <w:highlight w:val="none"/>
          <w:u w:val="single"/>
          <w:shd w:val="pct10" w:color="auto" w:fill="FFFFFF"/>
        </w:rPr>
      </w:pPr>
      <w:r>
        <w:rPr>
          <w:rFonts w:ascii="宋体" w:hAnsi="宋体"/>
          <w:b/>
          <w:bCs/>
          <w:color w:val="auto"/>
          <w:sz w:val="24"/>
          <w:highlight w:val="none"/>
          <w:u w:val="single"/>
          <w:shd w:val="pct10" w:color="auto" w:fill="FFFFFF"/>
        </w:rPr>
        <w:t>1</w:t>
      </w:r>
      <w:r>
        <w:rPr>
          <w:rFonts w:hint="eastAsia" w:ascii="宋体" w:hAnsi="宋体"/>
          <w:b/>
          <w:bCs/>
          <w:color w:val="auto"/>
          <w:sz w:val="24"/>
          <w:highlight w:val="none"/>
          <w:u w:val="single"/>
          <w:shd w:val="pct10" w:color="auto" w:fill="FFFFFF"/>
        </w:rPr>
        <w:t>、是否是中、小企业请根据《工业和信息化部、国家统计局、国家发展和改革委员会、财政部关于印发中小企业划型标准规定的通知》（工信部联企业[2011]300号）文件第四条规定的划型标准来填写。</w:t>
      </w:r>
    </w:p>
    <w:p w14:paraId="7FB2F2A7">
      <w:pPr>
        <w:snapToGrid w:val="0"/>
        <w:spacing w:before="50" w:after="50" w:line="420" w:lineRule="exact"/>
        <w:jc w:val="left"/>
        <w:rPr>
          <w:rFonts w:ascii="宋体" w:hAnsi="宋体"/>
          <w:b/>
          <w:color w:val="auto"/>
          <w:sz w:val="24"/>
          <w:highlight w:val="none"/>
        </w:rPr>
      </w:pPr>
      <w:r>
        <w:rPr>
          <w:rFonts w:hint="eastAsia" w:ascii="宋体" w:hAnsi="宋体"/>
          <w:b/>
          <w:color w:val="auto"/>
          <w:sz w:val="24"/>
          <w:highlight w:val="none"/>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3E75119A">
      <w:pPr>
        <w:snapToGrid w:val="0"/>
        <w:spacing w:before="50" w:after="50" w:line="420" w:lineRule="exact"/>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、报价一经涂改，应在涂改处加盖单位公章或者由法定代表人签字或盖章</w:t>
      </w:r>
      <w:r>
        <w:rPr>
          <w:rFonts w:hint="eastAsia" w:ascii="宋体" w:hAnsi="宋体"/>
          <w:b/>
          <w:color w:val="auto"/>
          <w:sz w:val="24"/>
          <w:szCs w:val="20"/>
          <w:highlight w:val="none"/>
        </w:rPr>
        <w:t>或授权委托人签字或盖章</w:t>
      </w:r>
      <w:r>
        <w:rPr>
          <w:rFonts w:hint="eastAsia" w:ascii="宋体" w:hAnsi="宋体"/>
          <w:color w:val="auto"/>
          <w:sz w:val="24"/>
          <w:highlight w:val="none"/>
        </w:rPr>
        <w:t>。</w:t>
      </w:r>
    </w:p>
    <w:p w14:paraId="69D57888">
      <w:pPr>
        <w:snapToGrid w:val="0"/>
        <w:spacing w:before="50" w:after="120" w:afterLines="50" w:line="360" w:lineRule="auto"/>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00E08321">
      <w:pPr>
        <w:pStyle w:val="28"/>
        <w:snapToGrid w:val="0"/>
        <w:spacing w:before="120" w:beforeLines="0" w:after="120" w:afterLines="0"/>
        <w:jc w:val="left"/>
        <w:rPr>
          <w:rFonts w:hAnsi="宋体"/>
          <w:b/>
          <w:color w:val="auto"/>
          <w:spacing w:val="20"/>
          <w:kern w:val="2"/>
          <w:highlight w:val="none"/>
        </w:rPr>
      </w:pPr>
      <w:r>
        <w:rPr>
          <w:rFonts w:hint="eastAsia" w:hAnsi="宋体"/>
          <w:b/>
          <w:color w:val="auto"/>
          <w:spacing w:val="20"/>
          <w:kern w:val="2"/>
          <w:highlight w:val="none"/>
        </w:rPr>
        <w:t>日期：  _____年___月___日</w:t>
      </w:r>
    </w:p>
    <w:p w14:paraId="6D66E20E">
      <w:pPr>
        <w:pStyle w:val="28"/>
        <w:snapToGrid w:val="0"/>
        <w:spacing w:before="120" w:beforeLines="0" w:after="120" w:afterLines="0"/>
        <w:jc w:val="left"/>
        <w:rPr>
          <w:rFonts w:hAnsi="宋体"/>
          <w:color w:val="auto"/>
          <w:highlight w:val="none"/>
        </w:rPr>
      </w:pPr>
      <w:r>
        <w:rPr>
          <w:color w:val="auto"/>
          <w:highlight w:val="none"/>
        </w:rPr>
        <w:br w:type="page"/>
      </w:r>
      <w:r>
        <w:rPr>
          <w:rFonts w:hint="eastAsia" w:hAnsi="宋体"/>
          <w:color w:val="auto"/>
          <w:highlight w:val="none"/>
        </w:rPr>
        <w:t>1</w:t>
      </w:r>
      <w:r>
        <w:rPr>
          <w:rFonts w:hint="eastAsia" w:hAnsi="宋体"/>
          <w:color w:val="auto"/>
          <w:highlight w:val="none"/>
          <w:lang w:val="en-US" w:eastAsia="zh-CN"/>
        </w:rPr>
        <w:t>7</w:t>
      </w:r>
      <w:r>
        <w:rPr>
          <w:rFonts w:hint="eastAsia" w:hAnsi="宋体"/>
          <w:color w:val="auto"/>
          <w:highlight w:val="none"/>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auto"/>
          <w:sz w:val="44"/>
          <w:szCs w:val="44"/>
          <w:highlight w:val="none"/>
        </w:rPr>
      </w:pPr>
    </w:p>
    <w:p w14:paraId="52A66793">
      <w:pPr>
        <w:snapToGrid w:val="0"/>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政府采购活动现场确认声明书</w:t>
      </w:r>
    </w:p>
    <w:p w14:paraId="14F58D26">
      <w:pPr>
        <w:snapToGrid w:val="0"/>
        <w:spacing w:line="500" w:lineRule="exact"/>
        <w:rPr>
          <w:rFonts w:ascii="仿宋" w:hAnsi="Courier New" w:eastAsia="仿宋"/>
          <w:b/>
          <w:color w:val="auto"/>
          <w:sz w:val="24"/>
          <w:highlight w:val="none"/>
        </w:rPr>
      </w:pPr>
      <w:r>
        <w:rPr>
          <w:rFonts w:hint="eastAsia" w:ascii="仿宋" w:hAnsi="仿宋"/>
          <w:color w:val="auto"/>
          <w:kern w:val="0"/>
          <w:sz w:val="24"/>
          <w:highlight w:val="none"/>
          <w:u w:val="single"/>
        </w:rPr>
        <w:t xml:space="preserve"> </w:t>
      </w:r>
      <w:r>
        <w:rPr>
          <w:rFonts w:ascii="仿宋" w:hAnsi="仿宋"/>
          <w:color w:val="auto"/>
          <w:kern w:val="0"/>
          <w:sz w:val="24"/>
          <w:highlight w:val="none"/>
          <w:u w:val="single"/>
        </w:rPr>
        <w:t xml:space="preserve">               </w:t>
      </w:r>
      <w:r>
        <w:rPr>
          <w:rFonts w:hint="eastAsia" w:ascii="仿宋" w:hAnsi="仿宋"/>
          <w:color w:val="auto"/>
          <w:kern w:val="0"/>
          <w:sz w:val="24"/>
          <w:highlight w:val="none"/>
          <w:u w:val="single"/>
        </w:rPr>
        <w:t xml:space="preserve"> </w:t>
      </w:r>
      <w:r>
        <w:rPr>
          <w:rFonts w:hint="eastAsia" w:ascii="仿宋" w:hAnsi="仿宋"/>
          <w:color w:val="auto"/>
          <w:kern w:val="0"/>
          <w:sz w:val="24"/>
          <w:highlight w:val="none"/>
        </w:rPr>
        <w:t>（采购组织机构名称）：</w:t>
      </w:r>
    </w:p>
    <w:p w14:paraId="39485588">
      <w:pPr>
        <w:widowControl/>
        <w:spacing w:line="360" w:lineRule="exact"/>
        <w:ind w:firstLine="504" w:firstLineChars="200"/>
        <w:jc w:val="left"/>
        <w:rPr>
          <w:rFonts w:ascii="宋体" w:hAnsi="宋体"/>
          <w:color w:val="auto"/>
          <w:kern w:val="0"/>
          <w:sz w:val="24"/>
          <w:highlight w:val="none"/>
          <w:lang w:val="zh-CN" w:eastAsia="zh-CN"/>
        </w:rPr>
      </w:pPr>
      <w:r>
        <w:rPr>
          <w:rFonts w:hint="eastAsia" w:ascii="仿宋" w:hAnsi="仿宋"/>
          <w:color w:val="auto"/>
          <w:spacing w:val="6"/>
          <w:kern w:val="0"/>
          <w:sz w:val="24"/>
          <w:highlight w:val="none"/>
          <w:lang w:val="zh-CN" w:eastAsia="zh-CN"/>
        </w:rPr>
        <w:t>本人经由</w:t>
      </w:r>
      <w:r>
        <w:rPr>
          <w:rFonts w:hint="eastAsia" w:ascii="仿宋" w:hAnsi="仿宋"/>
          <w:color w:val="auto"/>
          <w:spacing w:val="6"/>
          <w:kern w:val="0"/>
          <w:sz w:val="24"/>
          <w:highlight w:val="none"/>
          <w:u w:val="single"/>
          <w:lang w:val="zh-CN" w:eastAsia="zh-CN"/>
        </w:rPr>
        <w:t xml:space="preserve">                </w:t>
      </w:r>
      <w:r>
        <w:rPr>
          <w:rFonts w:hint="eastAsia" w:ascii="仿宋" w:hAnsi="仿宋"/>
          <w:color w:val="auto"/>
          <w:spacing w:val="6"/>
          <w:kern w:val="0"/>
          <w:sz w:val="24"/>
          <w:highlight w:val="none"/>
          <w:u w:val="single"/>
          <w:lang w:val="zh-CN"/>
        </w:rPr>
        <w:t xml:space="preserve">  </w:t>
      </w:r>
      <w:r>
        <w:rPr>
          <w:rFonts w:hint="eastAsia" w:ascii="仿宋" w:hAnsi="仿宋"/>
          <w:color w:val="auto"/>
          <w:spacing w:val="6"/>
          <w:kern w:val="0"/>
          <w:sz w:val="24"/>
          <w:highlight w:val="none"/>
          <w:u w:val="single"/>
          <w:lang w:val="zh-CN" w:eastAsia="zh-CN"/>
        </w:rPr>
        <w:t xml:space="preserve"> </w:t>
      </w:r>
      <w:r>
        <w:rPr>
          <w:rFonts w:ascii="仿宋" w:hAnsi="仿宋"/>
          <w:color w:val="auto"/>
          <w:spacing w:val="6"/>
          <w:kern w:val="0"/>
          <w:sz w:val="24"/>
          <w:highlight w:val="none"/>
          <w:u w:val="single"/>
          <w:lang w:val="zh-CN" w:eastAsia="zh-CN"/>
        </w:rPr>
        <w:t xml:space="preserve">          </w:t>
      </w:r>
      <w:r>
        <w:rPr>
          <w:rFonts w:hint="eastAsia" w:ascii="仿宋" w:hAnsi="仿宋"/>
          <w:color w:val="auto"/>
          <w:spacing w:val="6"/>
          <w:kern w:val="0"/>
          <w:sz w:val="24"/>
          <w:highlight w:val="none"/>
          <w:lang w:val="zh-CN" w:eastAsia="zh-CN"/>
        </w:rPr>
        <w:t>单位</w:t>
      </w:r>
      <w:r>
        <w:rPr>
          <w:rFonts w:hint="eastAsia" w:ascii="仿宋" w:hAnsi="仿宋"/>
          <w:color w:val="auto"/>
          <w:spacing w:val="6"/>
          <w:kern w:val="0"/>
          <w:sz w:val="24"/>
          <w:highlight w:val="none"/>
          <w:u w:val="single"/>
          <w:lang w:val="zh-CN" w:eastAsia="zh-CN"/>
        </w:rPr>
        <w:t xml:space="preserve">         (</w:t>
      </w:r>
      <w:r>
        <w:rPr>
          <w:rFonts w:hint="eastAsia" w:ascii="仿宋" w:hAnsi="仿宋"/>
          <w:color w:val="auto"/>
          <w:spacing w:val="6"/>
          <w:kern w:val="0"/>
          <w:sz w:val="24"/>
          <w:highlight w:val="none"/>
          <w:u w:val="single"/>
          <w:lang w:val="zh-CN"/>
        </w:rPr>
        <w:t>法人代表)</w:t>
      </w:r>
      <w:r>
        <w:rPr>
          <w:rFonts w:hint="eastAsia" w:ascii="仿宋" w:hAnsi="仿宋"/>
          <w:color w:val="auto"/>
          <w:spacing w:val="6"/>
          <w:kern w:val="0"/>
          <w:sz w:val="24"/>
          <w:highlight w:val="none"/>
          <w:lang w:val="zh-CN" w:eastAsia="zh-CN"/>
        </w:rPr>
        <w:t>合法授权参加</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eastAsia="zh-CN"/>
        </w:rPr>
        <w:t>采购</w:t>
      </w:r>
      <w:r>
        <w:rPr>
          <w:rFonts w:hint="eastAsia" w:ascii="仿宋" w:hAnsi="仿宋"/>
          <w:color w:val="auto"/>
          <w:spacing w:val="6"/>
          <w:kern w:val="0"/>
          <w:sz w:val="24"/>
          <w:highlight w:val="none"/>
          <w:u w:val="single"/>
          <w:lang w:val="zh-CN" w:eastAsia="zh-CN"/>
        </w:rPr>
        <w:t>（编号：</w:t>
      </w:r>
      <w:r>
        <w:rPr>
          <w:rFonts w:hint="eastAsia" w:ascii="仿宋" w:hAnsi="仿宋"/>
          <w:color w:val="auto"/>
          <w:spacing w:val="6"/>
          <w:kern w:val="0"/>
          <w:sz w:val="24"/>
          <w:highlight w:val="none"/>
          <w:u w:val="single"/>
          <w:lang w:val="zh-CN"/>
        </w:rPr>
        <w:t xml:space="preserve"> </w:t>
      </w:r>
      <w:r>
        <w:rPr>
          <w:rFonts w:ascii="仿宋" w:hAnsi="仿宋"/>
          <w:color w:val="auto"/>
          <w:spacing w:val="6"/>
          <w:kern w:val="0"/>
          <w:sz w:val="24"/>
          <w:highlight w:val="none"/>
          <w:u w:val="single"/>
          <w:lang w:val="zh-CN"/>
        </w:rPr>
        <w:t xml:space="preserve">      </w:t>
      </w:r>
      <w:r>
        <w:rPr>
          <w:rFonts w:ascii="仿宋" w:hAnsi="仿宋"/>
          <w:color w:val="auto"/>
          <w:spacing w:val="6"/>
          <w:kern w:val="0"/>
          <w:sz w:val="24"/>
          <w:highlight w:val="none"/>
          <w:u w:val="single"/>
          <w:lang w:val="zh-CN" w:eastAsia="zh-CN"/>
        </w:rPr>
        <w:t>）</w:t>
      </w:r>
      <w:r>
        <w:rPr>
          <w:rFonts w:hint="eastAsia" w:ascii="仿宋" w:hAnsi="仿宋"/>
          <w:color w:val="auto"/>
          <w:spacing w:val="6"/>
          <w:kern w:val="0"/>
          <w:sz w:val="24"/>
          <w:highlight w:val="none"/>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auto"/>
          <w:kern w:val="0"/>
          <w:sz w:val="24"/>
          <w:highlight w:val="none"/>
        </w:rPr>
      </w:pPr>
      <w:r>
        <w:rPr>
          <w:rFonts w:hint="eastAsia" w:ascii="仿宋" w:hAnsi="仿宋"/>
          <w:color w:val="auto"/>
          <w:kern w:val="0"/>
          <w:sz w:val="24"/>
          <w:highlight w:val="none"/>
        </w:rPr>
        <w:t>一、本单位与采购人之间</w:t>
      </w:r>
    </w:p>
    <w:p w14:paraId="361D7F0F">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不存在利害关系</w:t>
      </w:r>
    </w:p>
    <w:p w14:paraId="56A7B73D">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存在下列利害关系：</w:t>
      </w:r>
    </w:p>
    <w:p w14:paraId="00026EC6">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投资关系</w:t>
      </w:r>
      <w:r>
        <w:rPr>
          <w:rFonts w:ascii="仿宋" w:hAnsi="仿宋"/>
          <w:color w:val="auto"/>
          <w:kern w:val="0"/>
          <w:sz w:val="24"/>
          <w:highlight w:val="none"/>
        </w:rPr>
        <w:t xml:space="preserve">    B.</w:t>
      </w:r>
      <w:r>
        <w:rPr>
          <w:rFonts w:hint="eastAsia" w:ascii="仿宋" w:hAnsi="仿宋"/>
          <w:color w:val="auto"/>
          <w:kern w:val="0"/>
          <w:sz w:val="24"/>
          <w:highlight w:val="none"/>
        </w:rPr>
        <w:t>行政隶属关系</w:t>
      </w:r>
      <w:r>
        <w:rPr>
          <w:rFonts w:ascii="仿宋" w:hAnsi="仿宋"/>
          <w:color w:val="auto"/>
          <w:kern w:val="0"/>
          <w:sz w:val="24"/>
          <w:highlight w:val="none"/>
        </w:rPr>
        <w:t xml:space="preserve">    C.</w:t>
      </w:r>
      <w:r>
        <w:rPr>
          <w:rFonts w:hint="eastAsia" w:ascii="仿宋" w:hAnsi="仿宋"/>
          <w:color w:val="auto"/>
          <w:kern w:val="0"/>
          <w:sz w:val="24"/>
          <w:highlight w:val="none"/>
        </w:rPr>
        <w:t>业务指导关系</w:t>
      </w:r>
    </w:p>
    <w:p w14:paraId="50A2748E">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其他可能</w:t>
      </w:r>
      <w:r>
        <w:rPr>
          <w:rFonts w:hint="eastAsia" w:ascii="仿宋" w:hAnsi="仿宋"/>
          <w:color w:val="auto"/>
          <w:sz w:val="24"/>
          <w:highlight w:val="none"/>
        </w:rPr>
        <w:t>影响采购公正的</w:t>
      </w:r>
      <w:r>
        <w:rPr>
          <w:rFonts w:hint="eastAsia" w:ascii="仿宋" w:hAnsi="仿宋"/>
          <w:color w:val="auto"/>
          <w:kern w:val="0"/>
          <w:sz w:val="24"/>
          <w:highlight w:val="none"/>
        </w:rPr>
        <w:t>利害关系。</w:t>
      </w:r>
    </w:p>
    <w:p w14:paraId="6A2C2263">
      <w:pPr>
        <w:widowControl/>
        <w:snapToGrid w:val="0"/>
        <w:spacing w:line="440" w:lineRule="exact"/>
        <w:rPr>
          <w:rFonts w:ascii="仿宋" w:eastAsia="仿宋"/>
          <w:color w:val="auto"/>
          <w:kern w:val="0"/>
          <w:sz w:val="24"/>
          <w:highlight w:val="none"/>
        </w:rPr>
      </w:pPr>
      <w:r>
        <w:rPr>
          <w:rFonts w:hint="eastAsia" w:ascii="仿宋" w:hAnsi="仿宋"/>
          <w:color w:val="auto"/>
          <w:spacing w:val="6"/>
          <w:sz w:val="24"/>
          <w:highlight w:val="none"/>
        </w:rPr>
        <w:t>二、</w:t>
      </w:r>
      <w:r>
        <w:rPr>
          <w:rFonts w:hint="eastAsia" w:ascii="仿宋" w:hAnsi="仿宋"/>
          <w:color w:val="auto"/>
          <w:kern w:val="0"/>
          <w:sz w:val="24"/>
          <w:highlight w:val="none"/>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□与其他所有供应商之间均</w:t>
      </w:r>
      <w:r>
        <w:rPr>
          <w:rFonts w:hint="eastAsia" w:ascii="仿宋" w:hAnsi="仿宋"/>
          <w:color w:val="auto"/>
          <w:kern w:val="0"/>
          <w:sz w:val="24"/>
          <w:highlight w:val="none"/>
        </w:rPr>
        <w:t>不存在利害关系</w:t>
      </w:r>
    </w:p>
    <w:p w14:paraId="301D039E">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□与之间</w:t>
      </w:r>
      <w:r>
        <w:rPr>
          <w:rFonts w:hint="eastAsia" w:ascii="仿宋" w:hAnsi="仿宋"/>
          <w:color w:val="auto"/>
          <w:kern w:val="0"/>
          <w:sz w:val="24"/>
          <w:highlight w:val="none"/>
        </w:rPr>
        <w:t>存在下列利害关系：</w:t>
      </w:r>
    </w:p>
    <w:p w14:paraId="3FD3D1C2">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法定代表人或负责人或实际控制人是同一人</w:t>
      </w:r>
    </w:p>
    <w:p w14:paraId="12D440A5">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B.</w:t>
      </w:r>
      <w:r>
        <w:rPr>
          <w:rFonts w:hint="eastAsia" w:ascii="仿宋" w:hAnsi="仿宋"/>
          <w:color w:val="auto"/>
          <w:kern w:val="0"/>
          <w:sz w:val="24"/>
          <w:highlight w:val="none"/>
        </w:rPr>
        <w:t>法定代表人或负责人或实际控制人是夫妻关系</w:t>
      </w:r>
    </w:p>
    <w:p w14:paraId="7B098BAD">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C.</w:t>
      </w:r>
      <w:r>
        <w:rPr>
          <w:rFonts w:hint="eastAsia" w:ascii="仿宋" w:hAnsi="仿宋"/>
          <w:color w:val="auto"/>
          <w:kern w:val="0"/>
          <w:sz w:val="24"/>
          <w:highlight w:val="none"/>
        </w:rPr>
        <w:t>法定代表人或负责人或实际控制人是直系血亲关系</w:t>
      </w:r>
    </w:p>
    <w:p w14:paraId="531F45BD">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法定代表人或负责人或实际控制人存在三代以内旁系血亲关系</w:t>
      </w:r>
    </w:p>
    <w:p w14:paraId="13AD2E22">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E.</w:t>
      </w:r>
      <w:r>
        <w:rPr>
          <w:rFonts w:hint="eastAsia" w:ascii="仿宋" w:hAnsi="仿宋"/>
          <w:color w:val="auto"/>
          <w:kern w:val="0"/>
          <w:sz w:val="24"/>
          <w:highlight w:val="none"/>
        </w:rPr>
        <w:t>法定代表人或负责人或实际控制人存在近姻亲关系</w:t>
      </w:r>
    </w:p>
    <w:p w14:paraId="42FC9A1F">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F.</w:t>
      </w:r>
      <w:r>
        <w:rPr>
          <w:rFonts w:hint="eastAsia" w:ascii="仿宋" w:hAnsi="仿宋"/>
          <w:color w:val="auto"/>
          <w:kern w:val="0"/>
          <w:sz w:val="24"/>
          <w:highlight w:val="none"/>
        </w:rPr>
        <w:t>法定代表人或负责人或实际控制人存在股份控制或实际控制关系</w:t>
      </w:r>
    </w:p>
    <w:p w14:paraId="00ADF631">
      <w:pPr>
        <w:snapToGrid w:val="0"/>
        <w:spacing w:line="440" w:lineRule="exact"/>
        <w:outlineLvl w:val="0"/>
        <w:rPr>
          <w:rFonts w:ascii="仿宋" w:hAnsi="Courier New" w:eastAsia="仿宋"/>
          <w:color w:val="auto"/>
          <w:kern w:val="0"/>
          <w:sz w:val="24"/>
          <w:highlight w:val="none"/>
        </w:rPr>
      </w:pPr>
      <w:r>
        <w:rPr>
          <w:rFonts w:ascii="仿宋" w:hAnsi="仿宋"/>
          <w:color w:val="auto"/>
          <w:kern w:val="0"/>
          <w:sz w:val="24"/>
          <w:highlight w:val="none"/>
        </w:rPr>
        <w:t xml:space="preserve">  G.</w:t>
      </w:r>
      <w:r>
        <w:rPr>
          <w:rFonts w:hint="eastAsia" w:ascii="仿宋" w:hAnsi="仿宋"/>
          <w:color w:val="auto"/>
          <w:kern w:val="0"/>
          <w:sz w:val="24"/>
          <w:highlight w:val="none"/>
        </w:rPr>
        <w:t>存在共同直接或间接投资设立子公司、联营企业和合营企业情况</w:t>
      </w:r>
    </w:p>
    <w:p w14:paraId="29AEC404">
      <w:pPr>
        <w:snapToGrid w:val="0"/>
        <w:spacing w:line="440" w:lineRule="exact"/>
        <w:rPr>
          <w:rFonts w:ascii="仿宋" w:hAnsi="Courier New" w:eastAsia="仿宋"/>
          <w:color w:val="auto"/>
          <w:sz w:val="24"/>
          <w:highlight w:val="none"/>
        </w:rPr>
      </w:pPr>
      <w:r>
        <w:rPr>
          <w:rFonts w:ascii="仿宋" w:hAnsi="仿宋"/>
          <w:color w:val="auto"/>
          <w:kern w:val="0"/>
          <w:sz w:val="24"/>
          <w:highlight w:val="none"/>
        </w:rPr>
        <w:t xml:space="preserve">  H.</w:t>
      </w:r>
      <w:r>
        <w:rPr>
          <w:rFonts w:hint="eastAsia" w:ascii="仿宋" w:hAnsi="仿宋"/>
          <w:color w:val="auto"/>
          <w:kern w:val="0"/>
          <w:sz w:val="24"/>
          <w:highlight w:val="none"/>
        </w:rPr>
        <w:t>存在分级代理或代销关系、同一生产制造商关系、</w:t>
      </w:r>
      <w:r>
        <w:rPr>
          <w:rFonts w:hint="eastAsia" w:ascii="仿宋" w:hAnsi="仿宋"/>
          <w:color w:val="auto"/>
          <w:sz w:val="24"/>
          <w:highlight w:val="none"/>
        </w:rPr>
        <w:t>管理关系、重要业务（占主营业务收入</w:t>
      </w:r>
      <w:r>
        <w:rPr>
          <w:rFonts w:ascii="仿宋" w:hAnsi="仿宋"/>
          <w:color w:val="auto"/>
          <w:sz w:val="24"/>
          <w:highlight w:val="none"/>
        </w:rPr>
        <w:t>50%</w:t>
      </w:r>
      <w:r>
        <w:rPr>
          <w:rFonts w:hint="eastAsia" w:ascii="仿宋" w:hAnsi="仿宋"/>
          <w:color w:val="auto"/>
          <w:sz w:val="24"/>
          <w:highlight w:val="none"/>
        </w:rPr>
        <w:t>以上）或重要财务往来关系（如融资）等其他实质性控制关系</w:t>
      </w:r>
    </w:p>
    <w:p w14:paraId="79AFF322">
      <w:pPr>
        <w:snapToGrid w:val="0"/>
        <w:spacing w:line="440" w:lineRule="exact"/>
        <w:rPr>
          <w:rFonts w:ascii="仿宋" w:hAnsi="Courier New" w:eastAsia="仿宋"/>
          <w:color w:val="auto"/>
          <w:spacing w:val="6"/>
          <w:sz w:val="24"/>
          <w:highlight w:val="none"/>
        </w:rPr>
      </w:pPr>
      <w:r>
        <w:rPr>
          <w:rFonts w:ascii="仿宋" w:hAnsi="仿宋"/>
          <w:color w:val="auto"/>
          <w:sz w:val="24"/>
          <w:highlight w:val="none"/>
        </w:rPr>
        <w:t>I</w:t>
      </w:r>
      <w:r>
        <w:rPr>
          <w:rFonts w:ascii="仿宋" w:hAnsi="Courier New" w:eastAsia="仿宋"/>
          <w:color w:val="auto"/>
          <w:kern w:val="0"/>
          <w:sz w:val="24"/>
          <w:highlight w:val="none"/>
        </w:rPr>
        <w:t>.</w:t>
      </w:r>
      <w:r>
        <w:rPr>
          <w:rFonts w:hint="eastAsia" w:ascii="仿宋" w:hAnsi="仿宋"/>
          <w:color w:val="auto"/>
          <w:sz w:val="24"/>
          <w:highlight w:val="none"/>
        </w:rPr>
        <w:t>其他利害关系情况</w:t>
      </w:r>
      <w:r>
        <w:rPr>
          <w:rFonts w:hint="eastAsia" w:ascii="仿宋" w:hAnsi="仿宋"/>
          <w:color w:val="auto"/>
          <w:kern w:val="0"/>
          <w:sz w:val="24"/>
          <w:highlight w:val="none"/>
        </w:rPr>
        <w:t>。</w:t>
      </w:r>
    </w:p>
    <w:p w14:paraId="541BC4DB">
      <w:pPr>
        <w:widowControl/>
        <w:snapToGrid w:val="0"/>
        <w:spacing w:line="440" w:lineRule="exact"/>
        <w:rPr>
          <w:rFonts w:ascii="仿宋" w:eastAsia="仿宋"/>
          <w:color w:val="auto"/>
          <w:kern w:val="0"/>
          <w:sz w:val="24"/>
          <w:highlight w:val="none"/>
        </w:rPr>
      </w:pPr>
      <w:r>
        <w:rPr>
          <w:rFonts w:hint="eastAsia" w:ascii="仿宋" w:hAnsi="仿宋"/>
          <w:color w:val="auto"/>
          <w:sz w:val="24"/>
          <w:highlight w:val="none"/>
        </w:rPr>
        <w:t>三、现已清楚知道并</w:t>
      </w:r>
      <w:r>
        <w:rPr>
          <w:rFonts w:hint="eastAsia" w:ascii="仿宋" w:hAnsi="仿宋"/>
          <w:color w:val="auto"/>
          <w:kern w:val="0"/>
          <w:sz w:val="24"/>
          <w:highlight w:val="none"/>
        </w:rPr>
        <w:t>严格遵守政府采购法律法规和现场纪律。</w:t>
      </w:r>
    </w:p>
    <w:p w14:paraId="3B7ABE75">
      <w:pPr>
        <w:widowControl/>
        <w:snapToGrid w:val="0"/>
        <w:spacing w:line="440" w:lineRule="exact"/>
        <w:rPr>
          <w:rFonts w:ascii="仿宋" w:hAnsi="仿宋"/>
          <w:color w:val="auto"/>
          <w:kern w:val="0"/>
          <w:sz w:val="24"/>
          <w:highlight w:val="none"/>
        </w:rPr>
      </w:pPr>
      <w:r>
        <w:rPr>
          <w:rFonts w:hint="eastAsia" w:ascii="仿宋" w:hAnsi="仿宋"/>
          <w:color w:val="auto"/>
          <w:kern w:val="0"/>
          <w:sz w:val="24"/>
          <w:highlight w:val="none"/>
        </w:rPr>
        <w:t>四、我发现供应商之间存在或可能存在上述第二条第项利害关系。</w:t>
      </w:r>
    </w:p>
    <w:p w14:paraId="0A53D02A">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□不存在利害关系</w:t>
      </w:r>
    </w:p>
    <w:p w14:paraId="57B8C12C">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□存在下列利害关系</w:t>
      </w:r>
    </w:p>
    <w:p w14:paraId="5BD6C555">
      <w:pPr>
        <w:snapToGrid w:val="0"/>
        <w:spacing w:line="500" w:lineRule="exact"/>
        <w:ind w:firstLine="480" w:firstLineChars="200"/>
        <w:rPr>
          <w:rFonts w:ascii="仿宋" w:hAnsi="仿宋"/>
          <w:color w:val="auto"/>
          <w:sz w:val="24"/>
          <w:highlight w:val="none"/>
        </w:rPr>
      </w:pPr>
    </w:p>
    <w:p w14:paraId="3F6F8A14">
      <w:pPr>
        <w:snapToGrid w:val="0"/>
        <w:spacing w:line="500" w:lineRule="exact"/>
        <w:ind w:firstLine="482" w:firstLineChars="200"/>
        <w:rPr>
          <w:rFonts w:ascii="仿宋" w:hAnsi="Courier New" w:eastAsia="仿宋"/>
          <w:b/>
          <w:color w:val="auto"/>
          <w:sz w:val="24"/>
          <w:highlight w:val="none"/>
        </w:rPr>
      </w:pPr>
      <w:r>
        <w:rPr>
          <w:rFonts w:hint="eastAsia" w:ascii="仿宋" w:hAnsi="仿宋"/>
          <w:b/>
          <w:color w:val="auto"/>
          <w:sz w:val="24"/>
          <w:highlight w:val="none"/>
        </w:rPr>
        <w:t>供应商代表签名：</w:t>
      </w:r>
    </w:p>
    <w:p w14:paraId="230F8471">
      <w:pPr>
        <w:ind w:firstLine="3840" w:firstLineChars="1600"/>
        <w:rPr>
          <w:rFonts w:ascii="仿宋" w:eastAsia="仿宋"/>
          <w:color w:val="auto"/>
          <w:sz w:val="24"/>
          <w:highlight w:val="none"/>
        </w:rPr>
      </w:pPr>
    </w:p>
    <w:p w14:paraId="03BCBF66">
      <w:pPr>
        <w:ind w:firstLine="5880" w:firstLineChars="2450"/>
        <w:rPr>
          <w:rFonts w:ascii="仿宋" w:hAnsi="仿宋"/>
          <w:color w:val="auto"/>
          <w:sz w:val="24"/>
          <w:highlight w:val="none"/>
        </w:rPr>
      </w:pPr>
      <w:r>
        <w:rPr>
          <w:rFonts w:hint="eastAsia" w:ascii="仿宋" w:hAnsi="仿宋"/>
          <w:color w:val="auto"/>
          <w:sz w:val="24"/>
          <w:highlight w:val="none"/>
        </w:rPr>
        <w:t>年</w:t>
      </w:r>
      <w:r>
        <w:rPr>
          <w:rFonts w:ascii="仿宋" w:hAnsi="仿宋"/>
          <w:color w:val="auto"/>
          <w:sz w:val="24"/>
          <w:highlight w:val="none"/>
        </w:rPr>
        <w:t xml:space="preserve">  </w:t>
      </w:r>
      <w:r>
        <w:rPr>
          <w:rFonts w:hint="eastAsia" w:ascii="仿宋" w:hAnsi="仿宋"/>
          <w:color w:val="auto"/>
          <w:sz w:val="24"/>
          <w:highlight w:val="none"/>
        </w:rPr>
        <w:t>月</w:t>
      </w:r>
      <w:r>
        <w:rPr>
          <w:rFonts w:ascii="仿宋" w:hAnsi="仿宋"/>
          <w:color w:val="auto"/>
          <w:sz w:val="24"/>
          <w:highlight w:val="none"/>
        </w:rPr>
        <w:t xml:space="preserve">   </w:t>
      </w:r>
      <w:r>
        <w:rPr>
          <w:rFonts w:hint="eastAsia" w:ascii="仿宋" w:hAnsi="仿宋"/>
          <w:color w:val="auto"/>
          <w:sz w:val="24"/>
          <w:highlight w:val="none"/>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3"/>
      <w:jc w:val="right"/>
    </w:pPr>
    <w:r>
      <w:fldChar w:fldCharType="begin"/>
    </w:r>
    <w:r>
      <w:instrText xml:space="preserve">PAGE   \* MERGEFORMAT</w:instrText>
    </w:r>
    <w:r>
      <w:fldChar w:fldCharType="separate"/>
    </w:r>
    <w:r>
      <w:rPr>
        <w:lang w:val="zh-CN"/>
      </w:rPr>
      <w:t>22</w:t>
    </w:r>
    <w:r>
      <w:fldChar w:fldCharType="end"/>
    </w:r>
  </w:p>
  <w:p w14:paraId="115341D8">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3"/>
      <w:framePr w:wrap="around" w:vAnchor="text" w:hAnchor="margin" w:xAlign="right" w:y="1"/>
      <w:rPr>
        <w:rStyle w:val="52"/>
      </w:rPr>
    </w:pPr>
    <w:r>
      <w:fldChar w:fldCharType="begin"/>
    </w:r>
    <w:r>
      <w:rPr>
        <w:rStyle w:val="52"/>
      </w:rPr>
      <w:instrText xml:space="preserve">PAGE  </w:instrText>
    </w:r>
    <w:r>
      <w:fldChar w:fldCharType="end"/>
    </w:r>
  </w:p>
  <w:p w14:paraId="3D57F26E">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3"/>
      <w:framePr w:wrap="around" w:vAnchor="text" w:hAnchor="margin" w:xAlign="right" w:y="1"/>
      <w:rPr>
        <w:rStyle w:val="52"/>
      </w:rPr>
    </w:pPr>
    <w:r>
      <w:fldChar w:fldCharType="begin"/>
    </w:r>
    <w:r>
      <w:rPr>
        <w:rStyle w:val="52"/>
      </w:rPr>
      <w:instrText xml:space="preserve">PAGE  </w:instrText>
    </w:r>
    <w:r>
      <w:fldChar w:fldCharType="separate"/>
    </w:r>
    <w:r>
      <w:rPr>
        <w:rStyle w:val="52"/>
      </w:rPr>
      <w:t>61</w:t>
    </w:r>
    <w:r>
      <w:fldChar w:fldCharType="end"/>
    </w:r>
  </w:p>
  <w:p w14:paraId="4F306EC5">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3"/>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3691AAEC">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19A0E66"/>
    <w:rsid w:val="028C1FA5"/>
    <w:rsid w:val="04BC0663"/>
    <w:rsid w:val="07A96C95"/>
    <w:rsid w:val="08391A61"/>
    <w:rsid w:val="08BE6B9D"/>
    <w:rsid w:val="0A6C0C98"/>
    <w:rsid w:val="0C5C1F69"/>
    <w:rsid w:val="11E5626B"/>
    <w:rsid w:val="12975104"/>
    <w:rsid w:val="12D373EF"/>
    <w:rsid w:val="14D00DDF"/>
    <w:rsid w:val="165322D8"/>
    <w:rsid w:val="17334A9C"/>
    <w:rsid w:val="17D522E6"/>
    <w:rsid w:val="1C4F67E6"/>
    <w:rsid w:val="1F00217F"/>
    <w:rsid w:val="1F5E479D"/>
    <w:rsid w:val="204F0143"/>
    <w:rsid w:val="20D046A7"/>
    <w:rsid w:val="24130918"/>
    <w:rsid w:val="246615F4"/>
    <w:rsid w:val="26176E7E"/>
    <w:rsid w:val="27FA0D7D"/>
    <w:rsid w:val="28F51235"/>
    <w:rsid w:val="296C4BAC"/>
    <w:rsid w:val="29E96216"/>
    <w:rsid w:val="2A777809"/>
    <w:rsid w:val="2C182496"/>
    <w:rsid w:val="2D3B1518"/>
    <w:rsid w:val="317E64B1"/>
    <w:rsid w:val="32DE4916"/>
    <w:rsid w:val="32E13E2E"/>
    <w:rsid w:val="33B21DB7"/>
    <w:rsid w:val="346C7582"/>
    <w:rsid w:val="34E86FB9"/>
    <w:rsid w:val="36CE6F6A"/>
    <w:rsid w:val="37652AD6"/>
    <w:rsid w:val="412C533B"/>
    <w:rsid w:val="42900677"/>
    <w:rsid w:val="42F535F3"/>
    <w:rsid w:val="4DAA5EF7"/>
    <w:rsid w:val="4E3E4481"/>
    <w:rsid w:val="52076924"/>
    <w:rsid w:val="56056329"/>
    <w:rsid w:val="59913C4B"/>
    <w:rsid w:val="61473BF1"/>
    <w:rsid w:val="61EE5C4D"/>
    <w:rsid w:val="625E4788"/>
    <w:rsid w:val="654B072B"/>
    <w:rsid w:val="67B436C4"/>
    <w:rsid w:val="6842639B"/>
    <w:rsid w:val="69AB6951"/>
    <w:rsid w:val="6A0F021F"/>
    <w:rsid w:val="6AA335F1"/>
    <w:rsid w:val="70644E3C"/>
    <w:rsid w:val="719F1BF0"/>
    <w:rsid w:val="72892320"/>
    <w:rsid w:val="75AB7CDD"/>
    <w:rsid w:val="76D05301"/>
    <w:rsid w:val="7AC83144"/>
    <w:rsid w:val="7B304D2E"/>
    <w:rsid w:val="7D33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7">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9">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10">
    <w:name w:val="heading 7"/>
    <w:basedOn w:val="1"/>
    <w:next w:val="1"/>
    <w:link w:val="210"/>
    <w:qFormat/>
    <w:uiPriority w:val="0"/>
    <w:pPr>
      <w:keepNext/>
      <w:keepLines/>
      <w:spacing w:before="240" w:after="64" w:line="320" w:lineRule="auto"/>
      <w:outlineLvl w:val="6"/>
    </w:pPr>
    <w:rPr>
      <w:b/>
      <w:bCs/>
      <w:kern w:val="0"/>
      <w:sz w:val="24"/>
    </w:rPr>
  </w:style>
  <w:style w:type="paragraph" w:styleId="11">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62"/>
    <w:qFormat/>
    <w:uiPriority w:val="0"/>
    <w:pPr>
      <w:spacing w:beforeLines="50" w:afterLines="50" w:line="360" w:lineRule="auto"/>
      <w:ind w:firstLine="480" w:firstLineChars="200"/>
    </w:pPr>
    <w:rPr>
      <w:sz w:val="24"/>
    </w:rPr>
  </w:style>
  <w:style w:type="paragraph" w:styleId="3">
    <w:name w:val="Body Text"/>
    <w:basedOn w:val="1"/>
    <w:next w:val="2"/>
    <w:link w:val="97"/>
    <w:qFormat/>
    <w:uiPriority w:val="0"/>
    <w:pPr>
      <w:spacing w:after="120"/>
    </w:pPr>
    <w:rPr>
      <w:kern w:val="0"/>
      <w:sz w:val="28"/>
    </w:rPr>
  </w:style>
  <w:style w:type="paragraph" w:styleId="13">
    <w:name w:val="toc 7"/>
    <w:basedOn w:val="1"/>
    <w:next w:val="1"/>
    <w:qFormat/>
    <w:uiPriority w:val="39"/>
    <w:pPr>
      <w:ind w:left="2520" w:leftChars="1200"/>
    </w:pPr>
  </w:style>
  <w:style w:type="paragraph" w:styleId="14">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5">
    <w:name w:val="Normal Indent"/>
    <w:basedOn w:val="1"/>
    <w:link w:val="100"/>
    <w:qFormat/>
    <w:uiPriority w:val="0"/>
    <w:pPr>
      <w:ind w:firstLine="420"/>
    </w:pPr>
    <w:rPr>
      <w:kern w:val="0"/>
      <w:sz w:val="20"/>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spacing w:line="360" w:lineRule="auto"/>
      <w:jc w:val="left"/>
    </w:pPr>
    <w:rPr>
      <w:rFonts w:ascii="宋体"/>
      <w:b/>
      <w:sz w:val="24"/>
    </w:rPr>
  </w:style>
  <w:style w:type="paragraph" w:styleId="18">
    <w:name w:val="Document Map"/>
    <w:basedOn w:val="1"/>
    <w:link w:val="109"/>
    <w:qFormat/>
    <w:uiPriority w:val="99"/>
    <w:pPr>
      <w:shd w:val="clear" w:color="auto" w:fill="000080"/>
    </w:pPr>
    <w:rPr>
      <w:kern w:val="0"/>
      <w:sz w:val="20"/>
    </w:rPr>
  </w:style>
  <w:style w:type="paragraph" w:styleId="19">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20">
    <w:name w:val="annotation text"/>
    <w:basedOn w:val="1"/>
    <w:link w:val="165"/>
    <w:qFormat/>
    <w:uiPriority w:val="0"/>
    <w:pPr>
      <w:jc w:val="left"/>
    </w:pPr>
    <w:rPr>
      <w:kern w:val="0"/>
      <w:sz w:val="20"/>
    </w:rPr>
  </w:style>
  <w:style w:type="paragraph" w:styleId="21">
    <w:name w:val="Body Text 3"/>
    <w:basedOn w:val="1"/>
    <w:link w:val="72"/>
    <w:qFormat/>
    <w:uiPriority w:val="0"/>
    <w:pPr>
      <w:snapToGrid w:val="0"/>
      <w:spacing w:before="50" w:after="50"/>
    </w:pPr>
    <w:rPr>
      <w:rFonts w:hAnsi="宋体" w:eastAsia="仿宋_GB2312"/>
      <w:b/>
      <w:bCs/>
      <w:kern w:val="0"/>
      <w:sz w:val="24"/>
      <w:szCs w:val="20"/>
    </w:rPr>
  </w:style>
  <w:style w:type="paragraph" w:styleId="22">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next w:val="29"/>
    <w:link w:val="88"/>
    <w:qFormat/>
    <w:uiPriority w:val="0"/>
    <w:pPr>
      <w:spacing w:beforeLines="50" w:afterLines="50" w:line="400" w:lineRule="exact"/>
    </w:pPr>
    <w:rPr>
      <w:rFonts w:ascii="宋体" w:hAnsi="Courier New"/>
      <w:kern w:val="0"/>
      <w:sz w:val="24"/>
    </w:rPr>
  </w:style>
  <w:style w:type="paragraph" w:styleId="29">
    <w:name w:val="Date"/>
    <w:basedOn w:val="1"/>
    <w:next w:val="1"/>
    <w:link w:val="145"/>
    <w:qFormat/>
    <w:uiPriority w:val="0"/>
    <w:pPr>
      <w:ind w:left="2500" w:leftChars="2500"/>
    </w:pPr>
    <w:rPr>
      <w:rFonts w:eastAsia="楷体_GB2312"/>
      <w:kern w:val="0"/>
      <w:sz w:val="32"/>
      <w:szCs w:val="20"/>
    </w:rPr>
  </w:style>
  <w:style w:type="paragraph" w:styleId="30">
    <w:name w:val="toc 8"/>
    <w:basedOn w:val="1"/>
    <w:next w:val="1"/>
    <w:unhideWhenUsed/>
    <w:qFormat/>
    <w:uiPriority w:val="39"/>
    <w:pPr>
      <w:ind w:left="2940" w:leftChars="1400"/>
    </w:pPr>
    <w:rPr>
      <w:rFonts w:ascii="Calibri" w:hAnsi="Calibri"/>
      <w:szCs w:val="22"/>
    </w:rPr>
  </w:style>
  <w:style w:type="paragraph" w:styleId="31">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0"/>
    <w:qFormat/>
    <w:uiPriority w:val="99"/>
    <w:rPr>
      <w:kern w:val="0"/>
      <w:sz w:val="18"/>
      <w:szCs w:val="18"/>
    </w:rPr>
  </w:style>
  <w:style w:type="paragraph" w:styleId="33">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7">
    <w:name w:val="annotation subject"/>
    <w:basedOn w:val="20"/>
    <w:next w:val="20"/>
    <w:link w:val="169"/>
    <w:qFormat/>
    <w:uiPriority w:val="99"/>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7"/>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6"/>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6"/>
    <w:qFormat/>
    <w:uiPriority w:val="0"/>
    <w:rPr>
      <w:rFonts w:ascii="Times New Roman" w:hAnsi="Times New Roman" w:eastAsia="楷体_GB2312" w:cs="Times New Roman"/>
      <w:b/>
      <w:bCs/>
      <w:kern w:val="0"/>
      <w:sz w:val="32"/>
      <w:szCs w:val="32"/>
    </w:rPr>
  </w:style>
  <w:style w:type="character" w:customStyle="1" w:styleId="72">
    <w:name w:val="正文文本 3 字符"/>
    <w:link w:val="21"/>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4"/>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5"/>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8"/>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9"/>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3"/>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5"/>
    <w:qFormat/>
    <w:uiPriority w:val="0"/>
    <w:rPr>
      <w:rFonts w:eastAsia="宋体"/>
    </w:rPr>
  </w:style>
  <w:style w:type="character" w:customStyle="1" w:styleId="101">
    <w:name w:val="正文文本 2 字符"/>
    <w:link w:val="43"/>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8"/>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8"/>
    <w:qFormat/>
    <w:uiPriority w:val="99"/>
    <w:rPr>
      <w:szCs w:val="24"/>
      <w:shd w:val="clear" w:color="auto" w:fill="000080"/>
    </w:rPr>
  </w:style>
  <w:style w:type="character" w:customStyle="1" w:styleId="110">
    <w:name w:val="批注框文本 字符"/>
    <w:link w:val="32"/>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2"/>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2"/>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29"/>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9"/>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2"/>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20"/>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9"/>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7"/>
    <w:qFormat/>
    <w:uiPriority w:val="99"/>
    <w:rPr>
      <w:b/>
      <w:bCs/>
      <w:szCs w:val="24"/>
    </w:rPr>
  </w:style>
  <w:style w:type="character" w:customStyle="1" w:styleId="170">
    <w:name w:val="标题 1 字符"/>
    <w:link w:val="4"/>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1"/>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3"/>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6"/>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10"/>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3"/>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11"/>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4"/>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3"/>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6"/>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5"/>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4"/>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3"/>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5"/>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7"/>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5"/>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4"/>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6"/>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0"/>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51</Pages>
  <Words>25972</Words>
  <Characters>27931</Characters>
  <Lines>283</Lines>
  <Paragraphs>79</Paragraphs>
  <TotalTime>8</TotalTime>
  <ScaleCrop>false</ScaleCrop>
  <LinksUpToDate>false</LinksUpToDate>
  <CharactersWithSpaces>28837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Samiha</cp:lastModifiedBy>
  <cp:lastPrinted>2020-10-10T07:08:00Z</cp:lastPrinted>
  <dcterms:modified xsi:type="dcterms:W3CDTF">2025-04-01T01:45:33Z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F592CBA7592E4F44B1C7CAD9FB815BBC_12</vt:lpwstr>
  </property>
  <property fmtid="{D5CDD505-2E9C-101B-9397-08002B2CF9AE}" pid="4" name="KSOTemplateDocerSaveRecord">
    <vt:lpwstr>eyJoZGlkIjoiOWJlZDQ2NmIwYjgzZjdjYWM1MjQ5OTk3YTcyYzMxMzIiLCJ1c2VySWQiOiIzMjE5MDY1OTEifQ==</vt:lpwstr>
  </property>
</Properties>
</file>