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themeColor="background1"/>
  <w:body>
    <w:p w14:paraId="10593F02">
      <w:pPr>
        <w:rPr>
          <w:rFonts w:hint="eastAsia" w:ascii="宋体" w:hAnsi="宋体" w:eastAsia="宋体" w:cs="宋体"/>
          <w:color w:val="auto"/>
          <w:highlight w:val="none"/>
        </w:rPr>
      </w:pPr>
    </w:p>
    <w:p w14:paraId="5914441F">
      <w:pPr>
        <w:pStyle w:val="7"/>
        <w:jc w:val="center"/>
        <w:rPr>
          <w:rFonts w:hint="eastAsia" w:ascii="宋体" w:hAnsi="宋体" w:eastAsia="宋体" w:cs="宋体"/>
          <w:color w:val="auto"/>
          <w:highlight w:val="none"/>
        </w:rPr>
      </w:pPr>
      <w:r>
        <w:rPr>
          <w:rFonts w:hint="eastAsia" w:ascii="宋体" w:hAnsi="宋体" w:eastAsia="宋体" w:cs="宋体"/>
          <w:color w:val="auto"/>
          <w:highlight w:val="none"/>
        </w:rPr>
        <w:drawing>
          <wp:anchor distT="0" distB="0" distL="0" distR="0" simplePos="0" relativeHeight="251659264" behindDoc="1" locked="0" layoutInCell="1" allowOverlap="1">
            <wp:simplePos x="0" y="0"/>
            <wp:positionH relativeFrom="column">
              <wp:posOffset>229870</wp:posOffset>
            </wp:positionH>
            <wp:positionV relativeFrom="paragraph">
              <wp:posOffset>194945</wp:posOffset>
            </wp:positionV>
            <wp:extent cx="5488940" cy="2279015"/>
            <wp:effectExtent l="0" t="0" r="0" b="6985"/>
            <wp:wrapTight wrapText="bothSides">
              <wp:wrapPolygon>
                <wp:start x="7946" y="0"/>
                <wp:lineTo x="7696" y="602"/>
                <wp:lineTo x="7596" y="1204"/>
                <wp:lineTo x="7596" y="12879"/>
                <wp:lineTo x="8546" y="13481"/>
                <wp:lineTo x="10795" y="13481"/>
                <wp:lineTo x="0" y="15889"/>
                <wp:lineTo x="0" y="17333"/>
                <wp:lineTo x="10795" y="17333"/>
                <wp:lineTo x="7696" y="18296"/>
                <wp:lineTo x="7197" y="18537"/>
                <wp:lineTo x="7047" y="19740"/>
                <wp:lineTo x="6947" y="21305"/>
                <wp:lineTo x="7097" y="21425"/>
                <wp:lineTo x="7497" y="21425"/>
                <wp:lineTo x="13644" y="21425"/>
                <wp:lineTo x="14493" y="21425"/>
                <wp:lineTo x="14743" y="21305"/>
                <wp:lineTo x="14693" y="18657"/>
                <wp:lineTo x="14293" y="18416"/>
                <wp:lineTo x="10795" y="17333"/>
                <wp:lineTo x="21540" y="17333"/>
                <wp:lineTo x="21540" y="15889"/>
                <wp:lineTo x="17892" y="15166"/>
                <wp:lineTo x="16143" y="14685"/>
                <wp:lineTo x="10795" y="13481"/>
                <wp:lineTo x="12944" y="13481"/>
                <wp:lineTo x="13994" y="12879"/>
                <wp:lineTo x="13994" y="1444"/>
                <wp:lineTo x="13844" y="602"/>
                <wp:lineTo x="13594" y="0"/>
                <wp:lineTo x="7946" y="0"/>
              </wp:wrapPolygon>
            </wp:wrapTight>
            <wp:docPr id="5" name="图片 0" descr="永安A4封面.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0" descr="永安A4封面.png"/>
                    <pic:cNvPicPr>
                      <a:picLocks noChangeAspect="1"/>
                    </pic:cNvPicPr>
                  </pic:nvPicPr>
                  <pic:blipFill>
                    <a:blip r:embed="rId8" cstate="print"/>
                    <a:stretch>
                      <a:fillRect/>
                    </a:stretch>
                  </pic:blipFill>
                  <pic:spPr>
                    <a:xfrm>
                      <a:off x="0" y="0"/>
                      <a:ext cx="5488940" cy="2279015"/>
                    </a:xfrm>
                    <a:prstGeom prst="rect">
                      <a:avLst/>
                    </a:prstGeom>
                  </pic:spPr>
                </pic:pic>
              </a:graphicData>
            </a:graphic>
          </wp:anchor>
        </w:drawing>
      </w:r>
    </w:p>
    <w:p w14:paraId="69DDE911">
      <w:pPr>
        <w:pStyle w:val="7"/>
        <w:jc w:val="center"/>
        <w:rPr>
          <w:rFonts w:hint="eastAsia" w:ascii="宋体" w:hAnsi="宋体" w:eastAsia="宋体" w:cs="宋体"/>
          <w:color w:val="auto"/>
          <w:highlight w:val="none"/>
        </w:rPr>
      </w:pPr>
    </w:p>
    <w:p w14:paraId="68BBD509">
      <w:pPr>
        <w:pStyle w:val="7"/>
        <w:jc w:val="center"/>
        <w:rPr>
          <w:rFonts w:hint="eastAsia" w:ascii="宋体" w:hAnsi="宋体" w:eastAsia="宋体" w:cs="宋体"/>
          <w:color w:val="auto"/>
          <w:highlight w:val="none"/>
        </w:rPr>
      </w:pPr>
    </w:p>
    <w:p w14:paraId="2282F6D3">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jc w:val="both"/>
        <w:rPr>
          <w:rFonts w:hint="eastAsia" w:ascii="宋体" w:hAnsi="宋体" w:eastAsia="宋体" w:cs="宋体"/>
          <w:b/>
          <w:color w:val="auto"/>
          <w:kern w:val="0"/>
          <w:sz w:val="84"/>
          <w:szCs w:val="84"/>
          <w:highlight w:val="none"/>
          <w:lang w:val="en-US" w:eastAsia="zh-CN"/>
        </w:rPr>
      </w:pPr>
      <w:r>
        <w:rPr>
          <w:rFonts w:hint="eastAsia" w:ascii="宋体" w:hAnsi="宋体" w:eastAsia="宋体" w:cs="宋体"/>
          <w:b/>
          <w:color w:val="auto"/>
          <w:kern w:val="0"/>
          <w:sz w:val="84"/>
          <w:szCs w:val="84"/>
          <w:highlight w:val="none"/>
          <w:lang w:val="en-US" w:eastAsia="zh-CN"/>
        </w:rPr>
        <w:t xml:space="preserve"> </w:t>
      </w:r>
    </w:p>
    <w:p w14:paraId="298D9F3E">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jc w:val="both"/>
        <w:rPr>
          <w:rFonts w:hint="eastAsia" w:ascii="宋体" w:hAnsi="宋体" w:eastAsia="宋体" w:cs="宋体"/>
          <w:b/>
          <w:color w:val="auto"/>
          <w:kern w:val="0"/>
          <w:sz w:val="84"/>
          <w:szCs w:val="84"/>
          <w:highlight w:val="none"/>
          <w:lang w:val="en-US" w:eastAsia="zh-CN"/>
        </w:rPr>
      </w:pPr>
    </w:p>
    <w:p w14:paraId="67F74D3F">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jc w:val="both"/>
        <w:rPr>
          <w:rFonts w:hint="eastAsia" w:ascii="宋体" w:hAnsi="宋体" w:eastAsia="宋体" w:cs="宋体"/>
          <w:b/>
          <w:color w:val="auto"/>
          <w:kern w:val="0"/>
          <w:sz w:val="72"/>
          <w:szCs w:val="72"/>
          <w:highlight w:val="none"/>
        </w:rPr>
      </w:pPr>
    </w:p>
    <w:p w14:paraId="6BD21370">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jc w:val="center"/>
        <w:rPr>
          <w:rFonts w:hint="eastAsia" w:ascii="宋体" w:hAnsi="宋体" w:eastAsia="宋体" w:cs="宋体"/>
          <w:b/>
          <w:color w:val="auto"/>
          <w:kern w:val="0"/>
          <w:sz w:val="72"/>
          <w:szCs w:val="72"/>
          <w:highlight w:val="none"/>
          <w:lang w:val="en-US" w:eastAsia="zh-CN"/>
        </w:rPr>
      </w:pPr>
      <w:r>
        <w:rPr>
          <w:rFonts w:hint="eastAsia" w:ascii="宋体" w:hAnsi="宋体" w:eastAsia="宋体" w:cs="宋体"/>
          <w:b/>
          <w:color w:val="auto"/>
          <w:kern w:val="0"/>
          <w:sz w:val="72"/>
          <w:szCs w:val="72"/>
          <w:highlight w:val="none"/>
          <w:lang w:val="en-US" w:eastAsia="zh-CN"/>
        </w:rPr>
        <w:t xml:space="preserve">   </w:t>
      </w:r>
      <w:r>
        <w:rPr>
          <w:rFonts w:hint="eastAsia" w:ascii="宋体" w:hAnsi="宋体" w:eastAsia="宋体" w:cs="宋体"/>
          <w:b/>
          <w:color w:val="auto"/>
          <w:kern w:val="0"/>
          <w:sz w:val="72"/>
          <w:szCs w:val="72"/>
          <w:highlight w:val="none"/>
        </w:rPr>
        <w:t>政府采购招标文件</w:t>
      </w:r>
    </w:p>
    <w:p w14:paraId="6DA8CC05">
      <w:pPr>
        <w:spacing w:line="360" w:lineRule="auto"/>
        <w:jc w:val="center"/>
        <w:rPr>
          <w:rFonts w:hint="eastAsia" w:ascii="宋体" w:hAnsi="宋体" w:eastAsia="宋体" w:cs="宋体"/>
          <w:color w:val="auto"/>
          <w:kern w:val="0"/>
          <w:sz w:val="28"/>
          <w:szCs w:val="28"/>
          <w:highlight w:val="none"/>
        </w:rPr>
      </w:pPr>
      <w:r>
        <w:rPr>
          <w:rFonts w:hint="eastAsia" w:ascii="宋体" w:hAnsi="宋体" w:eastAsia="宋体" w:cs="宋体"/>
          <w:b/>
          <w:bCs/>
          <w:color w:val="auto"/>
          <w:kern w:val="0"/>
          <w:sz w:val="32"/>
          <w:szCs w:val="32"/>
          <w:highlight w:val="none"/>
        </w:rPr>
        <w:t>（电子招投标方式）</w:t>
      </w:r>
    </w:p>
    <w:p w14:paraId="7BD4DAFB">
      <w:pPr>
        <w:spacing w:line="360" w:lineRule="auto"/>
        <w:jc w:val="center"/>
        <w:rPr>
          <w:rFonts w:hint="eastAsia" w:ascii="宋体" w:hAnsi="宋体" w:eastAsia="宋体" w:cs="宋体"/>
          <w:b/>
          <w:color w:val="auto"/>
          <w:kern w:val="0"/>
          <w:sz w:val="28"/>
          <w:szCs w:val="28"/>
          <w:highlight w:val="none"/>
          <w:lang w:val="en-US" w:eastAsia="zh-CN"/>
        </w:rPr>
      </w:pPr>
      <w:r>
        <w:rPr>
          <w:rFonts w:hint="eastAsia" w:ascii="宋体" w:hAnsi="宋体" w:eastAsia="宋体" w:cs="宋体"/>
          <w:color w:val="auto"/>
          <w:kern w:val="0"/>
          <w:sz w:val="28"/>
          <w:szCs w:val="28"/>
          <w:highlight w:val="none"/>
        </w:rPr>
        <w:t>项目编号：</w:t>
      </w:r>
      <w:r>
        <w:rPr>
          <w:rFonts w:hint="eastAsia" w:ascii="宋体" w:hAnsi="宋体" w:eastAsia="宋体" w:cs="宋体"/>
          <w:color w:val="auto"/>
          <w:kern w:val="0"/>
          <w:sz w:val="28"/>
          <w:szCs w:val="28"/>
          <w:highlight w:val="none"/>
          <w:u w:val="single"/>
        </w:rPr>
        <w:t xml:space="preserve"> </w:t>
      </w:r>
      <w:r>
        <w:rPr>
          <w:rFonts w:hint="eastAsia" w:ascii="宋体" w:hAnsi="宋体" w:cs="宋体"/>
          <w:color w:val="auto"/>
          <w:kern w:val="0"/>
          <w:sz w:val="28"/>
          <w:szCs w:val="28"/>
          <w:highlight w:val="none"/>
          <w:u w:val="single"/>
          <w:lang w:eastAsia="zh-CN"/>
        </w:rPr>
        <w:t>tzya2025-lq24</w:t>
      </w:r>
      <w:r>
        <w:rPr>
          <w:rFonts w:hint="eastAsia" w:ascii="宋体" w:hAnsi="宋体" w:eastAsia="宋体" w:cs="宋体"/>
          <w:color w:val="auto"/>
          <w:kern w:val="0"/>
          <w:sz w:val="28"/>
          <w:szCs w:val="28"/>
          <w:highlight w:val="none"/>
          <w:u w:val="single"/>
          <w:lang w:val="en-US" w:eastAsia="zh-CN"/>
        </w:rPr>
        <w:t xml:space="preserve"> </w:t>
      </w:r>
    </w:p>
    <w:p w14:paraId="5E66ADEA">
      <w:pPr>
        <w:pStyle w:val="7"/>
        <w:jc w:val="center"/>
        <w:rPr>
          <w:rFonts w:hint="eastAsia" w:ascii="宋体" w:hAnsi="宋体" w:eastAsia="宋体" w:cs="宋体"/>
          <w:color w:val="auto"/>
          <w:highlight w:val="none"/>
        </w:rPr>
      </w:pPr>
    </w:p>
    <w:p w14:paraId="7BDBAFF3">
      <w:pPr>
        <w:pStyle w:val="7"/>
        <w:jc w:val="both"/>
        <w:rPr>
          <w:rFonts w:hint="eastAsia" w:ascii="宋体" w:hAnsi="宋体" w:eastAsia="宋体" w:cs="宋体"/>
          <w:color w:val="auto"/>
          <w:highlight w:val="none"/>
        </w:rPr>
      </w:pPr>
    </w:p>
    <w:p w14:paraId="2A19EF38">
      <w:pPr>
        <w:pStyle w:val="7"/>
        <w:jc w:val="center"/>
        <w:rPr>
          <w:rFonts w:hint="eastAsia" w:ascii="宋体" w:hAnsi="宋体" w:eastAsia="宋体" w:cs="宋体"/>
          <w:color w:val="auto"/>
          <w:highlight w:val="none"/>
        </w:rPr>
      </w:pPr>
    </w:p>
    <w:p w14:paraId="5E8CCF7B">
      <w:pPr>
        <w:spacing w:line="360" w:lineRule="auto"/>
        <w:ind w:left="1405" w:hanging="1405" w:hangingChars="500"/>
        <w:jc w:val="center"/>
        <w:rPr>
          <w:rFonts w:hint="eastAsia" w:ascii="宋体" w:hAnsi="宋体" w:eastAsia="宋体" w:cs="宋体"/>
          <w:color w:val="auto"/>
          <w:highlight w:val="none"/>
        </w:rPr>
      </w:pPr>
      <w:r>
        <w:rPr>
          <w:rFonts w:hint="eastAsia" w:ascii="宋体" w:hAnsi="宋体" w:eastAsia="宋体" w:cs="宋体"/>
          <w:b/>
          <w:bCs/>
          <w:color w:val="auto"/>
          <w:kern w:val="0"/>
          <w:sz w:val="28"/>
          <w:szCs w:val="28"/>
          <w:highlight w:val="none"/>
        </w:rPr>
        <w:t>采购项目：</w:t>
      </w:r>
      <w:r>
        <w:rPr>
          <w:rFonts w:hint="eastAsia" w:ascii="宋体" w:hAnsi="宋体" w:eastAsia="宋体" w:cs="宋体"/>
          <w:color w:val="auto"/>
          <w:kern w:val="0"/>
          <w:sz w:val="28"/>
          <w:szCs w:val="28"/>
          <w:highlight w:val="none"/>
          <w:u w:val="single"/>
        </w:rPr>
        <w:t xml:space="preserve"> </w:t>
      </w:r>
      <w:r>
        <w:rPr>
          <w:rFonts w:hint="eastAsia" w:ascii="宋体" w:hAnsi="宋体" w:cs="宋体"/>
          <w:color w:val="auto"/>
          <w:kern w:val="0"/>
          <w:sz w:val="28"/>
          <w:szCs w:val="28"/>
          <w:highlight w:val="none"/>
          <w:u w:val="single"/>
          <w:lang w:eastAsia="zh-CN"/>
        </w:rPr>
        <w:t>职工疗休养协议服务单位招标项目</w:t>
      </w:r>
    </w:p>
    <w:p w14:paraId="49F7993C">
      <w:pPr>
        <w:spacing w:line="360" w:lineRule="auto"/>
        <w:jc w:val="center"/>
        <w:rPr>
          <w:rFonts w:hint="eastAsia" w:ascii="宋体" w:hAnsi="宋体" w:eastAsia="宋体" w:cs="宋体"/>
          <w:color w:val="auto"/>
          <w:kern w:val="0"/>
          <w:sz w:val="28"/>
          <w:szCs w:val="28"/>
          <w:highlight w:val="none"/>
          <w:u w:val="single"/>
          <w:lang w:eastAsia="zh-CN"/>
        </w:rPr>
      </w:pPr>
      <w:r>
        <w:rPr>
          <w:rFonts w:hint="eastAsia" w:ascii="宋体" w:hAnsi="宋体" w:eastAsia="宋体" w:cs="宋体"/>
          <w:b/>
          <w:bCs/>
          <w:color w:val="auto"/>
          <w:kern w:val="0"/>
          <w:sz w:val="28"/>
          <w:szCs w:val="28"/>
          <w:highlight w:val="none"/>
        </w:rPr>
        <w:t>采 购 人：</w:t>
      </w:r>
      <w:r>
        <w:rPr>
          <w:rFonts w:hint="eastAsia" w:ascii="宋体" w:hAnsi="宋体" w:eastAsia="宋体" w:cs="宋体"/>
          <w:color w:val="auto"/>
          <w:kern w:val="0"/>
          <w:sz w:val="28"/>
          <w:szCs w:val="28"/>
          <w:highlight w:val="none"/>
          <w:u w:val="single"/>
        </w:rPr>
        <w:t xml:space="preserve"> </w:t>
      </w:r>
      <w:r>
        <w:rPr>
          <w:rFonts w:hint="eastAsia" w:ascii="宋体" w:hAnsi="宋体" w:cs="宋体"/>
          <w:color w:val="auto"/>
          <w:kern w:val="0"/>
          <w:sz w:val="28"/>
          <w:szCs w:val="28"/>
          <w:highlight w:val="none"/>
          <w:u w:val="single"/>
          <w:lang w:eastAsia="zh-CN"/>
        </w:rPr>
        <w:t>台州市路桥区中医院医疗服务共同体</w:t>
      </w:r>
    </w:p>
    <w:p w14:paraId="50A0712E">
      <w:pPr>
        <w:pStyle w:val="7"/>
        <w:rPr>
          <w:rFonts w:hint="eastAsia" w:ascii="宋体" w:hAnsi="宋体" w:eastAsia="宋体" w:cs="宋体"/>
          <w:color w:val="auto"/>
          <w:highlight w:val="none"/>
        </w:rPr>
      </w:pPr>
    </w:p>
    <w:p w14:paraId="3DB07839">
      <w:pPr>
        <w:pStyle w:val="7"/>
        <w:rPr>
          <w:rFonts w:hint="eastAsia" w:ascii="宋体" w:hAnsi="宋体" w:eastAsia="宋体" w:cs="宋体"/>
          <w:color w:val="auto"/>
          <w:highlight w:val="none"/>
        </w:rPr>
      </w:pPr>
    </w:p>
    <w:p w14:paraId="1CFE532B">
      <w:pPr>
        <w:pStyle w:val="7"/>
        <w:rPr>
          <w:rFonts w:hint="eastAsia" w:ascii="宋体" w:hAnsi="宋体" w:eastAsia="宋体" w:cs="宋体"/>
          <w:color w:val="auto"/>
          <w:highlight w:val="none"/>
        </w:rPr>
      </w:pPr>
    </w:p>
    <w:p w14:paraId="323725AA">
      <w:pPr>
        <w:spacing w:line="360" w:lineRule="auto"/>
        <w:ind w:firstLine="1405" w:firstLineChars="500"/>
        <w:jc w:val="both"/>
        <w:rPr>
          <w:rFonts w:hint="eastAsia" w:ascii="宋体" w:hAnsi="宋体" w:eastAsia="宋体" w:cs="宋体"/>
          <w:color w:val="auto"/>
          <w:kern w:val="0"/>
          <w:sz w:val="28"/>
          <w:szCs w:val="28"/>
          <w:highlight w:val="none"/>
        </w:rPr>
      </w:pPr>
      <w:r>
        <w:rPr>
          <w:rFonts w:hint="eastAsia" w:ascii="宋体" w:hAnsi="宋体" w:eastAsia="宋体" w:cs="宋体"/>
          <w:b/>
          <w:bCs/>
          <w:color w:val="auto"/>
          <w:kern w:val="0"/>
          <w:sz w:val="28"/>
          <w:szCs w:val="28"/>
          <w:highlight w:val="none"/>
        </w:rPr>
        <w:t>采购代理机构：</w:t>
      </w:r>
      <w:r>
        <w:rPr>
          <w:rFonts w:hint="eastAsia" w:ascii="宋体" w:hAnsi="宋体" w:eastAsia="宋体" w:cs="宋体"/>
          <w:color w:val="auto"/>
          <w:kern w:val="0"/>
          <w:sz w:val="28"/>
          <w:szCs w:val="28"/>
          <w:highlight w:val="none"/>
        </w:rPr>
        <w:t>台州永安工程咨询有限公司</w:t>
      </w:r>
    </w:p>
    <w:p w14:paraId="57432171">
      <w:pPr>
        <w:pStyle w:val="7"/>
        <w:rPr>
          <w:rFonts w:hint="eastAsia" w:ascii="宋体" w:hAnsi="宋体" w:eastAsia="宋体" w:cs="宋体"/>
          <w:color w:val="auto"/>
          <w:highlight w:val="none"/>
        </w:rPr>
      </w:pPr>
    </w:p>
    <w:p w14:paraId="2D24640F">
      <w:pPr>
        <w:pStyle w:val="7"/>
        <w:jc w:val="center"/>
        <w:rPr>
          <w:rFonts w:hint="eastAsia" w:ascii="宋体" w:hAnsi="宋体" w:eastAsia="宋体" w:cs="宋体"/>
          <w:color w:val="auto"/>
          <w:kern w:val="0"/>
          <w:szCs w:val="21"/>
          <w:highlight w:val="none"/>
        </w:rPr>
      </w:pPr>
      <w:r>
        <w:rPr>
          <w:rFonts w:hint="eastAsia" w:ascii="宋体" w:hAnsi="宋体" w:cs="宋体"/>
          <w:color w:val="auto"/>
          <w:kern w:val="0"/>
          <w:sz w:val="28"/>
          <w:szCs w:val="28"/>
          <w:highlight w:val="none"/>
          <w:lang w:val="en-US" w:eastAsia="zh-CN" w:bidi="ar-SA"/>
        </w:rPr>
        <w:t>二○二五年四月</w:t>
      </w:r>
    </w:p>
    <w:p w14:paraId="185725BE">
      <w:pPr>
        <w:pStyle w:val="7"/>
        <w:jc w:val="center"/>
        <w:rPr>
          <w:rFonts w:hint="eastAsia" w:ascii="宋体" w:hAnsi="宋体" w:eastAsia="宋体" w:cs="宋体"/>
          <w:color w:val="auto"/>
          <w:kern w:val="0"/>
          <w:szCs w:val="21"/>
          <w:highlight w:val="none"/>
        </w:rPr>
      </w:pPr>
    </w:p>
    <w:p w14:paraId="5C064B3B">
      <w:pPr>
        <w:pStyle w:val="7"/>
        <w:jc w:val="both"/>
        <w:rPr>
          <w:rFonts w:hint="eastAsia" w:ascii="宋体" w:hAnsi="宋体" w:eastAsia="宋体" w:cs="宋体"/>
          <w:color w:val="auto"/>
          <w:highlight w:val="none"/>
        </w:rPr>
      </w:pPr>
    </w:p>
    <w:p w14:paraId="3FD9830A">
      <w:pPr>
        <w:spacing w:line="360" w:lineRule="auto"/>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目</w:t>
      </w:r>
      <w:r>
        <w:rPr>
          <w:rFonts w:hint="eastAsia" w:ascii="宋体" w:hAnsi="宋体" w:eastAsia="宋体" w:cs="宋体"/>
          <w:b/>
          <w:bCs/>
          <w:color w:val="auto"/>
          <w:sz w:val="36"/>
          <w:szCs w:val="36"/>
          <w:highlight w:val="none"/>
          <w:lang w:val="en-US" w:eastAsia="zh-CN"/>
        </w:rPr>
        <w:t xml:space="preserve">  </w:t>
      </w:r>
      <w:r>
        <w:rPr>
          <w:rFonts w:hint="eastAsia" w:ascii="宋体" w:hAnsi="宋体" w:eastAsia="宋体" w:cs="宋体"/>
          <w:b/>
          <w:bCs/>
          <w:color w:val="auto"/>
          <w:sz w:val="36"/>
          <w:szCs w:val="36"/>
          <w:highlight w:val="none"/>
        </w:rPr>
        <w:t>录</w:t>
      </w:r>
    </w:p>
    <w:p w14:paraId="59BA601E">
      <w:pPr>
        <w:spacing w:line="360" w:lineRule="auto"/>
        <w:rPr>
          <w:rFonts w:hint="eastAsia" w:ascii="宋体" w:hAnsi="宋体" w:eastAsia="宋体" w:cs="宋体"/>
          <w:color w:val="auto"/>
          <w:sz w:val="28"/>
          <w:szCs w:val="28"/>
          <w:highlight w:val="none"/>
        </w:rPr>
      </w:pPr>
    </w:p>
    <w:p w14:paraId="44252053">
      <w:pPr>
        <w:numPr>
          <w:ilvl w:val="0"/>
          <w:numId w:val="1"/>
        </w:numPr>
        <w:spacing w:line="360" w:lineRule="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公开招标采购公告</w:t>
      </w:r>
    </w:p>
    <w:p w14:paraId="2D85F5AF">
      <w:pPr>
        <w:numPr>
          <w:ilvl w:val="0"/>
          <w:numId w:val="1"/>
        </w:numPr>
        <w:spacing w:line="360" w:lineRule="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投标人须知</w:t>
      </w:r>
    </w:p>
    <w:p w14:paraId="0541CA8A">
      <w:pPr>
        <w:numPr>
          <w:ilvl w:val="0"/>
          <w:numId w:val="1"/>
        </w:numPr>
        <w:spacing w:line="360" w:lineRule="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评标办法及评分标准</w:t>
      </w:r>
    </w:p>
    <w:p w14:paraId="65D26672">
      <w:pPr>
        <w:numPr>
          <w:ilvl w:val="0"/>
          <w:numId w:val="1"/>
        </w:numPr>
        <w:spacing w:line="360" w:lineRule="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公开招标需求</w:t>
      </w:r>
    </w:p>
    <w:p w14:paraId="7DC4B778">
      <w:pPr>
        <w:numPr>
          <w:ilvl w:val="0"/>
          <w:numId w:val="1"/>
        </w:numPr>
        <w:spacing w:line="360" w:lineRule="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政府采购合同主要条款</w:t>
      </w:r>
    </w:p>
    <w:p w14:paraId="7E290165">
      <w:pPr>
        <w:numPr>
          <w:ilvl w:val="0"/>
          <w:numId w:val="1"/>
        </w:numPr>
        <w:spacing w:line="360" w:lineRule="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投标文件格式附件</w:t>
      </w:r>
    </w:p>
    <w:p w14:paraId="7062AE96">
      <w:pPr>
        <w:pStyle w:val="7"/>
        <w:jc w:val="center"/>
        <w:rPr>
          <w:rFonts w:hint="eastAsia" w:ascii="宋体" w:hAnsi="宋体" w:eastAsia="宋体" w:cs="宋体"/>
          <w:color w:val="auto"/>
          <w:highlight w:val="none"/>
        </w:rPr>
      </w:pPr>
    </w:p>
    <w:p w14:paraId="042E56A3">
      <w:pPr>
        <w:pStyle w:val="7"/>
        <w:jc w:val="center"/>
        <w:rPr>
          <w:rFonts w:hint="eastAsia" w:ascii="宋体" w:hAnsi="宋体" w:eastAsia="宋体" w:cs="宋体"/>
          <w:color w:val="auto"/>
          <w:highlight w:val="none"/>
        </w:rPr>
      </w:pPr>
    </w:p>
    <w:p w14:paraId="2C8288CA">
      <w:pPr>
        <w:pStyle w:val="7"/>
        <w:jc w:val="center"/>
        <w:rPr>
          <w:rFonts w:hint="eastAsia" w:ascii="宋体" w:hAnsi="宋体" w:eastAsia="宋体" w:cs="宋体"/>
          <w:color w:val="auto"/>
          <w:highlight w:val="none"/>
        </w:rPr>
      </w:pPr>
    </w:p>
    <w:p w14:paraId="65800D02">
      <w:pPr>
        <w:pStyle w:val="7"/>
        <w:jc w:val="center"/>
        <w:rPr>
          <w:rFonts w:hint="eastAsia" w:ascii="宋体" w:hAnsi="宋体" w:eastAsia="宋体" w:cs="宋体"/>
          <w:color w:val="auto"/>
          <w:highlight w:val="none"/>
        </w:rPr>
      </w:pPr>
    </w:p>
    <w:p w14:paraId="692109DE">
      <w:pPr>
        <w:pStyle w:val="7"/>
        <w:jc w:val="center"/>
        <w:rPr>
          <w:rFonts w:hint="eastAsia" w:ascii="宋体" w:hAnsi="宋体" w:eastAsia="宋体" w:cs="宋体"/>
          <w:color w:val="auto"/>
          <w:highlight w:val="none"/>
        </w:rPr>
      </w:pPr>
    </w:p>
    <w:p w14:paraId="3ACEE434">
      <w:pPr>
        <w:pStyle w:val="7"/>
        <w:jc w:val="center"/>
        <w:rPr>
          <w:rFonts w:hint="eastAsia" w:ascii="宋体" w:hAnsi="宋体" w:eastAsia="宋体" w:cs="宋体"/>
          <w:color w:val="auto"/>
          <w:highlight w:val="none"/>
        </w:rPr>
      </w:pPr>
    </w:p>
    <w:p w14:paraId="61A06842">
      <w:pPr>
        <w:pStyle w:val="7"/>
        <w:jc w:val="center"/>
        <w:rPr>
          <w:rFonts w:hint="eastAsia" w:ascii="宋体" w:hAnsi="宋体" w:eastAsia="宋体" w:cs="宋体"/>
          <w:color w:val="auto"/>
          <w:highlight w:val="none"/>
        </w:rPr>
      </w:pPr>
    </w:p>
    <w:p w14:paraId="4D3B55B3">
      <w:pPr>
        <w:pStyle w:val="7"/>
        <w:jc w:val="center"/>
        <w:rPr>
          <w:rFonts w:hint="eastAsia" w:ascii="宋体" w:hAnsi="宋体" w:eastAsia="宋体" w:cs="宋体"/>
          <w:color w:val="auto"/>
          <w:highlight w:val="none"/>
        </w:rPr>
      </w:pPr>
    </w:p>
    <w:p w14:paraId="1B7890E4">
      <w:pPr>
        <w:pStyle w:val="7"/>
        <w:jc w:val="center"/>
        <w:rPr>
          <w:rFonts w:hint="eastAsia" w:ascii="宋体" w:hAnsi="宋体" w:eastAsia="宋体" w:cs="宋体"/>
          <w:color w:val="auto"/>
          <w:highlight w:val="none"/>
        </w:rPr>
      </w:pPr>
    </w:p>
    <w:p w14:paraId="1127D630">
      <w:pPr>
        <w:pStyle w:val="7"/>
        <w:jc w:val="center"/>
        <w:rPr>
          <w:rFonts w:hint="eastAsia" w:ascii="宋体" w:hAnsi="宋体" w:eastAsia="宋体" w:cs="宋体"/>
          <w:color w:val="auto"/>
          <w:highlight w:val="none"/>
        </w:rPr>
      </w:pPr>
    </w:p>
    <w:p w14:paraId="5F880009">
      <w:pPr>
        <w:pStyle w:val="7"/>
        <w:jc w:val="center"/>
        <w:rPr>
          <w:rFonts w:hint="eastAsia" w:ascii="宋体" w:hAnsi="宋体" w:eastAsia="宋体" w:cs="宋体"/>
          <w:color w:val="auto"/>
          <w:highlight w:val="none"/>
        </w:rPr>
      </w:pPr>
    </w:p>
    <w:p w14:paraId="1A643C10">
      <w:pPr>
        <w:pStyle w:val="7"/>
        <w:jc w:val="center"/>
        <w:rPr>
          <w:rFonts w:hint="eastAsia" w:ascii="宋体" w:hAnsi="宋体" w:eastAsia="宋体" w:cs="宋体"/>
          <w:color w:val="auto"/>
          <w:highlight w:val="none"/>
        </w:rPr>
      </w:pPr>
    </w:p>
    <w:p w14:paraId="72E7C426">
      <w:pPr>
        <w:pStyle w:val="7"/>
        <w:jc w:val="center"/>
        <w:rPr>
          <w:rFonts w:hint="eastAsia" w:ascii="宋体" w:hAnsi="宋体" w:eastAsia="宋体" w:cs="宋体"/>
          <w:color w:val="auto"/>
          <w:highlight w:val="none"/>
        </w:rPr>
      </w:pPr>
    </w:p>
    <w:p w14:paraId="304BE940">
      <w:pPr>
        <w:pStyle w:val="7"/>
        <w:jc w:val="center"/>
        <w:rPr>
          <w:rFonts w:hint="eastAsia" w:ascii="宋体" w:hAnsi="宋体" w:eastAsia="宋体" w:cs="宋体"/>
          <w:color w:val="auto"/>
          <w:highlight w:val="none"/>
        </w:rPr>
      </w:pPr>
    </w:p>
    <w:p w14:paraId="1D8907FB">
      <w:pPr>
        <w:pStyle w:val="7"/>
        <w:jc w:val="center"/>
        <w:rPr>
          <w:rFonts w:hint="eastAsia" w:ascii="宋体" w:hAnsi="宋体" w:eastAsia="宋体" w:cs="宋体"/>
          <w:color w:val="auto"/>
          <w:highlight w:val="none"/>
        </w:rPr>
      </w:pPr>
    </w:p>
    <w:p w14:paraId="44AFD141">
      <w:pPr>
        <w:pStyle w:val="7"/>
        <w:jc w:val="center"/>
        <w:rPr>
          <w:rFonts w:hint="eastAsia" w:ascii="宋体" w:hAnsi="宋体" w:eastAsia="宋体" w:cs="宋体"/>
          <w:color w:val="auto"/>
          <w:highlight w:val="none"/>
        </w:rPr>
      </w:pPr>
    </w:p>
    <w:p w14:paraId="573C318E">
      <w:pPr>
        <w:pStyle w:val="7"/>
        <w:jc w:val="center"/>
        <w:rPr>
          <w:rFonts w:hint="eastAsia" w:ascii="宋体" w:hAnsi="宋体" w:eastAsia="宋体" w:cs="宋体"/>
          <w:color w:val="auto"/>
          <w:highlight w:val="none"/>
        </w:rPr>
      </w:pPr>
    </w:p>
    <w:p w14:paraId="79E54CA4">
      <w:pPr>
        <w:pStyle w:val="7"/>
        <w:jc w:val="both"/>
        <w:rPr>
          <w:rFonts w:hint="eastAsia" w:ascii="宋体" w:hAnsi="宋体" w:eastAsia="宋体" w:cs="宋体"/>
          <w:color w:val="auto"/>
          <w:highlight w:val="none"/>
        </w:rPr>
      </w:pPr>
    </w:p>
    <w:p w14:paraId="3034D508">
      <w:pPr>
        <w:tabs>
          <w:tab w:val="left" w:pos="180"/>
          <w:tab w:val="left" w:pos="360"/>
          <w:tab w:val="left" w:pos="540"/>
          <w:tab w:val="left" w:pos="8280"/>
        </w:tabs>
        <w:autoSpaceDE w:val="0"/>
        <w:autoSpaceDN w:val="0"/>
        <w:adjustRightInd w:val="0"/>
        <w:spacing w:line="360" w:lineRule="auto"/>
        <w:ind w:right="23"/>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第一章 公开</w:t>
      </w:r>
      <w:r>
        <w:rPr>
          <w:rFonts w:hint="eastAsia" w:ascii="宋体" w:hAnsi="宋体" w:eastAsia="宋体" w:cs="宋体"/>
          <w:b/>
          <w:color w:val="auto"/>
          <w:sz w:val="36"/>
          <w:szCs w:val="36"/>
          <w:highlight w:val="none"/>
        </w:rPr>
        <w:t>招标采购公告</w:t>
      </w:r>
    </w:p>
    <w:p w14:paraId="71E954F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根据《中华人民共和国政府采购法》、《中华人民共和国政府采购法实施条例》和财政部令第87号《政府采购货物和服务招标投标管理办法》等有关规定, 受</w:t>
      </w:r>
      <w:r>
        <w:rPr>
          <w:rFonts w:hint="eastAsia" w:ascii="宋体" w:hAnsi="宋体" w:cs="宋体"/>
          <w:b/>
          <w:bCs/>
          <w:color w:val="auto"/>
          <w:sz w:val="21"/>
          <w:szCs w:val="21"/>
          <w:highlight w:val="none"/>
          <w:lang w:eastAsia="zh-CN"/>
        </w:rPr>
        <w:t>台州市路桥区中医院医疗服务共同体</w:t>
      </w:r>
      <w:r>
        <w:rPr>
          <w:rFonts w:hint="eastAsia" w:ascii="宋体" w:hAnsi="宋体" w:eastAsia="宋体" w:cs="宋体"/>
          <w:color w:val="auto"/>
          <w:sz w:val="21"/>
          <w:szCs w:val="21"/>
          <w:highlight w:val="none"/>
        </w:rPr>
        <w:t>委托，现就其</w:t>
      </w:r>
      <w:r>
        <w:rPr>
          <w:rFonts w:hint="eastAsia" w:ascii="宋体" w:hAnsi="宋体" w:cs="宋体"/>
          <w:b/>
          <w:bCs/>
          <w:color w:val="auto"/>
          <w:sz w:val="21"/>
          <w:szCs w:val="21"/>
          <w:highlight w:val="none"/>
          <w:lang w:eastAsia="zh-CN"/>
        </w:rPr>
        <w:t>职工疗休养协议服务单位招标项目</w:t>
      </w:r>
      <w:r>
        <w:rPr>
          <w:rFonts w:hint="eastAsia" w:ascii="宋体" w:hAnsi="宋体" w:eastAsia="宋体" w:cs="宋体"/>
          <w:color w:val="auto"/>
          <w:sz w:val="21"/>
          <w:szCs w:val="21"/>
          <w:highlight w:val="none"/>
        </w:rPr>
        <w:t>进行公开招标采购，欢迎合格供应商前来投标。</w:t>
      </w:r>
    </w:p>
    <w:p w14:paraId="2C1B58D6">
      <w:pPr>
        <w:spacing w:line="360" w:lineRule="auto"/>
        <w:ind w:firstLine="422" w:firstLineChars="20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一、项目编号：</w:t>
      </w:r>
      <w:r>
        <w:rPr>
          <w:rFonts w:hint="eastAsia" w:ascii="宋体" w:hAnsi="宋体" w:cs="宋体"/>
          <w:b/>
          <w:bCs/>
          <w:color w:val="auto"/>
          <w:sz w:val="21"/>
          <w:szCs w:val="21"/>
          <w:highlight w:val="none"/>
          <w:lang w:val="en-US" w:eastAsia="zh-CN"/>
        </w:rPr>
        <w:t>tzya2025-lq24</w:t>
      </w:r>
    </w:p>
    <w:p w14:paraId="1DB32B96">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二、招标项目概况：</w:t>
      </w:r>
    </w:p>
    <w:tbl>
      <w:tblPr>
        <w:tblStyle w:val="21"/>
        <w:tblW w:w="91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2126"/>
        <w:gridCol w:w="1532"/>
        <w:gridCol w:w="718"/>
        <w:gridCol w:w="750"/>
        <w:gridCol w:w="1660"/>
        <w:gridCol w:w="1395"/>
      </w:tblGrid>
      <w:tr w14:paraId="541A7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jc w:val="center"/>
        </w:trPr>
        <w:tc>
          <w:tcPr>
            <w:tcW w:w="943" w:type="dxa"/>
            <w:vAlign w:val="center"/>
          </w:tcPr>
          <w:p w14:paraId="37ECE775">
            <w:pPr>
              <w:tabs>
                <w:tab w:val="left" w:pos="8280"/>
              </w:tabs>
              <w:autoSpaceDE w:val="0"/>
              <w:autoSpaceDN w:val="0"/>
              <w:adjustRightInd w:val="0"/>
              <w:ind w:right="25"/>
              <w:jc w:val="center"/>
              <w:rPr>
                <w:rFonts w:hint="eastAsia" w:ascii="宋体" w:hAnsi="宋体" w:eastAsia="宋体" w:cs="宋体"/>
                <w:b/>
                <w:color w:val="auto"/>
                <w:sz w:val="21"/>
                <w:szCs w:val="21"/>
                <w:highlight w:val="none"/>
                <w:lang w:val="en-US"/>
              </w:rPr>
            </w:pPr>
            <w:r>
              <w:rPr>
                <w:rFonts w:hint="eastAsia" w:ascii="宋体" w:hAnsi="宋体" w:eastAsia="宋体" w:cs="宋体"/>
                <w:b/>
                <w:color w:val="auto"/>
                <w:sz w:val="21"/>
                <w:szCs w:val="21"/>
                <w:highlight w:val="none"/>
                <w:lang w:val="en-US" w:eastAsia="zh-CN"/>
              </w:rPr>
              <w:t>标段号</w:t>
            </w:r>
          </w:p>
        </w:tc>
        <w:tc>
          <w:tcPr>
            <w:tcW w:w="2126" w:type="dxa"/>
            <w:vAlign w:val="center"/>
          </w:tcPr>
          <w:p w14:paraId="04C856BA">
            <w:pPr>
              <w:tabs>
                <w:tab w:val="left" w:pos="8280"/>
              </w:tabs>
              <w:autoSpaceDE w:val="0"/>
              <w:autoSpaceDN w:val="0"/>
              <w:adjustRightInd w:val="0"/>
              <w:ind w:right="25" w:firstLine="105" w:firstLineChars="5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项目名称</w:t>
            </w:r>
          </w:p>
        </w:tc>
        <w:tc>
          <w:tcPr>
            <w:tcW w:w="1532" w:type="dxa"/>
            <w:vAlign w:val="center"/>
          </w:tcPr>
          <w:p w14:paraId="2F445408">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kern w:val="0"/>
                <w:sz w:val="21"/>
                <w:szCs w:val="21"/>
                <w:highlight w:val="none"/>
              </w:rPr>
              <w:t>简要技术要求</w:t>
            </w:r>
          </w:p>
        </w:tc>
        <w:tc>
          <w:tcPr>
            <w:tcW w:w="718" w:type="dxa"/>
            <w:vAlign w:val="center"/>
          </w:tcPr>
          <w:p w14:paraId="3BE0BF03">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数量</w:t>
            </w:r>
          </w:p>
        </w:tc>
        <w:tc>
          <w:tcPr>
            <w:tcW w:w="750" w:type="dxa"/>
            <w:vAlign w:val="center"/>
          </w:tcPr>
          <w:p w14:paraId="1089703C">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单位</w:t>
            </w:r>
          </w:p>
        </w:tc>
        <w:tc>
          <w:tcPr>
            <w:tcW w:w="1660" w:type="dxa"/>
            <w:vAlign w:val="center"/>
          </w:tcPr>
          <w:p w14:paraId="642E9E6F">
            <w:pPr>
              <w:tabs>
                <w:tab w:val="left" w:pos="8280"/>
              </w:tabs>
              <w:autoSpaceDE w:val="0"/>
              <w:autoSpaceDN w:val="0"/>
              <w:adjustRightInd w:val="0"/>
              <w:ind w:right="25"/>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rPr>
              <w:t>预算</w:t>
            </w:r>
          </w:p>
          <w:p w14:paraId="29466E6B">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（万元）</w:t>
            </w:r>
          </w:p>
        </w:tc>
        <w:tc>
          <w:tcPr>
            <w:tcW w:w="1395" w:type="dxa"/>
            <w:vAlign w:val="center"/>
          </w:tcPr>
          <w:p w14:paraId="3DE8E3C6">
            <w:pPr>
              <w:tabs>
                <w:tab w:val="left" w:pos="8280"/>
              </w:tabs>
              <w:autoSpaceDE w:val="0"/>
              <w:autoSpaceDN w:val="0"/>
              <w:adjustRightInd w:val="0"/>
              <w:ind w:right="25"/>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最高限价</w:t>
            </w:r>
          </w:p>
          <w:p w14:paraId="21960671">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（万元）</w:t>
            </w:r>
          </w:p>
        </w:tc>
      </w:tr>
      <w:tr w14:paraId="5DF2E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943" w:type="dxa"/>
            <w:vAlign w:val="center"/>
          </w:tcPr>
          <w:p w14:paraId="49FCB3C4">
            <w:pPr>
              <w:tabs>
                <w:tab w:val="left" w:pos="8280"/>
              </w:tabs>
              <w:autoSpaceDE w:val="0"/>
              <w:autoSpaceDN w:val="0"/>
              <w:adjustRightInd w:val="0"/>
              <w:ind w:right="25"/>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一</w:t>
            </w:r>
          </w:p>
        </w:tc>
        <w:tc>
          <w:tcPr>
            <w:tcW w:w="2126" w:type="dxa"/>
            <w:vAlign w:val="center"/>
          </w:tcPr>
          <w:p w14:paraId="3909E1C9">
            <w:pPr>
              <w:widowControl/>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职工疗休养协议服务单位招标项目</w:t>
            </w:r>
          </w:p>
        </w:tc>
        <w:tc>
          <w:tcPr>
            <w:tcW w:w="1532" w:type="dxa"/>
            <w:vAlign w:val="center"/>
          </w:tcPr>
          <w:p w14:paraId="005B5E07">
            <w:pPr>
              <w:tabs>
                <w:tab w:val="left" w:pos="8280"/>
              </w:tabs>
              <w:autoSpaceDE w:val="0"/>
              <w:autoSpaceDN w:val="0"/>
              <w:adjustRightInd w:val="0"/>
              <w:ind w:right="25"/>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详见招标文件</w:t>
            </w:r>
          </w:p>
        </w:tc>
        <w:tc>
          <w:tcPr>
            <w:tcW w:w="718" w:type="dxa"/>
            <w:vAlign w:val="center"/>
          </w:tcPr>
          <w:p w14:paraId="78CEE383">
            <w:pPr>
              <w:tabs>
                <w:tab w:val="left" w:pos="8280"/>
              </w:tabs>
              <w:autoSpaceDE w:val="0"/>
              <w:autoSpaceDN w:val="0"/>
              <w:adjustRightInd w:val="0"/>
              <w:ind w:right="25"/>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750" w:type="dxa"/>
            <w:vAlign w:val="center"/>
          </w:tcPr>
          <w:p w14:paraId="69EA810B">
            <w:pPr>
              <w:tabs>
                <w:tab w:val="left" w:pos="8280"/>
              </w:tabs>
              <w:autoSpaceDE w:val="0"/>
              <w:autoSpaceDN w:val="0"/>
              <w:adjustRightInd w:val="0"/>
              <w:ind w:right="25"/>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w:t>
            </w:r>
          </w:p>
        </w:tc>
        <w:tc>
          <w:tcPr>
            <w:tcW w:w="1660" w:type="dxa"/>
            <w:vAlign w:val="center"/>
          </w:tcPr>
          <w:p w14:paraId="032FCA6C">
            <w:pPr>
              <w:tabs>
                <w:tab w:val="left" w:pos="8280"/>
              </w:tabs>
              <w:autoSpaceDE w:val="0"/>
              <w:autoSpaceDN w:val="0"/>
              <w:adjustRightInd w:val="0"/>
              <w:ind w:right="25" w:right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56.8</w:t>
            </w:r>
          </w:p>
        </w:tc>
        <w:tc>
          <w:tcPr>
            <w:tcW w:w="1395" w:type="dxa"/>
            <w:vAlign w:val="center"/>
          </w:tcPr>
          <w:p w14:paraId="2F8DA0F8">
            <w:pPr>
              <w:tabs>
                <w:tab w:val="left" w:pos="8280"/>
              </w:tabs>
              <w:autoSpaceDE w:val="0"/>
              <w:autoSpaceDN w:val="0"/>
              <w:adjustRightInd w:val="0"/>
              <w:ind w:right="25" w:right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49</w:t>
            </w:r>
          </w:p>
        </w:tc>
      </w:tr>
      <w:tr w14:paraId="2F312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943" w:type="dxa"/>
            <w:vAlign w:val="center"/>
          </w:tcPr>
          <w:p w14:paraId="709443CA">
            <w:pPr>
              <w:tabs>
                <w:tab w:val="left" w:pos="8280"/>
              </w:tabs>
              <w:autoSpaceDE w:val="0"/>
              <w:autoSpaceDN w:val="0"/>
              <w:adjustRightInd w:val="0"/>
              <w:ind w:right="25"/>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二</w:t>
            </w:r>
          </w:p>
        </w:tc>
        <w:tc>
          <w:tcPr>
            <w:tcW w:w="2126" w:type="dxa"/>
            <w:shd w:val="clear" w:color="auto" w:fill="auto"/>
            <w:vAlign w:val="center"/>
          </w:tcPr>
          <w:p w14:paraId="4662FAC2">
            <w:pPr>
              <w:widowControl/>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eastAsia="zh-CN"/>
              </w:rPr>
              <w:t>职工疗休养协议服务单位招标项目</w:t>
            </w:r>
          </w:p>
        </w:tc>
        <w:tc>
          <w:tcPr>
            <w:tcW w:w="1532" w:type="dxa"/>
            <w:shd w:val="clear" w:color="auto" w:fill="auto"/>
            <w:vAlign w:val="center"/>
          </w:tcPr>
          <w:p w14:paraId="7DF7420B">
            <w:pPr>
              <w:tabs>
                <w:tab w:val="left" w:pos="8280"/>
              </w:tabs>
              <w:autoSpaceDE w:val="0"/>
              <w:autoSpaceDN w:val="0"/>
              <w:adjustRightInd w:val="0"/>
              <w:ind w:right="25"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详见招标文件</w:t>
            </w:r>
          </w:p>
        </w:tc>
        <w:tc>
          <w:tcPr>
            <w:tcW w:w="718" w:type="dxa"/>
            <w:shd w:val="clear" w:color="auto" w:fill="auto"/>
            <w:vAlign w:val="center"/>
          </w:tcPr>
          <w:p w14:paraId="7B98AE14">
            <w:pPr>
              <w:tabs>
                <w:tab w:val="left" w:pos="8280"/>
              </w:tabs>
              <w:autoSpaceDE w:val="0"/>
              <w:autoSpaceDN w:val="0"/>
              <w:adjustRightInd w:val="0"/>
              <w:ind w:right="25"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750" w:type="dxa"/>
            <w:shd w:val="clear" w:color="auto" w:fill="auto"/>
            <w:vAlign w:val="center"/>
          </w:tcPr>
          <w:p w14:paraId="50F30B2B">
            <w:pPr>
              <w:tabs>
                <w:tab w:val="left" w:pos="8280"/>
              </w:tabs>
              <w:autoSpaceDE w:val="0"/>
              <w:autoSpaceDN w:val="0"/>
              <w:adjustRightInd w:val="0"/>
              <w:ind w:right="25"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项</w:t>
            </w:r>
          </w:p>
        </w:tc>
        <w:tc>
          <w:tcPr>
            <w:tcW w:w="1660" w:type="dxa"/>
            <w:vAlign w:val="center"/>
          </w:tcPr>
          <w:p w14:paraId="7BD38E54">
            <w:pPr>
              <w:tabs>
                <w:tab w:val="left" w:pos="8280"/>
              </w:tabs>
              <w:autoSpaceDE w:val="0"/>
              <w:autoSpaceDN w:val="0"/>
              <w:adjustRightInd w:val="0"/>
              <w:ind w:right="25"/>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56.8</w:t>
            </w:r>
          </w:p>
        </w:tc>
        <w:tc>
          <w:tcPr>
            <w:tcW w:w="1395" w:type="dxa"/>
            <w:vAlign w:val="center"/>
          </w:tcPr>
          <w:p w14:paraId="30CA045D">
            <w:pPr>
              <w:tabs>
                <w:tab w:val="left" w:pos="8280"/>
              </w:tabs>
              <w:autoSpaceDE w:val="0"/>
              <w:autoSpaceDN w:val="0"/>
              <w:adjustRightInd w:val="0"/>
              <w:ind w:right="25"/>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49</w:t>
            </w:r>
          </w:p>
        </w:tc>
      </w:tr>
    </w:tbl>
    <w:p w14:paraId="1F77FB85">
      <w:pPr>
        <w:keepNext w:val="0"/>
        <w:keepLines w:val="0"/>
        <w:pageBreakBefore w:val="0"/>
        <w:widowControl/>
        <w:tabs>
          <w:tab w:val="left" w:pos="0"/>
        </w:tabs>
        <w:kinsoku/>
        <w:topLinePunct w:val="0"/>
        <w:bidi w:val="0"/>
        <w:spacing w:beforeAutospacing="0" w:afterAutospacing="0" w:line="360" w:lineRule="auto"/>
        <w:ind w:firstLine="422" w:firstLineChars="200"/>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u w:val="single"/>
          <w:lang w:eastAsia="zh-CN"/>
        </w:rPr>
        <w:t>本项目采用“电子交易”的方式提交投标文件（</w:t>
      </w:r>
      <w:r>
        <w:rPr>
          <w:rFonts w:hint="eastAsia" w:ascii="宋体" w:hAnsi="宋体" w:eastAsia="宋体" w:cs="宋体"/>
          <w:b/>
          <w:color w:val="auto"/>
          <w:sz w:val="21"/>
          <w:szCs w:val="21"/>
          <w:highlight w:val="none"/>
          <w:u w:val="single"/>
          <w:lang w:val="en-US" w:eastAsia="zh-CN"/>
        </w:rPr>
        <w:t>还可以</w:t>
      </w:r>
      <w:r>
        <w:rPr>
          <w:rFonts w:hint="eastAsia" w:ascii="宋体" w:hAnsi="宋体" w:eastAsia="宋体" w:cs="宋体"/>
          <w:b/>
          <w:color w:val="auto"/>
          <w:sz w:val="21"/>
          <w:szCs w:val="21"/>
          <w:highlight w:val="none"/>
          <w:u w:val="single"/>
          <w:lang w:eastAsia="zh-CN"/>
        </w:rPr>
        <w:t>提供备份投标文件），请各投标人按照要求进行。</w:t>
      </w:r>
    </w:p>
    <w:p w14:paraId="1C911FA3">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三、合格投标人的资格条件：</w:t>
      </w:r>
    </w:p>
    <w:p w14:paraId="74BA780C">
      <w:pPr>
        <w:spacing w:line="360" w:lineRule="auto"/>
        <w:ind w:firstLine="422" w:firstLineChars="20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（一）符合《中华人民共和国政府采购法》第二十二条及其他法律、行政法规规定的对投标主体的要求</w:t>
      </w:r>
      <w:r>
        <w:rPr>
          <w:rFonts w:hint="eastAsia" w:ascii="宋体" w:hAnsi="宋体" w:eastAsia="宋体" w:cs="宋体"/>
          <w:b/>
          <w:color w:val="auto"/>
          <w:sz w:val="21"/>
          <w:szCs w:val="21"/>
          <w:highlight w:val="none"/>
          <w:lang w:eastAsia="zh-CN"/>
        </w:rPr>
        <w:t>；未被“信用中国”（www.creditchina.gov.cn）、中国政府采购网（www.ccgp.gov.cn）列入失信被执行人、重大税收违法失信主体、政府采购严重违法失信行为记录名单。</w:t>
      </w:r>
    </w:p>
    <w:p w14:paraId="1E647A7F">
      <w:pPr>
        <w:spacing w:line="360" w:lineRule="auto"/>
        <w:ind w:firstLine="422" w:firstLineChars="200"/>
        <w:rPr>
          <w:rFonts w:hint="eastAsia" w:ascii="宋体" w:hAnsi="宋体" w:eastAsia="宋体" w:cs="宋体"/>
          <w:b/>
          <w:bCs w:val="0"/>
          <w:color w:val="auto"/>
          <w:sz w:val="21"/>
          <w:szCs w:val="21"/>
          <w:highlight w:val="none"/>
          <w:shd w:val="clear" w:color="auto" w:fill="auto"/>
          <w:lang w:val="en-US" w:eastAsia="zh-CN"/>
        </w:rPr>
      </w:pPr>
      <w:r>
        <w:rPr>
          <w:rFonts w:hint="eastAsia" w:ascii="宋体" w:hAnsi="宋体" w:eastAsia="宋体" w:cs="宋体"/>
          <w:b/>
          <w:bCs w:val="0"/>
          <w:color w:val="auto"/>
          <w:sz w:val="21"/>
          <w:szCs w:val="21"/>
          <w:highlight w:val="none"/>
          <w:shd w:val="clear" w:color="auto" w:fill="auto"/>
        </w:rPr>
        <w:t>（二）</w:t>
      </w:r>
      <w:r>
        <w:rPr>
          <w:rFonts w:hint="eastAsia" w:ascii="宋体" w:hAnsi="宋体" w:eastAsia="宋体" w:cs="宋体"/>
          <w:b/>
          <w:bCs w:val="0"/>
          <w:color w:val="auto"/>
          <w:sz w:val="21"/>
          <w:szCs w:val="21"/>
          <w:highlight w:val="none"/>
          <w:shd w:val="clear" w:color="auto" w:fill="auto"/>
          <w:lang w:val="en-US" w:eastAsia="zh-CN"/>
        </w:rPr>
        <w:t>本项目供应商特定资格要求</w:t>
      </w:r>
    </w:p>
    <w:p w14:paraId="2B99FD07">
      <w:pPr>
        <w:spacing w:line="360" w:lineRule="auto"/>
        <w:ind w:firstLine="422" w:firstLineChars="200"/>
        <w:rPr>
          <w:rFonts w:hint="eastAsia" w:ascii="宋体" w:hAnsi="宋体" w:eastAsia="宋体" w:cs="宋体"/>
          <w:b/>
          <w:bCs w:val="0"/>
          <w:color w:val="auto"/>
          <w:sz w:val="21"/>
          <w:szCs w:val="21"/>
          <w:highlight w:val="none"/>
          <w:shd w:val="clear" w:color="auto" w:fill="auto"/>
          <w:lang w:eastAsia="zh-CN"/>
        </w:rPr>
      </w:pPr>
      <w:r>
        <w:rPr>
          <w:rFonts w:hint="eastAsia" w:ascii="宋体" w:hAnsi="宋体" w:eastAsia="宋体" w:cs="宋体"/>
          <w:b/>
          <w:bCs w:val="0"/>
          <w:color w:val="auto"/>
          <w:sz w:val="21"/>
          <w:szCs w:val="21"/>
          <w:highlight w:val="none"/>
          <w:shd w:val="clear" w:color="auto" w:fill="auto"/>
          <w:lang w:eastAsia="zh-CN"/>
        </w:rPr>
        <w:t>（</w:t>
      </w:r>
      <w:r>
        <w:rPr>
          <w:rFonts w:hint="eastAsia" w:ascii="宋体" w:hAnsi="宋体" w:eastAsia="宋体" w:cs="宋体"/>
          <w:b/>
          <w:bCs w:val="0"/>
          <w:color w:val="auto"/>
          <w:sz w:val="21"/>
          <w:szCs w:val="21"/>
          <w:highlight w:val="none"/>
          <w:shd w:val="clear" w:color="auto" w:fill="auto"/>
          <w:lang w:val="en-US" w:eastAsia="zh-CN"/>
        </w:rPr>
        <w:t>1</w:t>
      </w:r>
      <w:r>
        <w:rPr>
          <w:rFonts w:hint="eastAsia" w:ascii="宋体" w:hAnsi="宋体" w:eastAsia="宋体" w:cs="宋体"/>
          <w:b/>
          <w:bCs w:val="0"/>
          <w:color w:val="auto"/>
          <w:sz w:val="21"/>
          <w:szCs w:val="21"/>
          <w:highlight w:val="none"/>
          <w:shd w:val="clear" w:color="auto" w:fill="auto"/>
          <w:lang w:eastAsia="zh-CN"/>
        </w:rPr>
        <w:t>）具有旅游行政主管部门颁发的《旅行社业务经营许可证》</w:t>
      </w:r>
      <w:r>
        <w:rPr>
          <w:rFonts w:hint="eastAsia" w:ascii="宋体" w:hAnsi="宋体" w:cs="宋体"/>
          <w:b/>
          <w:bCs w:val="0"/>
          <w:color w:val="auto"/>
          <w:sz w:val="21"/>
          <w:szCs w:val="21"/>
          <w:highlight w:val="none"/>
          <w:shd w:val="clear" w:color="auto" w:fill="auto"/>
          <w:lang w:eastAsia="zh-CN"/>
        </w:rPr>
        <w:t>；</w:t>
      </w:r>
    </w:p>
    <w:p w14:paraId="4AE3EFE6">
      <w:pPr>
        <w:spacing w:line="360" w:lineRule="auto"/>
        <w:ind w:firstLine="422" w:firstLineChars="200"/>
        <w:rPr>
          <w:rFonts w:hint="eastAsia" w:ascii="宋体" w:hAnsi="宋体" w:eastAsia="宋体" w:cs="宋体"/>
          <w:b/>
          <w:bCs w:val="0"/>
          <w:color w:val="auto"/>
          <w:sz w:val="21"/>
          <w:szCs w:val="21"/>
          <w:highlight w:val="none"/>
          <w:shd w:val="clear" w:color="auto" w:fill="auto"/>
          <w:lang w:eastAsia="zh-CN"/>
        </w:rPr>
      </w:pPr>
      <w:r>
        <w:rPr>
          <w:rFonts w:hint="eastAsia" w:ascii="宋体" w:hAnsi="宋体" w:cs="宋体"/>
          <w:b/>
          <w:bCs w:val="0"/>
          <w:color w:val="auto"/>
          <w:sz w:val="21"/>
          <w:szCs w:val="21"/>
          <w:highlight w:val="none"/>
          <w:shd w:val="clear" w:color="auto" w:fill="auto"/>
          <w:lang w:eastAsia="zh-CN"/>
        </w:rPr>
        <w:t>（</w:t>
      </w:r>
      <w:r>
        <w:rPr>
          <w:rFonts w:hint="eastAsia" w:ascii="宋体" w:hAnsi="宋体" w:cs="宋体"/>
          <w:b/>
          <w:bCs w:val="0"/>
          <w:color w:val="auto"/>
          <w:sz w:val="21"/>
          <w:szCs w:val="21"/>
          <w:highlight w:val="none"/>
          <w:shd w:val="clear" w:color="auto" w:fill="auto"/>
          <w:lang w:val="en-US" w:eastAsia="zh-CN"/>
        </w:rPr>
        <w:t>2</w:t>
      </w:r>
      <w:r>
        <w:rPr>
          <w:rFonts w:hint="eastAsia" w:ascii="宋体" w:hAnsi="宋体" w:cs="宋体"/>
          <w:b/>
          <w:bCs w:val="0"/>
          <w:color w:val="auto"/>
          <w:sz w:val="21"/>
          <w:szCs w:val="21"/>
          <w:highlight w:val="none"/>
          <w:shd w:val="clear" w:color="auto" w:fill="auto"/>
          <w:lang w:eastAsia="zh-CN"/>
        </w:rPr>
        <w:t>）</w:t>
      </w:r>
      <w:r>
        <w:rPr>
          <w:rFonts w:hint="eastAsia" w:ascii="宋体" w:hAnsi="宋体" w:eastAsia="宋体" w:cs="宋体"/>
          <w:b/>
          <w:bCs w:val="0"/>
          <w:color w:val="auto"/>
          <w:sz w:val="21"/>
          <w:szCs w:val="21"/>
          <w:highlight w:val="none"/>
          <w:shd w:val="clear" w:color="auto" w:fill="auto"/>
        </w:rPr>
        <w:t>本项</w:t>
      </w:r>
      <w:r>
        <w:rPr>
          <w:rFonts w:hint="eastAsia" w:ascii="宋体" w:hAnsi="宋体" w:eastAsia="宋体" w:cs="宋体"/>
          <w:b/>
          <w:bCs w:val="0"/>
          <w:color w:val="auto"/>
          <w:sz w:val="21"/>
          <w:szCs w:val="21"/>
          <w:highlight w:val="none"/>
        </w:rPr>
        <w:t>目不接受联合体投标</w:t>
      </w:r>
      <w:r>
        <w:rPr>
          <w:rFonts w:hint="eastAsia" w:ascii="宋体" w:hAnsi="宋体" w:cs="宋体"/>
          <w:b/>
          <w:bCs w:val="0"/>
          <w:color w:val="auto"/>
          <w:sz w:val="21"/>
          <w:szCs w:val="21"/>
          <w:highlight w:val="none"/>
          <w:lang w:eastAsia="zh-CN"/>
        </w:rPr>
        <w:t>；</w:t>
      </w:r>
    </w:p>
    <w:p w14:paraId="16F8B24A">
      <w:pPr>
        <w:spacing w:line="360" w:lineRule="auto"/>
        <w:ind w:firstLine="422" w:firstLineChars="200"/>
        <w:rPr>
          <w:rFonts w:hint="eastAsia" w:ascii="宋体" w:hAnsi="宋体" w:eastAsia="宋体" w:cs="宋体"/>
          <w:b/>
          <w:bCs w:val="0"/>
          <w:color w:val="auto"/>
          <w:sz w:val="21"/>
          <w:szCs w:val="21"/>
          <w:highlight w:val="none"/>
          <w:shd w:val="clear" w:color="auto" w:fill="auto"/>
        </w:rPr>
      </w:pPr>
      <w:r>
        <w:rPr>
          <w:rFonts w:hint="eastAsia" w:ascii="宋体" w:hAnsi="宋体" w:eastAsia="宋体" w:cs="宋体"/>
          <w:b/>
          <w:bCs w:val="0"/>
          <w:color w:val="auto"/>
          <w:sz w:val="21"/>
          <w:szCs w:val="21"/>
          <w:highlight w:val="none"/>
          <w:shd w:val="clear" w:color="auto" w:fill="auto"/>
          <w:lang w:eastAsia="zh-CN"/>
        </w:rPr>
        <w:t>（</w:t>
      </w:r>
      <w:r>
        <w:rPr>
          <w:rFonts w:hint="eastAsia" w:ascii="宋体" w:hAnsi="宋体" w:cs="宋体"/>
          <w:b/>
          <w:bCs w:val="0"/>
          <w:color w:val="auto"/>
          <w:sz w:val="21"/>
          <w:szCs w:val="21"/>
          <w:highlight w:val="none"/>
          <w:shd w:val="clear" w:color="auto" w:fill="auto"/>
          <w:lang w:val="en-US" w:eastAsia="zh-CN"/>
        </w:rPr>
        <w:t>3</w:t>
      </w:r>
      <w:r>
        <w:rPr>
          <w:rFonts w:hint="eastAsia" w:ascii="宋体" w:hAnsi="宋体" w:eastAsia="宋体" w:cs="宋体"/>
          <w:b/>
          <w:bCs w:val="0"/>
          <w:color w:val="auto"/>
          <w:sz w:val="21"/>
          <w:szCs w:val="21"/>
          <w:highlight w:val="none"/>
          <w:shd w:val="clear" w:color="auto" w:fill="auto"/>
          <w:lang w:eastAsia="zh-CN"/>
        </w:rPr>
        <w:t>）</w:t>
      </w:r>
      <w:r>
        <w:rPr>
          <w:rFonts w:hint="eastAsia" w:ascii="宋体" w:hAnsi="宋体" w:eastAsia="宋体" w:cs="宋体"/>
          <w:b/>
          <w:bCs w:val="0"/>
          <w:color w:val="auto"/>
          <w:sz w:val="21"/>
          <w:szCs w:val="21"/>
          <w:highlight w:val="none"/>
          <w:shd w:val="clear" w:color="auto" w:fill="auto"/>
        </w:rPr>
        <w:t>落实政府采购政策需满足的资格要求：本项目按照《政府采购促进中小企业发展管理办法》【财库（2020）46号】第七条规定：专门面向中小企业采购。</w:t>
      </w:r>
    </w:p>
    <w:p w14:paraId="01C7DDB9">
      <w:pPr>
        <w:spacing w:line="360" w:lineRule="auto"/>
        <w:ind w:firstLine="422" w:firstLineChars="200"/>
        <w:rPr>
          <w:rFonts w:hint="eastAsia" w:ascii="宋体" w:hAnsi="宋体" w:eastAsia="宋体" w:cs="宋体"/>
          <w:b w:val="0"/>
          <w:bCs/>
          <w:color w:val="auto"/>
          <w:sz w:val="21"/>
          <w:szCs w:val="21"/>
          <w:highlight w:val="none"/>
        </w:rPr>
      </w:pPr>
      <w:r>
        <w:rPr>
          <w:rFonts w:hint="eastAsia" w:ascii="宋体" w:hAnsi="宋体" w:eastAsia="宋体" w:cs="宋体"/>
          <w:b/>
          <w:bCs w:val="0"/>
          <w:color w:val="auto"/>
          <w:sz w:val="21"/>
          <w:szCs w:val="21"/>
          <w:highlight w:val="none"/>
          <w:lang w:val="en-US" w:eastAsia="zh-CN"/>
        </w:rPr>
        <w:t>（三）法律、行政法规规定的其他条件：单位负责人为同一人或者存在直接控股、管理关系的不同供应商，不得同时参加同一项目投标；为本项目提供整体设计、规范编制或者项目管理、监理、检测等服务的供应商，不得再参与本项目投标。（联合体参与投标的，联合体各方均须满足该条款。）电子交易平台运营机构，以及与该机构有直接控股或者管理关系可能影响采购公正性的任何单位和个人，不得在该平台进行的政府采购项目电子交易中投标、响应和代理政府采购项目。</w:t>
      </w:r>
    </w:p>
    <w:p w14:paraId="6946053C">
      <w:pPr>
        <w:keepNext w:val="0"/>
        <w:keepLines w:val="0"/>
        <w:pageBreakBefore w:val="0"/>
        <w:kinsoku/>
        <w:topLinePunct w:val="0"/>
        <w:bidi w:val="0"/>
        <w:snapToGrid w:val="0"/>
        <w:spacing w:beforeAutospacing="0" w:afterAutospacing="0" w:line="360" w:lineRule="auto"/>
        <w:ind w:firstLine="498" w:firstLineChars="23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四、招标文件获取的方式、时间:</w:t>
      </w:r>
    </w:p>
    <w:p w14:paraId="4CD4D4FE">
      <w:pPr>
        <w:keepNext w:val="0"/>
        <w:keepLines w:val="0"/>
        <w:pageBreakBefore w:val="0"/>
        <w:kinsoku/>
        <w:topLinePunct w:val="0"/>
        <w:bidi w:val="0"/>
        <w:snapToGrid w:val="0"/>
        <w:spacing w:beforeAutospacing="0" w:afterAutospacing="0" w:line="360" w:lineRule="auto"/>
        <w:ind w:firstLine="498" w:firstLineChars="236"/>
        <w:rPr>
          <w:rFonts w:hint="eastAsia" w:ascii="宋体" w:hAnsi="宋体" w:eastAsia="宋体" w:cs="宋体"/>
          <w:b/>
          <w:color w:val="auto"/>
          <w:sz w:val="21"/>
          <w:szCs w:val="21"/>
          <w:highlight w:val="none"/>
          <w:lang w:eastAsia="zh-CN"/>
        </w:rPr>
      </w:pPr>
      <w:r>
        <w:rPr>
          <w:rFonts w:hint="eastAsia" w:ascii="宋体" w:hAnsi="宋体" w:eastAsia="宋体" w:cs="宋体"/>
          <w:b/>
          <w:bCs/>
          <w:color w:val="auto"/>
          <w:sz w:val="21"/>
          <w:szCs w:val="21"/>
          <w:highlight w:val="none"/>
          <w:lang w:val="en-US" w:eastAsia="zh-CN"/>
        </w:rPr>
        <w:t>1、</w:t>
      </w:r>
      <w:r>
        <w:rPr>
          <w:rFonts w:hint="eastAsia" w:ascii="宋体" w:hAnsi="宋体" w:eastAsia="宋体" w:cs="宋体"/>
          <w:b/>
          <w:color w:val="auto"/>
          <w:sz w:val="21"/>
          <w:szCs w:val="21"/>
          <w:highlight w:val="none"/>
        </w:rPr>
        <w:t>本项目招标文件实行“</w:t>
      </w:r>
      <w:r>
        <w:rPr>
          <w:rFonts w:hint="eastAsia" w:ascii="宋体" w:hAnsi="宋体" w:eastAsia="宋体" w:cs="宋体"/>
          <w:b/>
          <w:color w:val="auto"/>
          <w:sz w:val="21"/>
          <w:szCs w:val="21"/>
          <w:highlight w:val="none"/>
          <w:lang w:val="en-US" w:eastAsia="zh-CN"/>
        </w:rPr>
        <w:t>浙江政府采购网</w:t>
      </w:r>
      <w:r>
        <w:rPr>
          <w:rFonts w:hint="eastAsia" w:ascii="宋体" w:hAnsi="宋体" w:eastAsia="宋体" w:cs="宋体"/>
          <w:b/>
          <w:color w:val="auto"/>
          <w:sz w:val="21"/>
          <w:szCs w:val="21"/>
          <w:highlight w:val="none"/>
        </w:rPr>
        <w:t>”</w:t>
      </w:r>
      <w:r>
        <w:rPr>
          <w:rStyle w:val="24"/>
          <w:rFonts w:hint="eastAsia" w:ascii="宋体" w:hAnsi="宋体" w:eastAsia="宋体" w:cs="宋体"/>
          <w:i w:val="0"/>
          <w:caps w:val="0"/>
          <w:color w:val="auto"/>
          <w:spacing w:val="0"/>
          <w:sz w:val="21"/>
          <w:szCs w:val="21"/>
          <w:highlight w:val="none"/>
        </w:rPr>
        <w:t>（http://zfcg.czt.zj.gov.cn）</w:t>
      </w:r>
      <w:r>
        <w:rPr>
          <w:rFonts w:hint="eastAsia" w:ascii="宋体" w:hAnsi="宋体" w:eastAsia="宋体" w:cs="宋体"/>
          <w:b/>
          <w:color w:val="auto"/>
          <w:sz w:val="21"/>
          <w:szCs w:val="21"/>
          <w:highlight w:val="none"/>
        </w:rPr>
        <w:t>在线获取，不提供招标文件纸质版。供应商获取招标文件前应先完成“</w:t>
      </w:r>
      <w:r>
        <w:rPr>
          <w:rFonts w:hint="eastAsia" w:ascii="宋体" w:hAnsi="宋体" w:eastAsia="宋体" w:cs="宋体"/>
          <w:b/>
          <w:color w:val="auto"/>
          <w:sz w:val="21"/>
          <w:szCs w:val="21"/>
          <w:highlight w:val="none"/>
          <w:lang w:val="en-US" w:eastAsia="zh-CN"/>
        </w:rPr>
        <w:t>浙江政府采购网</w:t>
      </w:r>
      <w:r>
        <w:rPr>
          <w:rFonts w:hint="eastAsia" w:ascii="宋体" w:hAnsi="宋体" w:eastAsia="宋体" w:cs="宋体"/>
          <w:b/>
          <w:color w:val="auto"/>
          <w:sz w:val="21"/>
          <w:szCs w:val="21"/>
          <w:highlight w:val="none"/>
        </w:rPr>
        <w:t>”的账号注册</w:t>
      </w:r>
      <w:r>
        <w:rPr>
          <w:rFonts w:hint="eastAsia" w:ascii="宋体" w:hAnsi="宋体" w:eastAsia="宋体" w:cs="宋体"/>
          <w:b/>
          <w:color w:val="auto"/>
          <w:sz w:val="21"/>
          <w:szCs w:val="21"/>
          <w:highlight w:val="none"/>
          <w:lang w:eastAsia="zh-CN"/>
        </w:rPr>
        <w:t>。</w:t>
      </w:r>
    </w:p>
    <w:p w14:paraId="24F4D1F8">
      <w:pPr>
        <w:keepNext w:val="0"/>
        <w:keepLines w:val="0"/>
        <w:pageBreakBefore w:val="0"/>
        <w:kinsoku/>
        <w:topLinePunct w:val="0"/>
        <w:bidi w:val="0"/>
        <w:spacing w:beforeAutospacing="0" w:afterAutospacing="0" w:line="360" w:lineRule="auto"/>
        <w:ind w:firstLine="422" w:firstLineChars="200"/>
        <w:rPr>
          <w:rStyle w:val="24"/>
          <w:rFonts w:hint="eastAsia" w:ascii="宋体" w:hAnsi="宋体" w:eastAsia="宋体" w:cs="宋体"/>
          <w:i w:val="0"/>
          <w:caps w:val="0"/>
          <w:color w:val="auto"/>
          <w:spacing w:val="0"/>
          <w:sz w:val="21"/>
          <w:szCs w:val="21"/>
          <w:highlight w:val="none"/>
        </w:rPr>
      </w:pPr>
      <w:r>
        <w:rPr>
          <w:rFonts w:hint="eastAsia" w:ascii="宋体" w:hAnsi="宋体" w:eastAsia="宋体" w:cs="宋体"/>
          <w:b/>
          <w:bCs/>
          <w:color w:val="auto"/>
          <w:sz w:val="21"/>
          <w:szCs w:val="21"/>
          <w:highlight w:val="none"/>
        </w:rPr>
        <w:t>2、</w:t>
      </w:r>
      <w:r>
        <w:rPr>
          <w:rFonts w:hint="eastAsia" w:ascii="宋体" w:hAnsi="宋体" w:eastAsia="宋体" w:cs="宋体"/>
          <w:b/>
          <w:bCs/>
          <w:color w:val="auto"/>
          <w:sz w:val="21"/>
          <w:szCs w:val="21"/>
          <w:highlight w:val="none"/>
          <w:lang w:val="en-US" w:eastAsia="zh-CN"/>
        </w:rPr>
        <w:t>获取</w:t>
      </w:r>
      <w:r>
        <w:rPr>
          <w:rStyle w:val="24"/>
          <w:rFonts w:hint="eastAsia" w:ascii="宋体" w:hAnsi="宋体" w:eastAsia="宋体" w:cs="宋体"/>
          <w:i w:val="0"/>
          <w:caps w:val="0"/>
          <w:color w:val="auto"/>
          <w:spacing w:val="0"/>
          <w:sz w:val="21"/>
          <w:szCs w:val="21"/>
          <w:highlight w:val="none"/>
        </w:rPr>
        <w:t>方式：潜在供应商登陆</w:t>
      </w:r>
      <w:r>
        <w:rPr>
          <w:rStyle w:val="24"/>
          <w:rFonts w:hint="eastAsia" w:ascii="宋体" w:hAnsi="宋体" w:eastAsia="宋体" w:cs="宋体"/>
          <w:i w:val="0"/>
          <w:caps w:val="0"/>
          <w:color w:val="auto"/>
          <w:spacing w:val="0"/>
          <w:sz w:val="21"/>
          <w:szCs w:val="21"/>
          <w:highlight w:val="none"/>
          <w:lang w:val="en-US" w:eastAsia="zh-CN"/>
        </w:rPr>
        <w:t>政府采购</w:t>
      </w:r>
      <w:r>
        <w:rPr>
          <w:rStyle w:val="24"/>
          <w:rFonts w:hint="eastAsia" w:ascii="宋体" w:hAnsi="宋体" w:eastAsia="宋体" w:cs="宋体"/>
          <w:i w:val="0"/>
          <w:caps w:val="0"/>
          <w:color w:val="auto"/>
          <w:spacing w:val="0"/>
          <w:sz w:val="21"/>
          <w:szCs w:val="21"/>
          <w:highlight w:val="none"/>
        </w:rPr>
        <w:t>云平台，在线申请获取招标文件</w:t>
      </w:r>
      <w:r>
        <w:rPr>
          <w:rStyle w:val="24"/>
          <w:rFonts w:hint="eastAsia" w:ascii="宋体" w:hAnsi="宋体" w:eastAsia="宋体" w:cs="宋体"/>
          <w:b w:val="0"/>
          <w:bCs/>
          <w:i w:val="0"/>
          <w:caps w:val="0"/>
          <w:color w:val="auto"/>
          <w:spacing w:val="0"/>
          <w:sz w:val="21"/>
          <w:szCs w:val="21"/>
          <w:highlight w:val="none"/>
        </w:rPr>
        <w:t>（进入“项目采购”应用，在获取招标文件菜单中选择项目，申请获取招标文件，本项目招标文件不收取工本费；</w:t>
      </w:r>
      <w:r>
        <w:rPr>
          <w:rStyle w:val="24"/>
          <w:rFonts w:hint="eastAsia" w:ascii="宋体" w:hAnsi="宋体" w:eastAsia="宋体" w:cs="宋体"/>
          <w:b w:val="0"/>
          <w:bCs/>
          <w:i w:val="0"/>
          <w:caps w:val="0"/>
          <w:color w:val="auto"/>
          <w:spacing w:val="0"/>
          <w:sz w:val="21"/>
          <w:szCs w:val="21"/>
          <w:highlight w:val="none"/>
          <w:u w:val="single"/>
        </w:rPr>
        <w:t>仅需浏览招标文件的供应商可点击“游客，浏览招标文件”直接下载招标文件浏览</w:t>
      </w:r>
      <w:r>
        <w:rPr>
          <w:rStyle w:val="24"/>
          <w:rFonts w:hint="eastAsia" w:ascii="宋体" w:hAnsi="宋体" w:eastAsia="宋体" w:cs="宋体"/>
          <w:b w:val="0"/>
          <w:bCs/>
          <w:i w:val="0"/>
          <w:caps w:val="0"/>
          <w:color w:val="auto"/>
          <w:spacing w:val="0"/>
          <w:sz w:val="21"/>
          <w:szCs w:val="21"/>
          <w:highlight w:val="none"/>
        </w:rPr>
        <w:t>）；</w:t>
      </w:r>
    </w:p>
    <w:p w14:paraId="49BCB773">
      <w:pPr>
        <w:spacing w:line="360" w:lineRule="auto"/>
        <w:ind w:firstLine="422" w:firstLineChars="200"/>
        <w:rPr>
          <w:rFonts w:hint="eastAsia" w:ascii="宋体" w:hAnsi="宋体" w:eastAsia="宋体" w:cs="宋体"/>
          <w:color w:val="auto"/>
          <w:sz w:val="21"/>
          <w:szCs w:val="21"/>
          <w:highlight w:val="none"/>
          <w:lang w:eastAsia="zh-CN"/>
        </w:rPr>
      </w:pPr>
      <w:r>
        <w:rPr>
          <w:rStyle w:val="24"/>
          <w:rFonts w:hint="eastAsia" w:ascii="宋体" w:hAnsi="宋体" w:eastAsia="宋体" w:cs="宋体"/>
          <w:i w:val="0"/>
          <w:caps w:val="0"/>
          <w:color w:val="auto"/>
          <w:spacing w:val="0"/>
          <w:sz w:val="21"/>
          <w:szCs w:val="21"/>
          <w:highlight w:val="none"/>
          <w:lang w:val="en-US" w:eastAsia="zh-CN"/>
        </w:rPr>
        <w:t>3、</w:t>
      </w:r>
      <w:r>
        <w:rPr>
          <w:rFonts w:hint="eastAsia" w:ascii="宋体" w:hAnsi="宋体" w:eastAsia="宋体" w:cs="宋体"/>
          <w:b/>
          <w:bCs/>
          <w:color w:val="auto"/>
          <w:sz w:val="21"/>
          <w:szCs w:val="21"/>
          <w:highlight w:val="none"/>
        </w:rPr>
        <w:t>获取（公告）时间</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自本公告发布之日起至投标文件递交截止时间止；</w:t>
      </w:r>
    </w:p>
    <w:p w14:paraId="643F7EEB">
      <w:pPr>
        <w:keepNext w:val="0"/>
        <w:keepLines w:val="0"/>
        <w:pageBreakBefore w:val="0"/>
        <w:numPr>
          <w:ilvl w:val="0"/>
          <w:numId w:val="0"/>
        </w:numPr>
        <w:kinsoku/>
        <w:topLinePunct w:val="0"/>
        <w:bidi w:val="0"/>
        <w:spacing w:beforeAutospacing="0" w:afterAutospacing="0" w:line="360" w:lineRule="auto"/>
        <w:ind w:firstLine="420" w:firstLineChars="200"/>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color w:val="auto"/>
          <w:sz w:val="21"/>
          <w:szCs w:val="21"/>
          <w:highlight w:val="none"/>
          <w:lang w:val="en-US" w:eastAsia="zh-CN"/>
        </w:rPr>
        <w:t>4、</w:t>
      </w:r>
      <w:r>
        <w:rPr>
          <w:rStyle w:val="24"/>
          <w:rFonts w:hint="eastAsia" w:ascii="宋体" w:hAnsi="宋体" w:eastAsia="宋体" w:cs="宋体"/>
          <w:b w:val="0"/>
          <w:bCs w:val="0"/>
          <w:i w:val="0"/>
          <w:caps w:val="0"/>
          <w:color w:val="auto"/>
          <w:spacing w:val="0"/>
          <w:sz w:val="21"/>
          <w:szCs w:val="21"/>
          <w:highlight w:val="none"/>
        </w:rPr>
        <w:t>供应商网上报名操作指南：“浙江政府采购网-办事指南-省采中心-网上报名”（http://zfcg.czt.zj.gov.cn/bs_other/2018-03-30/12002.html）。</w:t>
      </w:r>
    </w:p>
    <w:p w14:paraId="66A55F3A">
      <w:pPr>
        <w:pStyle w:val="18"/>
        <w:keepNext w:val="0"/>
        <w:keepLines w:val="0"/>
        <w:pageBreakBefore w:val="0"/>
        <w:widowControl/>
        <w:suppressLineNumbers w:val="0"/>
        <w:kinsoku/>
        <w:topLinePunct w:val="0"/>
        <w:bidi w:val="0"/>
        <w:spacing w:before="0" w:beforeLines="0" w:beforeAutospacing="0" w:after="0" w:afterLines="0" w:afterAutospacing="0" w:line="360" w:lineRule="auto"/>
        <w:ind w:firstLine="420" w:firstLineChars="200"/>
        <w:rPr>
          <w:rFonts w:hint="eastAsia" w:ascii="宋体" w:hAnsi="宋体" w:eastAsia="宋体" w:cs="宋体"/>
          <w:b w:val="0"/>
          <w:bCs w:val="0"/>
          <w:i w:val="0"/>
          <w:caps w:val="0"/>
          <w:color w:val="auto"/>
          <w:spacing w:val="0"/>
          <w:sz w:val="21"/>
          <w:szCs w:val="21"/>
          <w:highlight w:val="none"/>
        </w:rPr>
      </w:pPr>
      <w:r>
        <w:rPr>
          <w:rStyle w:val="24"/>
          <w:rFonts w:hint="eastAsia" w:ascii="宋体" w:hAnsi="宋体" w:eastAsia="宋体" w:cs="宋体"/>
          <w:b w:val="0"/>
          <w:bCs w:val="0"/>
          <w:i w:val="0"/>
          <w:caps w:val="0"/>
          <w:color w:val="auto"/>
          <w:spacing w:val="0"/>
          <w:sz w:val="21"/>
          <w:szCs w:val="21"/>
          <w:highlight w:val="none"/>
          <w:lang w:val="en-US" w:eastAsia="zh-CN"/>
        </w:rPr>
        <w:t>5</w:t>
      </w:r>
      <w:r>
        <w:rPr>
          <w:rStyle w:val="24"/>
          <w:rFonts w:hint="eastAsia" w:ascii="宋体" w:hAnsi="宋体" w:eastAsia="宋体" w:cs="宋体"/>
          <w:b w:val="0"/>
          <w:bCs w:val="0"/>
          <w:i w:val="0"/>
          <w:caps w:val="0"/>
          <w:color w:val="auto"/>
          <w:spacing w:val="0"/>
          <w:sz w:val="21"/>
          <w:szCs w:val="21"/>
          <w:highlight w:val="none"/>
        </w:rPr>
        <w:t>、供应商获取招标文件时须提交的文件资料：无；</w:t>
      </w:r>
    </w:p>
    <w:p w14:paraId="5D759297">
      <w:pPr>
        <w:pStyle w:val="18"/>
        <w:keepNext w:val="0"/>
        <w:keepLines w:val="0"/>
        <w:pageBreakBefore w:val="0"/>
        <w:widowControl/>
        <w:suppressLineNumbers w:val="0"/>
        <w:kinsoku/>
        <w:topLinePunct w:val="0"/>
        <w:bidi w:val="0"/>
        <w:spacing w:before="0" w:beforeLines="0" w:beforeAutospacing="0" w:after="0" w:afterLines="0" w:afterAutospacing="0" w:line="360" w:lineRule="auto"/>
        <w:ind w:firstLine="422" w:firstLineChars="200"/>
        <w:rPr>
          <w:rFonts w:hint="eastAsia" w:ascii="宋体" w:hAnsi="宋体" w:eastAsia="宋体" w:cs="宋体"/>
          <w:b w:val="0"/>
          <w:i w:val="0"/>
          <w:caps w:val="0"/>
          <w:color w:val="auto"/>
          <w:spacing w:val="0"/>
          <w:sz w:val="21"/>
          <w:szCs w:val="21"/>
          <w:highlight w:val="none"/>
        </w:rPr>
      </w:pPr>
      <w:r>
        <w:rPr>
          <w:rStyle w:val="24"/>
          <w:rFonts w:hint="eastAsia" w:ascii="宋体" w:hAnsi="宋体" w:eastAsia="宋体" w:cs="宋体"/>
          <w:i w:val="0"/>
          <w:caps w:val="0"/>
          <w:color w:val="auto"/>
          <w:spacing w:val="0"/>
          <w:sz w:val="21"/>
          <w:szCs w:val="21"/>
          <w:highlight w:val="none"/>
          <w:lang w:val="en-US" w:eastAsia="zh-CN"/>
        </w:rPr>
        <w:t>6</w:t>
      </w:r>
      <w:r>
        <w:rPr>
          <w:rStyle w:val="24"/>
          <w:rFonts w:hint="eastAsia" w:ascii="宋体" w:hAnsi="宋体" w:eastAsia="宋体" w:cs="宋体"/>
          <w:i w:val="0"/>
          <w:caps w:val="0"/>
          <w:color w:val="auto"/>
          <w:spacing w:val="0"/>
          <w:sz w:val="21"/>
          <w:szCs w:val="21"/>
          <w:highlight w:val="none"/>
        </w:rPr>
        <w:t>、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1E7ED7A4">
      <w:pPr>
        <w:pStyle w:val="18"/>
        <w:keepNext w:val="0"/>
        <w:keepLines w:val="0"/>
        <w:pageBreakBefore w:val="0"/>
        <w:widowControl/>
        <w:suppressLineNumbers w:val="0"/>
        <w:kinsoku/>
        <w:topLinePunct w:val="0"/>
        <w:bidi w:val="0"/>
        <w:spacing w:before="0" w:beforeLines="0" w:beforeAutospacing="0" w:after="0" w:afterLines="0" w:afterAutospacing="0" w:line="360" w:lineRule="auto"/>
        <w:ind w:left="0" w:firstLine="480"/>
        <w:rPr>
          <w:rStyle w:val="24"/>
          <w:rFonts w:hint="eastAsia" w:ascii="宋体" w:hAnsi="宋体" w:eastAsia="宋体" w:cs="宋体"/>
          <w:i w:val="0"/>
          <w:caps w:val="0"/>
          <w:color w:val="auto"/>
          <w:spacing w:val="0"/>
          <w:sz w:val="21"/>
          <w:szCs w:val="21"/>
          <w:highlight w:val="none"/>
        </w:rPr>
      </w:pPr>
      <w:r>
        <w:rPr>
          <w:rStyle w:val="24"/>
          <w:rFonts w:hint="eastAsia" w:ascii="宋体" w:hAnsi="宋体" w:eastAsia="宋体" w:cs="宋体"/>
          <w:i w:val="0"/>
          <w:caps w:val="0"/>
          <w:color w:val="auto"/>
          <w:spacing w:val="0"/>
          <w:sz w:val="21"/>
          <w:szCs w:val="21"/>
          <w:highlight w:val="none"/>
        </w:rPr>
        <w:t>注：请供应商按上述要求获取招标文件，如未在“</w:t>
      </w:r>
      <w:r>
        <w:rPr>
          <w:rStyle w:val="24"/>
          <w:rFonts w:hint="eastAsia" w:ascii="宋体" w:hAnsi="宋体" w:eastAsia="宋体" w:cs="宋体"/>
          <w:i w:val="0"/>
          <w:caps w:val="0"/>
          <w:color w:val="auto"/>
          <w:spacing w:val="0"/>
          <w:sz w:val="21"/>
          <w:szCs w:val="21"/>
          <w:highlight w:val="none"/>
          <w:lang w:val="en-US" w:eastAsia="zh-CN"/>
        </w:rPr>
        <w:t>政府采购云平台</w:t>
      </w:r>
      <w:r>
        <w:rPr>
          <w:rStyle w:val="24"/>
          <w:rFonts w:hint="eastAsia" w:ascii="宋体" w:hAnsi="宋体" w:eastAsia="宋体" w:cs="宋体"/>
          <w:i w:val="0"/>
          <w:caps w:val="0"/>
          <w:color w:val="auto"/>
          <w:spacing w:val="0"/>
          <w:sz w:val="21"/>
          <w:szCs w:val="21"/>
          <w:highlight w:val="none"/>
        </w:rPr>
        <w:t>”系统内完成相关流程，引起的投标无效责任自负。</w:t>
      </w:r>
    </w:p>
    <w:p w14:paraId="3B109820">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五、招标答疑会</w:t>
      </w:r>
    </w:p>
    <w:p w14:paraId="650502B4">
      <w:pPr>
        <w:spacing w:line="360" w:lineRule="auto"/>
        <w:ind w:firstLine="840" w:firstLineChars="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无</w:t>
      </w:r>
    </w:p>
    <w:p w14:paraId="4451DAA3">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六、投标须知：</w:t>
      </w:r>
    </w:p>
    <w:p w14:paraId="20AB15C7">
      <w:pPr>
        <w:pStyle w:val="50"/>
        <w:keepNext w:val="0"/>
        <w:keepLines w:val="0"/>
        <w:pageBreakBefore w:val="0"/>
        <w:kinsoku/>
        <w:topLinePunct w:val="0"/>
        <w:bidi w:val="0"/>
        <w:snapToGrid w:val="0"/>
        <w:spacing w:beforeAutospacing="0" w:afterAutospacing="0" w:line="360" w:lineRule="auto"/>
        <w:ind w:firstLine="373" w:firstLineChars="177"/>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lang w:val="en-US" w:eastAsia="zh-CN"/>
        </w:rPr>
        <w:t>1</w:t>
      </w:r>
      <w:r>
        <w:rPr>
          <w:rFonts w:hint="eastAsia" w:ascii="宋体" w:hAnsi="宋体" w:eastAsia="宋体" w:cs="宋体"/>
          <w:b/>
          <w:bCs/>
          <w:color w:val="auto"/>
          <w:sz w:val="21"/>
          <w:szCs w:val="21"/>
          <w:highlight w:val="none"/>
        </w:rPr>
        <w:t>、投标截止时间</w:t>
      </w:r>
      <w:r>
        <w:rPr>
          <w:rFonts w:hint="eastAsia" w:ascii="宋体" w:hAnsi="宋体" w:eastAsia="宋体" w:cs="宋体"/>
          <w:b/>
          <w:bCs/>
          <w:color w:val="auto"/>
          <w:sz w:val="21"/>
          <w:szCs w:val="21"/>
          <w:highlight w:val="none"/>
          <w:lang w:eastAsia="zh-CN"/>
        </w:rPr>
        <w:t>与地点</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2025年5月6日14:30</w:t>
      </w:r>
      <w:r>
        <w:rPr>
          <w:rFonts w:hint="eastAsia" w:ascii="宋体" w:hAnsi="宋体" w:eastAsia="宋体" w:cs="宋体"/>
          <w:color w:val="auto"/>
          <w:sz w:val="21"/>
          <w:szCs w:val="21"/>
          <w:highlight w:val="none"/>
          <w:lang w:eastAsia="zh-CN"/>
        </w:rPr>
        <w:t xml:space="preserve">整，地点：通过“政府采购云平台（www.zcygov.cn）”实行在线投标响应   </w:t>
      </w:r>
    </w:p>
    <w:p w14:paraId="52EAA459">
      <w:pPr>
        <w:pStyle w:val="50"/>
        <w:keepNext w:val="0"/>
        <w:keepLines w:val="0"/>
        <w:pageBreakBefore w:val="0"/>
        <w:kinsoku/>
        <w:topLinePunct w:val="0"/>
        <w:bidi w:val="0"/>
        <w:snapToGrid w:val="0"/>
        <w:spacing w:beforeAutospacing="0" w:afterAutospacing="0" w:line="360" w:lineRule="auto"/>
        <w:ind w:firstLine="373" w:firstLineChars="177"/>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、开标时间</w:t>
      </w:r>
      <w:r>
        <w:rPr>
          <w:rFonts w:hint="eastAsia" w:ascii="宋体" w:hAnsi="宋体" w:eastAsia="宋体" w:cs="宋体"/>
          <w:b/>
          <w:bCs/>
          <w:color w:val="auto"/>
          <w:sz w:val="21"/>
          <w:szCs w:val="21"/>
          <w:highlight w:val="none"/>
          <w:lang w:eastAsia="zh-CN"/>
        </w:rPr>
        <w:t>及地点</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2025年5月6日14:30</w:t>
      </w:r>
      <w:r>
        <w:rPr>
          <w:rFonts w:hint="eastAsia" w:ascii="宋体" w:hAnsi="宋体" w:eastAsia="宋体" w:cs="宋体"/>
          <w:color w:val="auto"/>
          <w:sz w:val="21"/>
          <w:szCs w:val="21"/>
          <w:highlight w:val="none"/>
          <w:lang w:eastAsia="zh-CN"/>
        </w:rPr>
        <w:t>整，地点：通过“政府采购云平台（www.zcygov.cn）”实行在线投标响应</w:t>
      </w:r>
    </w:p>
    <w:p w14:paraId="1D0C1772">
      <w:pPr>
        <w:pStyle w:val="50"/>
        <w:keepNext w:val="0"/>
        <w:keepLines w:val="0"/>
        <w:pageBreakBefore w:val="0"/>
        <w:kinsoku/>
        <w:topLinePunct w:val="0"/>
        <w:bidi w:val="0"/>
        <w:snapToGrid w:val="0"/>
        <w:spacing w:beforeAutospacing="0" w:afterAutospacing="0" w:line="360" w:lineRule="auto"/>
        <w:ind w:firstLine="373" w:firstLineChars="177"/>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lang w:val="en-US" w:eastAsia="zh-CN"/>
        </w:rPr>
        <w:t>3</w:t>
      </w:r>
      <w:r>
        <w:rPr>
          <w:rFonts w:hint="eastAsia" w:ascii="宋体" w:hAnsi="宋体" w:eastAsia="宋体" w:cs="宋体"/>
          <w:b/>
          <w:bCs/>
          <w:color w:val="auto"/>
          <w:sz w:val="21"/>
          <w:szCs w:val="21"/>
          <w:highlight w:val="none"/>
        </w:rPr>
        <w:t>、解密截止时间</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2025年5月6日15:00</w:t>
      </w:r>
      <w:r>
        <w:rPr>
          <w:rFonts w:hint="eastAsia" w:ascii="宋体" w:hAnsi="宋体" w:eastAsia="宋体" w:cs="宋体"/>
          <w:color w:val="auto"/>
          <w:sz w:val="21"/>
          <w:szCs w:val="21"/>
          <w:highlight w:val="none"/>
          <w:lang w:eastAsia="zh-CN"/>
        </w:rPr>
        <w:t>整</w:t>
      </w:r>
    </w:p>
    <w:p w14:paraId="7E73A92F">
      <w:pPr>
        <w:keepNext w:val="0"/>
        <w:keepLines w:val="0"/>
        <w:pageBreakBefore w:val="0"/>
        <w:kinsoku/>
        <w:topLinePunct w:val="0"/>
        <w:bidi w:val="0"/>
        <w:spacing w:beforeAutospacing="0" w:afterAutospacing="0" w:line="360" w:lineRule="auto"/>
        <w:ind w:firstLine="422" w:firstLineChars="20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七、在线投标响应（电子投标）说明</w:t>
      </w:r>
    </w:p>
    <w:p w14:paraId="30EC1A76">
      <w:pPr>
        <w:pStyle w:val="11"/>
        <w:keepNext w:val="0"/>
        <w:keepLines w:val="0"/>
        <w:pageBreakBefore w:val="0"/>
        <w:kinsoku/>
        <w:wordWrap w:val="0"/>
        <w:topLinePunct w:val="0"/>
        <w:bidi w:val="0"/>
        <w:adjustRightInd w:val="0"/>
        <w:snapToGrid w:val="0"/>
        <w:spacing w:beforeAutospacing="0" w:afterAutospacing="0" w:line="360" w:lineRule="auto"/>
        <w:ind w:firstLine="422" w:firstLineChars="200"/>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1、本项目通过“政府采购云平台（www.zcygov.cn）”实行在线投标响应（电子投标），供应商应先安装“政采云电子投标客户端”，并按照本招标文件和“政府采购云平台”的要求，通过“政采云电子投标客户端”编制并加密投标文件。</w:t>
      </w:r>
      <w:r>
        <w:rPr>
          <w:rFonts w:hint="eastAsia" w:ascii="宋体" w:hAnsi="宋体" w:eastAsia="宋体" w:cs="宋体"/>
          <w:color w:val="auto"/>
          <w:sz w:val="21"/>
          <w:szCs w:val="21"/>
          <w:highlight w:val="none"/>
        </w:rPr>
        <w:t>▲</w:t>
      </w:r>
      <w:r>
        <w:rPr>
          <w:rFonts w:hint="eastAsia" w:ascii="宋体" w:hAnsi="宋体" w:eastAsia="宋体" w:cs="宋体"/>
          <w:b/>
          <w:bCs/>
          <w:color w:val="auto"/>
          <w:kern w:val="0"/>
          <w:sz w:val="21"/>
          <w:szCs w:val="21"/>
          <w:highlight w:val="none"/>
          <w:lang w:val="en-US" w:eastAsia="zh-CN" w:bidi="ar-SA"/>
        </w:rPr>
        <w:t>供应商未按规定加密的投标文件，“政府采购云平台”将予以拒收。</w:t>
      </w:r>
    </w:p>
    <w:p w14:paraId="6733C1DE">
      <w:pPr>
        <w:pStyle w:val="11"/>
        <w:keepNext w:val="0"/>
        <w:keepLines w:val="0"/>
        <w:pageBreakBefore w:val="0"/>
        <w:kinsoku/>
        <w:wordWrap w:val="0"/>
        <w:topLinePunct w:val="0"/>
        <w:bidi w:val="0"/>
        <w:adjustRightInd w:val="0"/>
        <w:snapToGrid w:val="0"/>
        <w:spacing w:beforeAutospacing="0" w:afterAutospacing="0" w:line="360" w:lineRule="auto"/>
        <w:ind w:firstLine="422" w:firstLineChars="200"/>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政采云电子投标客户端”请自行前往“浙江政府采购网-下载专区-电子交易客户端”进行下载；电子投标具体操作流程详见《供应商项目采购-电子招投标操作指南》；通过“政府采购云平台”参与在线投标时如遇平台技术问题详询95763。</w:t>
      </w:r>
    </w:p>
    <w:p w14:paraId="43021C4A">
      <w:pPr>
        <w:pStyle w:val="50"/>
        <w:keepNext w:val="0"/>
        <w:keepLines w:val="0"/>
        <w:pageBreakBefore w:val="0"/>
        <w:kinsoku/>
        <w:topLinePunct w:val="0"/>
        <w:bidi w:val="0"/>
        <w:snapToGrid w:val="0"/>
        <w:spacing w:beforeAutospacing="0" w:afterAutospacing="0" w:line="360" w:lineRule="auto"/>
        <w:ind w:firstLine="422" w:firstLineChars="200"/>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2、为确保网上操作合法、有效和安全，投标供应商应当在投标截止时间前完成在“政府采购云平台”的身份认证，确保在电子投标过程中能够对相关数据电文进行加密和使用电子签章。使用“政采云电子投标客户端”需要提前申领CA数字证书，申领流程请自行前往“浙江政府采购网-下载专区-电子交易客户端-</w:t>
      </w:r>
      <w:r>
        <w:rPr>
          <w:rFonts w:hint="eastAsia" w:ascii="宋体" w:hAnsi="宋体" w:eastAsia="宋体" w:cs="宋体"/>
          <w:b/>
          <w:bCs/>
          <w:color w:val="auto"/>
          <w:kern w:val="0"/>
          <w:sz w:val="21"/>
          <w:szCs w:val="21"/>
          <w:highlight w:val="none"/>
          <w:lang w:val="en-US" w:eastAsia="zh-CN" w:bidi="ar-SA"/>
        </w:rPr>
        <w:fldChar w:fldCharType="begin"/>
      </w:r>
      <w:r>
        <w:rPr>
          <w:rFonts w:hint="eastAsia" w:ascii="宋体" w:hAnsi="宋体" w:eastAsia="宋体" w:cs="宋体"/>
          <w:b/>
          <w:bCs/>
          <w:color w:val="auto"/>
          <w:kern w:val="0"/>
          <w:sz w:val="21"/>
          <w:szCs w:val="21"/>
          <w:highlight w:val="none"/>
          <w:lang w:val="en-US" w:eastAsia="zh-CN" w:bidi="ar-SA"/>
        </w:rPr>
        <w:instrText xml:space="preserve"> HYPERLINK "http://zfcg.czt.zj.gov.cn/bidClientTemplate/2019-05-27/12945.html" \o "CA驱动和申领流程" </w:instrText>
      </w:r>
      <w:r>
        <w:rPr>
          <w:rFonts w:hint="eastAsia" w:ascii="宋体" w:hAnsi="宋体" w:eastAsia="宋体" w:cs="宋体"/>
          <w:b/>
          <w:bCs/>
          <w:color w:val="auto"/>
          <w:kern w:val="0"/>
          <w:sz w:val="21"/>
          <w:szCs w:val="21"/>
          <w:highlight w:val="none"/>
          <w:lang w:val="en-US" w:eastAsia="zh-CN" w:bidi="ar-SA"/>
        </w:rPr>
        <w:fldChar w:fldCharType="separate"/>
      </w:r>
      <w:r>
        <w:rPr>
          <w:rFonts w:hint="eastAsia" w:ascii="宋体" w:hAnsi="宋体" w:eastAsia="宋体" w:cs="宋体"/>
          <w:b/>
          <w:bCs/>
          <w:color w:val="auto"/>
          <w:kern w:val="0"/>
          <w:sz w:val="21"/>
          <w:szCs w:val="21"/>
          <w:highlight w:val="none"/>
          <w:lang w:val="en-US" w:eastAsia="zh-CN" w:bidi="ar-SA"/>
        </w:rPr>
        <w:t>CA驱动和申领流程</w:t>
      </w:r>
      <w:r>
        <w:rPr>
          <w:rFonts w:hint="eastAsia" w:ascii="宋体" w:hAnsi="宋体" w:eastAsia="宋体" w:cs="宋体"/>
          <w:b/>
          <w:bCs/>
          <w:color w:val="auto"/>
          <w:kern w:val="0"/>
          <w:sz w:val="21"/>
          <w:szCs w:val="21"/>
          <w:highlight w:val="none"/>
          <w:lang w:val="en-US" w:eastAsia="zh-CN" w:bidi="ar-SA"/>
        </w:rPr>
        <w:fldChar w:fldCharType="end"/>
      </w:r>
      <w:r>
        <w:rPr>
          <w:rFonts w:hint="eastAsia" w:ascii="宋体" w:hAnsi="宋体" w:eastAsia="宋体" w:cs="宋体"/>
          <w:b/>
          <w:bCs/>
          <w:color w:val="auto"/>
          <w:kern w:val="0"/>
          <w:sz w:val="21"/>
          <w:szCs w:val="21"/>
          <w:highlight w:val="none"/>
          <w:lang w:val="en-US" w:eastAsia="zh-CN" w:bidi="ar-SA"/>
        </w:rPr>
        <w:t>”进行查阅；</w:t>
      </w:r>
    </w:p>
    <w:p w14:paraId="22E9DDC6">
      <w:pPr>
        <w:pStyle w:val="11"/>
        <w:keepNext w:val="0"/>
        <w:keepLines w:val="0"/>
        <w:pageBreakBefore w:val="0"/>
        <w:kinsoku/>
        <w:topLinePunct w:val="0"/>
        <w:bidi w:val="0"/>
        <w:adjustRightInd w:val="0"/>
        <w:snapToGrid w:val="0"/>
        <w:spacing w:beforeAutospacing="0" w:afterAutospacing="0" w:line="360" w:lineRule="auto"/>
        <w:ind w:firstLine="422" w:firstLineChars="200"/>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3、投标人通过政府采购云平台电子投标工具制作投标文件，电子投标工具请供应商自行前往浙江政府采购网下载并安装，（下载网址：https://zfcg.czt.zj.gov.cn/bidClientTemplate/2021-11-01/12975.html?utm=web-government-front.a2eab82.0.0.19c58540c14611ed94855fb6758c26ac），电子投标具体流程文档详见网址：</w:t>
      </w:r>
      <w:r>
        <w:rPr>
          <w:rFonts w:hint="eastAsia" w:ascii="宋体" w:hAnsi="宋体" w:eastAsia="宋体" w:cs="宋体"/>
          <w:b/>
          <w:bCs/>
          <w:color w:val="auto"/>
          <w:kern w:val="0"/>
          <w:sz w:val="21"/>
          <w:szCs w:val="21"/>
          <w:highlight w:val="none"/>
          <w:lang w:val="en-US" w:eastAsia="zh-CN" w:bidi="ar-SA"/>
        </w:rPr>
        <w:fldChar w:fldCharType="begin"/>
      </w:r>
      <w:r>
        <w:rPr>
          <w:rFonts w:hint="eastAsia" w:ascii="宋体" w:hAnsi="宋体" w:eastAsia="宋体" w:cs="宋体"/>
          <w:b/>
          <w:bCs/>
          <w:color w:val="auto"/>
          <w:kern w:val="0"/>
          <w:sz w:val="21"/>
          <w:szCs w:val="21"/>
          <w:highlight w:val="none"/>
          <w:lang w:val="en-US" w:eastAsia="zh-CN" w:bidi="ar-SA"/>
        </w:rPr>
        <w:instrText xml:space="preserve"> HYPERLINK "https://service.zcygov.cn/#/knowledges/CW1EtGwBFdiHxlNd6I3m/6IMVAG0BFdiHx" </w:instrText>
      </w:r>
      <w:r>
        <w:rPr>
          <w:rFonts w:hint="eastAsia" w:ascii="宋体" w:hAnsi="宋体" w:eastAsia="宋体" w:cs="宋体"/>
          <w:b/>
          <w:bCs/>
          <w:color w:val="auto"/>
          <w:kern w:val="0"/>
          <w:sz w:val="21"/>
          <w:szCs w:val="21"/>
          <w:highlight w:val="none"/>
          <w:lang w:val="en-US" w:eastAsia="zh-CN" w:bidi="ar-SA"/>
        </w:rPr>
        <w:fldChar w:fldCharType="separate"/>
      </w:r>
      <w:r>
        <w:rPr>
          <w:rFonts w:hint="eastAsia" w:ascii="宋体" w:hAnsi="宋体" w:eastAsia="宋体" w:cs="宋体"/>
          <w:b/>
          <w:bCs/>
          <w:color w:val="auto"/>
          <w:kern w:val="0"/>
          <w:sz w:val="21"/>
          <w:szCs w:val="21"/>
          <w:highlight w:val="none"/>
          <w:lang w:val="en-US" w:eastAsia="zh-CN" w:bidi="ar-SA"/>
        </w:rPr>
        <w:t>https://service.zcygov.cn/#/knowledges/CW1EtGwBFdiHxlNd6I3m/6IMVAG0BFdiHx</w:t>
      </w:r>
      <w:r>
        <w:rPr>
          <w:rFonts w:hint="eastAsia" w:ascii="宋体" w:hAnsi="宋体" w:eastAsia="宋体" w:cs="宋体"/>
          <w:b/>
          <w:bCs/>
          <w:color w:val="auto"/>
          <w:kern w:val="0"/>
          <w:sz w:val="21"/>
          <w:szCs w:val="21"/>
          <w:highlight w:val="none"/>
          <w:lang w:val="en-US" w:eastAsia="zh-CN" w:bidi="ar-SA"/>
        </w:rPr>
        <w:fldChar w:fldCharType="end"/>
      </w:r>
    </w:p>
    <w:p w14:paraId="570513DE">
      <w:pPr>
        <w:pStyle w:val="11"/>
        <w:keepNext w:val="0"/>
        <w:keepLines w:val="0"/>
        <w:pageBreakBefore w:val="0"/>
        <w:kinsoku/>
        <w:topLinePunct w:val="0"/>
        <w:bidi w:val="0"/>
        <w:adjustRightInd w:val="0"/>
        <w:snapToGrid w:val="0"/>
        <w:spacing w:beforeAutospacing="0" w:afterAutospacing="0" w:line="360" w:lineRule="auto"/>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lNdQ8Na?keyword=%E6%8A%95%E6%A0%87。</w:t>
      </w:r>
    </w:p>
    <w:p w14:paraId="4BD16020">
      <w:pPr>
        <w:pStyle w:val="11"/>
        <w:keepNext w:val="0"/>
        <w:keepLines w:val="0"/>
        <w:pageBreakBefore w:val="0"/>
        <w:kinsoku/>
        <w:topLinePunct w:val="0"/>
        <w:bidi w:val="0"/>
        <w:adjustRightInd w:val="0"/>
        <w:snapToGrid w:val="0"/>
        <w:spacing w:beforeAutospacing="0" w:afterAutospacing="0" w:line="360" w:lineRule="auto"/>
        <w:ind w:firstLine="422" w:firstLineChars="200"/>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4、投标供应商应当在投标截止时间前，将生成的“电子加密投标文件”上传递交至“政府采购云平台”。投标截止时间前可以补充、修改或者撤回电子投标文件。补充或者修改电子投标文件的，应当先行撤回原文件，补充、修改后重新传输递交。投标截止时间前未完成传输的，视为撤回投标文件。</w:t>
      </w:r>
    </w:p>
    <w:p w14:paraId="55CDB36B">
      <w:pPr>
        <w:pStyle w:val="11"/>
        <w:adjustRightInd w:val="0"/>
        <w:snapToGrid w:val="0"/>
        <w:spacing w:line="360" w:lineRule="auto"/>
        <w:ind w:firstLine="422" w:firstLineChars="200"/>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5、供应商同时还可以提供经政采云平台加密处理的、</w:t>
      </w:r>
      <w:r>
        <w:rPr>
          <w:rFonts w:hint="eastAsia" w:ascii="宋体" w:hAnsi="宋体" w:eastAsia="宋体" w:cs="宋体"/>
          <w:b/>
          <w:bCs/>
          <w:color w:val="auto"/>
          <w:kern w:val="2"/>
          <w:sz w:val="21"/>
          <w:szCs w:val="21"/>
          <w:highlight w:val="none"/>
          <w:lang w:val="en-US" w:eastAsia="zh-CN" w:bidi="ar-SA"/>
        </w:rPr>
        <w:t>以介质（U盘）存储的数据电文形式的备份</w:t>
      </w:r>
      <w:r>
        <w:rPr>
          <w:rFonts w:hint="eastAsia" w:ascii="宋体" w:hAnsi="宋体" w:eastAsia="宋体" w:cs="宋体"/>
          <w:b/>
          <w:bCs/>
          <w:color w:val="auto"/>
          <w:kern w:val="0"/>
          <w:sz w:val="21"/>
          <w:szCs w:val="21"/>
          <w:highlight w:val="none"/>
          <w:lang w:val="en-US" w:eastAsia="zh-CN" w:bidi="ar-SA"/>
        </w:rPr>
        <w:t>投标文件（不强制要求，未递交备份文件的风险由供应商自行承担）。备份投标文件应当在投标截止时间前送达并按要求密封（备份投标文件在密封袋的封口处加盖投标人公章、法定代表人代表或授权委托代理人印章或签字。封皮上写明项目编号、标项、招标项目名称、投标人名称，并注明“投标文件名称”、“开标时启封”字样）并</w:t>
      </w:r>
      <w:r>
        <w:rPr>
          <w:rFonts w:hint="eastAsia" w:ascii="宋体" w:hAnsi="宋体" w:eastAsia="宋体" w:cs="宋体"/>
          <w:b/>
          <w:bCs/>
          <w:color w:val="auto"/>
          <w:kern w:val="2"/>
          <w:sz w:val="21"/>
          <w:szCs w:val="21"/>
          <w:highlight w:val="none"/>
          <w:lang w:val="en-US" w:eastAsia="zh-CN" w:bidi="ar-SA"/>
        </w:rPr>
        <w:t>建议采用顺丰邮寄（或直接递交）</w:t>
      </w:r>
      <w:r>
        <w:rPr>
          <w:rFonts w:hint="eastAsia" w:ascii="宋体" w:hAnsi="宋体" w:eastAsia="宋体" w:cs="宋体"/>
          <w:b/>
          <w:bCs/>
          <w:color w:val="auto"/>
          <w:kern w:val="0"/>
          <w:sz w:val="21"/>
          <w:szCs w:val="21"/>
          <w:highlight w:val="none"/>
          <w:lang w:val="en-US" w:eastAsia="zh-CN" w:bidi="ar-SA"/>
        </w:rPr>
        <w:t>到</w:t>
      </w:r>
      <w:r>
        <w:rPr>
          <w:rFonts w:hint="eastAsia" w:ascii="宋体" w:hAnsi="宋体" w:eastAsia="宋体" w:cs="宋体"/>
          <w:b/>
          <w:bCs/>
          <w:color w:val="auto"/>
          <w:sz w:val="21"/>
          <w:szCs w:val="21"/>
          <w:highlight w:val="none"/>
          <w:lang w:eastAsia="zh-CN"/>
        </w:rPr>
        <w:t>台州市椒江区中环世纪6幢801室（交通银行台州分行楼上）</w:t>
      </w:r>
      <w:r>
        <w:rPr>
          <w:rFonts w:hint="eastAsia" w:ascii="宋体" w:hAnsi="宋体" w:eastAsia="宋体" w:cs="宋体"/>
          <w:b/>
          <w:bCs/>
          <w:color w:val="auto"/>
          <w:sz w:val="21"/>
          <w:szCs w:val="21"/>
          <w:highlight w:val="none"/>
          <w:lang w:val="en-US" w:eastAsia="zh-CN"/>
        </w:rPr>
        <w:t>收件人：俞雅琪；联系电话：15757696186</w:t>
      </w:r>
      <w:r>
        <w:rPr>
          <w:rFonts w:hint="eastAsia" w:ascii="宋体" w:hAnsi="宋体" w:eastAsia="宋体" w:cs="宋体"/>
          <w:b/>
          <w:bCs/>
          <w:color w:val="auto"/>
          <w:kern w:val="0"/>
          <w:sz w:val="21"/>
          <w:szCs w:val="21"/>
          <w:highlight w:val="none"/>
          <w:lang w:val="en-US" w:eastAsia="zh-CN" w:bidi="ar-SA"/>
        </w:rPr>
        <w:t>，逾期寄达、到付或未按要求密封将被拒收。</w:t>
      </w:r>
    </w:p>
    <w:p w14:paraId="5079F3C1">
      <w:pPr>
        <w:pStyle w:val="11"/>
        <w:keepNext w:val="0"/>
        <w:keepLines w:val="0"/>
        <w:pageBreakBefore w:val="0"/>
        <w:kinsoku/>
        <w:topLinePunct w:val="0"/>
        <w:bidi w:val="0"/>
        <w:adjustRightInd w:val="0"/>
        <w:snapToGrid w:val="0"/>
        <w:spacing w:beforeAutospacing="0" w:afterAutospacing="0" w:line="360" w:lineRule="auto"/>
        <w:ind w:firstLine="422" w:firstLineChars="200"/>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6、▲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14:paraId="4D388585">
      <w:pPr>
        <w:pStyle w:val="12"/>
        <w:keepNext w:val="0"/>
        <w:keepLines w:val="0"/>
        <w:pageBreakBefore w:val="0"/>
        <w:widowControl w:val="0"/>
        <w:kinsoku/>
        <w:wordWrap/>
        <w:overflowPunct/>
        <w:topLinePunct w:val="0"/>
        <w:autoSpaceDE/>
        <w:autoSpaceDN/>
        <w:bidi w:val="0"/>
        <w:adjustRightInd/>
        <w:snapToGrid/>
        <w:spacing w:line="360" w:lineRule="auto"/>
        <w:ind w:left="0" w:leftChars="0" w:firstLine="422" w:firstLineChars="200"/>
        <w:textAlignment w:val="auto"/>
        <w:rPr>
          <w:rFonts w:hint="eastAsia" w:ascii="宋体" w:hAnsi="宋体" w:eastAsia="宋体" w:cs="宋体"/>
          <w:color w:val="auto"/>
          <w:highlight w:val="none"/>
        </w:rPr>
      </w:pPr>
      <w:r>
        <w:rPr>
          <w:rFonts w:hint="eastAsia" w:ascii="宋体" w:hAnsi="宋体" w:eastAsia="宋体" w:cs="宋体"/>
          <w:b/>
          <w:bCs/>
          <w:color w:val="auto"/>
          <w:kern w:val="0"/>
          <w:sz w:val="21"/>
          <w:szCs w:val="21"/>
          <w:highlight w:val="none"/>
          <w:lang w:val="en-US" w:eastAsia="zh-CN" w:bidi="ar-SA"/>
        </w:rPr>
        <w:t>7、在政府采购活动中，供应商提供的货物、工程或者服务符合下列情形的，享受本办法规定的中小企业扶持政策： ①在货物采购项目中，货物由中小企业制造，即货物由中小企业生产且使用该中小企业商号或者注册商标； ②在工程采购项目中，工程由中小企业承建，即工程施工单位为中小企业； ③在服务采购项目中，服务由中小企业承接，即提供服务的人员为中小企业依照《中华人民共和国劳动合同法》 订立劳动合同的从业人员。 在货物采购项目中，供应商提供的货物既有中小企业制 造货物，也有大型企业制造货物的，不享受本办法规定的中 小企业扶持政策。 以联合体形式参加政府采购活动，联合体各方均为中小企业的，联合体视同中小企业。其中，联合体各方均为小微企业的，联合体视同小微企业。</w:t>
      </w:r>
    </w:p>
    <w:p w14:paraId="46EA0898">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八</w:t>
      </w:r>
      <w:r>
        <w:rPr>
          <w:rFonts w:hint="eastAsia" w:ascii="宋体" w:hAnsi="宋体" w:eastAsia="宋体" w:cs="宋体"/>
          <w:b/>
          <w:bCs/>
          <w:color w:val="auto"/>
          <w:sz w:val="21"/>
          <w:szCs w:val="21"/>
          <w:highlight w:val="none"/>
        </w:rPr>
        <w:t>、投标人信用信息查询渠道及截止时点、信用信息查询记录和证据留存的具体方式、信用信息的使用规则：</w:t>
      </w:r>
    </w:p>
    <w:p w14:paraId="362878C9">
      <w:pPr>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、查询渠道：“信用中国”（www.creditchina.gov.cn）、“中国政府采购网”（www.ccgp.gov.cn）、“浙江政府采购网（www.zjzfcg.gov.cn）。</w:t>
      </w:r>
    </w:p>
    <w:p w14:paraId="086FA616">
      <w:pPr>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2、信用信息查询的截止时点：开标后评标前。</w:t>
      </w:r>
    </w:p>
    <w:p w14:paraId="51A4FC3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3、信用信息查询记录和证据留存的具体方式：由</w:t>
      </w:r>
      <w:r>
        <w:rPr>
          <w:rFonts w:hint="eastAsia" w:ascii="宋体" w:hAnsi="宋体" w:eastAsia="宋体" w:cs="宋体"/>
          <w:color w:val="auto"/>
          <w:sz w:val="21"/>
          <w:szCs w:val="21"/>
          <w:highlight w:val="none"/>
        </w:rPr>
        <w:t>采购代理机构</w:t>
      </w:r>
      <w:r>
        <w:rPr>
          <w:rFonts w:hint="eastAsia" w:ascii="宋体" w:hAnsi="宋体" w:eastAsia="宋体" w:cs="宋体"/>
          <w:color w:val="auto"/>
          <w:sz w:val="21"/>
          <w:szCs w:val="21"/>
          <w:highlight w:val="none"/>
          <w:lang w:eastAsia="zh-CN"/>
        </w:rPr>
        <w:t>在规定查询时间内打印信用信息查询记录并归入项目档案。</w:t>
      </w:r>
    </w:p>
    <w:p w14:paraId="2E7938EF">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信用信息的使用规则：对列入失信被执行人、</w:t>
      </w:r>
      <w:r>
        <w:rPr>
          <w:rFonts w:hint="eastAsia" w:ascii="宋体" w:hAnsi="宋体" w:eastAsia="宋体" w:cs="宋体"/>
          <w:color w:val="auto"/>
          <w:sz w:val="21"/>
          <w:szCs w:val="21"/>
          <w:highlight w:val="none"/>
          <w:lang w:eastAsia="zh-CN"/>
        </w:rPr>
        <w:t>重大税收违法失信主体</w:t>
      </w:r>
      <w:r>
        <w:rPr>
          <w:rFonts w:hint="eastAsia" w:ascii="宋体" w:hAnsi="宋体" w:eastAsia="宋体" w:cs="宋体"/>
          <w:color w:val="auto"/>
          <w:sz w:val="21"/>
          <w:szCs w:val="21"/>
          <w:highlight w:val="none"/>
        </w:rPr>
        <w:t>、政府采购严重违法失信行为记录名单及其他不符合《中华人民共和国政府采购法》第二十二条规定条件的供应商，将被拒绝其参与政府采购活动。</w:t>
      </w:r>
    </w:p>
    <w:p w14:paraId="46317FFA">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九</w:t>
      </w:r>
      <w:r>
        <w:rPr>
          <w:rFonts w:hint="eastAsia" w:ascii="宋体" w:hAnsi="宋体" w:eastAsia="宋体" w:cs="宋体"/>
          <w:b/>
          <w:bCs/>
          <w:color w:val="auto"/>
          <w:sz w:val="21"/>
          <w:szCs w:val="21"/>
          <w:highlight w:val="none"/>
        </w:rPr>
        <w:t>、相关注意事项：</w:t>
      </w:r>
    </w:p>
    <w:p w14:paraId="226EE648">
      <w:pPr>
        <w:keepNext w:val="0"/>
        <w:keepLines w:val="0"/>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《浙江省财政厅关于进一步发挥政府采购政策功能全力推动经济稳进提质的通知》 (浙财采监</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2022</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3号)、《浙江省财政厅关于进一步促进政府采购公平竞争打造最优营商环境的通知》(浙财采监</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2021</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22号))、《浙江省财政厅关于进一步加大政府采购支持中小企业力度助力扎实稳住经济的通知》 (浙财采监</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2022</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8号)已分别于2022年1月29日、2022年2月1日和2022年7月1日开始实施，此前有关规定与上述文件内容不一致的，按上述文件要求执行。</w:t>
      </w:r>
    </w:p>
    <w:p w14:paraId="0E07E844">
      <w:pPr>
        <w:keepNext w:val="0"/>
        <w:keepLines w:val="0"/>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根据《浙江省财政厅关于进一步促进政府采购公平竞争打造最优营商环境的通知》 浙财采监</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2021</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22号)文件关于“健全行政裁决机制”要求，鼓励供应商在线提起询问，路径为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政采云-项目采购-询问质疑投诉-询问列表</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鼓励供应商在线提起质疑，路径为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政采云-项目采购-询问质疑投诉-质疑列表。质疑供应商对在线质疑答复不满意的，可在线提起投诉，路径为:浙江政府服务网-政府采购投诉处理-在线办理。</w:t>
      </w:r>
    </w:p>
    <w:p w14:paraId="166D9D4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、本项目公告期限为</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个工作日。供应商认为采购文件使自己的权益受到损害的，可以自</w:t>
      </w:r>
      <w:r>
        <w:rPr>
          <w:rFonts w:hint="eastAsia" w:ascii="宋体" w:hAnsi="宋体" w:eastAsia="宋体" w:cs="宋体"/>
          <w:color w:val="auto"/>
          <w:szCs w:val="21"/>
          <w:highlight w:val="none"/>
          <w:lang w:val="en-US" w:eastAsia="zh-CN"/>
        </w:rPr>
        <w:t>获取</w:t>
      </w:r>
      <w:r>
        <w:rPr>
          <w:rFonts w:hint="eastAsia" w:ascii="宋体" w:hAnsi="宋体" w:eastAsia="宋体" w:cs="宋体"/>
          <w:color w:val="auto"/>
          <w:szCs w:val="21"/>
          <w:highlight w:val="none"/>
        </w:rPr>
        <w:t>采购文件之日或采购文件公告期限届满之日起（公告期限届满后获取采购文件的，以公告期限届满之日为准）7个工作日内，</w:t>
      </w:r>
      <w:r>
        <w:rPr>
          <w:rFonts w:hint="eastAsia" w:ascii="宋体" w:hAnsi="宋体" w:eastAsia="宋体" w:cs="宋体"/>
          <w:color w:val="auto"/>
          <w:sz w:val="21"/>
          <w:szCs w:val="21"/>
          <w:highlight w:val="none"/>
        </w:rPr>
        <w:t>以书面形式一次性向采购人和采购代理机构提出同一环节</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后续就采购</w:t>
      </w:r>
      <w:r>
        <w:rPr>
          <w:rFonts w:hint="eastAsia" w:ascii="宋体" w:hAnsi="宋体" w:cs="宋体"/>
          <w:color w:val="auto"/>
          <w:szCs w:val="21"/>
          <w:highlight w:val="none"/>
        </w:rPr>
        <w:t>过程、</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结果</w:t>
      </w:r>
      <w:r>
        <w:rPr>
          <w:rFonts w:hint="eastAsia" w:ascii="宋体" w:hAnsi="宋体" w:cs="宋体"/>
          <w:color w:val="auto"/>
          <w:szCs w:val="21"/>
          <w:highlight w:val="none"/>
          <w:lang w:val="en-US" w:eastAsia="zh-CN"/>
        </w:rPr>
        <w:t>提出质疑的，也应在同一环节一次性提出</w:t>
      </w:r>
      <w:r>
        <w:rPr>
          <w:rFonts w:hint="eastAsia" w:ascii="宋体" w:hAnsi="宋体" w:eastAsia="宋体" w:cs="宋体"/>
          <w:color w:val="auto"/>
          <w:sz w:val="21"/>
          <w:szCs w:val="21"/>
          <w:highlight w:val="none"/>
          <w:lang w:eastAsia="zh-CN"/>
        </w:rPr>
        <w:t>，以供应商</w:t>
      </w:r>
      <w:r>
        <w:rPr>
          <w:rFonts w:hint="eastAsia" w:ascii="宋体" w:hAnsi="宋体" w:eastAsia="宋体" w:cs="宋体"/>
          <w:color w:val="auto"/>
          <w:sz w:val="21"/>
          <w:szCs w:val="21"/>
          <w:highlight w:val="none"/>
          <w:lang w:val="en-US" w:eastAsia="zh-CN"/>
        </w:rPr>
        <w:t>线上</w:t>
      </w:r>
      <w:r>
        <w:rPr>
          <w:rFonts w:hint="eastAsia" w:ascii="宋体" w:hAnsi="宋体" w:eastAsia="宋体" w:cs="宋体"/>
          <w:color w:val="auto"/>
          <w:sz w:val="21"/>
          <w:szCs w:val="21"/>
          <w:highlight w:val="none"/>
          <w:lang w:eastAsia="zh-CN"/>
        </w:rPr>
        <w:t>提供质疑函的时间为提起质疑的时间</w:t>
      </w:r>
      <w:r>
        <w:rPr>
          <w:rFonts w:hint="eastAsia" w:ascii="宋体" w:hAnsi="宋体" w:eastAsia="宋体" w:cs="宋体"/>
          <w:color w:val="auto"/>
          <w:sz w:val="21"/>
          <w:szCs w:val="21"/>
          <w:highlight w:val="none"/>
        </w:rPr>
        <w:t>。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6C797F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未进行供应商资格报名或登记（含网上报名登记）的供应商，应视为未参加政府采购活动，一般不得提出质疑，但因供应商资格条件受到限制、报名时间设定不符合有关规定等原因使供应商不能参加报名或登记的除外。</w:t>
      </w:r>
    </w:p>
    <w:p w14:paraId="7A9822F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、请各投标供应商及时办理浙江政府采购网“政府采购供应商注册”手续。</w:t>
      </w:r>
    </w:p>
    <w:p w14:paraId="6893BDAD">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参与政府采购项目的注册供应商，需登录浙江政府采购网（http://zfcg.czt.zj.gov.cn）进行网上获取文件；尚未注册的供应商应当先在浙江政府采购网上申请注册，注册终审通过后再进行网上获取文件。</w:t>
      </w:r>
    </w:p>
    <w:p w14:paraId="00D4DCAF">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、本项目所有公告发布网站：“浙江政府采购网”（</w:t>
      </w:r>
      <w:r>
        <w:rPr>
          <w:rFonts w:hint="eastAsia" w:ascii="宋体" w:hAnsi="宋体" w:eastAsia="宋体" w:cs="宋体"/>
          <w:color w:val="auto"/>
          <w:kern w:val="0"/>
          <w:szCs w:val="21"/>
          <w:highlight w:val="none"/>
        </w:rPr>
        <w:t>http://zfcg.czt.zj.gov.cn）。</w:t>
      </w:r>
    </w:p>
    <w:p w14:paraId="55069109">
      <w:pPr>
        <w:pStyle w:val="7"/>
        <w:keepNext w:val="0"/>
        <w:keepLines w:val="0"/>
        <w:pageBreakBefore w:val="0"/>
        <w:widowControl w:val="0"/>
        <w:kinsoku/>
        <w:wordWrap/>
        <w:overflowPunct/>
        <w:topLinePunct w:val="0"/>
        <w:autoSpaceDE/>
        <w:autoSpaceDN/>
        <w:bidi w:val="0"/>
        <w:spacing w:after="0" w:afterLines="0"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、采购文件发售截止时间之后有潜在供应商提出要求获取采购文件的允许其报名获取，但对采购文件有异议应按规定的时间提出，逾期提出的，采购组织机构可不予受理、答复。</w:t>
      </w:r>
    </w:p>
    <w:p w14:paraId="71CDBE00">
      <w:pPr>
        <w:spacing w:line="360" w:lineRule="auto"/>
        <w:ind w:firstLine="422" w:firstLineChars="200"/>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十、联系方式：</w:t>
      </w:r>
    </w:p>
    <w:p w14:paraId="4358CD9C">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1、</w:t>
      </w:r>
      <w:r>
        <w:rPr>
          <w:rFonts w:hint="eastAsia" w:ascii="宋体" w:hAnsi="宋体" w:eastAsia="宋体" w:cs="宋体"/>
          <w:b/>
          <w:bCs/>
          <w:color w:val="auto"/>
          <w:sz w:val="21"/>
          <w:szCs w:val="21"/>
          <w:highlight w:val="none"/>
        </w:rPr>
        <w:t>采购代理机构</w:t>
      </w:r>
    </w:p>
    <w:p w14:paraId="4F0D3F30">
      <w:pPr>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采购代理机构名称：</w:t>
      </w:r>
      <w:r>
        <w:rPr>
          <w:rFonts w:hint="eastAsia" w:ascii="宋体" w:hAnsi="宋体" w:eastAsia="宋体" w:cs="宋体"/>
          <w:color w:val="auto"/>
          <w:sz w:val="21"/>
          <w:szCs w:val="21"/>
          <w:highlight w:val="none"/>
          <w:lang w:eastAsia="zh-CN"/>
        </w:rPr>
        <w:t>台州永安工程咨询有限公司</w:t>
      </w:r>
    </w:p>
    <w:p w14:paraId="69D33AC7">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lang w:val="en-US" w:eastAsia="zh-CN"/>
        </w:rPr>
        <w:t xml:space="preserve">管女士 </w:t>
      </w:r>
    </w:p>
    <w:p w14:paraId="31F61C3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lang w:eastAsia="zh-CN"/>
        </w:rPr>
        <w:t>0576-8888</w:t>
      </w:r>
      <w:r>
        <w:rPr>
          <w:rFonts w:hint="eastAsia" w:ascii="宋体" w:hAnsi="宋体" w:eastAsia="宋体" w:cs="宋体"/>
          <w:color w:val="auto"/>
          <w:sz w:val="21"/>
          <w:szCs w:val="21"/>
          <w:highlight w:val="none"/>
          <w:lang w:val="en-US" w:eastAsia="zh-CN"/>
        </w:rPr>
        <w:t>2375</w:t>
      </w:r>
      <w:r>
        <w:rPr>
          <w:rFonts w:hint="eastAsia" w:ascii="宋体" w:hAnsi="宋体" w:eastAsia="宋体" w:cs="宋体"/>
          <w:color w:val="auto"/>
          <w:sz w:val="21"/>
          <w:szCs w:val="21"/>
          <w:highlight w:val="none"/>
          <w:lang w:eastAsia="zh-CN"/>
        </w:rPr>
        <w:t xml:space="preserve">，18857611403 </w:t>
      </w:r>
    </w:p>
    <w:p w14:paraId="1E2BBEA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传真：0576-88882270；</w:t>
      </w:r>
    </w:p>
    <w:p w14:paraId="08C4D4C5">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质疑接收人：</w:t>
      </w:r>
      <w:r>
        <w:rPr>
          <w:rFonts w:hint="eastAsia" w:ascii="宋体" w:hAnsi="宋体" w:eastAsia="宋体" w:cs="宋体"/>
          <w:color w:val="auto"/>
          <w:sz w:val="21"/>
          <w:szCs w:val="21"/>
          <w:highlight w:val="none"/>
          <w:lang w:val="en-US" w:eastAsia="zh-CN"/>
        </w:rPr>
        <w:t>叶先生</w:t>
      </w:r>
    </w:p>
    <w:p w14:paraId="66ADE80F">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lang w:val="en-US" w:eastAsia="zh-CN"/>
        </w:rPr>
        <w:t>13857637980</w:t>
      </w:r>
    </w:p>
    <w:p w14:paraId="7C95D794">
      <w:pPr>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地点：</w:t>
      </w:r>
      <w:r>
        <w:rPr>
          <w:rFonts w:hint="eastAsia" w:ascii="宋体" w:hAnsi="宋体" w:eastAsia="宋体" w:cs="宋体"/>
          <w:color w:val="auto"/>
          <w:sz w:val="21"/>
          <w:szCs w:val="21"/>
          <w:highlight w:val="none"/>
          <w:lang w:eastAsia="zh-CN"/>
        </w:rPr>
        <w:t>台州市椒江区中环世纪6幢801室（交通银行台州分行楼上）</w:t>
      </w:r>
    </w:p>
    <w:p w14:paraId="7DC00F0C">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 xml:space="preserve">采购人 </w:t>
      </w:r>
    </w:p>
    <w:p w14:paraId="14A4BB2B">
      <w:pPr>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采购人名称：</w:t>
      </w:r>
      <w:r>
        <w:rPr>
          <w:rFonts w:hint="eastAsia" w:ascii="宋体" w:hAnsi="宋体" w:cs="宋体"/>
          <w:color w:val="auto"/>
          <w:sz w:val="21"/>
          <w:szCs w:val="21"/>
          <w:highlight w:val="none"/>
          <w:lang w:eastAsia="zh-CN"/>
        </w:rPr>
        <w:t>台州市路桥区中医院医疗服务共同体</w:t>
      </w:r>
    </w:p>
    <w:p w14:paraId="0BA15A5C">
      <w:pPr>
        <w:spacing w:line="360" w:lineRule="auto"/>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询问联系人：</w:t>
      </w:r>
      <w:r>
        <w:rPr>
          <w:rFonts w:hint="eastAsia" w:ascii="宋体" w:hAnsi="宋体" w:cs="宋体"/>
          <w:color w:val="auto"/>
          <w:szCs w:val="21"/>
          <w:highlight w:val="none"/>
          <w:lang w:val="en-US" w:eastAsia="zh-CN"/>
        </w:rPr>
        <w:t>陈先生</w:t>
      </w:r>
      <w:r>
        <w:rPr>
          <w:rFonts w:hint="eastAsia" w:ascii="宋体" w:hAnsi="宋体" w:eastAsia="宋体" w:cs="宋体"/>
          <w:color w:val="auto"/>
          <w:szCs w:val="21"/>
          <w:highlight w:val="none"/>
        </w:rPr>
        <w:t xml:space="preserve">      询问联系电话：</w:t>
      </w:r>
      <w:r>
        <w:rPr>
          <w:rFonts w:hint="eastAsia" w:asciiTheme="minorEastAsia" w:hAnsiTheme="minorEastAsia" w:eastAsiaTheme="minorEastAsia" w:cstheme="minorEastAsia"/>
          <w:color w:val="auto"/>
          <w:sz w:val="21"/>
          <w:szCs w:val="21"/>
          <w:highlight w:val="none"/>
          <w:shd w:val="clear" w:color="auto" w:fill="auto"/>
        </w:rPr>
        <w:t>0576-</w:t>
      </w:r>
      <w:r>
        <w:rPr>
          <w:rFonts w:hint="eastAsia" w:asciiTheme="minorEastAsia" w:hAnsiTheme="minorEastAsia" w:eastAsiaTheme="minorEastAsia" w:cstheme="minorEastAsia"/>
          <w:color w:val="auto"/>
          <w:sz w:val="21"/>
          <w:szCs w:val="21"/>
          <w:highlight w:val="none"/>
          <w:shd w:val="clear" w:color="auto" w:fill="auto"/>
          <w:lang w:val="en-US" w:eastAsia="zh-CN"/>
        </w:rPr>
        <w:t>89052358</w:t>
      </w:r>
    </w:p>
    <w:p w14:paraId="6A19BC92">
      <w:pPr>
        <w:spacing w:line="360" w:lineRule="auto"/>
        <w:ind w:firstLine="420" w:firstLineChars="200"/>
        <w:rPr>
          <w:rFonts w:hint="eastAsia" w:ascii="宋体" w:hAnsi="宋体" w:eastAsia="宋体" w:cs="宋体"/>
          <w:color w:val="auto"/>
          <w:szCs w:val="21"/>
          <w:highlight w:val="none"/>
          <w:lang w:val="en-US"/>
        </w:rPr>
      </w:pPr>
      <w:r>
        <w:rPr>
          <w:rFonts w:hint="eastAsia" w:ascii="宋体" w:hAnsi="宋体" w:eastAsia="宋体" w:cs="宋体"/>
          <w:color w:val="auto"/>
          <w:szCs w:val="21"/>
          <w:highlight w:val="none"/>
        </w:rPr>
        <w:t>质疑联系人：</w:t>
      </w:r>
      <w:r>
        <w:rPr>
          <w:rFonts w:hint="eastAsia" w:ascii="宋体" w:hAnsi="宋体" w:cs="宋体"/>
          <w:color w:val="auto"/>
          <w:szCs w:val="21"/>
          <w:highlight w:val="none"/>
          <w:lang w:val="en-US" w:eastAsia="zh-CN"/>
        </w:rPr>
        <w:t>郏老师</w:t>
      </w:r>
      <w:r>
        <w:rPr>
          <w:rFonts w:hint="eastAsia" w:ascii="宋体" w:hAnsi="宋体" w:eastAsia="宋体" w:cs="宋体"/>
          <w:color w:val="auto"/>
          <w:szCs w:val="21"/>
          <w:highlight w:val="none"/>
        </w:rPr>
        <w:t xml:space="preserve">      质疑联系电话：</w:t>
      </w:r>
      <w:r>
        <w:rPr>
          <w:rFonts w:hint="eastAsia" w:asciiTheme="minorEastAsia" w:hAnsiTheme="minorEastAsia" w:eastAsiaTheme="minorEastAsia" w:cstheme="minorEastAsia"/>
          <w:color w:val="auto"/>
          <w:sz w:val="21"/>
          <w:szCs w:val="21"/>
          <w:highlight w:val="none"/>
          <w:shd w:val="clear" w:color="auto" w:fill="auto"/>
        </w:rPr>
        <w:t>0576-</w:t>
      </w:r>
      <w:r>
        <w:rPr>
          <w:rFonts w:hint="eastAsia" w:asciiTheme="minorEastAsia" w:hAnsiTheme="minorEastAsia" w:eastAsiaTheme="minorEastAsia" w:cstheme="minorEastAsia"/>
          <w:color w:val="auto"/>
          <w:sz w:val="21"/>
          <w:szCs w:val="21"/>
          <w:highlight w:val="none"/>
          <w:shd w:val="clear" w:color="auto" w:fill="auto"/>
          <w:lang w:val="en-US" w:eastAsia="zh-CN"/>
        </w:rPr>
        <w:t>89052323</w:t>
      </w:r>
    </w:p>
    <w:p w14:paraId="4266DBA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采购人地址：</w:t>
      </w:r>
      <w:r>
        <w:rPr>
          <w:rFonts w:hint="eastAsia" w:asciiTheme="minorEastAsia" w:hAnsiTheme="minorEastAsia" w:eastAsiaTheme="minorEastAsia" w:cstheme="minorEastAsia"/>
          <w:color w:val="auto"/>
          <w:sz w:val="21"/>
          <w:szCs w:val="21"/>
          <w:highlight w:val="none"/>
          <w:lang w:val="en-US" w:eastAsia="zh-CN"/>
        </w:rPr>
        <w:t>台州市路桥区迎宾大道88号</w:t>
      </w:r>
    </w:p>
    <w:p w14:paraId="6D0578EA">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3、</w:t>
      </w:r>
      <w:r>
        <w:rPr>
          <w:rFonts w:hint="eastAsia" w:ascii="宋体" w:hAnsi="宋体" w:eastAsia="宋体" w:cs="宋体"/>
          <w:b/>
          <w:bCs/>
          <w:color w:val="auto"/>
          <w:sz w:val="21"/>
          <w:szCs w:val="21"/>
          <w:highlight w:val="none"/>
        </w:rPr>
        <w:t>同级政府采购监督管理部门</w:t>
      </w:r>
    </w:p>
    <w:p w14:paraId="705251FB">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同级政府采购监督管理部门名称：台州市</w:t>
      </w:r>
      <w:r>
        <w:rPr>
          <w:rFonts w:hint="eastAsia" w:ascii="宋体" w:hAnsi="宋体" w:eastAsia="宋体" w:cs="宋体"/>
          <w:color w:val="auto"/>
          <w:sz w:val="21"/>
          <w:szCs w:val="21"/>
          <w:highlight w:val="none"/>
          <w:lang w:val="en-US" w:eastAsia="zh-CN"/>
        </w:rPr>
        <w:t>路桥</w:t>
      </w:r>
      <w:r>
        <w:rPr>
          <w:rFonts w:hint="eastAsia" w:ascii="宋体" w:hAnsi="宋体" w:eastAsia="宋体" w:cs="宋体"/>
          <w:color w:val="auto"/>
          <w:sz w:val="21"/>
          <w:szCs w:val="21"/>
          <w:highlight w:val="none"/>
        </w:rPr>
        <w:t>区财政局</w:t>
      </w:r>
    </w:p>
    <w:p w14:paraId="7DB3ABB9">
      <w:pPr>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联系人：</w:t>
      </w:r>
      <w:r>
        <w:rPr>
          <w:rFonts w:hint="eastAsia" w:ascii="宋体" w:hAnsi="宋体" w:cs="宋体"/>
          <w:color w:val="auto"/>
          <w:sz w:val="21"/>
          <w:szCs w:val="21"/>
          <w:highlight w:val="none"/>
          <w:lang w:eastAsia="zh-CN"/>
        </w:rPr>
        <w:t>王先生</w:t>
      </w:r>
    </w:p>
    <w:p w14:paraId="16AA3D68">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监督投诉电话：0576-82517851</w:t>
      </w:r>
    </w:p>
    <w:p w14:paraId="4DA2E9F9">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地址：台州市路桥区西路桥大道58号</w:t>
      </w:r>
    </w:p>
    <w:p w14:paraId="64522158">
      <w:pPr>
        <w:pStyle w:val="8"/>
        <w:numPr>
          <w:ilvl w:val="0"/>
          <w:numId w:val="0"/>
        </w:numPr>
        <w:spacing w:line="360" w:lineRule="auto"/>
        <w:ind w:firstLine="422" w:firstLineChars="200"/>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val="en-US" w:eastAsia="zh-CN"/>
        </w:rPr>
        <w:t>4、</w:t>
      </w:r>
      <w:r>
        <w:rPr>
          <w:rFonts w:hint="eastAsia" w:ascii="宋体" w:hAnsi="宋体" w:eastAsia="宋体" w:cs="宋体"/>
          <w:b/>
          <w:bCs/>
          <w:color w:val="auto"/>
          <w:szCs w:val="21"/>
          <w:highlight w:val="none"/>
        </w:rPr>
        <w:t>其余事项</w:t>
      </w:r>
    </w:p>
    <w:p w14:paraId="407ED176">
      <w:pPr>
        <w:jc w:val="both"/>
        <w:rPr>
          <w:rFonts w:hint="eastAsia" w:ascii="宋体" w:hAnsi="宋体" w:eastAsia="宋体" w:cs="宋体"/>
          <w:b w:val="0"/>
          <w:bCs w:val="0"/>
          <w:color w:val="auto"/>
          <w:sz w:val="32"/>
          <w:szCs w:val="32"/>
          <w:highlight w:val="none"/>
        </w:rPr>
      </w:pPr>
      <w:r>
        <w:rPr>
          <w:rFonts w:hint="eastAsia" w:ascii="宋体" w:hAnsi="宋体" w:eastAsia="宋体" w:cs="宋体"/>
          <w:color w:val="auto"/>
          <w:sz w:val="21"/>
          <w:szCs w:val="21"/>
          <w:highlight w:val="none"/>
          <w:lang w:val="en-US" w:eastAsia="zh-CN"/>
        </w:rPr>
        <w:t>（1）合同履</w:t>
      </w:r>
      <w:r>
        <w:rPr>
          <w:rFonts w:hint="eastAsia" w:ascii="宋体" w:hAnsi="宋体" w:eastAsia="宋体" w:cs="宋体"/>
          <w:b w:val="0"/>
          <w:bCs w:val="0"/>
          <w:color w:val="auto"/>
          <w:sz w:val="21"/>
          <w:szCs w:val="21"/>
          <w:highlight w:val="none"/>
        </w:rPr>
        <w:t>约保函联系方式</w:t>
      </w:r>
    </w:p>
    <w:tbl>
      <w:tblPr>
        <w:tblStyle w:val="22"/>
        <w:tblW w:w="8575" w:type="dxa"/>
        <w:tblInd w:w="144"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3387"/>
        <w:gridCol w:w="2288"/>
        <w:gridCol w:w="1276"/>
        <w:gridCol w:w="1624"/>
      </w:tblGrid>
      <w:tr w14:paraId="1B2F756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47" w:hRule="atLeast"/>
        </w:trPr>
        <w:tc>
          <w:tcPr>
            <w:tcW w:w="3387" w:type="dxa"/>
            <w:vAlign w:val="center"/>
          </w:tcPr>
          <w:p w14:paraId="3AD51004">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保险公司名称</w:t>
            </w:r>
          </w:p>
        </w:tc>
        <w:tc>
          <w:tcPr>
            <w:tcW w:w="2288" w:type="dxa"/>
            <w:vAlign w:val="center"/>
          </w:tcPr>
          <w:p w14:paraId="6898C6A8">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保费率</w:t>
            </w:r>
          </w:p>
        </w:tc>
        <w:tc>
          <w:tcPr>
            <w:tcW w:w="1276" w:type="dxa"/>
            <w:vAlign w:val="center"/>
          </w:tcPr>
          <w:p w14:paraId="7BAAF9E3">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联系人</w:t>
            </w:r>
          </w:p>
        </w:tc>
        <w:tc>
          <w:tcPr>
            <w:tcW w:w="1624" w:type="dxa"/>
            <w:vAlign w:val="center"/>
          </w:tcPr>
          <w:p w14:paraId="03F582D3">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联系电话</w:t>
            </w:r>
          </w:p>
        </w:tc>
      </w:tr>
      <w:tr w14:paraId="0F0922E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3610CEAC">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中国人寿财产保险股份有限公司台州中心支公司</w:t>
            </w:r>
          </w:p>
        </w:tc>
        <w:tc>
          <w:tcPr>
            <w:tcW w:w="2288" w:type="dxa"/>
            <w:vAlign w:val="center"/>
          </w:tcPr>
          <w:p w14:paraId="1817EB59">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年费率1%，最低保费500元</w:t>
            </w:r>
          </w:p>
        </w:tc>
        <w:tc>
          <w:tcPr>
            <w:tcW w:w="1276" w:type="dxa"/>
            <w:vAlign w:val="center"/>
          </w:tcPr>
          <w:p w14:paraId="05A024E5">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徐凌</w:t>
            </w:r>
          </w:p>
        </w:tc>
        <w:tc>
          <w:tcPr>
            <w:tcW w:w="1624" w:type="dxa"/>
            <w:vAlign w:val="center"/>
          </w:tcPr>
          <w:p w14:paraId="00E5998A">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13905168070</w:t>
            </w:r>
          </w:p>
        </w:tc>
      </w:tr>
      <w:tr w14:paraId="74DA82E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28E43D35">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永诚财产保险股份有限公司台州分公司</w:t>
            </w:r>
          </w:p>
        </w:tc>
        <w:tc>
          <w:tcPr>
            <w:tcW w:w="2288" w:type="dxa"/>
            <w:vAlign w:val="center"/>
          </w:tcPr>
          <w:p w14:paraId="79E669D9">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年费率1%，最低保费1000元</w:t>
            </w:r>
          </w:p>
        </w:tc>
        <w:tc>
          <w:tcPr>
            <w:tcW w:w="1276" w:type="dxa"/>
            <w:vAlign w:val="center"/>
          </w:tcPr>
          <w:p w14:paraId="31FA56EA">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尹刚强</w:t>
            </w:r>
          </w:p>
        </w:tc>
        <w:tc>
          <w:tcPr>
            <w:tcW w:w="1624" w:type="dxa"/>
            <w:vAlign w:val="center"/>
          </w:tcPr>
          <w:p w14:paraId="28FC4A94">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13750668184</w:t>
            </w:r>
          </w:p>
        </w:tc>
      </w:tr>
      <w:tr w14:paraId="08A7C22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28E8D6C3">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华泰财产保险有限公司台州中心支公司</w:t>
            </w:r>
          </w:p>
        </w:tc>
        <w:tc>
          <w:tcPr>
            <w:tcW w:w="2288" w:type="dxa"/>
            <w:vAlign w:val="center"/>
          </w:tcPr>
          <w:p w14:paraId="04659068">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年费率0.5%，最低保费1000元</w:t>
            </w:r>
          </w:p>
        </w:tc>
        <w:tc>
          <w:tcPr>
            <w:tcW w:w="1276" w:type="dxa"/>
            <w:vAlign w:val="center"/>
          </w:tcPr>
          <w:p w14:paraId="34E537FC">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王灵芳</w:t>
            </w:r>
          </w:p>
        </w:tc>
        <w:tc>
          <w:tcPr>
            <w:tcW w:w="1624" w:type="dxa"/>
            <w:vAlign w:val="center"/>
          </w:tcPr>
          <w:p w14:paraId="3AFF2E15">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88869818 13586123199</w:t>
            </w:r>
          </w:p>
        </w:tc>
      </w:tr>
      <w:tr w14:paraId="4DBB750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551D85F4">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中国大地财产保险股份有限公司台州中心支公司</w:t>
            </w:r>
          </w:p>
        </w:tc>
        <w:tc>
          <w:tcPr>
            <w:tcW w:w="2288" w:type="dxa"/>
            <w:vAlign w:val="center"/>
          </w:tcPr>
          <w:p w14:paraId="2FB3A3B7">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年费率1.5%，最低保费1000元</w:t>
            </w:r>
          </w:p>
        </w:tc>
        <w:tc>
          <w:tcPr>
            <w:tcW w:w="1276" w:type="dxa"/>
            <w:vAlign w:val="center"/>
          </w:tcPr>
          <w:p w14:paraId="4FB5BB90">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徐小明</w:t>
            </w:r>
          </w:p>
        </w:tc>
        <w:tc>
          <w:tcPr>
            <w:tcW w:w="1624" w:type="dxa"/>
            <w:vAlign w:val="center"/>
          </w:tcPr>
          <w:p w14:paraId="7B42CC88">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88552788      13968603112</w:t>
            </w:r>
          </w:p>
        </w:tc>
      </w:tr>
      <w:tr w14:paraId="688EDBD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1C547E3C">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阳光保险台州中心支公司</w:t>
            </w:r>
          </w:p>
        </w:tc>
        <w:tc>
          <w:tcPr>
            <w:tcW w:w="2288" w:type="dxa"/>
            <w:vAlign w:val="center"/>
          </w:tcPr>
          <w:p w14:paraId="78285EEA">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年费率1%，最低保费500元</w:t>
            </w:r>
          </w:p>
        </w:tc>
        <w:tc>
          <w:tcPr>
            <w:tcW w:w="1276" w:type="dxa"/>
            <w:vAlign w:val="center"/>
          </w:tcPr>
          <w:p w14:paraId="09BBC1FF">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林高明</w:t>
            </w:r>
          </w:p>
        </w:tc>
        <w:tc>
          <w:tcPr>
            <w:tcW w:w="1624" w:type="dxa"/>
            <w:vAlign w:val="center"/>
          </w:tcPr>
          <w:p w14:paraId="5674D99C">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15888682693</w:t>
            </w:r>
          </w:p>
        </w:tc>
      </w:tr>
      <w:tr w14:paraId="412A603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47F8E3D6">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中华联合财产保险股份有限公司台州中心支公司</w:t>
            </w:r>
          </w:p>
        </w:tc>
        <w:tc>
          <w:tcPr>
            <w:tcW w:w="2288" w:type="dxa"/>
            <w:vAlign w:val="center"/>
          </w:tcPr>
          <w:p w14:paraId="2AE94616">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年费率2%，最低保费500元</w:t>
            </w:r>
          </w:p>
        </w:tc>
        <w:tc>
          <w:tcPr>
            <w:tcW w:w="1276" w:type="dxa"/>
            <w:vAlign w:val="center"/>
          </w:tcPr>
          <w:p w14:paraId="708B9BD0">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王仙高</w:t>
            </w:r>
          </w:p>
        </w:tc>
        <w:tc>
          <w:tcPr>
            <w:tcW w:w="1624" w:type="dxa"/>
            <w:vAlign w:val="center"/>
          </w:tcPr>
          <w:p w14:paraId="44A316A0">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13858600221</w:t>
            </w:r>
          </w:p>
        </w:tc>
      </w:tr>
      <w:tr w14:paraId="50EFAC3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52300F6E">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中国人民财产保险股份有限公司台州中心支公司</w:t>
            </w:r>
          </w:p>
        </w:tc>
        <w:tc>
          <w:tcPr>
            <w:tcW w:w="2288" w:type="dxa"/>
            <w:vAlign w:val="center"/>
          </w:tcPr>
          <w:p w14:paraId="3805B38F">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年费率0.3%，最低保费1000元</w:t>
            </w:r>
          </w:p>
        </w:tc>
        <w:tc>
          <w:tcPr>
            <w:tcW w:w="1276" w:type="dxa"/>
            <w:vAlign w:val="center"/>
          </w:tcPr>
          <w:p w14:paraId="0AD985BC">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王仙春</w:t>
            </w:r>
          </w:p>
        </w:tc>
        <w:tc>
          <w:tcPr>
            <w:tcW w:w="1624" w:type="dxa"/>
            <w:vAlign w:val="center"/>
          </w:tcPr>
          <w:p w14:paraId="75EE4F9F">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13515769179</w:t>
            </w:r>
          </w:p>
        </w:tc>
      </w:tr>
      <w:tr w14:paraId="7AD6F1B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41D1ACDF">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永安财产保险股份有限公司台州中心支公司</w:t>
            </w:r>
          </w:p>
        </w:tc>
        <w:tc>
          <w:tcPr>
            <w:tcW w:w="2288" w:type="dxa"/>
            <w:vAlign w:val="center"/>
          </w:tcPr>
          <w:p w14:paraId="54E855D1">
            <w:pPr>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年费率0.3%，最低保费1000</w:t>
            </w:r>
            <w:r>
              <w:rPr>
                <w:rFonts w:hint="eastAsia" w:ascii="宋体" w:hAnsi="宋体" w:eastAsia="宋体" w:cs="宋体"/>
                <w:color w:val="auto"/>
                <w:sz w:val="21"/>
                <w:szCs w:val="21"/>
                <w:highlight w:val="none"/>
                <w:lang w:val="en-US" w:eastAsia="zh-CN"/>
              </w:rPr>
              <w:t>元</w:t>
            </w:r>
          </w:p>
        </w:tc>
        <w:tc>
          <w:tcPr>
            <w:tcW w:w="1276" w:type="dxa"/>
            <w:vAlign w:val="center"/>
          </w:tcPr>
          <w:p w14:paraId="36C0998F">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王春宇</w:t>
            </w:r>
          </w:p>
        </w:tc>
        <w:tc>
          <w:tcPr>
            <w:tcW w:w="1624" w:type="dxa"/>
            <w:vAlign w:val="center"/>
          </w:tcPr>
          <w:p w14:paraId="79259BCB">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13676675331</w:t>
            </w:r>
          </w:p>
        </w:tc>
      </w:tr>
    </w:tbl>
    <w:p w14:paraId="4517CEA1">
      <w:pPr>
        <w:jc w:val="both"/>
        <w:rPr>
          <w:rFonts w:hint="eastAsia" w:ascii="宋体" w:hAnsi="宋体" w:eastAsia="宋体" w:cs="宋体"/>
          <w:b/>
          <w:bCs/>
          <w:color w:val="auto"/>
          <w:sz w:val="21"/>
          <w:szCs w:val="21"/>
          <w:highlight w:val="none"/>
        </w:rPr>
      </w:pPr>
    </w:p>
    <w:p w14:paraId="117A2B48">
      <w:pPr>
        <w:jc w:val="both"/>
        <w:rPr>
          <w:rFonts w:hint="eastAsia" w:ascii="宋体" w:hAnsi="宋体" w:eastAsia="宋体" w:cs="宋体"/>
          <w:b w:val="0"/>
          <w:bCs w:val="0"/>
          <w:color w:val="auto"/>
          <w:sz w:val="21"/>
          <w:szCs w:val="21"/>
          <w:highlight w:val="none"/>
        </w:rPr>
      </w:pPr>
      <w:r>
        <w:rPr>
          <w:rFonts w:hint="eastAsia" w:ascii="宋体" w:hAnsi="宋体" w:eastAsia="宋体" w:cs="宋体"/>
          <w:color w:val="auto"/>
          <w:sz w:val="21"/>
          <w:szCs w:val="21"/>
          <w:highlight w:val="none"/>
          <w:lang w:val="en-US" w:eastAsia="zh-CN"/>
        </w:rPr>
        <w:t>（2）预付款</w:t>
      </w:r>
      <w:r>
        <w:rPr>
          <w:rFonts w:hint="eastAsia" w:ascii="宋体" w:hAnsi="宋体" w:eastAsia="宋体" w:cs="宋体"/>
          <w:b w:val="0"/>
          <w:bCs w:val="0"/>
          <w:color w:val="auto"/>
          <w:sz w:val="21"/>
          <w:szCs w:val="21"/>
          <w:highlight w:val="none"/>
        </w:rPr>
        <w:t>保函联系方式</w:t>
      </w:r>
    </w:p>
    <w:tbl>
      <w:tblPr>
        <w:tblStyle w:val="22"/>
        <w:tblW w:w="8562" w:type="dxa"/>
        <w:tblInd w:w="144"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3387"/>
        <w:gridCol w:w="2288"/>
        <w:gridCol w:w="1287"/>
        <w:gridCol w:w="1600"/>
      </w:tblGrid>
      <w:tr w14:paraId="6C6AB48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8" w:hRule="atLeast"/>
        </w:trPr>
        <w:tc>
          <w:tcPr>
            <w:tcW w:w="3387" w:type="dxa"/>
            <w:vAlign w:val="center"/>
          </w:tcPr>
          <w:p w14:paraId="6BEA188A">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保险公司名称</w:t>
            </w:r>
          </w:p>
        </w:tc>
        <w:tc>
          <w:tcPr>
            <w:tcW w:w="2288" w:type="dxa"/>
            <w:vAlign w:val="center"/>
          </w:tcPr>
          <w:p w14:paraId="2D1FF3DA">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保费率</w:t>
            </w:r>
          </w:p>
        </w:tc>
        <w:tc>
          <w:tcPr>
            <w:tcW w:w="1287" w:type="dxa"/>
            <w:vAlign w:val="center"/>
          </w:tcPr>
          <w:p w14:paraId="598D636C">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联系人</w:t>
            </w:r>
          </w:p>
        </w:tc>
        <w:tc>
          <w:tcPr>
            <w:tcW w:w="1600" w:type="dxa"/>
            <w:vAlign w:val="center"/>
          </w:tcPr>
          <w:p w14:paraId="35CE1841">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联系电话</w:t>
            </w:r>
          </w:p>
        </w:tc>
      </w:tr>
      <w:tr w14:paraId="4371FCC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2F6FEF8C">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中国人寿财产保险股份有限公司台州中心支公司</w:t>
            </w:r>
          </w:p>
        </w:tc>
        <w:tc>
          <w:tcPr>
            <w:tcW w:w="2288" w:type="dxa"/>
          </w:tcPr>
          <w:p w14:paraId="409B0ED5">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年费率3%，最低保费500元</w:t>
            </w:r>
          </w:p>
        </w:tc>
        <w:tc>
          <w:tcPr>
            <w:tcW w:w="1287" w:type="dxa"/>
            <w:vAlign w:val="center"/>
          </w:tcPr>
          <w:p w14:paraId="3BED92F5">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徐凌</w:t>
            </w:r>
          </w:p>
        </w:tc>
        <w:tc>
          <w:tcPr>
            <w:tcW w:w="1600" w:type="dxa"/>
            <w:vAlign w:val="center"/>
          </w:tcPr>
          <w:p w14:paraId="013F95C9">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13905168070</w:t>
            </w:r>
          </w:p>
        </w:tc>
      </w:tr>
      <w:tr w14:paraId="1A0A1B7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13B822E5">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阳光保险台州中心支公司</w:t>
            </w:r>
          </w:p>
        </w:tc>
        <w:tc>
          <w:tcPr>
            <w:tcW w:w="2288" w:type="dxa"/>
          </w:tcPr>
          <w:p w14:paraId="0DC11146">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年费率1%，最低保费500元</w:t>
            </w:r>
          </w:p>
        </w:tc>
        <w:tc>
          <w:tcPr>
            <w:tcW w:w="1287" w:type="dxa"/>
            <w:vAlign w:val="center"/>
          </w:tcPr>
          <w:p w14:paraId="74294A84">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林高明</w:t>
            </w:r>
          </w:p>
        </w:tc>
        <w:tc>
          <w:tcPr>
            <w:tcW w:w="1600" w:type="dxa"/>
            <w:vAlign w:val="center"/>
          </w:tcPr>
          <w:p w14:paraId="4A4A0C2A">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15888682693</w:t>
            </w:r>
          </w:p>
        </w:tc>
      </w:tr>
      <w:tr w14:paraId="6A81990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091070C3">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天安财产保险股份有限公司台州中心支公司</w:t>
            </w:r>
          </w:p>
        </w:tc>
        <w:tc>
          <w:tcPr>
            <w:tcW w:w="2288" w:type="dxa"/>
          </w:tcPr>
          <w:p w14:paraId="4DEC24F9">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年费率1%-2%，最低保费500元</w:t>
            </w:r>
          </w:p>
        </w:tc>
        <w:tc>
          <w:tcPr>
            <w:tcW w:w="1287" w:type="dxa"/>
            <w:vAlign w:val="center"/>
          </w:tcPr>
          <w:p w14:paraId="4ADBDBF8">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罗赛</w:t>
            </w:r>
          </w:p>
        </w:tc>
        <w:tc>
          <w:tcPr>
            <w:tcW w:w="1600" w:type="dxa"/>
            <w:vAlign w:val="center"/>
          </w:tcPr>
          <w:p w14:paraId="6D6D1C4F">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13736605643</w:t>
            </w:r>
          </w:p>
        </w:tc>
      </w:tr>
    </w:tbl>
    <w:p w14:paraId="3A9CDB10">
      <w:pPr>
        <w:pStyle w:val="27"/>
        <w:numPr>
          <w:ilvl w:val="0"/>
          <w:numId w:val="0"/>
        </w:numPr>
        <w:spacing w:line="360" w:lineRule="auto"/>
        <w:rPr>
          <w:rFonts w:hint="eastAsia" w:ascii="宋体" w:hAnsi="宋体" w:eastAsia="宋体" w:cs="宋体"/>
          <w:b/>
          <w:bCs/>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w:t>
      </w:r>
      <w:r>
        <w:rPr>
          <w:rFonts w:hint="eastAsia" w:ascii="宋体" w:hAnsi="宋体" w:eastAsia="宋体" w:cs="宋体"/>
          <w:b/>
          <w:bCs/>
          <w:color w:val="auto"/>
          <w:szCs w:val="21"/>
          <w:highlight w:val="none"/>
        </w:rPr>
        <w:t>银行（中标项目贷款咨询）</w:t>
      </w:r>
    </w:p>
    <w:p w14:paraId="6C1A621A">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中标供应商如有融资需求，可使用以下银行的政采贷服务。</w:t>
      </w:r>
    </w:p>
    <w:tbl>
      <w:tblPr>
        <w:tblStyle w:val="21"/>
        <w:tblW w:w="943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3"/>
        <w:gridCol w:w="4860"/>
        <w:gridCol w:w="1537"/>
        <w:gridCol w:w="911"/>
        <w:gridCol w:w="1433"/>
      </w:tblGrid>
      <w:tr w14:paraId="167270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C25D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序号</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98C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银 行 名 称</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773D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政采贷年利率</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0DFB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联系人</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E59E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联系电话</w:t>
            </w:r>
          </w:p>
        </w:tc>
      </w:tr>
      <w:tr w14:paraId="70DF50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8F9D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4DCDE">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中国建设银行股份有限公司台州路桥支行</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466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4.80%</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27FD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徐剑鸿</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221D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15167671223</w:t>
            </w:r>
          </w:p>
        </w:tc>
      </w:tr>
      <w:tr w14:paraId="56BF4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72A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6E71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中国工商银行股份有限公司台州路桥支行</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7E41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3.8%起</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FF23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倪  昊</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4B02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15968680259</w:t>
            </w:r>
          </w:p>
        </w:tc>
      </w:tr>
      <w:tr w14:paraId="480A2B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2B23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50AC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中国农业银行股份有限公司台州路桥支行</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511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3.85%起</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2A95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丁道兵</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0573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13606668045</w:t>
            </w:r>
          </w:p>
        </w:tc>
      </w:tr>
      <w:tr w14:paraId="3976E6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FAA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2EA55">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中国银行股份有限公司台州市路桥区支行</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88B8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AAA9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车  斌</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B80C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13750661198</w:t>
            </w:r>
          </w:p>
        </w:tc>
      </w:tr>
      <w:tr w14:paraId="76DF71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E1F4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9994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台州银行股份有限公司</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F37D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7.08%</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BA46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黄红芹</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E836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13968689000</w:t>
            </w:r>
          </w:p>
        </w:tc>
      </w:tr>
      <w:tr w14:paraId="40AF5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7C24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4987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浙江泰隆商业银行股份有限公司</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1612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7.08%</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211F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冯观凤</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1B22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17858683988</w:t>
            </w:r>
          </w:p>
        </w:tc>
      </w:tr>
      <w:tr w14:paraId="3167E2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B542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C6603">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中国邮政储蓄银行股份有限公司台州市路桥区支行</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AF85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4.35%起</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3F78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沈丹华</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9907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13306566969</w:t>
            </w:r>
          </w:p>
        </w:tc>
      </w:tr>
      <w:tr w14:paraId="2F8D9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706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F6726">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交通银行股份有限公司台州路桥支行</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CCF3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3.80%</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58C4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刘鲁浙</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14C8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15968662111</w:t>
            </w:r>
          </w:p>
        </w:tc>
      </w:tr>
      <w:tr w14:paraId="64FDD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685E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7BAB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兴业银行股份有限公司台州路桥支行</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83DC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4%起</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AA5C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蒋  峰</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4EEA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13586088395</w:t>
            </w:r>
          </w:p>
        </w:tc>
      </w:tr>
      <w:tr w14:paraId="2790F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C6D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D044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中信银行股份有限公司台州路桥支行</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54D6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4.15%起</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90F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曹筱婕</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5A63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18105768199</w:t>
            </w:r>
          </w:p>
        </w:tc>
      </w:tr>
      <w:tr w14:paraId="535771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EDC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8648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浙商银行股份有限公司台州路桥小微企业专营支行</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D117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6.75%</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44FA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庄道勇</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6A1F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13867611023</w:t>
            </w:r>
          </w:p>
        </w:tc>
      </w:tr>
      <w:tr w14:paraId="4E4D6F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07ED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5AE49">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广发银行股份有限公司台州路桥小微企业专营支行</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3E60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5.65%</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E73A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林  春</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B08F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13858687790</w:t>
            </w:r>
          </w:p>
        </w:tc>
      </w:tr>
      <w:tr w14:paraId="2373B7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AD2D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70F9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平安银行股份有限公司台州路桥小微企业专营支行</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CD70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6441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李俊丽</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6155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15906861025</w:t>
            </w:r>
          </w:p>
        </w:tc>
      </w:tr>
      <w:tr w14:paraId="64CBB9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5A3D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2C3E2">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宁波银行股份有限公司台州路桥小微企业专营支行</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93DD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4E3D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李诚杰</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ED0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13395745558</w:t>
            </w:r>
          </w:p>
        </w:tc>
      </w:tr>
      <w:tr w14:paraId="4FD225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9CA3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w:t>
            </w:r>
          </w:p>
        </w:tc>
        <w:tc>
          <w:tcPr>
            <w:tcW w:w="4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DC219">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浙江台州路桥富民村镇银行股份有限公司</w:t>
            </w:r>
          </w:p>
        </w:tc>
        <w:tc>
          <w:tcPr>
            <w:tcW w:w="15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0A7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7.80%</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8782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金根灵</w:t>
            </w:r>
          </w:p>
        </w:tc>
        <w:tc>
          <w:tcPr>
            <w:tcW w:w="14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1729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13157608788</w:t>
            </w:r>
          </w:p>
        </w:tc>
      </w:tr>
    </w:tbl>
    <w:p w14:paraId="741301AD">
      <w:pPr>
        <w:spacing w:line="360" w:lineRule="auto"/>
        <w:rPr>
          <w:rFonts w:hint="eastAsia" w:ascii="宋体" w:hAnsi="宋体" w:eastAsia="宋体" w:cs="宋体"/>
          <w:color w:val="auto"/>
          <w:szCs w:val="21"/>
          <w:highlight w:val="none"/>
        </w:rPr>
      </w:pPr>
    </w:p>
    <w:p w14:paraId="2BB86916">
      <w:pPr>
        <w:keepNext w:val="0"/>
        <w:keepLines w:val="0"/>
        <w:pageBreakBefore w:val="0"/>
        <w:kinsoku/>
        <w:topLinePunct w:val="0"/>
        <w:bidi w:val="0"/>
        <w:spacing w:beforeAutospacing="0" w:afterAutospacing="0" w:line="360" w:lineRule="auto"/>
        <w:rPr>
          <w:rFonts w:hint="eastAsia" w:ascii="宋体" w:hAnsi="宋体" w:eastAsia="宋体" w:cs="宋体"/>
          <w:color w:val="auto"/>
          <w:szCs w:val="21"/>
          <w:highlight w:val="none"/>
        </w:rPr>
      </w:pPr>
      <w:r>
        <w:rPr>
          <w:rFonts w:hint="eastAsia" w:ascii="宋体" w:hAnsi="宋体" w:eastAsia="宋体" w:cs="宋体"/>
          <w:b/>
          <w:color w:val="auto"/>
          <w:szCs w:val="21"/>
          <w:highlight w:val="none"/>
          <w:lang w:val="en-US" w:eastAsia="zh-CN"/>
        </w:rPr>
        <w:t>十一</w:t>
      </w:r>
      <w:r>
        <w:rPr>
          <w:rFonts w:hint="eastAsia" w:ascii="宋体" w:hAnsi="宋体" w:eastAsia="宋体" w:cs="宋体"/>
          <w:b/>
          <w:color w:val="auto"/>
          <w:szCs w:val="21"/>
          <w:highlight w:val="none"/>
        </w:rPr>
        <w:t>、采购（中标）公告发布媒体：</w:t>
      </w:r>
      <w:r>
        <w:rPr>
          <w:rFonts w:hint="eastAsia" w:ascii="宋体" w:hAnsi="宋体" w:eastAsia="宋体" w:cs="宋体"/>
          <w:color w:val="auto"/>
          <w:szCs w:val="21"/>
          <w:highlight w:val="none"/>
        </w:rPr>
        <w:t>浙江政府采购网（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"http://www.zjzfcg.gov.cn/new/" </w:instrText>
      </w:r>
      <w:r>
        <w:rPr>
          <w:rFonts w:hint="eastAsia" w:ascii="宋体" w:hAnsi="宋体" w:eastAsia="宋体" w:cs="宋体"/>
          <w:color w:val="auto"/>
          <w:highlight w:val="none"/>
        </w:rPr>
        <w:fldChar w:fldCharType="separate"/>
      </w:r>
      <w:r>
        <w:rPr>
          <w:rStyle w:val="26"/>
          <w:rFonts w:hint="eastAsia" w:ascii="宋体" w:hAnsi="宋体" w:eastAsia="宋体" w:cs="宋体"/>
          <w:color w:val="auto"/>
          <w:szCs w:val="21"/>
          <w:highlight w:val="none"/>
        </w:rPr>
        <w:t>http://zfcg.czt.zj.gov.cn</w:t>
      </w:r>
      <w:r>
        <w:rPr>
          <w:rStyle w:val="26"/>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w:t>
      </w:r>
    </w:p>
    <w:p w14:paraId="1E0785BD">
      <w:pPr>
        <w:keepNext w:val="0"/>
        <w:keepLines w:val="0"/>
        <w:pageBreakBefore w:val="0"/>
        <w:kinsoku/>
        <w:topLinePunct w:val="0"/>
        <w:bidi w:val="0"/>
        <w:spacing w:beforeAutospacing="0" w:afterAutospacing="0" w:line="360" w:lineRule="auto"/>
        <w:ind w:right="-252" w:rightChars="-120"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备注：请贵单位下载本次招标采购文件后，认真阅读各项内容，进行必要的准备工作，按文件的要求详细填写和编制响应文件，并按以上确定的时间、地点准时上传投标文件。</w:t>
      </w:r>
    </w:p>
    <w:p w14:paraId="03B04344">
      <w:pPr>
        <w:spacing w:line="240" w:lineRule="auto"/>
        <w:jc w:val="righ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台州永安工程咨询有限公司</w:t>
      </w:r>
    </w:p>
    <w:p w14:paraId="51F67A3D">
      <w:pPr>
        <w:pStyle w:val="7"/>
        <w:jc w:val="right"/>
        <w:rPr>
          <w:rFonts w:hint="eastAsia" w:ascii="宋体" w:hAnsi="宋体" w:eastAsia="宋体" w:cs="宋体"/>
          <w:b/>
          <w:color w:val="auto"/>
          <w:sz w:val="36"/>
          <w:szCs w:val="36"/>
          <w:highlight w:val="none"/>
        </w:rPr>
        <w:sectPr>
          <w:headerReference r:id="rId3" w:type="default"/>
          <w:footerReference r:id="rId4" w:type="default"/>
          <w:pgSz w:w="11906" w:h="16838"/>
          <w:pgMar w:top="1440" w:right="1440" w:bottom="1440" w:left="1803" w:header="851" w:footer="992" w:gutter="0"/>
          <w:pgNumType w:fmt="decimal"/>
          <w:cols w:space="0" w:num="1"/>
          <w:docGrid w:type="lines" w:linePitch="325" w:charSpace="0"/>
        </w:sectPr>
      </w:pPr>
      <w:r>
        <w:rPr>
          <w:rFonts w:hint="eastAsia" w:ascii="宋体" w:hAnsi="宋体" w:cs="宋体"/>
          <w:color w:val="auto"/>
          <w:sz w:val="21"/>
          <w:szCs w:val="21"/>
          <w:highlight w:val="none"/>
          <w:lang w:eastAsia="zh-CN"/>
        </w:rPr>
        <w:t>二○二五年四月</w:t>
      </w:r>
    </w:p>
    <w:p w14:paraId="3AE2B220">
      <w:pPr>
        <w:numPr>
          <w:ilvl w:val="0"/>
          <w:numId w:val="0"/>
        </w:num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lang w:val="en-US" w:eastAsia="zh-CN"/>
        </w:rPr>
        <w:t xml:space="preserve">第二章 </w:t>
      </w:r>
      <w:r>
        <w:rPr>
          <w:rFonts w:hint="eastAsia" w:ascii="宋体" w:hAnsi="宋体" w:eastAsia="宋体" w:cs="宋体"/>
          <w:b/>
          <w:color w:val="auto"/>
          <w:sz w:val="36"/>
          <w:szCs w:val="36"/>
          <w:highlight w:val="none"/>
        </w:rPr>
        <w:t>投标人须知</w:t>
      </w:r>
    </w:p>
    <w:p w14:paraId="4B5FD73A">
      <w:pPr>
        <w:spacing w:line="360" w:lineRule="auto"/>
        <w:jc w:val="center"/>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前</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附</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表</w:t>
      </w:r>
    </w:p>
    <w:tbl>
      <w:tblPr>
        <w:tblStyle w:val="21"/>
        <w:tblW w:w="95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1420"/>
        <w:gridCol w:w="7362"/>
      </w:tblGrid>
      <w:tr w14:paraId="08AA5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757" w:type="dxa"/>
            <w:vAlign w:val="center"/>
          </w:tcPr>
          <w:p w14:paraId="11A70BA5">
            <w:pPr>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1420" w:type="dxa"/>
            <w:vAlign w:val="center"/>
          </w:tcPr>
          <w:p w14:paraId="0FBA3409">
            <w:pPr>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w:t>
            </w:r>
          </w:p>
        </w:tc>
        <w:tc>
          <w:tcPr>
            <w:tcW w:w="7362" w:type="dxa"/>
            <w:vAlign w:val="center"/>
          </w:tcPr>
          <w:p w14:paraId="1EF9E431">
            <w:pPr>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内容</w:t>
            </w:r>
          </w:p>
        </w:tc>
      </w:tr>
      <w:tr w14:paraId="209A5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6" w:hRule="atLeast"/>
          <w:jc w:val="center"/>
        </w:trPr>
        <w:tc>
          <w:tcPr>
            <w:tcW w:w="757" w:type="dxa"/>
            <w:vAlign w:val="center"/>
          </w:tcPr>
          <w:p w14:paraId="73ED8BC4">
            <w:pPr>
              <w:spacing w:line="240"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p>
        </w:tc>
        <w:tc>
          <w:tcPr>
            <w:tcW w:w="1420" w:type="dxa"/>
            <w:vAlign w:val="center"/>
          </w:tcPr>
          <w:p w14:paraId="5C13FE7A">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项目说明</w:t>
            </w:r>
          </w:p>
        </w:tc>
        <w:tc>
          <w:tcPr>
            <w:tcW w:w="7362" w:type="dxa"/>
            <w:vAlign w:val="center"/>
          </w:tcPr>
          <w:p w14:paraId="64B042C3">
            <w:pPr>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项目类别：服务类</w:t>
            </w:r>
          </w:p>
          <w:p w14:paraId="088C8C42">
            <w:pPr>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采购标的所属行业：根据《工业和信息化部、国家统计局、国家发展和改革委员会、财政部关于印发中小企业划型标准规定的通知》（工信部联企业[2011]300号）规定，本项目采购标的对应的中小企业划分标准所属行业为</w:t>
            </w:r>
            <w:r>
              <w:rPr>
                <w:rFonts w:hint="eastAsia" w:ascii="宋体" w:hAnsi="宋体" w:eastAsia="宋体" w:cs="宋体"/>
                <w:color w:val="auto"/>
                <w:sz w:val="21"/>
                <w:szCs w:val="21"/>
                <w:highlight w:val="none"/>
                <w:lang w:eastAsia="zh-CN"/>
              </w:rPr>
              <w:t>（十五）租赁和商务服务业</w:t>
            </w:r>
            <w:r>
              <w:rPr>
                <w:rFonts w:hint="eastAsia" w:ascii="宋体" w:hAnsi="宋体" w:cs="宋体"/>
                <w:color w:val="auto"/>
                <w:sz w:val="21"/>
                <w:szCs w:val="21"/>
                <w:highlight w:val="none"/>
                <w:lang w:eastAsia="zh-CN"/>
              </w:rPr>
              <w:t>。</w:t>
            </w:r>
          </w:p>
        </w:tc>
      </w:tr>
      <w:tr w14:paraId="11B77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57" w:type="dxa"/>
            <w:vAlign w:val="center"/>
          </w:tcPr>
          <w:p w14:paraId="35026C3C">
            <w:pPr>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p>
        </w:tc>
        <w:tc>
          <w:tcPr>
            <w:tcW w:w="1420" w:type="dxa"/>
            <w:vAlign w:val="center"/>
          </w:tcPr>
          <w:p w14:paraId="695872B0">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供应商特定资格要求</w:t>
            </w:r>
          </w:p>
        </w:tc>
        <w:tc>
          <w:tcPr>
            <w:tcW w:w="7362" w:type="dxa"/>
            <w:vAlign w:val="center"/>
          </w:tcPr>
          <w:p w14:paraId="6C362104">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符合招标公告资格要求的供应商</w:t>
            </w:r>
          </w:p>
        </w:tc>
      </w:tr>
      <w:tr w14:paraId="6CDAA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57" w:type="dxa"/>
            <w:vAlign w:val="center"/>
          </w:tcPr>
          <w:p w14:paraId="44F12EBF">
            <w:pPr>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p>
        </w:tc>
        <w:tc>
          <w:tcPr>
            <w:tcW w:w="1420" w:type="dxa"/>
            <w:vAlign w:val="center"/>
          </w:tcPr>
          <w:p w14:paraId="48681A47">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答疑会或现场踏勘</w:t>
            </w:r>
          </w:p>
        </w:tc>
        <w:tc>
          <w:tcPr>
            <w:tcW w:w="7362" w:type="dxa"/>
            <w:vAlign w:val="center"/>
          </w:tcPr>
          <w:p w14:paraId="630340BE">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无</w:t>
            </w:r>
          </w:p>
        </w:tc>
      </w:tr>
      <w:tr w14:paraId="6B00E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5" w:hRule="atLeast"/>
          <w:jc w:val="center"/>
        </w:trPr>
        <w:tc>
          <w:tcPr>
            <w:tcW w:w="757" w:type="dxa"/>
            <w:vAlign w:val="center"/>
          </w:tcPr>
          <w:p w14:paraId="5B11C751">
            <w:pPr>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p>
        </w:tc>
        <w:tc>
          <w:tcPr>
            <w:tcW w:w="1420" w:type="dxa"/>
            <w:vAlign w:val="center"/>
          </w:tcPr>
          <w:p w14:paraId="057BD33D">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w:t>
            </w:r>
            <w:r>
              <w:rPr>
                <w:rFonts w:hint="eastAsia" w:ascii="宋体" w:hAnsi="宋体" w:eastAsia="宋体" w:cs="宋体"/>
                <w:color w:val="auto"/>
                <w:sz w:val="21"/>
                <w:szCs w:val="21"/>
                <w:highlight w:val="none"/>
                <w:lang w:val="en-US" w:eastAsia="zh-CN"/>
              </w:rPr>
              <w:t>组成</w:t>
            </w:r>
            <w:r>
              <w:rPr>
                <w:rFonts w:hint="eastAsia" w:ascii="宋体" w:hAnsi="宋体" w:eastAsia="宋体" w:cs="宋体"/>
                <w:color w:val="auto"/>
                <w:sz w:val="21"/>
                <w:szCs w:val="21"/>
                <w:highlight w:val="none"/>
              </w:rPr>
              <w:t>要求</w:t>
            </w:r>
          </w:p>
        </w:tc>
        <w:tc>
          <w:tcPr>
            <w:tcW w:w="7362" w:type="dxa"/>
            <w:vAlign w:val="center"/>
          </w:tcPr>
          <w:p w14:paraId="36CA76F5">
            <w:pPr>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本项目实行电子投标，供应商应准备电子投标文件、</w:t>
            </w:r>
            <w:r>
              <w:rPr>
                <w:rFonts w:hint="eastAsia" w:ascii="宋体" w:hAnsi="宋体" w:eastAsia="宋体" w:cs="宋体"/>
                <w:color w:val="auto"/>
                <w:sz w:val="21"/>
                <w:szCs w:val="21"/>
                <w:highlight w:val="none"/>
                <w:lang w:val="en-US" w:eastAsia="zh-CN"/>
              </w:rPr>
              <w:t>还可以提供</w:t>
            </w:r>
            <w:r>
              <w:rPr>
                <w:rFonts w:hint="eastAsia" w:ascii="宋体" w:hAnsi="宋体" w:eastAsia="宋体" w:cs="宋体"/>
                <w:color w:val="auto"/>
                <w:sz w:val="21"/>
                <w:szCs w:val="21"/>
                <w:highlight w:val="none"/>
              </w:rPr>
              <w:t>以介质（U盘）存储的数据电文形式的备份投标文件</w:t>
            </w:r>
            <w:r>
              <w:rPr>
                <w:rFonts w:hint="eastAsia" w:ascii="宋体" w:hAnsi="宋体" w:eastAsia="宋体" w:cs="宋体"/>
                <w:color w:val="auto"/>
                <w:sz w:val="21"/>
                <w:szCs w:val="21"/>
                <w:highlight w:val="none"/>
                <w:lang w:eastAsia="zh-CN"/>
              </w:rPr>
              <w:t>。</w:t>
            </w:r>
          </w:p>
          <w:p w14:paraId="096CE4A5">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电子投标文件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指通过“</w:t>
            </w:r>
            <w:r>
              <w:rPr>
                <w:rFonts w:hint="eastAsia" w:ascii="宋体" w:hAnsi="宋体" w:eastAsia="宋体" w:cs="宋体"/>
                <w:color w:val="auto"/>
                <w:sz w:val="21"/>
                <w:szCs w:val="21"/>
                <w:highlight w:val="none"/>
                <w:lang w:eastAsia="zh-CN"/>
              </w:rPr>
              <w:t>政采云电子投标客户端</w:t>
            </w:r>
            <w:r>
              <w:rPr>
                <w:rFonts w:hint="eastAsia" w:ascii="宋体" w:hAnsi="宋体" w:eastAsia="宋体" w:cs="宋体"/>
                <w:color w:val="auto"/>
                <w:sz w:val="21"/>
                <w:szCs w:val="21"/>
                <w:highlight w:val="none"/>
              </w:rPr>
              <w:t>”完成</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文件编制后生成并加密的数据电文形式的</w:t>
            </w:r>
            <w:r>
              <w:rPr>
                <w:rFonts w:hint="eastAsia" w:ascii="宋体" w:hAnsi="宋体" w:eastAsia="宋体" w:cs="宋体"/>
                <w:color w:val="auto"/>
                <w:sz w:val="21"/>
                <w:szCs w:val="21"/>
                <w:highlight w:val="none"/>
                <w:lang w:val="en-US" w:eastAsia="zh-CN"/>
              </w:rPr>
              <w:t>电子投标</w:t>
            </w:r>
            <w:r>
              <w:rPr>
                <w:rFonts w:hint="eastAsia" w:ascii="宋体" w:hAnsi="宋体" w:eastAsia="宋体" w:cs="宋体"/>
                <w:color w:val="auto"/>
                <w:sz w:val="21"/>
                <w:szCs w:val="21"/>
                <w:highlight w:val="none"/>
              </w:rPr>
              <w:t>文件。</w:t>
            </w:r>
          </w:p>
          <w:p w14:paraId="38D5B140">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备份</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文件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是指“电子投标文件”同时生成的数据电文形式的电子文件（备份标书），以U盘形式提供。</w:t>
            </w:r>
          </w:p>
          <w:p w14:paraId="50324F2B">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以上两类</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文件均由资格</w:t>
            </w:r>
            <w:r>
              <w:rPr>
                <w:rFonts w:hint="eastAsia" w:ascii="宋体" w:hAnsi="宋体" w:eastAsia="宋体" w:cs="宋体"/>
                <w:color w:val="auto"/>
                <w:sz w:val="21"/>
                <w:szCs w:val="21"/>
                <w:highlight w:val="none"/>
                <w:lang w:val="en-US" w:eastAsia="zh-CN"/>
              </w:rPr>
              <w:t>证明文件</w:t>
            </w:r>
            <w:r>
              <w:rPr>
                <w:rFonts w:hint="eastAsia" w:ascii="宋体" w:hAnsi="宋体" w:eastAsia="宋体" w:cs="宋体"/>
                <w:color w:val="auto"/>
                <w:sz w:val="21"/>
                <w:szCs w:val="21"/>
                <w:highlight w:val="none"/>
              </w:rPr>
              <w:t>、商务技术文件、报价文件三部分组成。</w:t>
            </w:r>
          </w:p>
        </w:tc>
      </w:tr>
      <w:tr w14:paraId="3B8CD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57" w:type="dxa"/>
            <w:vAlign w:val="center"/>
          </w:tcPr>
          <w:p w14:paraId="4C1A34A5">
            <w:pPr>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1420" w:type="dxa"/>
            <w:vAlign w:val="center"/>
          </w:tcPr>
          <w:p w14:paraId="1757934D">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w:t>
            </w:r>
            <w:r>
              <w:rPr>
                <w:rFonts w:hint="eastAsia" w:ascii="宋体" w:hAnsi="宋体" w:eastAsia="宋体" w:cs="宋体"/>
                <w:color w:val="auto"/>
                <w:sz w:val="21"/>
                <w:szCs w:val="21"/>
                <w:highlight w:val="none"/>
                <w:lang w:val="en-US" w:eastAsia="zh-CN"/>
              </w:rPr>
              <w:t>文件</w:t>
            </w:r>
            <w:r>
              <w:rPr>
                <w:rFonts w:hint="eastAsia" w:ascii="宋体" w:hAnsi="宋体" w:eastAsia="宋体" w:cs="宋体"/>
                <w:color w:val="auto"/>
                <w:sz w:val="21"/>
                <w:szCs w:val="21"/>
                <w:highlight w:val="none"/>
              </w:rPr>
              <w:t>有效期</w:t>
            </w:r>
          </w:p>
        </w:tc>
        <w:tc>
          <w:tcPr>
            <w:tcW w:w="7362" w:type="dxa"/>
            <w:vAlign w:val="center"/>
          </w:tcPr>
          <w:p w14:paraId="79B9DF5D">
            <w:pPr>
              <w:spacing w:line="240" w:lineRule="auto"/>
              <w:rPr>
                <w:rFonts w:hint="eastAsia" w:ascii="宋体" w:hAnsi="宋体" w:eastAsia="宋体" w:cs="宋体"/>
                <w:color w:val="auto"/>
                <w:sz w:val="21"/>
                <w:szCs w:val="21"/>
                <w:highlight w:val="none"/>
              </w:rPr>
            </w:pPr>
            <w:r>
              <w:rPr>
                <w:rFonts w:hint="eastAsia" w:ascii="宋体" w:hAnsi="宋体" w:eastAsia="宋体" w:cs="宋体"/>
                <w:b/>
                <w:bCs/>
                <w:color w:val="auto"/>
                <w:kern w:val="0"/>
                <w:sz w:val="21"/>
                <w:szCs w:val="21"/>
                <w:highlight w:val="none"/>
                <w:lang w:val="en-US" w:eastAsia="zh-CN" w:bidi="ar-SA"/>
              </w:rPr>
              <w:t>▲</w:t>
            </w:r>
            <w:r>
              <w:rPr>
                <w:rFonts w:hint="eastAsia" w:ascii="宋体" w:hAnsi="宋体" w:eastAsia="宋体" w:cs="宋体"/>
                <w:color w:val="auto"/>
                <w:sz w:val="21"/>
                <w:szCs w:val="21"/>
                <w:highlight w:val="none"/>
              </w:rPr>
              <w:t>投标有效期为90天，投标有效期从提交投标文件的截止之日起算。</w:t>
            </w:r>
          </w:p>
        </w:tc>
      </w:tr>
      <w:tr w14:paraId="56A91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jc w:val="center"/>
        </w:trPr>
        <w:tc>
          <w:tcPr>
            <w:tcW w:w="757" w:type="dxa"/>
            <w:vAlign w:val="center"/>
          </w:tcPr>
          <w:p w14:paraId="0C550749">
            <w:pPr>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w:t>
            </w:r>
          </w:p>
        </w:tc>
        <w:tc>
          <w:tcPr>
            <w:tcW w:w="1420" w:type="dxa"/>
            <w:vAlign w:val="center"/>
          </w:tcPr>
          <w:p w14:paraId="63057E79">
            <w:pPr>
              <w:pStyle w:val="7"/>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电子投标文件的传输递交</w:t>
            </w:r>
          </w:p>
        </w:tc>
        <w:tc>
          <w:tcPr>
            <w:tcW w:w="7362" w:type="dxa"/>
            <w:vAlign w:val="center"/>
          </w:tcPr>
          <w:p w14:paraId="71D47B63">
            <w:pPr>
              <w:keepNext w:val="0"/>
              <w:keepLines w:val="0"/>
              <w:pageBreakBefore w:val="0"/>
              <w:kinsoku/>
              <w:wordWrap/>
              <w:overflowPunct/>
              <w:topLinePunct w:val="0"/>
              <w:bidi w:val="0"/>
              <w:spacing w:line="240" w:lineRule="auto"/>
              <w:rPr>
                <w:rFonts w:hint="eastAsia" w:ascii="宋体" w:hAnsi="宋体" w:eastAsia="宋体" w:cs="宋体"/>
                <w:b/>
                <w:bCs/>
                <w:color w:val="auto"/>
                <w:kern w:val="2"/>
                <w:sz w:val="21"/>
                <w:szCs w:val="21"/>
                <w:highlight w:val="none"/>
                <w:u w:val="single"/>
                <w:lang w:val="en-US" w:eastAsia="zh-CN" w:bidi="ar-SA"/>
              </w:rPr>
            </w:pPr>
            <w:r>
              <w:rPr>
                <w:rFonts w:hint="eastAsia" w:ascii="宋体" w:hAnsi="宋体" w:eastAsia="宋体" w:cs="宋体"/>
                <w:b/>
                <w:bCs/>
                <w:color w:val="auto"/>
                <w:kern w:val="2"/>
                <w:sz w:val="21"/>
                <w:szCs w:val="21"/>
                <w:highlight w:val="none"/>
                <w:lang w:val="en-US" w:eastAsia="zh-CN" w:bidi="ar-SA"/>
              </w:rPr>
              <w:t>截止时间：</w:t>
            </w:r>
            <w:r>
              <w:rPr>
                <w:rFonts w:hint="eastAsia" w:ascii="宋体" w:hAnsi="宋体" w:eastAsia="宋体" w:cs="宋体"/>
                <w:b w:val="0"/>
                <w:bCs w:val="0"/>
                <w:color w:val="auto"/>
                <w:kern w:val="2"/>
                <w:sz w:val="21"/>
                <w:szCs w:val="21"/>
                <w:highlight w:val="none"/>
                <w:lang w:val="en-US" w:eastAsia="zh-CN" w:bidi="ar-SA"/>
              </w:rPr>
              <w:t xml:space="preserve"> </w:t>
            </w:r>
            <w:r>
              <w:rPr>
                <w:rFonts w:hint="eastAsia" w:ascii="宋体" w:hAnsi="宋体" w:cs="宋体"/>
                <w:b/>
                <w:bCs/>
                <w:color w:val="auto"/>
                <w:kern w:val="2"/>
                <w:sz w:val="21"/>
                <w:szCs w:val="21"/>
                <w:highlight w:val="none"/>
                <w:u w:val="single"/>
                <w:lang w:val="en-US" w:eastAsia="zh-CN" w:bidi="ar-SA"/>
              </w:rPr>
              <w:t>2025年5月6日14:30</w:t>
            </w:r>
            <w:r>
              <w:rPr>
                <w:rFonts w:hint="eastAsia" w:ascii="宋体" w:hAnsi="宋体" w:eastAsia="宋体" w:cs="宋体"/>
                <w:b/>
                <w:bCs/>
                <w:color w:val="auto"/>
                <w:kern w:val="2"/>
                <w:sz w:val="21"/>
                <w:szCs w:val="21"/>
                <w:highlight w:val="none"/>
                <w:u w:val="single"/>
                <w:lang w:val="en-US" w:eastAsia="zh-CN" w:bidi="ar-SA"/>
              </w:rPr>
              <w:t>整</w:t>
            </w:r>
          </w:p>
          <w:p w14:paraId="06D57CD6">
            <w:pPr>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kern w:val="2"/>
                <w:sz w:val="21"/>
                <w:szCs w:val="21"/>
                <w:highlight w:val="none"/>
                <w:lang w:val="en-US" w:eastAsia="zh-CN" w:bidi="ar-SA"/>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寄达的投标文件，将被拒收。</w:t>
            </w:r>
          </w:p>
        </w:tc>
      </w:tr>
      <w:tr w14:paraId="29265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8" w:hRule="atLeast"/>
          <w:jc w:val="center"/>
        </w:trPr>
        <w:tc>
          <w:tcPr>
            <w:tcW w:w="757" w:type="dxa"/>
            <w:vAlign w:val="center"/>
          </w:tcPr>
          <w:p w14:paraId="13BF8A55">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1420" w:type="dxa"/>
            <w:vAlign w:val="center"/>
          </w:tcPr>
          <w:p w14:paraId="5CC056C3">
            <w:pPr>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备份投标文件的递交</w:t>
            </w:r>
          </w:p>
        </w:tc>
        <w:tc>
          <w:tcPr>
            <w:tcW w:w="7362" w:type="dxa"/>
            <w:vAlign w:val="center"/>
          </w:tcPr>
          <w:p w14:paraId="5F3973CF">
            <w:pPr>
              <w:pStyle w:val="50"/>
              <w:snapToGrid w:val="0"/>
              <w:spacing w:line="240" w:lineRule="auto"/>
              <w:rPr>
                <w:rFonts w:hint="eastAsia" w:ascii="宋体" w:hAnsi="宋体" w:eastAsia="宋体" w:cs="宋体"/>
                <w:color w:val="auto"/>
                <w:kern w:val="2"/>
                <w:highlight w:val="none"/>
              </w:rPr>
            </w:pPr>
            <w:r>
              <w:rPr>
                <w:rFonts w:hint="eastAsia" w:ascii="宋体" w:hAnsi="宋体" w:eastAsia="宋体" w:cs="宋体"/>
                <w:color w:val="auto"/>
                <w:kern w:val="2"/>
                <w:highlight w:val="none"/>
              </w:rPr>
              <w:t>供应商同时还可以提供经政采云平台加密处理的、以介质（U盘）存储的数据电文形式的备份投标文件（不强制要求，未递交备份文件的风险由供应商自行承担）。递交备份</w:t>
            </w:r>
            <w:r>
              <w:rPr>
                <w:rFonts w:hint="eastAsia" w:ascii="宋体" w:hAnsi="宋体" w:eastAsia="宋体" w:cs="宋体"/>
                <w:color w:val="auto"/>
                <w:kern w:val="2"/>
                <w:highlight w:val="none"/>
                <w:lang w:val="en-US" w:eastAsia="zh-CN"/>
              </w:rPr>
              <w:t>投标</w:t>
            </w:r>
            <w:r>
              <w:rPr>
                <w:rFonts w:hint="eastAsia" w:ascii="宋体" w:hAnsi="宋体" w:eastAsia="宋体" w:cs="宋体"/>
                <w:color w:val="auto"/>
                <w:kern w:val="2"/>
                <w:highlight w:val="none"/>
              </w:rPr>
              <w:t>文件的，供应商应当在投标截止时间前按要求密封（备份投标文件在密封袋的封口处加盖投标人公章、法定代表人代表或授权委托代理人印章或签字。封皮上写明项目编号、标项、招标项目名称、投标人名称，并注明“投标文件名称”、“开标时启封”字样）并</w:t>
            </w:r>
            <w:r>
              <w:rPr>
                <w:rFonts w:hint="eastAsia" w:ascii="宋体" w:hAnsi="宋体" w:eastAsia="宋体" w:cs="宋体"/>
                <w:color w:val="auto"/>
                <w:kern w:val="2"/>
                <w:highlight w:val="none"/>
                <w:lang w:val="en-US" w:eastAsia="zh-CN"/>
              </w:rPr>
              <w:t>建议</w:t>
            </w:r>
            <w:r>
              <w:rPr>
                <w:rFonts w:hint="eastAsia" w:ascii="宋体" w:hAnsi="宋体" w:eastAsia="宋体" w:cs="宋体"/>
                <w:color w:val="auto"/>
                <w:kern w:val="2"/>
                <w:highlight w:val="none"/>
              </w:rPr>
              <w:t>顺丰邮寄或直接递交到</w:t>
            </w:r>
            <w:r>
              <w:rPr>
                <w:rFonts w:hint="eastAsia" w:ascii="宋体" w:hAnsi="宋体" w:eastAsia="宋体" w:cs="宋体"/>
                <w:b/>
                <w:bCs/>
                <w:color w:val="auto"/>
                <w:kern w:val="2"/>
                <w:highlight w:val="none"/>
              </w:rPr>
              <w:t>台州市椒江区中环世纪6幢801室（交通银行台州分行楼上）收件人：俞雅琪；联系电话：15757696186</w:t>
            </w:r>
            <w:r>
              <w:rPr>
                <w:rFonts w:hint="eastAsia" w:ascii="宋体" w:hAnsi="宋体" w:eastAsia="宋体" w:cs="宋体"/>
                <w:color w:val="auto"/>
                <w:kern w:val="2"/>
                <w:highlight w:val="none"/>
              </w:rPr>
              <w:t>，逾期寄达</w:t>
            </w:r>
            <w:r>
              <w:rPr>
                <w:rFonts w:hint="eastAsia" w:ascii="宋体" w:hAnsi="宋体" w:eastAsia="宋体" w:cs="宋体"/>
                <w:color w:val="auto"/>
                <w:kern w:val="2"/>
                <w:highlight w:val="none"/>
                <w:lang w:eastAsia="zh-CN"/>
              </w:rPr>
              <w:t>、</w:t>
            </w:r>
            <w:r>
              <w:rPr>
                <w:rFonts w:hint="eastAsia" w:ascii="宋体" w:hAnsi="宋体" w:eastAsia="宋体" w:cs="宋体"/>
                <w:color w:val="auto"/>
                <w:kern w:val="2"/>
                <w:highlight w:val="none"/>
                <w:lang w:val="en-US" w:eastAsia="zh-CN"/>
              </w:rPr>
              <w:t>到付</w:t>
            </w:r>
            <w:r>
              <w:rPr>
                <w:rFonts w:hint="eastAsia" w:ascii="宋体" w:hAnsi="宋体" w:eastAsia="宋体" w:cs="宋体"/>
                <w:color w:val="auto"/>
                <w:kern w:val="2"/>
                <w:highlight w:val="none"/>
              </w:rPr>
              <w:t>或未按要求密封将被拒收。</w:t>
            </w:r>
            <w:r>
              <w:rPr>
                <w:rFonts w:hint="eastAsia" w:ascii="宋体" w:hAnsi="宋体" w:eastAsia="宋体" w:cs="宋体"/>
                <w:color w:val="auto"/>
                <w:szCs w:val="21"/>
                <w:highlight w:val="none"/>
              </w:rPr>
              <w:t>▲</w:t>
            </w:r>
            <w:r>
              <w:rPr>
                <w:rFonts w:hint="eastAsia" w:ascii="宋体" w:hAnsi="宋体" w:eastAsia="宋体" w:cs="宋体"/>
                <w:color w:val="auto"/>
                <w:kern w:val="2"/>
                <w:highlight w:val="none"/>
              </w:rPr>
              <w:t>如投标人未在投标截止时间前完成电子投标文件的传输递交，其备份投标文件也将为无效投标文件。</w:t>
            </w:r>
          </w:p>
          <w:p w14:paraId="38AADCAB">
            <w:pPr>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rPr>
            </w:pPr>
            <w:r>
              <w:rPr>
                <w:rFonts w:hint="eastAsia" w:ascii="宋体" w:hAnsi="宋体" w:eastAsia="宋体" w:cs="宋体"/>
                <w:b/>
                <w:bCs/>
                <w:color w:val="auto"/>
                <w:kern w:val="2"/>
                <w:sz w:val="21"/>
                <w:szCs w:val="21"/>
                <w:highlight w:val="none"/>
                <w:lang w:val="en-US" w:eastAsia="zh-CN" w:bidi="ar-SA"/>
              </w:rPr>
              <w:t>截止时间：</w:t>
            </w:r>
            <w:r>
              <w:rPr>
                <w:rFonts w:hint="eastAsia" w:ascii="宋体" w:hAnsi="宋体" w:eastAsia="宋体" w:cs="宋体"/>
                <w:b/>
                <w:bCs/>
                <w:color w:val="auto"/>
                <w:kern w:val="2"/>
                <w:sz w:val="21"/>
                <w:szCs w:val="21"/>
                <w:highlight w:val="none"/>
                <w:u w:val="single"/>
                <w:lang w:val="en-US" w:eastAsia="zh-CN" w:bidi="ar-SA"/>
              </w:rPr>
              <w:t xml:space="preserve"> </w:t>
            </w:r>
            <w:r>
              <w:rPr>
                <w:rFonts w:hint="eastAsia" w:ascii="宋体" w:hAnsi="宋体" w:cs="宋体"/>
                <w:b/>
                <w:bCs/>
                <w:color w:val="auto"/>
                <w:kern w:val="2"/>
                <w:sz w:val="21"/>
                <w:szCs w:val="21"/>
                <w:highlight w:val="none"/>
                <w:u w:val="single"/>
                <w:lang w:val="en-US" w:eastAsia="zh-CN" w:bidi="ar-SA"/>
              </w:rPr>
              <w:t>2025年5月6日14:30</w:t>
            </w:r>
            <w:r>
              <w:rPr>
                <w:rFonts w:hint="eastAsia" w:ascii="宋体" w:hAnsi="宋体" w:eastAsia="宋体" w:cs="宋体"/>
                <w:b/>
                <w:bCs/>
                <w:color w:val="auto"/>
                <w:kern w:val="2"/>
                <w:sz w:val="21"/>
                <w:szCs w:val="21"/>
                <w:highlight w:val="none"/>
                <w:u w:val="single"/>
                <w:lang w:val="en-US" w:eastAsia="zh-CN" w:bidi="ar-SA"/>
              </w:rPr>
              <w:t>整</w:t>
            </w:r>
          </w:p>
        </w:tc>
      </w:tr>
      <w:tr w14:paraId="14E5B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5" w:hRule="atLeast"/>
          <w:jc w:val="center"/>
        </w:trPr>
        <w:tc>
          <w:tcPr>
            <w:tcW w:w="757" w:type="dxa"/>
            <w:vAlign w:val="center"/>
          </w:tcPr>
          <w:p w14:paraId="0BFD4F29">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1420" w:type="dxa"/>
            <w:vAlign w:val="center"/>
          </w:tcPr>
          <w:p w14:paraId="4212E6AB">
            <w:pPr>
              <w:keepNext w:val="0"/>
              <w:keepLines w:val="0"/>
              <w:pageBreakBefore w:val="0"/>
              <w:kinsoku/>
              <w:wordWrap/>
              <w:overflowPunct/>
              <w:topLinePunct w:val="0"/>
              <w:bidi w:val="0"/>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备份投标文件</w:t>
            </w:r>
            <w:r>
              <w:rPr>
                <w:rFonts w:hint="eastAsia" w:ascii="宋体" w:hAnsi="宋体" w:eastAsia="宋体" w:cs="宋体"/>
                <w:color w:val="auto"/>
                <w:sz w:val="21"/>
                <w:szCs w:val="21"/>
                <w:highlight w:val="none"/>
                <w:lang w:eastAsia="zh-CN"/>
              </w:rPr>
              <w:t>份数</w:t>
            </w:r>
            <w:r>
              <w:rPr>
                <w:rFonts w:hint="eastAsia" w:ascii="宋体" w:hAnsi="宋体" w:eastAsia="宋体" w:cs="宋体"/>
                <w:color w:val="auto"/>
                <w:sz w:val="21"/>
                <w:szCs w:val="21"/>
                <w:highlight w:val="none"/>
                <w:lang w:val="en-US" w:eastAsia="zh-CN"/>
              </w:rPr>
              <w:t>及密封要求</w:t>
            </w:r>
          </w:p>
        </w:tc>
        <w:tc>
          <w:tcPr>
            <w:tcW w:w="7362" w:type="dxa"/>
            <w:vAlign w:val="center"/>
          </w:tcPr>
          <w:p w14:paraId="094FC67E">
            <w:pPr>
              <w:pStyle w:val="18"/>
              <w:keepNext w:val="0"/>
              <w:keepLines w:val="0"/>
              <w:pageBreakBefore w:val="0"/>
              <w:numPr>
                <w:ilvl w:val="0"/>
                <w:numId w:val="0"/>
              </w:numPr>
              <w:kinsoku/>
              <w:wordWrap/>
              <w:overflowPunct/>
              <w:topLinePunct w:val="0"/>
              <w:bidi w:val="0"/>
              <w:spacing w:before="0" w:beforeAutospacing="0" w:after="0" w:afterAutospacing="0" w:line="240" w:lineRule="auto"/>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一份，以U盘形式提供。</w:t>
            </w:r>
          </w:p>
          <w:p w14:paraId="38262EC7">
            <w:pPr>
              <w:keepNext w:val="0"/>
              <w:keepLines w:val="0"/>
              <w:pageBreakBefore w:val="0"/>
              <w:kinsoku/>
              <w:wordWrap/>
              <w:overflowPunct/>
              <w:topLinePunct w:val="0"/>
              <w:bidi w:val="0"/>
              <w:spacing w:line="240" w:lineRule="auto"/>
              <w:rPr>
                <w:rFonts w:hint="eastAsia" w:ascii="宋体" w:hAnsi="宋体" w:cs="宋体"/>
                <w:bCs/>
                <w:color w:val="auto"/>
                <w:sz w:val="21"/>
                <w:szCs w:val="21"/>
                <w:highlight w:val="none"/>
                <w:lang w:eastAsia="zh-CN"/>
              </w:rPr>
            </w:pPr>
            <w:r>
              <w:rPr>
                <w:rFonts w:hint="eastAsia" w:ascii="宋体" w:hAnsi="宋体" w:eastAsia="宋体" w:cs="宋体"/>
                <w:bCs/>
                <w:color w:val="auto"/>
                <w:sz w:val="21"/>
                <w:szCs w:val="21"/>
                <w:highlight w:val="none"/>
              </w:rPr>
              <w:t>备份投标文件在密封袋的封口处加盖投标人公章、法定代表人代表或授权委托代理人印章或签字。封皮上写明项目编号、标项、招标项目名称、投标人名称，并注明“投标文件名称”、“开标时启封”字样</w:t>
            </w:r>
            <w:r>
              <w:rPr>
                <w:rFonts w:hint="eastAsia" w:ascii="宋体" w:hAnsi="宋体" w:cs="宋体"/>
                <w:bCs/>
                <w:color w:val="auto"/>
                <w:sz w:val="21"/>
                <w:szCs w:val="21"/>
                <w:highlight w:val="none"/>
                <w:lang w:eastAsia="zh-CN"/>
              </w:rPr>
              <w:t>。</w:t>
            </w:r>
          </w:p>
          <w:p w14:paraId="049F63CF">
            <w:pPr>
              <w:keepNext w:val="0"/>
              <w:keepLines w:val="0"/>
              <w:pageBreakBefore w:val="0"/>
              <w:kinsoku/>
              <w:wordWrap/>
              <w:overflowPunct/>
              <w:topLinePunct w:val="0"/>
              <w:bidi w:val="0"/>
              <w:spacing w:line="24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未按上述要求密封及加写标记</w:t>
            </w:r>
            <w:r>
              <w:rPr>
                <w:rFonts w:hint="eastAsia" w:ascii="宋体" w:hAnsi="宋体" w:eastAsia="宋体" w:cs="宋体"/>
                <w:color w:val="auto"/>
                <w:kern w:val="2"/>
                <w:highlight w:val="none"/>
              </w:rPr>
              <w:t>将被拒收</w:t>
            </w:r>
            <w:r>
              <w:rPr>
                <w:rFonts w:hint="eastAsia" w:ascii="宋体" w:hAnsi="宋体" w:eastAsia="宋体" w:cs="宋体"/>
                <w:bCs/>
                <w:color w:val="auto"/>
                <w:sz w:val="21"/>
                <w:szCs w:val="21"/>
                <w:highlight w:val="none"/>
              </w:rPr>
              <w:t>，采购代理机构对投标文件的误投和提前启封不负责任。</w:t>
            </w:r>
          </w:p>
          <w:p w14:paraId="7EA6D4C2">
            <w:pPr>
              <w:keepNext w:val="0"/>
              <w:keepLines w:val="0"/>
              <w:pageBreakBefore w:val="0"/>
              <w:kinsoku/>
              <w:wordWrap/>
              <w:overflowPunct/>
              <w:topLinePunct w:val="0"/>
              <w:bidi w:val="0"/>
              <w:spacing w:line="240" w:lineRule="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color w:val="auto"/>
                <w:sz w:val="21"/>
                <w:szCs w:val="21"/>
                <w:highlight w:val="none"/>
              </w:rPr>
              <w:t>如电子投标文件解密成功，则备份投标文件不再拆封。</w:t>
            </w:r>
          </w:p>
        </w:tc>
      </w:tr>
      <w:tr w14:paraId="46F31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57" w:type="dxa"/>
            <w:vAlign w:val="center"/>
          </w:tcPr>
          <w:p w14:paraId="1A7ED5F1">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1420" w:type="dxa"/>
            <w:vAlign w:val="center"/>
          </w:tcPr>
          <w:p w14:paraId="1937D243">
            <w:pPr>
              <w:keepNext w:val="0"/>
              <w:keepLines w:val="0"/>
              <w:pageBreakBefore w:val="0"/>
              <w:kinsoku/>
              <w:wordWrap/>
              <w:overflowPunct/>
              <w:topLinePunct w:val="0"/>
              <w:bidi w:val="0"/>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电子投标文件解密时间</w:t>
            </w:r>
            <w:r>
              <w:rPr>
                <w:rFonts w:hint="eastAsia" w:ascii="宋体" w:hAnsi="宋体" w:eastAsia="宋体" w:cs="宋体"/>
                <w:color w:val="auto"/>
                <w:sz w:val="21"/>
                <w:szCs w:val="21"/>
                <w:highlight w:val="none"/>
                <w:lang w:val="en-US" w:eastAsia="zh-CN"/>
              </w:rPr>
              <w:t>及地点</w:t>
            </w:r>
          </w:p>
        </w:tc>
        <w:tc>
          <w:tcPr>
            <w:tcW w:w="7362" w:type="dxa"/>
            <w:vAlign w:val="center"/>
          </w:tcPr>
          <w:p w14:paraId="0D3C1B77">
            <w:pPr>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时间：</w:t>
            </w:r>
            <w:r>
              <w:rPr>
                <w:rFonts w:hint="eastAsia" w:ascii="宋体" w:hAnsi="宋体" w:cs="宋体"/>
                <w:color w:val="auto"/>
                <w:sz w:val="21"/>
                <w:szCs w:val="21"/>
                <w:highlight w:val="none"/>
                <w:lang w:eastAsia="zh-CN"/>
              </w:rPr>
              <w:t>2025年5月6日14:30</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5</w:t>
            </w:r>
            <w:bookmarkStart w:id="5" w:name="_GoBack"/>
            <w:bookmarkEnd w:id="5"/>
            <w:r>
              <w:rPr>
                <w:rFonts w:hint="eastAsia" w:ascii="宋体" w:hAnsi="宋体" w:eastAsia="宋体" w:cs="宋体"/>
                <w:color w:val="auto"/>
                <w:sz w:val="21"/>
                <w:szCs w:val="21"/>
                <w:highlight w:val="none"/>
                <w:lang w:val="en-US" w:eastAsia="zh-CN"/>
              </w:rPr>
              <w:t>:00</w:t>
            </w:r>
            <w:r>
              <w:rPr>
                <w:rFonts w:hint="eastAsia" w:ascii="宋体" w:hAnsi="宋体" w:eastAsia="宋体" w:cs="宋体"/>
                <w:color w:val="auto"/>
                <w:sz w:val="21"/>
                <w:szCs w:val="21"/>
                <w:highlight w:val="none"/>
              </w:rPr>
              <w:t>（北京时间）</w:t>
            </w:r>
          </w:p>
          <w:p w14:paraId="15AA9BFC">
            <w:pPr>
              <w:pStyle w:val="49"/>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地点：政采云平台（www.zcygov.cn）</w:t>
            </w:r>
          </w:p>
        </w:tc>
      </w:tr>
      <w:tr w14:paraId="57540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jc w:val="center"/>
        </w:trPr>
        <w:tc>
          <w:tcPr>
            <w:tcW w:w="757" w:type="dxa"/>
            <w:vAlign w:val="center"/>
          </w:tcPr>
          <w:p w14:paraId="0877F358">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10</w:t>
            </w:r>
          </w:p>
        </w:tc>
        <w:tc>
          <w:tcPr>
            <w:tcW w:w="1420" w:type="dxa"/>
            <w:vAlign w:val="center"/>
          </w:tcPr>
          <w:p w14:paraId="2A93D0C1">
            <w:pPr>
              <w:keepNext w:val="0"/>
              <w:keepLines w:val="0"/>
              <w:pageBreakBefore w:val="0"/>
              <w:kinsoku/>
              <w:wordWrap/>
              <w:overflowPunct/>
              <w:topLinePunct w:val="0"/>
              <w:bidi w:val="0"/>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其他要求</w:t>
            </w:r>
          </w:p>
        </w:tc>
        <w:tc>
          <w:tcPr>
            <w:tcW w:w="7362" w:type="dxa"/>
            <w:vAlign w:val="center"/>
          </w:tcPr>
          <w:p w14:paraId="43DDB0F6">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1、踏勘现场时间及地点：不组织，各投标单位根据自己需要，自行前往勘察现场和周围环境，所产生的费用由投标单位自理。</w:t>
            </w:r>
          </w:p>
          <w:p w14:paraId="23110A4B">
            <w:pPr>
              <w:pStyle w:val="49"/>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2、节能环保：符合国家相关法律法规；</w:t>
            </w:r>
          </w:p>
          <w:p w14:paraId="02F14356">
            <w:pPr>
              <w:pStyle w:val="49"/>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3、样品：无要求；</w:t>
            </w:r>
          </w:p>
          <w:p w14:paraId="4F22D407">
            <w:pPr>
              <w:pStyle w:val="49"/>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4、现场演示：无要求。</w:t>
            </w:r>
          </w:p>
          <w:p w14:paraId="6F1E04C7">
            <w:pPr>
              <w:pStyle w:val="49"/>
              <w:spacing w:line="24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5、本项目无需提供履约保证金</w:t>
            </w:r>
            <w:r>
              <w:rPr>
                <w:rFonts w:hint="eastAsia" w:ascii="宋体" w:hAnsi="宋体" w:eastAsia="宋体" w:cs="宋体"/>
                <w:color w:val="auto"/>
                <w:sz w:val="21"/>
                <w:szCs w:val="21"/>
                <w:highlight w:val="none"/>
              </w:rPr>
              <w:t>。</w:t>
            </w:r>
          </w:p>
        </w:tc>
      </w:tr>
      <w:tr w14:paraId="14D80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2" w:hRule="atLeast"/>
          <w:jc w:val="center"/>
        </w:trPr>
        <w:tc>
          <w:tcPr>
            <w:tcW w:w="757" w:type="dxa"/>
            <w:vAlign w:val="center"/>
          </w:tcPr>
          <w:p w14:paraId="66108683">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1420" w:type="dxa"/>
            <w:vAlign w:val="center"/>
          </w:tcPr>
          <w:p w14:paraId="5563350F">
            <w:pPr>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中小企业扶持政策</w:t>
            </w:r>
          </w:p>
        </w:tc>
        <w:tc>
          <w:tcPr>
            <w:tcW w:w="7362" w:type="dxa"/>
            <w:vAlign w:val="center"/>
          </w:tcPr>
          <w:p w14:paraId="5E8F3B53">
            <w:pPr>
              <w:pStyle w:val="49"/>
              <w:numPr>
                <w:ilvl w:val="0"/>
                <w:numId w:val="0"/>
              </w:num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依据《政府采购促进中小企业发展管理办法》（财库【2020】46号）第四条规定，本项目服务由中小企业承接，即提供服务的人员为中小企业依照《中华人民共和国劳动合同法》签订劳动合同的从业人员，享受该办法规定对中小企业的扶持政策。残疾人福利性单位和监狱企业视同小型、微型企业。</w:t>
            </w:r>
          </w:p>
          <w:p w14:paraId="0FC414EC">
            <w:pPr>
              <w:pStyle w:val="49"/>
              <w:numPr>
                <w:ilvl w:val="0"/>
                <w:numId w:val="0"/>
              </w:num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依据《政府采购促进中小企业发展管理办法》（财库【2020】46号）第十二条规定，享受扶持政策获得政府采购合同的，小微企业不得将合同分包给大中型企业，中型企业不得将合同分包给大型企业，否则按违约处理。</w:t>
            </w:r>
          </w:p>
        </w:tc>
      </w:tr>
      <w:tr w14:paraId="64F43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57" w:type="dxa"/>
            <w:vAlign w:val="center"/>
          </w:tcPr>
          <w:p w14:paraId="0C81270B">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12</w:t>
            </w:r>
          </w:p>
        </w:tc>
        <w:tc>
          <w:tcPr>
            <w:tcW w:w="1420" w:type="dxa"/>
            <w:vAlign w:val="center"/>
          </w:tcPr>
          <w:p w14:paraId="4FF86BE6">
            <w:pPr>
              <w:spacing w:line="240" w:lineRule="auto"/>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rPr>
              <w:t>实质性条款</w:t>
            </w:r>
          </w:p>
        </w:tc>
        <w:tc>
          <w:tcPr>
            <w:tcW w:w="7362" w:type="dxa"/>
            <w:vAlign w:val="center"/>
          </w:tcPr>
          <w:p w14:paraId="2913A6F2">
            <w:pPr>
              <w:spacing w:line="240" w:lineRule="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rPr>
              <w:t>带“</w:t>
            </w:r>
            <w:r>
              <w:rPr>
                <w:rFonts w:hint="eastAsia" w:ascii="宋体" w:hAnsi="宋体" w:eastAsia="宋体" w:cs="宋体"/>
                <w:color w:val="auto"/>
                <w:sz w:val="21"/>
                <w:szCs w:val="21"/>
                <w:highlight w:val="none"/>
              </w:rPr>
              <w:t>▲”的条款是实质性条款，投标文件须作出实质性响应，否则作无效投标处理。</w:t>
            </w:r>
          </w:p>
        </w:tc>
      </w:tr>
      <w:tr w14:paraId="3EFFC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jc w:val="center"/>
        </w:trPr>
        <w:tc>
          <w:tcPr>
            <w:tcW w:w="757" w:type="dxa"/>
            <w:vAlign w:val="center"/>
          </w:tcPr>
          <w:p w14:paraId="64D16EB5">
            <w:pPr>
              <w:spacing w:line="24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13</w:t>
            </w:r>
          </w:p>
        </w:tc>
        <w:tc>
          <w:tcPr>
            <w:tcW w:w="1420" w:type="dxa"/>
            <w:shd w:val="clear" w:color="auto" w:fill="auto"/>
            <w:vAlign w:val="center"/>
          </w:tcPr>
          <w:p w14:paraId="330EFE21">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lang w:val="en-US" w:eastAsia="zh-CN"/>
              </w:rPr>
              <w:t>其他</w:t>
            </w:r>
          </w:p>
        </w:tc>
        <w:tc>
          <w:tcPr>
            <w:tcW w:w="7362" w:type="dxa"/>
            <w:shd w:val="clear" w:color="auto" w:fill="auto"/>
            <w:vAlign w:val="center"/>
          </w:tcPr>
          <w:p w14:paraId="01CB8A75">
            <w:pPr>
              <w:spacing w:line="24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1、各供应商自行在浙江政府采购网下载或查阅采购文件和相关更正公告等，不另行通知，如有遗漏采购人、采购代理机构概不负责。</w:t>
            </w:r>
          </w:p>
          <w:p w14:paraId="51004E92">
            <w:pPr>
              <w:spacing w:line="24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2、两家或两家以上供应商提供的投标文件出自同一终端设备的，或在相同Internet主机分配地址（相同IP地址）报名或网上投标的，后果由供应商自行承担。</w:t>
            </w:r>
          </w:p>
          <w:p w14:paraId="0C4D5F98">
            <w:pPr>
              <w:spacing w:line="24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3、开标时间后30分钟内供应商须携带CA自备电脑登录“政采云”平台，用“项目采购-开标评标”功能解密投标文件，投标人未按时解密或解密失败的，其上传的电子投标文件自动失效。</w:t>
            </w:r>
          </w:p>
        </w:tc>
      </w:tr>
      <w:tr w14:paraId="4F033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jc w:val="center"/>
        </w:trPr>
        <w:tc>
          <w:tcPr>
            <w:tcW w:w="757" w:type="dxa"/>
            <w:vAlign w:val="center"/>
          </w:tcPr>
          <w:p w14:paraId="78A33A25">
            <w:pPr>
              <w:spacing w:line="24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14</w:t>
            </w:r>
          </w:p>
        </w:tc>
        <w:tc>
          <w:tcPr>
            <w:tcW w:w="1420" w:type="dxa"/>
            <w:vAlign w:val="center"/>
          </w:tcPr>
          <w:p w14:paraId="18E8C1DB">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解释权</w:t>
            </w:r>
          </w:p>
        </w:tc>
        <w:tc>
          <w:tcPr>
            <w:tcW w:w="7362" w:type="dxa"/>
            <w:vAlign w:val="center"/>
          </w:tcPr>
          <w:p w14:paraId="5A2775D8">
            <w:pPr>
              <w:spacing w:line="24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本</w:t>
            </w:r>
            <w:r>
              <w:rPr>
                <w:rFonts w:hint="eastAsia" w:ascii="宋体" w:hAnsi="宋体" w:eastAsia="宋体" w:cs="宋体"/>
                <w:color w:val="auto"/>
                <w:szCs w:val="21"/>
                <w:highlight w:val="none"/>
                <w:lang w:eastAsia="zh-CN"/>
              </w:rPr>
              <w:t>招标文件</w:t>
            </w:r>
            <w:r>
              <w:rPr>
                <w:rFonts w:hint="eastAsia" w:ascii="宋体" w:hAnsi="宋体" w:eastAsia="宋体" w:cs="宋体"/>
                <w:color w:val="auto"/>
                <w:szCs w:val="21"/>
                <w:highlight w:val="none"/>
              </w:rPr>
              <w:t>的解释权属于</w:t>
            </w:r>
            <w:r>
              <w:rPr>
                <w:rFonts w:hint="eastAsia" w:ascii="宋体" w:hAnsi="宋体" w:eastAsia="宋体" w:cs="宋体"/>
                <w:b/>
                <w:color w:val="auto"/>
                <w:szCs w:val="21"/>
                <w:highlight w:val="none"/>
              </w:rPr>
              <w:t>台州永安工程咨询有限公司和采购人</w:t>
            </w:r>
          </w:p>
        </w:tc>
      </w:tr>
    </w:tbl>
    <w:p w14:paraId="103FF34F">
      <w:pPr>
        <w:spacing w:line="360" w:lineRule="auto"/>
        <w:rPr>
          <w:rFonts w:hint="eastAsia" w:ascii="宋体" w:hAnsi="宋体" w:eastAsia="宋体" w:cs="宋体"/>
          <w:b/>
          <w:bCs/>
          <w:color w:val="auto"/>
          <w:sz w:val="21"/>
          <w:szCs w:val="21"/>
          <w:highlight w:val="none"/>
        </w:rPr>
      </w:pPr>
    </w:p>
    <w:p w14:paraId="6B0370FA">
      <w:pPr>
        <w:spacing w:line="360" w:lineRule="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一、总则</w:t>
      </w:r>
    </w:p>
    <w:p w14:paraId="2AF421BB">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 适用范围</w:t>
      </w:r>
    </w:p>
    <w:p w14:paraId="7541820E">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本招标文件适用于本次项目的招标、投标、评标、定标、验收、合同履约、付款等行为（法律、法规另有规定的，从其规定）。</w:t>
      </w:r>
    </w:p>
    <w:p w14:paraId="5FD715FE">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（二）定义</w:t>
      </w:r>
    </w:p>
    <w:p w14:paraId="121EB4A8">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zh-CN"/>
        </w:rPr>
        <w:t>“采购组织机构”指采购人委托组织招标的采购代理机构。</w:t>
      </w:r>
    </w:p>
    <w:p w14:paraId="75D6E8F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2、采购人：是指委托</w:t>
      </w:r>
      <w:r>
        <w:rPr>
          <w:rFonts w:hint="eastAsia" w:ascii="宋体" w:hAnsi="宋体" w:eastAsia="宋体" w:cs="宋体"/>
          <w:color w:val="auto"/>
          <w:sz w:val="21"/>
          <w:szCs w:val="21"/>
          <w:highlight w:val="none"/>
          <w:lang w:val="zh-CN"/>
        </w:rPr>
        <w:t>采购代理机构</w:t>
      </w:r>
      <w:r>
        <w:rPr>
          <w:rFonts w:hint="eastAsia" w:ascii="宋体" w:hAnsi="宋体" w:eastAsia="宋体" w:cs="宋体"/>
          <w:color w:val="auto"/>
          <w:sz w:val="21"/>
          <w:szCs w:val="21"/>
          <w:highlight w:val="none"/>
        </w:rPr>
        <w:t>采购本次项目的国家机关、事业单位和团体组织。</w:t>
      </w:r>
    </w:p>
    <w:p w14:paraId="3C58AD4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3、投标人：是指向采购</w:t>
      </w:r>
      <w:r>
        <w:rPr>
          <w:rFonts w:hint="eastAsia" w:ascii="宋体" w:hAnsi="宋体" w:eastAsia="宋体" w:cs="宋体"/>
          <w:color w:val="auto"/>
          <w:sz w:val="21"/>
          <w:szCs w:val="21"/>
          <w:highlight w:val="none"/>
          <w:lang w:val="zh-CN"/>
        </w:rPr>
        <w:t>组织</w:t>
      </w:r>
      <w:r>
        <w:rPr>
          <w:rFonts w:hint="eastAsia" w:ascii="宋体" w:hAnsi="宋体" w:eastAsia="宋体" w:cs="宋体"/>
          <w:color w:val="auto"/>
          <w:sz w:val="21"/>
          <w:szCs w:val="21"/>
          <w:highlight w:val="none"/>
        </w:rPr>
        <w:t>机构提交投标文件的单位或个人。</w:t>
      </w:r>
    </w:p>
    <w:p w14:paraId="4FBE6E50">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4、货物：是指各种形态和种类的物品，包括原材料、燃料、设备、产品等。</w:t>
      </w:r>
    </w:p>
    <w:p w14:paraId="7B182BDF">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5、服务：是指除货物和工程以外的政府采购对象，包括各类专业服务、信息网络开发服务、金融保险服务、运输服务，以及维修与维护服务等。</w:t>
      </w:r>
    </w:p>
    <w:p w14:paraId="7F61AAFB">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6、“书面形式”包括信函、传真等。</w:t>
      </w:r>
    </w:p>
    <w:p w14:paraId="4F5D5278">
      <w:pPr>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7、“▲”系指实质性要求条款。</w:t>
      </w:r>
    </w:p>
    <w:p w14:paraId="7AE5BA25">
      <w:pPr>
        <w:spacing w:line="360" w:lineRule="auto"/>
        <w:ind w:firstLine="422" w:firstLineChars="200"/>
        <w:jc w:val="left"/>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（三）投标费用</w:t>
      </w:r>
    </w:p>
    <w:p w14:paraId="62E0BA30">
      <w:pPr>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不论投标结果如何，投标人均应自行承担所有与投标有关的全部费用（招标文件有相关规定除外）。</w:t>
      </w:r>
    </w:p>
    <w:p w14:paraId="2E34BD6F">
      <w:pPr>
        <w:spacing w:line="360" w:lineRule="auto"/>
        <w:ind w:firstLine="422" w:firstLineChars="200"/>
        <w:jc w:val="left"/>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（四）特别说明</w:t>
      </w:r>
    </w:p>
    <w:p w14:paraId="514896CE">
      <w:pPr>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1、投标人投标所使用的资格、信誉、荣誉、业绩与企业认证必须为本</w:t>
      </w:r>
      <w:r>
        <w:rPr>
          <w:rFonts w:hint="eastAsia" w:ascii="宋体" w:hAnsi="宋体" w:eastAsia="宋体" w:cs="宋体"/>
          <w:color w:val="auto"/>
          <w:sz w:val="21"/>
          <w:szCs w:val="21"/>
          <w:highlight w:val="none"/>
          <w:lang w:eastAsia="zh-CN"/>
        </w:rPr>
        <w:t>法人</w:t>
      </w:r>
      <w:r>
        <w:rPr>
          <w:rFonts w:hint="eastAsia" w:ascii="宋体" w:hAnsi="宋体" w:eastAsia="宋体" w:cs="宋体"/>
          <w:color w:val="auto"/>
          <w:sz w:val="21"/>
          <w:szCs w:val="21"/>
          <w:highlight w:val="none"/>
        </w:rPr>
        <w:t>所拥有。投标人投标所使用的采购项目实施人员必须为本</w:t>
      </w:r>
      <w:r>
        <w:rPr>
          <w:rFonts w:hint="eastAsia" w:ascii="宋体" w:hAnsi="宋体" w:eastAsia="宋体" w:cs="宋体"/>
          <w:color w:val="auto"/>
          <w:sz w:val="21"/>
          <w:szCs w:val="21"/>
          <w:highlight w:val="none"/>
          <w:lang w:eastAsia="zh-CN"/>
        </w:rPr>
        <w:t>法人</w:t>
      </w:r>
      <w:r>
        <w:rPr>
          <w:rFonts w:hint="eastAsia" w:ascii="宋体" w:hAnsi="宋体" w:eastAsia="宋体" w:cs="宋体"/>
          <w:color w:val="auto"/>
          <w:sz w:val="21"/>
          <w:szCs w:val="21"/>
          <w:highlight w:val="none"/>
        </w:rPr>
        <w:t>员工。▲其中涉及资格条件的如非本法人所拥有，则投标无效。</w:t>
      </w:r>
    </w:p>
    <w:p w14:paraId="3D0738C9">
      <w:pPr>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p>
    <w:p w14:paraId="33100A9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3、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21ABC094">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4、投标人不得相互串通投标报价，不得妨碍其他投标人的公平竞争，不得损害采购人或其他投标人的合法权益，投标人不得以向采购人、评标委员会成员行贿或者采取其他不正当手段谋取中标。</w:t>
      </w:r>
    </w:p>
    <w:p w14:paraId="519D884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5、为采购项目提供整体设计、规范编制或者项目管理、监理、检测等服务的供应商，不得再参加该采购项目的其他采购活动。</w:t>
      </w:r>
    </w:p>
    <w:p w14:paraId="307EEA92">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6、投标文件格式中的表格式样可以根据项目差别做适当调整,但应当保持表格样式基本形态不变。</w:t>
      </w:r>
    </w:p>
    <w:p w14:paraId="6303ADED">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7、单位负责人为同一人或者存在直接控股、管理关系的不同供应商，不得参加同一合同项下的政府采购活动。</w:t>
      </w:r>
      <w:r>
        <w:rPr>
          <w:rFonts w:hint="eastAsia" w:ascii="宋体" w:hAnsi="宋体" w:eastAsia="宋体" w:cs="宋体"/>
          <w:color w:val="auto"/>
          <w:szCs w:val="21"/>
          <w:highlight w:val="none"/>
        </w:rPr>
        <w:t>电子交易平台运营机构，以及与该机构有直接控股或者管理关系可能影响采购公正性的任何单位和个人，不得在该平台进行的政府采购项目电子交易中投标、响应和代理政府采购项目。</w:t>
      </w:r>
    </w:p>
    <w:p w14:paraId="007055AA">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8、投标人在参与政府采购活动中所签署的一切文件，包括但不限于签到表、《政府采购活动现场确认声明书》等文件，特别是有关利害关系应如实填写、如实披露，投标人授权参与政府采购的人员视为应当知道与招标人、其他投标人之间的利害关系。如未如实披露，则视为提供虚假材料，由投标人承担不利后果。</w:t>
      </w:r>
    </w:p>
    <w:p w14:paraId="5056183E">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▲9、</w:t>
      </w:r>
      <w:r>
        <w:rPr>
          <w:rFonts w:hint="eastAsia" w:ascii="宋体" w:hAnsi="宋体" w:eastAsia="宋体" w:cs="宋体"/>
          <w:color w:val="auto"/>
          <w:sz w:val="21"/>
          <w:szCs w:val="21"/>
          <w:highlight w:val="none"/>
        </w:rPr>
        <w:t>本项目不允许</w:t>
      </w:r>
      <w:r>
        <w:rPr>
          <w:rFonts w:hint="eastAsia" w:ascii="宋体" w:hAnsi="宋体" w:eastAsia="宋体" w:cs="宋体"/>
          <w:color w:val="auto"/>
          <w:sz w:val="21"/>
          <w:szCs w:val="21"/>
          <w:highlight w:val="none"/>
          <w:lang w:val="en-US" w:eastAsia="zh-CN"/>
        </w:rPr>
        <w:t>转包、</w:t>
      </w:r>
      <w:r>
        <w:rPr>
          <w:rFonts w:hint="eastAsia" w:ascii="宋体" w:hAnsi="宋体" w:eastAsia="宋体" w:cs="宋体"/>
          <w:color w:val="auto"/>
          <w:sz w:val="21"/>
          <w:szCs w:val="21"/>
          <w:highlight w:val="none"/>
        </w:rPr>
        <w:t>分包。</w:t>
      </w:r>
    </w:p>
    <w:p w14:paraId="10653E14">
      <w:pPr>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二、招标文件</w:t>
      </w:r>
    </w:p>
    <w:p w14:paraId="544F5D26">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（一）招标文件由招标文件总目录所列内容组成。</w:t>
      </w:r>
    </w:p>
    <w:p w14:paraId="6A15514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（二）招标文件的澄清或修改</w:t>
      </w:r>
    </w:p>
    <w:p w14:paraId="36D955D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w:t>
      </w:r>
      <w:r>
        <w:rPr>
          <w:rFonts w:hint="eastAsia" w:ascii="宋体" w:hAnsi="宋体" w:eastAsia="宋体" w:cs="宋体"/>
          <w:color w:val="auto"/>
          <w:sz w:val="21"/>
          <w:szCs w:val="21"/>
          <w:highlight w:val="none"/>
          <w:lang w:val="en-US" w:eastAsia="zh-CN"/>
        </w:rPr>
        <w:t>代理</w:t>
      </w:r>
      <w:r>
        <w:rPr>
          <w:rFonts w:hint="eastAsia" w:ascii="宋体" w:hAnsi="宋体" w:eastAsia="宋体" w:cs="宋体"/>
          <w:color w:val="auto"/>
          <w:sz w:val="21"/>
          <w:szCs w:val="21"/>
          <w:highlight w:val="none"/>
        </w:rPr>
        <w:t>机构可视采购具体情况对已发出的招标文件进行必要的澄清或者修改。澄清或者修改的内容可能影响投标文件编制的，采购人或者采购</w:t>
      </w:r>
      <w:r>
        <w:rPr>
          <w:rFonts w:hint="eastAsia" w:ascii="宋体" w:hAnsi="宋体" w:eastAsia="宋体" w:cs="宋体"/>
          <w:color w:val="auto"/>
          <w:sz w:val="21"/>
          <w:szCs w:val="21"/>
          <w:highlight w:val="none"/>
          <w:lang w:val="en-US" w:eastAsia="zh-CN"/>
        </w:rPr>
        <w:t>代理</w:t>
      </w:r>
      <w:r>
        <w:rPr>
          <w:rFonts w:hint="eastAsia" w:ascii="宋体" w:hAnsi="宋体" w:eastAsia="宋体" w:cs="宋体"/>
          <w:color w:val="auto"/>
          <w:sz w:val="21"/>
          <w:szCs w:val="21"/>
          <w:highlight w:val="none"/>
        </w:rPr>
        <w:t>机构应当在投标截止时间至少15日前，在原公告发布媒体上发布澄清公告，澄清或者修改的内容为招标文件的组成部分；不足15日的，采购人或者采购</w:t>
      </w:r>
      <w:r>
        <w:rPr>
          <w:rFonts w:hint="eastAsia" w:ascii="宋体" w:hAnsi="宋体" w:eastAsia="宋体" w:cs="宋体"/>
          <w:color w:val="auto"/>
          <w:sz w:val="21"/>
          <w:szCs w:val="21"/>
          <w:highlight w:val="none"/>
          <w:lang w:val="en-US" w:eastAsia="zh-CN"/>
        </w:rPr>
        <w:t>代理</w:t>
      </w:r>
      <w:r>
        <w:rPr>
          <w:rFonts w:hint="eastAsia" w:ascii="宋体" w:hAnsi="宋体" w:eastAsia="宋体" w:cs="宋体"/>
          <w:color w:val="auto"/>
          <w:sz w:val="21"/>
          <w:szCs w:val="21"/>
          <w:highlight w:val="none"/>
        </w:rPr>
        <w:t xml:space="preserve">机构应当顺延提交投标文件的截止时间。 </w:t>
      </w:r>
    </w:p>
    <w:p w14:paraId="51C8A5B9">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2、投标人在规定的时间内未对招标文件提出疑问、质疑或要求澄清的，将视其为无异议。对招标文件中描述有歧义或前后不一致的地方，评标委员会有权进行评判，但对同一条款的评判应适用于每个投标人。</w:t>
      </w:r>
    </w:p>
    <w:p w14:paraId="1249597B">
      <w:pPr>
        <w:spacing w:line="360" w:lineRule="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三、投标文件</w:t>
      </w:r>
    </w:p>
    <w:p w14:paraId="10CA36BC">
      <w:pPr>
        <w:spacing w:line="360" w:lineRule="auto"/>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本项目实行电子投标，供应商应准备电子投标文件、</w:t>
      </w:r>
      <w:r>
        <w:rPr>
          <w:rFonts w:hint="eastAsia" w:ascii="宋体" w:hAnsi="宋体" w:eastAsia="宋体" w:cs="宋体"/>
          <w:bCs/>
          <w:color w:val="auto"/>
          <w:sz w:val="21"/>
          <w:szCs w:val="21"/>
          <w:highlight w:val="none"/>
          <w:lang w:val="en-US" w:eastAsia="zh-CN"/>
        </w:rPr>
        <w:t>还可以提供</w:t>
      </w:r>
      <w:r>
        <w:rPr>
          <w:rFonts w:hint="eastAsia" w:ascii="宋体" w:hAnsi="宋体" w:eastAsia="宋体" w:cs="宋体"/>
          <w:bCs/>
          <w:color w:val="auto"/>
          <w:sz w:val="21"/>
          <w:szCs w:val="21"/>
          <w:highlight w:val="none"/>
          <w:lang w:eastAsia="zh-CN"/>
        </w:rPr>
        <w:t>备份</w:t>
      </w:r>
      <w:r>
        <w:rPr>
          <w:rFonts w:hint="eastAsia" w:ascii="宋体" w:hAnsi="宋体" w:eastAsia="宋体" w:cs="宋体"/>
          <w:bCs/>
          <w:color w:val="auto"/>
          <w:sz w:val="21"/>
          <w:szCs w:val="21"/>
          <w:highlight w:val="none"/>
          <w:lang w:val="en-US" w:eastAsia="zh-CN"/>
        </w:rPr>
        <w:t>投标</w:t>
      </w:r>
      <w:r>
        <w:rPr>
          <w:rFonts w:hint="eastAsia" w:ascii="宋体" w:hAnsi="宋体" w:eastAsia="宋体" w:cs="宋体"/>
          <w:bCs/>
          <w:color w:val="auto"/>
          <w:sz w:val="21"/>
          <w:szCs w:val="21"/>
          <w:highlight w:val="none"/>
          <w:lang w:eastAsia="zh-CN"/>
        </w:rPr>
        <w:t>文件。</w:t>
      </w:r>
    </w:p>
    <w:p w14:paraId="503C8B77">
      <w:pPr>
        <w:snapToGrid w:val="0"/>
        <w:spacing w:line="360" w:lineRule="auto"/>
        <w:ind w:firstLine="411" w:firstLineChars="196"/>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lang w:val="zh-CN"/>
        </w:rPr>
        <w:t>电子投标文件按</w:t>
      </w:r>
      <w:r>
        <w:rPr>
          <w:rFonts w:hint="eastAsia" w:ascii="宋体" w:hAnsi="宋体" w:eastAsia="宋体" w:cs="宋体"/>
          <w:bCs/>
          <w:color w:val="auto"/>
          <w:sz w:val="21"/>
          <w:szCs w:val="21"/>
          <w:highlight w:val="none"/>
          <w:lang w:val="en-US" w:eastAsia="zh-CN"/>
        </w:rPr>
        <w:t>政府采购</w:t>
      </w:r>
      <w:r>
        <w:rPr>
          <w:rFonts w:hint="eastAsia" w:ascii="宋体" w:hAnsi="宋体" w:eastAsia="宋体" w:cs="宋体"/>
          <w:bCs/>
          <w:color w:val="auto"/>
          <w:sz w:val="21"/>
          <w:szCs w:val="21"/>
          <w:highlight w:val="none"/>
          <w:lang w:val="zh-CN"/>
        </w:rPr>
        <w:t>云平台供应商项目采购-电子招投标操作指南（网址：https://helpcenter.zcygov.cn/document/#/document/detail?siteCode=beijing&amp;manualId=359&amp;topicId=1447）及本招标文件要求制作、加密并</w:t>
      </w:r>
      <w:r>
        <w:rPr>
          <w:rFonts w:hint="eastAsia" w:ascii="宋体" w:hAnsi="宋体" w:eastAsia="宋体" w:cs="宋体"/>
          <w:bCs/>
          <w:color w:val="auto"/>
          <w:sz w:val="21"/>
          <w:szCs w:val="21"/>
          <w:highlight w:val="none"/>
          <w:lang w:val="en-US" w:eastAsia="zh-CN"/>
        </w:rPr>
        <w:t>传输</w:t>
      </w:r>
      <w:r>
        <w:rPr>
          <w:rFonts w:hint="eastAsia" w:ascii="宋体" w:hAnsi="宋体" w:eastAsia="宋体" w:cs="宋体"/>
          <w:bCs/>
          <w:color w:val="auto"/>
          <w:sz w:val="21"/>
          <w:szCs w:val="21"/>
          <w:highlight w:val="none"/>
          <w:lang w:val="zh-CN"/>
        </w:rPr>
        <w:t>递交。</w:t>
      </w:r>
    </w:p>
    <w:p w14:paraId="76813C80">
      <w:pPr>
        <w:snapToGrid w:val="0"/>
        <w:spacing w:line="360" w:lineRule="auto"/>
        <w:ind w:firstLine="411" w:firstLineChars="196"/>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2、</w:t>
      </w:r>
      <w:r>
        <w:rPr>
          <w:rFonts w:hint="eastAsia" w:ascii="宋体" w:hAnsi="宋体" w:eastAsia="宋体" w:cs="宋体"/>
          <w:color w:val="auto"/>
          <w:szCs w:val="21"/>
          <w:highlight w:val="none"/>
          <w:lang w:val="zh-CN"/>
        </w:rPr>
        <w:t>备份投标文件是指“电子投标文件”同时生成的数据电文形式的电子文件（备份标书），以U盘形式提供。</w:t>
      </w:r>
    </w:p>
    <w:p w14:paraId="65D789CE">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lang w:val="en-US" w:eastAsia="zh-CN"/>
        </w:rPr>
        <w:t>3、</w:t>
      </w:r>
      <w:r>
        <w:rPr>
          <w:rFonts w:hint="eastAsia" w:ascii="宋体" w:hAnsi="宋体" w:eastAsia="宋体" w:cs="宋体"/>
          <w:color w:val="auto"/>
          <w:sz w:val="21"/>
          <w:szCs w:val="21"/>
          <w:highlight w:val="none"/>
          <w:u w:val="single"/>
        </w:rPr>
        <w:t>投标文件启用顺序和效力：投标文件的启用，按先后顺位分别为电子投标文件、以介质（U盘）存储的数据电文形式的备份投标文件。如果某位投标人的电子投标文件无法按时解密的，可启用以介质（U盘）存储的数据电文形式的</w:t>
      </w:r>
      <w:r>
        <w:rPr>
          <w:rFonts w:hint="eastAsia" w:ascii="宋体" w:hAnsi="宋体" w:eastAsia="宋体" w:cs="宋体"/>
          <w:color w:val="auto"/>
          <w:sz w:val="21"/>
          <w:szCs w:val="21"/>
          <w:highlight w:val="none"/>
          <w:u w:val="single"/>
          <w:lang w:eastAsia="zh-CN"/>
        </w:rPr>
        <w:t>备份</w:t>
      </w:r>
      <w:r>
        <w:rPr>
          <w:rFonts w:hint="eastAsia" w:ascii="宋体" w:hAnsi="宋体" w:eastAsia="宋体" w:cs="宋体"/>
          <w:color w:val="auto"/>
          <w:sz w:val="21"/>
          <w:szCs w:val="21"/>
          <w:highlight w:val="none"/>
          <w:u w:val="single"/>
          <w:lang w:val="en-US" w:eastAsia="zh-CN"/>
        </w:rPr>
        <w:t>投标</w:t>
      </w:r>
      <w:r>
        <w:rPr>
          <w:rFonts w:hint="eastAsia" w:ascii="宋体" w:hAnsi="宋体" w:eastAsia="宋体" w:cs="宋体"/>
          <w:color w:val="auto"/>
          <w:sz w:val="21"/>
          <w:szCs w:val="21"/>
          <w:highlight w:val="none"/>
          <w:u w:val="single"/>
          <w:lang w:eastAsia="zh-CN"/>
        </w:rPr>
        <w:t>文件</w:t>
      </w:r>
      <w:r>
        <w:rPr>
          <w:rFonts w:hint="eastAsia" w:ascii="宋体" w:hAnsi="宋体" w:eastAsia="宋体" w:cs="宋体"/>
          <w:color w:val="auto"/>
          <w:sz w:val="21"/>
          <w:szCs w:val="21"/>
          <w:highlight w:val="none"/>
          <w:u w:val="single"/>
        </w:rPr>
        <w:t>。</w:t>
      </w:r>
    </w:p>
    <w:p w14:paraId="5B9791C8">
      <w:pPr>
        <w:snapToGrid w:val="0"/>
        <w:spacing w:line="360" w:lineRule="auto"/>
        <w:ind w:firstLine="411" w:firstLineChars="196"/>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▲未传输递交电子投标文件，投标无效。</w:t>
      </w:r>
    </w:p>
    <w:p w14:paraId="48A08AAA">
      <w:pPr>
        <w:spacing w:line="360" w:lineRule="auto"/>
        <w:ind w:firstLine="422" w:firstLineChars="200"/>
        <w:outlineLvl w:val="9"/>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val="zh-CN"/>
        </w:rPr>
        <w:t>（一）</w:t>
      </w:r>
      <w:r>
        <w:rPr>
          <w:rFonts w:hint="eastAsia" w:ascii="宋体" w:hAnsi="宋体" w:eastAsia="宋体" w:cs="宋体"/>
          <w:b/>
          <w:bCs/>
          <w:color w:val="auto"/>
          <w:sz w:val="21"/>
          <w:szCs w:val="21"/>
          <w:highlight w:val="none"/>
        </w:rPr>
        <w:t>投标文件的组成</w:t>
      </w:r>
    </w:p>
    <w:p w14:paraId="5334A822">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投标人接到招标文件后，按照</w:t>
      </w:r>
      <w:r>
        <w:rPr>
          <w:rFonts w:hint="eastAsia" w:ascii="宋体" w:hAnsi="宋体" w:eastAsia="宋体" w:cs="宋体"/>
          <w:color w:val="auto"/>
          <w:sz w:val="21"/>
          <w:szCs w:val="21"/>
          <w:highlight w:val="none"/>
          <w:lang w:val="en-US" w:eastAsia="zh-CN"/>
        </w:rPr>
        <w:t>招标文件</w:t>
      </w:r>
      <w:r>
        <w:rPr>
          <w:rFonts w:hint="eastAsia" w:ascii="宋体" w:hAnsi="宋体" w:eastAsia="宋体" w:cs="宋体"/>
          <w:color w:val="auto"/>
          <w:sz w:val="21"/>
          <w:szCs w:val="21"/>
          <w:highlight w:val="none"/>
        </w:rPr>
        <w:t>的要求提供投标文件（包含电子投标文件和备份投标文件）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由资格证明文件、商务与技术文件和报价文件</w:t>
      </w:r>
      <w:r>
        <w:rPr>
          <w:rFonts w:hint="eastAsia" w:ascii="宋体" w:hAnsi="宋体" w:eastAsia="宋体" w:cs="宋体"/>
          <w:color w:val="auto"/>
          <w:sz w:val="21"/>
          <w:szCs w:val="21"/>
          <w:highlight w:val="none"/>
          <w:lang w:val="en-US" w:eastAsia="zh-CN"/>
        </w:rPr>
        <w:t>三</w:t>
      </w:r>
      <w:r>
        <w:rPr>
          <w:rFonts w:hint="eastAsia" w:ascii="宋体" w:hAnsi="宋体" w:eastAsia="宋体" w:cs="宋体"/>
          <w:color w:val="auto"/>
          <w:sz w:val="21"/>
          <w:szCs w:val="21"/>
          <w:highlight w:val="none"/>
        </w:rPr>
        <w:t>部分组成</w:t>
      </w:r>
      <w:r>
        <w:rPr>
          <w:rFonts w:hint="eastAsia" w:ascii="宋体" w:hAnsi="宋体" w:eastAsia="宋体" w:cs="宋体"/>
          <w:color w:val="auto"/>
          <w:sz w:val="21"/>
          <w:szCs w:val="21"/>
          <w:highlight w:val="none"/>
          <w:lang w:eastAsia="zh-CN"/>
        </w:rPr>
        <w:t>。</w:t>
      </w:r>
    </w:p>
    <w:p w14:paraId="3EBB1553">
      <w:pPr>
        <w:spacing w:line="360" w:lineRule="auto"/>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【特别提示：如有要求提供资料原件的，原件另行包装，并与投标文件一起提交，投标截止时间后所有原件不予接收。资料原件也可以用与原件相符的公证原件替代】</w:t>
      </w:r>
    </w:p>
    <w:p w14:paraId="75F15D19">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b/>
          <w:bCs/>
          <w:color w:val="auto"/>
          <w:sz w:val="21"/>
          <w:szCs w:val="21"/>
          <w:highlight w:val="none"/>
        </w:rPr>
        <w:t>1、资格证明文件的组成：</w:t>
      </w:r>
    </w:p>
    <w:p w14:paraId="00BD67C1">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（1）投标声明书；</w:t>
      </w:r>
    </w:p>
    <w:p w14:paraId="3A2DFAB1">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（2）授权委托书（法定代表人亲自办理投标事宜的，则无需提交)；</w:t>
      </w:r>
    </w:p>
    <w:p w14:paraId="23DEB1E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（3）法人或者其他组织的营业执照等证明文件，</w:t>
      </w:r>
      <w:r>
        <w:rPr>
          <w:rFonts w:hint="eastAsia" w:ascii="宋体" w:hAnsi="宋体" w:eastAsia="宋体" w:cs="宋体"/>
          <w:color w:val="auto"/>
          <w:sz w:val="21"/>
          <w:szCs w:val="21"/>
          <w:highlight w:val="none"/>
        </w:rPr>
        <w:t>法定代表人</w:t>
      </w:r>
      <w:r>
        <w:rPr>
          <w:rFonts w:hint="eastAsia" w:ascii="宋体" w:hAnsi="宋体" w:cs="宋体"/>
          <w:color w:val="auto"/>
          <w:sz w:val="21"/>
          <w:szCs w:val="21"/>
          <w:highlight w:val="none"/>
          <w:lang w:val="en-US" w:eastAsia="zh-CN"/>
        </w:rPr>
        <w:t>和</w:t>
      </w:r>
      <w:r>
        <w:rPr>
          <w:rFonts w:hint="eastAsia" w:ascii="宋体" w:hAnsi="宋体" w:eastAsia="宋体" w:cs="宋体"/>
          <w:color w:val="auto"/>
          <w:sz w:val="21"/>
          <w:szCs w:val="21"/>
          <w:highlight w:val="none"/>
        </w:rPr>
        <w:t>授权代表</w:t>
      </w:r>
      <w:r>
        <w:rPr>
          <w:rFonts w:hint="eastAsia" w:ascii="宋体" w:hAnsi="宋体" w:eastAsia="宋体" w:cs="宋体"/>
          <w:color w:val="auto"/>
          <w:szCs w:val="21"/>
          <w:highlight w:val="none"/>
        </w:rPr>
        <w:t>的身份证明；</w:t>
      </w:r>
    </w:p>
    <w:p w14:paraId="33F0976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szCs w:val="21"/>
          <w:highlight w:val="none"/>
        </w:rPr>
        <w:t>（4）</w:t>
      </w:r>
      <w:r>
        <w:rPr>
          <w:rFonts w:hint="eastAsia" w:ascii="宋体" w:hAnsi="宋体" w:eastAsia="宋体" w:cs="宋体"/>
          <w:color w:val="auto"/>
          <w:kern w:val="0"/>
          <w:sz w:val="21"/>
          <w:szCs w:val="21"/>
          <w:highlight w:val="none"/>
          <w:lang w:val="en-US" w:eastAsia="zh-CN"/>
        </w:rPr>
        <w:t>须提供中小企业声明函等政府优惠政策适用证明材料；</w:t>
      </w:r>
    </w:p>
    <w:p w14:paraId="734A044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（5）须提供旅行社业务经营许可证</w:t>
      </w:r>
      <w:r>
        <w:rPr>
          <w:rFonts w:hint="eastAsia" w:ascii="宋体" w:hAnsi="宋体" w:cs="宋体"/>
          <w:color w:val="auto"/>
          <w:kern w:val="0"/>
          <w:sz w:val="21"/>
          <w:szCs w:val="21"/>
          <w:highlight w:val="none"/>
          <w:lang w:val="en-US" w:eastAsia="zh-CN"/>
        </w:rPr>
        <w:t>（扫描件加盖投标人公章）</w:t>
      </w:r>
      <w:r>
        <w:rPr>
          <w:rFonts w:hint="eastAsia" w:ascii="宋体" w:hAnsi="宋体" w:eastAsia="宋体" w:cs="宋体"/>
          <w:color w:val="auto"/>
          <w:kern w:val="0"/>
          <w:sz w:val="21"/>
          <w:szCs w:val="21"/>
          <w:highlight w:val="none"/>
          <w:lang w:val="en-US" w:eastAsia="zh-CN"/>
        </w:rPr>
        <w:t>；</w:t>
      </w:r>
    </w:p>
    <w:p w14:paraId="56C70703">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2、商务与技术文件的组成：</w:t>
      </w:r>
    </w:p>
    <w:p w14:paraId="078A3C84">
      <w:pPr>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（1）投标人</w:t>
      </w:r>
      <w:r>
        <w:rPr>
          <w:rFonts w:hint="eastAsia" w:ascii="宋体" w:hAnsi="宋体" w:eastAsia="宋体" w:cs="宋体"/>
          <w:color w:val="auto"/>
          <w:sz w:val="21"/>
          <w:szCs w:val="21"/>
          <w:highlight w:val="none"/>
          <w:lang w:val="en-US" w:eastAsia="zh-CN"/>
        </w:rPr>
        <w:t>企业</w:t>
      </w:r>
      <w:r>
        <w:rPr>
          <w:rFonts w:hint="eastAsia" w:ascii="宋体" w:hAnsi="宋体" w:eastAsia="宋体" w:cs="宋体"/>
          <w:color w:val="auto"/>
          <w:sz w:val="21"/>
          <w:szCs w:val="21"/>
          <w:highlight w:val="none"/>
        </w:rPr>
        <w:t>情况介绍</w:t>
      </w:r>
      <w:r>
        <w:rPr>
          <w:rFonts w:hint="eastAsia" w:ascii="宋体" w:hAnsi="宋体" w:eastAsia="宋体" w:cs="宋体"/>
          <w:color w:val="auto"/>
          <w:sz w:val="21"/>
          <w:szCs w:val="21"/>
          <w:highlight w:val="none"/>
          <w:lang w:eastAsia="zh-CN"/>
        </w:rPr>
        <w:t>；</w:t>
      </w:r>
    </w:p>
    <w:p w14:paraId="1D3D4173">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（2）投标方案描述：</w:t>
      </w:r>
    </w:p>
    <w:p w14:paraId="543AFE16">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A.项目需求的理解与分析(投标人对项目现状及需求的理解情况，对项目现状和需求描述的全面性、准确性、针对性，对项目重点、难点的把握，解决方案及合理化建议)。</w:t>
      </w:r>
    </w:p>
    <w:p w14:paraId="79DC5B2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B.项目组织实施方案（包括项目</w:t>
      </w:r>
      <w:r>
        <w:rPr>
          <w:rFonts w:hint="eastAsia" w:ascii="宋体" w:hAnsi="宋体" w:eastAsia="宋体" w:cs="宋体"/>
          <w:color w:val="auto"/>
          <w:sz w:val="21"/>
          <w:szCs w:val="21"/>
          <w:highlight w:val="none"/>
          <w:lang w:val="en-US" w:eastAsia="zh-CN"/>
        </w:rPr>
        <w:t>服务期</w:t>
      </w:r>
      <w:r>
        <w:rPr>
          <w:rFonts w:hint="eastAsia" w:ascii="宋体" w:hAnsi="宋体" w:eastAsia="宋体" w:cs="宋体"/>
          <w:color w:val="auto"/>
          <w:sz w:val="21"/>
          <w:szCs w:val="21"/>
          <w:highlight w:val="none"/>
        </w:rPr>
        <w:t>、确保项目</w:t>
      </w:r>
      <w:r>
        <w:rPr>
          <w:rFonts w:hint="eastAsia" w:ascii="宋体" w:hAnsi="宋体" w:eastAsia="宋体" w:cs="宋体"/>
          <w:color w:val="auto"/>
          <w:sz w:val="21"/>
          <w:szCs w:val="21"/>
          <w:highlight w:val="none"/>
          <w:lang w:val="en-US" w:eastAsia="zh-CN"/>
        </w:rPr>
        <w:t>实施</w:t>
      </w:r>
      <w:r>
        <w:rPr>
          <w:rFonts w:hint="eastAsia" w:ascii="宋体" w:hAnsi="宋体" w:eastAsia="宋体" w:cs="宋体"/>
          <w:color w:val="auto"/>
          <w:sz w:val="21"/>
          <w:szCs w:val="21"/>
          <w:highlight w:val="none"/>
        </w:rPr>
        <w:t>的措施或方案、项目实施进度安排、项目实施人员及项目负责人的资质、类似经验及社保证明等）。</w:t>
      </w:r>
    </w:p>
    <w:p w14:paraId="48FAD249">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C.验收方案（包括项目验收标准和验收方法等）和措施；</w:t>
      </w:r>
    </w:p>
    <w:p w14:paraId="42B48436">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（3）商务及技术响应表。</w:t>
      </w:r>
    </w:p>
    <w:p w14:paraId="4B283710">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rPr>
        <w:t>通过的质量管理和质量保证体系、环保体系、自主创新相关证书、软件著作权证等与本项目相关的认证证书或文件；</w:t>
      </w:r>
    </w:p>
    <w:p w14:paraId="4F1AF0BE">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（5）类似项目的成功案例（投标人类似项目实施情况一览表、合同复印件及其相应的发票、用户验收报告等</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p>
    <w:p w14:paraId="0843C0D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（6）投标人认为需要提供的其他资料（包括可能影响投标人商务与技术文件评分的各类证明材料）。</w:t>
      </w:r>
    </w:p>
    <w:p w14:paraId="05755460">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（7）售后服务描述及承诺：</w:t>
      </w:r>
    </w:p>
    <w:p w14:paraId="15707B7F">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A.距采购人最近的服务网点详细介绍（包括地理位置、资质资格、技术力量、工作业绩、服务内容及联系电话等）。</w:t>
      </w:r>
    </w:p>
    <w:p w14:paraId="6DDCC248">
      <w:pPr>
        <w:spacing w:line="41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B.针对本项目的售后服务措施及承诺（售后技术服务方案、人员配备、</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rPr>
        <w:t>响应时间、技术培训方案等）。</w:t>
      </w:r>
    </w:p>
    <w:p w14:paraId="7CFA0657">
      <w:pPr>
        <w:spacing w:line="410" w:lineRule="exact"/>
        <w:ind w:firstLine="422" w:firstLineChars="200"/>
        <w:rPr>
          <w:rFonts w:hint="eastAsia" w:ascii="宋体" w:hAnsi="宋体" w:eastAsia="宋体" w:cs="宋体"/>
          <w:color w:val="auto"/>
          <w:sz w:val="21"/>
          <w:szCs w:val="21"/>
          <w:highlight w:val="none"/>
        </w:rPr>
      </w:pPr>
      <w:r>
        <w:rPr>
          <w:rFonts w:hint="eastAsia" w:ascii="宋体" w:hAnsi="宋体" w:eastAsia="宋体" w:cs="宋体"/>
          <w:b/>
          <w:color w:val="auto"/>
          <w:szCs w:val="21"/>
          <w:highlight w:val="none"/>
          <w:u w:val="single"/>
        </w:rPr>
        <w:t>注：若招标文件中有专门标注的某关联点，并要求投标人在电子投标系统中作出投标响应的，如投标人未对关联点进行响应或者在投标文件其它内容进行描述，造成电子评审不能查询的责任由投标人自行承担。</w:t>
      </w:r>
    </w:p>
    <w:p w14:paraId="33B94644">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3、报价文件的组成</w:t>
      </w:r>
    </w:p>
    <w:p w14:paraId="70B7A6A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（1）报价文件由开标一览表以及投标人认为其他需要说明的内容组成。</w:t>
      </w:r>
    </w:p>
    <w:p w14:paraId="3DAC9E8F">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（2）此报价为投标人一次性报出唯一的最终价格，包含其它一切所要涉及到的费用，有选择</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附条件</w:t>
      </w:r>
      <w:r>
        <w:rPr>
          <w:rFonts w:hint="eastAsia" w:ascii="宋体" w:hAnsi="宋体" w:eastAsia="宋体" w:cs="宋体"/>
          <w:color w:val="auto"/>
          <w:sz w:val="21"/>
          <w:szCs w:val="21"/>
          <w:highlight w:val="none"/>
        </w:rPr>
        <w:t>的报价将被拒绝。</w:t>
      </w:r>
    </w:p>
    <w:p w14:paraId="47CA51B0">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投标总报价为完成本项目的所有费用，包括所有人员的人工费、交通费、住宿费、伙食费、办公设施费、管理费、利润、税金、合同包含的所有风险责任等各项费用及不可预见费等所需的全部费用，全部费用已包含在投标报价中。</w:t>
      </w:r>
    </w:p>
    <w:p w14:paraId="230DB14B">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（4）相关报价单需打印或用不</w:t>
      </w:r>
      <w:r>
        <w:rPr>
          <w:rFonts w:hint="eastAsia" w:ascii="宋体" w:hAnsi="宋体" w:cs="宋体"/>
          <w:color w:val="auto"/>
          <w:sz w:val="21"/>
          <w:szCs w:val="21"/>
          <w:highlight w:val="none"/>
          <w:lang w:val="en-US" w:eastAsia="zh-CN"/>
        </w:rPr>
        <w:t>褪色</w:t>
      </w:r>
      <w:r>
        <w:rPr>
          <w:rFonts w:hint="eastAsia" w:ascii="宋体" w:hAnsi="宋体" w:eastAsia="宋体" w:cs="宋体"/>
          <w:color w:val="auto"/>
          <w:sz w:val="21"/>
          <w:szCs w:val="21"/>
          <w:highlight w:val="none"/>
        </w:rPr>
        <w:t>的墨水填写， 投标报价单不得涂改和增删，如有错漏必须修改，修改处须由同一签署人签字或盖章</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未由</w:t>
      </w:r>
      <w:r>
        <w:rPr>
          <w:rFonts w:hint="eastAsia" w:ascii="宋体" w:hAnsi="宋体" w:cs="宋体"/>
          <w:color w:val="auto"/>
          <w:szCs w:val="21"/>
          <w:highlight w:val="none"/>
        </w:rPr>
        <w:t>同一签署人签字或盖章</w:t>
      </w:r>
      <w:r>
        <w:rPr>
          <w:rFonts w:hint="eastAsia" w:ascii="宋体" w:hAnsi="宋体" w:cs="宋体"/>
          <w:color w:val="auto"/>
          <w:szCs w:val="21"/>
          <w:highlight w:val="none"/>
          <w:lang w:val="en-US" w:eastAsia="zh-CN"/>
        </w:rPr>
        <w:t>的修改无效</w:t>
      </w:r>
      <w:r>
        <w:rPr>
          <w:rFonts w:hint="eastAsia" w:ascii="宋体" w:hAnsi="宋体" w:eastAsia="宋体" w:cs="宋体"/>
          <w:color w:val="auto"/>
          <w:sz w:val="21"/>
          <w:szCs w:val="21"/>
          <w:highlight w:val="none"/>
        </w:rPr>
        <w:t>。由于字迹模糊或表达不清引起的后果由投标人负责。</w:t>
      </w:r>
    </w:p>
    <w:p w14:paraId="2F4906C6">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）投标报价应按招标文件中相关附表格式填写。</w:t>
      </w:r>
    </w:p>
    <w:p w14:paraId="07EF2C80">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（二）投标文件的制作、封装及递交要求</w:t>
      </w:r>
    </w:p>
    <w:p w14:paraId="71CFED7C">
      <w:pPr>
        <w:snapToGrid w:val="0"/>
        <w:spacing w:before="120" w:beforeLines="50" w:line="360" w:lineRule="auto"/>
        <w:ind w:firstLine="413" w:firstLineChars="196"/>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1、</w:t>
      </w:r>
      <w:r>
        <w:rPr>
          <w:rFonts w:hint="eastAsia" w:ascii="宋体" w:hAnsi="宋体" w:eastAsia="宋体" w:cs="宋体"/>
          <w:b/>
          <w:color w:val="auto"/>
          <w:sz w:val="21"/>
          <w:szCs w:val="21"/>
          <w:highlight w:val="none"/>
        </w:rPr>
        <w:t>投标文件的签署</w:t>
      </w:r>
    </w:p>
    <w:p w14:paraId="3094F4C0">
      <w:pPr>
        <w:snapToGrid w:val="0"/>
        <w:spacing w:line="360" w:lineRule="auto"/>
        <w:ind w:firstLine="411" w:firstLineChars="196"/>
        <w:jc w:val="left"/>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bCs/>
          <w:color w:val="auto"/>
          <w:sz w:val="21"/>
          <w:szCs w:val="21"/>
          <w:highlight w:val="none"/>
        </w:rPr>
        <w:t>电子投标文件中须加盖</w:t>
      </w:r>
      <w:r>
        <w:rPr>
          <w:rFonts w:hint="eastAsia" w:ascii="宋体" w:hAnsi="宋体" w:eastAsia="宋体" w:cs="宋体"/>
          <w:bCs/>
          <w:color w:val="auto"/>
          <w:sz w:val="21"/>
          <w:szCs w:val="21"/>
          <w:highlight w:val="none"/>
          <w:lang w:val="en-US" w:eastAsia="zh-CN"/>
        </w:rPr>
        <w:t>投标人</w:t>
      </w:r>
      <w:r>
        <w:rPr>
          <w:rFonts w:hint="eastAsia" w:ascii="宋体" w:hAnsi="宋体" w:eastAsia="宋体" w:cs="宋体"/>
          <w:bCs/>
          <w:color w:val="auto"/>
          <w:sz w:val="21"/>
          <w:szCs w:val="21"/>
          <w:highlight w:val="none"/>
        </w:rPr>
        <w:t>公章部分均采用CA签章，并根据“</w:t>
      </w:r>
      <w:r>
        <w:rPr>
          <w:rFonts w:hint="eastAsia" w:ascii="宋体" w:hAnsi="宋体" w:eastAsia="宋体" w:cs="宋体"/>
          <w:bCs/>
          <w:color w:val="auto"/>
          <w:sz w:val="21"/>
          <w:szCs w:val="21"/>
          <w:highlight w:val="none"/>
          <w:lang w:val="en-US" w:eastAsia="zh-CN"/>
        </w:rPr>
        <w:t>政府采购云平台</w:t>
      </w:r>
      <w:r>
        <w:rPr>
          <w:rFonts w:hint="eastAsia" w:ascii="宋体" w:hAnsi="宋体" w:eastAsia="宋体" w:cs="宋体"/>
          <w:bCs/>
          <w:color w:val="auto"/>
          <w:sz w:val="21"/>
          <w:szCs w:val="21"/>
          <w:highlight w:val="none"/>
        </w:rPr>
        <w:t>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14:paraId="6979AC10">
      <w:pPr>
        <w:snapToGrid w:val="0"/>
        <w:spacing w:line="360" w:lineRule="auto"/>
        <w:ind w:firstLine="411" w:firstLineChars="196"/>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电子投标文件如内容不完整、编排混乱导致投标文件被误读、漏读，或者在按采购文件规定的部位查找不到相关内容的，由投标人自行承担。</w:t>
      </w:r>
    </w:p>
    <w:p w14:paraId="2CAFEABF">
      <w:pPr>
        <w:snapToGrid w:val="0"/>
        <w:spacing w:line="360" w:lineRule="auto"/>
        <w:ind w:firstLine="411" w:firstLineChars="196"/>
        <w:jc w:val="left"/>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lang w:eastAsia="zh-CN"/>
        </w:rPr>
        <w:t>）</w:t>
      </w:r>
      <w:r>
        <w:rPr>
          <w:rFonts w:hint="eastAsia" w:ascii="宋体" w:hAnsi="宋体" w:eastAsia="宋体" w:cs="宋体"/>
          <w:color w:val="auto"/>
          <w:sz w:val="21"/>
          <w:szCs w:val="21"/>
          <w:highlight w:val="none"/>
        </w:rPr>
        <w:t>温馨提醒：</w:t>
      </w:r>
      <w:r>
        <w:rPr>
          <w:rFonts w:hint="eastAsia" w:ascii="宋体" w:hAnsi="宋体" w:eastAsia="宋体" w:cs="宋体"/>
          <w:color w:val="auto"/>
          <w:sz w:val="21"/>
          <w:szCs w:val="21"/>
          <w:highlight w:val="none"/>
          <w:u w:val="single"/>
        </w:rPr>
        <w:t>CA签章上目前没有</w:t>
      </w:r>
      <w:r>
        <w:rPr>
          <w:rFonts w:hint="eastAsia" w:ascii="宋体" w:hAnsi="宋体" w:eastAsia="宋体" w:cs="宋体"/>
          <w:color w:val="auto"/>
          <w:sz w:val="21"/>
          <w:szCs w:val="21"/>
          <w:highlight w:val="none"/>
          <w:u w:val="single"/>
          <w:lang w:eastAsia="zh-CN"/>
        </w:rPr>
        <w:t>法定代表人</w:t>
      </w:r>
      <w:r>
        <w:rPr>
          <w:rFonts w:hint="eastAsia" w:ascii="宋体" w:hAnsi="宋体" w:eastAsia="宋体" w:cs="宋体"/>
          <w:color w:val="auto"/>
          <w:sz w:val="21"/>
          <w:szCs w:val="21"/>
          <w:highlight w:val="none"/>
          <w:u w:val="single"/>
        </w:rPr>
        <w:t>或授权代表签字信息，需要投标人联系浙江杭州汇信科技有限公司等相应公司进行办理，或在投标文件中涉及到签字的位置线下签好字然后扫描或者拍照做成PDF的格式亦可。</w:t>
      </w:r>
    </w:p>
    <w:p w14:paraId="1CD1544A">
      <w:pPr>
        <w:snapToGrid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sz w:val="21"/>
          <w:szCs w:val="21"/>
          <w:highlight w:val="none"/>
        </w:rPr>
        <w:t>投标文件不得涂改，若有修改错漏处，须加盖单位公章或者</w:t>
      </w:r>
      <w:r>
        <w:rPr>
          <w:rFonts w:hint="eastAsia" w:ascii="宋体" w:hAnsi="宋体" w:eastAsia="宋体" w:cs="宋体"/>
          <w:color w:val="auto"/>
          <w:sz w:val="21"/>
          <w:szCs w:val="21"/>
          <w:highlight w:val="none"/>
          <w:lang w:eastAsia="zh-CN"/>
        </w:rPr>
        <w:t>法定代表人或授权委托代理人</w:t>
      </w:r>
      <w:r>
        <w:rPr>
          <w:rFonts w:hint="eastAsia" w:ascii="宋体" w:hAnsi="宋体" w:eastAsia="宋体" w:cs="宋体"/>
          <w:color w:val="auto"/>
          <w:sz w:val="21"/>
          <w:szCs w:val="21"/>
          <w:highlight w:val="none"/>
        </w:rPr>
        <w:t>签字或盖章。投标文件因字迹潦草或表达不清所引起的后果由投标人负责。</w:t>
      </w:r>
    </w:p>
    <w:p w14:paraId="0D943B48">
      <w:pPr>
        <w:spacing w:line="360" w:lineRule="auto"/>
        <w:ind w:firstLine="422"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投标文件的制作</w:t>
      </w:r>
    </w:p>
    <w:p w14:paraId="4E86655B">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（1）投标人应按照投标文件组成内容及项目招标需求制作投标文件，不按招标文件要求制作投标文件由此产生的责任由投标人自行承担。</w:t>
      </w:r>
    </w:p>
    <w:p w14:paraId="4003A903">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投标人应对所提供的全部资料的真实性承担法律责任，投标文件内容中有要求盖章或签字的地方，必须加盖投标人的公章以及法定代表人或</w:t>
      </w:r>
      <w:r>
        <w:rPr>
          <w:rFonts w:hint="eastAsia" w:ascii="宋体" w:hAnsi="宋体" w:eastAsia="宋体" w:cs="宋体"/>
          <w:color w:val="auto"/>
          <w:sz w:val="21"/>
          <w:szCs w:val="21"/>
          <w:highlight w:val="none"/>
          <w:lang w:eastAsia="zh-CN"/>
        </w:rPr>
        <w:t>授权委托代理人</w:t>
      </w:r>
      <w:r>
        <w:rPr>
          <w:rFonts w:hint="eastAsia" w:ascii="宋体" w:hAnsi="宋体" w:eastAsia="宋体" w:cs="宋体"/>
          <w:color w:val="auto"/>
          <w:sz w:val="21"/>
          <w:szCs w:val="21"/>
          <w:highlight w:val="none"/>
        </w:rPr>
        <w:t>盖章或签字。</w:t>
      </w:r>
    </w:p>
    <w:p w14:paraId="73F995DE">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（3）投标文件以及投标人与采购组织机构就有关投标事宜的所有来往函电，均应以中文汉语书写。</w:t>
      </w: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除签字、盖章、专用名称等特殊情形外，以中文汉语以外的文字表述的投标文件视同未提供</w:t>
      </w:r>
      <w:r>
        <w:rPr>
          <w:rFonts w:hint="eastAsia" w:ascii="宋体" w:hAnsi="宋体" w:cs="宋体"/>
          <w:color w:val="auto"/>
          <w:szCs w:val="21"/>
          <w:highlight w:val="none"/>
        </w:rPr>
        <w:t>，如该文件未提供将影响投标有效性的，则视为投标无效</w:t>
      </w:r>
      <w:r>
        <w:rPr>
          <w:rFonts w:hint="eastAsia" w:ascii="宋体" w:hAnsi="宋体" w:eastAsia="宋体" w:cs="宋体"/>
          <w:color w:val="auto"/>
          <w:sz w:val="21"/>
          <w:szCs w:val="21"/>
          <w:highlight w:val="none"/>
        </w:rPr>
        <w:t>。</w:t>
      </w:r>
    </w:p>
    <w:p w14:paraId="1742092F">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（4）投标计量单位，招标文件已有明确规定的，使用招标文件规定的计量单位；招标文件没有规定的，</w:t>
      </w: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sz w:val="21"/>
          <w:szCs w:val="21"/>
          <w:highlight w:val="none"/>
        </w:rPr>
        <w:t>应采用中华人民共和国法定计量单位（货币单位：人民币元），否则视同未响应。</w:t>
      </w:r>
    </w:p>
    <w:p w14:paraId="7551BF8B">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（5）若投标人不按招标文件的要求提供资格审查材料，其风险由投标人自行承担。</w:t>
      </w:r>
    </w:p>
    <w:p w14:paraId="3F8BE34F">
      <w:pPr>
        <w:spacing w:line="360" w:lineRule="auto"/>
        <w:ind w:firstLine="420" w:firstLineChars="200"/>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（6）与本次投标无关的内容请不要制作在内，确保投标文件有针对性、简洁明了，同时节约纸张；投标文件建议以A4纸大小双面打印并装订。</w:t>
      </w:r>
    </w:p>
    <w:p w14:paraId="0D2DBBC3">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3</w:t>
      </w:r>
      <w:r>
        <w:rPr>
          <w:rFonts w:hint="eastAsia" w:ascii="宋体" w:hAnsi="宋体" w:eastAsia="宋体" w:cs="宋体"/>
          <w:b/>
          <w:bCs/>
          <w:color w:val="auto"/>
          <w:sz w:val="21"/>
          <w:szCs w:val="21"/>
          <w:highlight w:val="none"/>
        </w:rPr>
        <w:t>、投标文件的封装要求</w:t>
      </w:r>
    </w:p>
    <w:p w14:paraId="4FEB7AD6">
      <w:pPr>
        <w:pStyle w:val="49"/>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（1）投标文件的正本</w:t>
      </w:r>
      <w:r>
        <w:rPr>
          <w:rFonts w:hint="eastAsia" w:ascii="宋体" w:hAnsi="宋体" w:eastAsia="宋体" w:cs="宋体"/>
          <w:color w:val="auto"/>
          <w:sz w:val="21"/>
          <w:szCs w:val="21"/>
          <w:highlight w:val="none"/>
          <w:lang w:val="zh-CN"/>
        </w:rPr>
        <w:t>封面</w:t>
      </w:r>
      <w:r>
        <w:rPr>
          <w:rFonts w:hint="eastAsia" w:ascii="宋体" w:hAnsi="宋体" w:eastAsia="宋体" w:cs="宋体"/>
          <w:color w:val="auto"/>
          <w:sz w:val="21"/>
          <w:szCs w:val="21"/>
          <w:highlight w:val="none"/>
        </w:rPr>
        <w:t>需注明“正本”字样</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▲除报价文件外其余一律不准出现数字报价。如有不同标项，请按标项号分别</w:t>
      </w:r>
      <w:r>
        <w:rPr>
          <w:rFonts w:hint="eastAsia" w:ascii="宋体" w:hAnsi="宋体" w:eastAsia="宋体" w:cs="宋体"/>
          <w:color w:val="auto"/>
          <w:sz w:val="21"/>
          <w:szCs w:val="21"/>
          <w:highlight w:val="none"/>
          <w:lang w:val="en-US" w:eastAsia="zh-CN"/>
        </w:rPr>
        <w:t>编制</w:t>
      </w:r>
      <w:r>
        <w:rPr>
          <w:rFonts w:hint="eastAsia" w:ascii="宋体" w:hAnsi="宋体" w:eastAsia="宋体" w:cs="宋体"/>
          <w:color w:val="auto"/>
          <w:sz w:val="21"/>
          <w:szCs w:val="21"/>
          <w:highlight w:val="none"/>
        </w:rPr>
        <w:t>。</w:t>
      </w:r>
    </w:p>
    <w:p w14:paraId="5930BC7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（2）所有投标资料按投标文件的组成所列内容及顺序装订成册，</w:t>
      </w:r>
      <w:r>
        <w:rPr>
          <w:rFonts w:hint="eastAsia" w:ascii="宋体" w:hAnsi="宋体" w:eastAsia="宋体" w:cs="宋体"/>
          <w:color w:val="auto"/>
          <w:sz w:val="21"/>
          <w:szCs w:val="21"/>
          <w:highlight w:val="none"/>
          <w:lang w:val="zh-CN"/>
        </w:rPr>
        <w:t>并逐页连续标注页码。因投标文件内容不完整、编排混乱导致投标文件被误读、漏读或者查找不到相关内容的责任由投标人自行承担。</w:t>
      </w:r>
    </w:p>
    <w:p w14:paraId="4FD936D3">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备份</w:t>
      </w:r>
      <w:r>
        <w:rPr>
          <w:rFonts w:hint="eastAsia" w:ascii="宋体" w:hAnsi="宋体" w:eastAsia="宋体" w:cs="宋体"/>
          <w:color w:val="auto"/>
          <w:sz w:val="21"/>
          <w:szCs w:val="21"/>
          <w:highlight w:val="none"/>
        </w:rPr>
        <w:t>投标文件在密封袋的封口处加盖投标人公章、</w:t>
      </w:r>
      <w:r>
        <w:rPr>
          <w:rFonts w:hint="eastAsia" w:ascii="宋体" w:hAnsi="宋体" w:eastAsia="宋体" w:cs="宋体"/>
          <w:color w:val="auto"/>
          <w:sz w:val="21"/>
          <w:szCs w:val="21"/>
          <w:highlight w:val="none"/>
          <w:lang w:eastAsia="zh-CN"/>
        </w:rPr>
        <w:t>法定代表人</w:t>
      </w:r>
      <w:r>
        <w:rPr>
          <w:rFonts w:hint="eastAsia" w:ascii="宋体" w:hAnsi="宋体" w:eastAsia="宋体" w:cs="宋体"/>
          <w:color w:val="auto"/>
          <w:sz w:val="21"/>
          <w:szCs w:val="21"/>
          <w:highlight w:val="none"/>
        </w:rPr>
        <w:t>代表或</w:t>
      </w:r>
      <w:r>
        <w:rPr>
          <w:rFonts w:hint="eastAsia" w:ascii="宋体" w:hAnsi="宋体" w:eastAsia="宋体" w:cs="宋体"/>
          <w:color w:val="auto"/>
          <w:sz w:val="21"/>
          <w:szCs w:val="21"/>
          <w:highlight w:val="none"/>
          <w:lang w:val="en-US" w:eastAsia="zh-CN"/>
        </w:rPr>
        <w:t>授权委托代理人</w:t>
      </w:r>
      <w:r>
        <w:rPr>
          <w:rFonts w:hint="eastAsia" w:ascii="宋体" w:hAnsi="宋体" w:eastAsia="宋体" w:cs="宋体"/>
          <w:color w:val="auto"/>
          <w:sz w:val="21"/>
          <w:szCs w:val="21"/>
          <w:highlight w:val="none"/>
        </w:rPr>
        <w:t>印章或签字。封皮上写明项目编号、标项、招标项目名称、投标人名称，并注明“投标文件名称”、“开标时启封”字样，未按上述要求密封及加写标记</w:t>
      </w:r>
      <w:r>
        <w:rPr>
          <w:rFonts w:hint="eastAsia" w:ascii="宋体" w:hAnsi="宋体" w:eastAsia="宋体" w:cs="宋体"/>
          <w:color w:val="auto"/>
          <w:kern w:val="2"/>
          <w:highlight w:val="none"/>
        </w:rPr>
        <w:t>将被拒收</w:t>
      </w:r>
      <w:r>
        <w:rPr>
          <w:rFonts w:hint="eastAsia" w:ascii="宋体" w:hAnsi="宋体" w:eastAsia="宋体" w:cs="宋体"/>
          <w:color w:val="auto"/>
          <w:sz w:val="21"/>
          <w:szCs w:val="21"/>
          <w:highlight w:val="none"/>
        </w:rPr>
        <w:t>，采购代理机构对投标文件的误投和提前启封不负责任。</w:t>
      </w:r>
    </w:p>
    <w:p w14:paraId="5444E5B6">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（4）项目如分标项，各标项投标文件必须分开编制。</w:t>
      </w:r>
    </w:p>
    <w:p w14:paraId="2E59324E">
      <w:pPr>
        <w:spacing w:line="360" w:lineRule="auto"/>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zh-CN"/>
        </w:rPr>
        <w:t>因密封不严、标记不明而造成失密、拒收、过早启封等情况，采购代理机构概不负责。</w:t>
      </w:r>
    </w:p>
    <w:p w14:paraId="18052670">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4</w:t>
      </w:r>
      <w:r>
        <w:rPr>
          <w:rFonts w:hint="eastAsia" w:ascii="宋体" w:hAnsi="宋体" w:eastAsia="宋体" w:cs="宋体"/>
          <w:b/>
          <w:bCs/>
          <w:color w:val="auto"/>
          <w:sz w:val="21"/>
          <w:szCs w:val="21"/>
          <w:highlight w:val="none"/>
        </w:rPr>
        <w:t>、投标文件的递交要求</w:t>
      </w:r>
    </w:p>
    <w:p w14:paraId="2CF78A03">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kern w:val="2"/>
          <w:highlight w:val="none"/>
        </w:rPr>
        <w:t>供应商同时还可以提供经政采云平台加密处理的、以介质（U盘）存储的数据电文形式的备份投标文件（不强制要求，未递交备份文件的风险由供应商自行承担）。</w:t>
      </w:r>
      <w:r>
        <w:rPr>
          <w:rFonts w:hint="eastAsia" w:ascii="宋体" w:hAnsi="宋体" w:eastAsia="宋体" w:cs="宋体"/>
          <w:color w:val="auto"/>
          <w:szCs w:val="21"/>
          <w:highlight w:val="none"/>
        </w:rPr>
        <w:t>递交备份投标文件的，备份投标文件应当在投标截止时间前按要求密封（备份投标文件在密封袋的封口处加盖投标人公章、法定代表人代表或授权委托代理人印章或签字。封皮上写明项目编号、标项、招标项目名称、投标人名称，并注明“投标文件名称”、“开标时启封”字样）并</w:t>
      </w:r>
      <w:r>
        <w:rPr>
          <w:rFonts w:hint="eastAsia" w:ascii="宋体" w:hAnsi="宋体" w:eastAsia="宋体" w:cs="宋体"/>
          <w:color w:val="auto"/>
          <w:szCs w:val="21"/>
          <w:highlight w:val="none"/>
          <w:lang w:val="en-US" w:eastAsia="zh-CN"/>
        </w:rPr>
        <w:t>建议</w:t>
      </w:r>
      <w:r>
        <w:rPr>
          <w:rFonts w:hint="eastAsia" w:ascii="宋体" w:hAnsi="宋体" w:eastAsia="宋体" w:cs="宋体"/>
          <w:color w:val="auto"/>
          <w:szCs w:val="21"/>
          <w:highlight w:val="none"/>
        </w:rPr>
        <w:t>顺丰邮寄</w:t>
      </w:r>
      <w:r>
        <w:rPr>
          <w:rFonts w:hint="eastAsia" w:ascii="宋体" w:hAnsi="宋体" w:eastAsia="宋体" w:cs="宋体"/>
          <w:color w:val="auto"/>
          <w:szCs w:val="21"/>
          <w:highlight w:val="none"/>
          <w:lang w:val="en-US" w:eastAsia="zh-CN"/>
        </w:rPr>
        <w:t>或直接送达</w:t>
      </w:r>
      <w:r>
        <w:rPr>
          <w:rFonts w:hint="eastAsia" w:ascii="宋体" w:hAnsi="宋体" w:eastAsia="宋体" w:cs="宋体"/>
          <w:color w:val="auto"/>
          <w:szCs w:val="21"/>
          <w:highlight w:val="none"/>
        </w:rPr>
        <w:t>到</w:t>
      </w:r>
      <w:r>
        <w:rPr>
          <w:rFonts w:hint="eastAsia" w:ascii="宋体" w:hAnsi="宋体" w:eastAsia="宋体" w:cs="宋体"/>
          <w:b/>
          <w:bCs/>
          <w:color w:val="auto"/>
          <w:szCs w:val="21"/>
          <w:highlight w:val="none"/>
        </w:rPr>
        <w:t>台州市椒江区中环世纪6幢801室（交通银行台州分行楼上）收件人：俞雅琪；联系电话：15757696186</w:t>
      </w:r>
      <w:r>
        <w:rPr>
          <w:rFonts w:hint="eastAsia" w:ascii="宋体" w:hAnsi="宋体" w:eastAsia="宋体" w:cs="宋体"/>
          <w:color w:val="auto"/>
          <w:szCs w:val="21"/>
          <w:highlight w:val="none"/>
        </w:rPr>
        <w:t>。投标文件在截止时间后提交、</w:t>
      </w:r>
      <w:r>
        <w:rPr>
          <w:rFonts w:hint="eastAsia" w:ascii="宋体" w:hAnsi="宋体" w:eastAsia="宋体" w:cs="宋体"/>
          <w:color w:val="auto"/>
          <w:highlight w:val="none"/>
        </w:rPr>
        <w:t>到付或未按要求密封</w:t>
      </w:r>
      <w:r>
        <w:rPr>
          <w:rFonts w:hint="eastAsia" w:ascii="宋体" w:hAnsi="宋体" w:eastAsia="宋体" w:cs="宋体"/>
          <w:color w:val="auto"/>
          <w:highlight w:val="none"/>
          <w:lang w:eastAsia="zh-Hans"/>
        </w:rPr>
        <w:t>的</w:t>
      </w:r>
      <w:r>
        <w:rPr>
          <w:rFonts w:hint="eastAsia" w:ascii="宋体" w:hAnsi="宋体" w:eastAsia="宋体" w:cs="宋体"/>
          <w:color w:val="auto"/>
          <w:szCs w:val="21"/>
          <w:highlight w:val="none"/>
        </w:rPr>
        <w:t>，采购代理机构将拒绝接收。</w:t>
      </w:r>
      <w:r>
        <w:rPr>
          <w:rFonts w:hint="eastAsia" w:ascii="宋体" w:hAnsi="宋体" w:eastAsia="宋体" w:cs="宋体"/>
          <w:color w:val="auto"/>
          <w:sz w:val="21"/>
          <w:szCs w:val="21"/>
          <w:highlight w:val="none"/>
        </w:rPr>
        <w:t>▲</w:t>
      </w:r>
      <w:r>
        <w:rPr>
          <w:rFonts w:hint="eastAsia" w:ascii="宋体" w:hAnsi="宋体" w:eastAsia="宋体" w:cs="宋体"/>
          <w:color w:val="auto"/>
          <w:szCs w:val="21"/>
          <w:highlight w:val="none"/>
        </w:rPr>
        <w:t>如供应商未在</w:t>
      </w:r>
      <w:r>
        <w:rPr>
          <w:rFonts w:hint="eastAsia" w:ascii="宋体" w:hAnsi="宋体" w:eastAsia="宋体" w:cs="宋体"/>
          <w:color w:val="auto"/>
          <w:szCs w:val="21"/>
          <w:highlight w:val="none"/>
          <w:lang w:val="en-US" w:eastAsia="zh-CN"/>
        </w:rPr>
        <w:t>投标</w:t>
      </w:r>
      <w:r>
        <w:rPr>
          <w:rFonts w:hint="eastAsia" w:ascii="宋体" w:hAnsi="宋体" w:eastAsia="宋体" w:cs="宋体"/>
          <w:color w:val="auto"/>
          <w:szCs w:val="21"/>
          <w:highlight w:val="none"/>
        </w:rPr>
        <w:t>截止时间前完成电子</w:t>
      </w:r>
      <w:r>
        <w:rPr>
          <w:rFonts w:hint="eastAsia" w:ascii="宋体" w:hAnsi="宋体" w:eastAsia="宋体" w:cs="宋体"/>
          <w:color w:val="auto"/>
          <w:szCs w:val="21"/>
          <w:highlight w:val="none"/>
          <w:lang w:val="en-US" w:eastAsia="zh-CN"/>
        </w:rPr>
        <w:t>投标</w:t>
      </w:r>
      <w:r>
        <w:rPr>
          <w:rFonts w:hint="eastAsia" w:ascii="宋体" w:hAnsi="宋体" w:eastAsia="宋体" w:cs="宋体"/>
          <w:color w:val="auto"/>
          <w:szCs w:val="21"/>
          <w:highlight w:val="none"/>
        </w:rPr>
        <w:t>文件的传输递交，其备份</w:t>
      </w:r>
      <w:r>
        <w:rPr>
          <w:rFonts w:hint="eastAsia" w:ascii="宋体" w:hAnsi="宋体" w:eastAsia="宋体" w:cs="宋体"/>
          <w:color w:val="auto"/>
          <w:szCs w:val="21"/>
          <w:highlight w:val="none"/>
          <w:lang w:val="en-US" w:eastAsia="zh-CN"/>
        </w:rPr>
        <w:t>投标</w:t>
      </w:r>
      <w:r>
        <w:rPr>
          <w:rFonts w:hint="eastAsia" w:ascii="宋体" w:hAnsi="宋体" w:eastAsia="宋体" w:cs="宋体"/>
          <w:color w:val="auto"/>
          <w:szCs w:val="21"/>
          <w:highlight w:val="none"/>
        </w:rPr>
        <w:t>文件也将为无效</w:t>
      </w:r>
      <w:r>
        <w:rPr>
          <w:rFonts w:hint="eastAsia" w:ascii="宋体" w:hAnsi="宋体" w:cs="宋体"/>
          <w:color w:val="auto"/>
          <w:szCs w:val="21"/>
          <w:highlight w:val="none"/>
          <w:lang w:val="en-US" w:eastAsia="zh-CN"/>
        </w:rPr>
        <w:t>备份</w:t>
      </w:r>
      <w:r>
        <w:rPr>
          <w:rFonts w:hint="eastAsia" w:ascii="宋体" w:hAnsi="宋体" w:eastAsia="宋体" w:cs="宋体"/>
          <w:color w:val="auto"/>
          <w:szCs w:val="21"/>
          <w:highlight w:val="none"/>
          <w:lang w:val="en-US" w:eastAsia="zh-CN"/>
        </w:rPr>
        <w:t>投标</w:t>
      </w:r>
      <w:r>
        <w:rPr>
          <w:rFonts w:hint="eastAsia" w:ascii="宋体" w:hAnsi="宋体" w:eastAsia="宋体" w:cs="宋体"/>
          <w:color w:val="auto"/>
          <w:szCs w:val="21"/>
          <w:highlight w:val="none"/>
        </w:rPr>
        <w:t>文件。</w:t>
      </w:r>
    </w:p>
    <w:p w14:paraId="15388B1C">
      <w:pPr>
        <w:keepNext w:val="0"/>
        <w:keepLines w:val="0"/>
        <w:pageBreakBefore w:val="0"/>
        <w:tabs>
          <w:tab w:val="left" w:pos="1418"/>
        </w:tabs>
        <w:kinsoku/>
        <w:wordWrap/>
        <w:topLinePunct w:val="0"/>
        <w:autoSpaceDE w:val="0"/>
        <w:autoSpaceDN w:val="0"/>
        <w:bidi w:val="0"/>
        <w:adjustRightInd w:val="0"/>
        <w:spacing w:line="360" w:lineRule="auto"/>
        <w:ind w:firstLine="422" w:firstLineChars="20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rPr>
        <w:t>（2）</w:t>
      </w:r>
      <w:r>
        <w:rPr>
          <w:rFonts w:hint="eastAsia" w:ascii="宋体" w:hAnsi="宋体" w:eastAsia="宋体" w:cs="宋体"/>
          <w:b/>
          <w:bCs/>
          <w:color w:val="auto"/>
          <w:kern w:val="2"/>
          <w:sz w:val="21"/>
          <w:szCs w:val="21"/>
          <w:highlight w:val="none"/>
          <w:lang w:val="en-US" w:eastAsia="zh-CN" w:bidi="ar-SA"/>
        </w:rPr>
        <w:t>电子投标文件的相关说明</w:t>
      </w:r>
    </w:p>
    <w:p w14:paraId="7DDF961C">
      <w:pPr>
        <w:keepNext w:val="0"/>
        <w:keepLines w:val="0"/>
        <w:pageBreakBefore w:val="0"/>
        <w:tabs>
          <w:tab w:val="left" w:pos="1418"/>
        </w:tabs>
        <w:kinsoku/>
        <w:wordWrap/>
        <w:topLinePunct w:val="0"/>
        <w:autoSpaceDE w:val="0"/>
        <w:autoSpaceDN w:val="0"/>
        <w:bidi w:val="0"/>
        <w:adjustRightInd w:val="0"/>
        <w:spacing w:line="360" w:lineRule="auto"/>
        <w:ind w:firstLine="420" w:firstLineChars="200"/>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供应商进行电子投标应安装客户端软件，并按照采购文件和电子交易平台的要求编制并加密投标文件。</w:t>
      </w:r>
      <w:r>
        <w:rPr>
          <w:rFonts w:hint="eastAsia" w:ascii="宋体" w:hAnsi="宋体" w:eastAsia="宋体" w:cs="宋体"/>
          <w:color w:val="auto"/>
          <w:sz w:val="21"/>
          <w:szCs w:val="21"/>
          <w:highlight w:val="none"/>
        </w:rPr>
        <w:t>▲</w:t>
      </w:r>
      <w:r>
        <w:rPr>
          <w:rFonts w:hint="eastAsia" w:ascii="宋体" w:hAnsi="宋体" w:eastAsia="宋体" w:cs="宋体"/>
          <w:b w:val="0"/>
          <w:bCs w:val="0"/>
          <w:color w:val="auto"/>
          <w:kern w:val="2"/>
          <w:sz w:val="21"/>
          <w:szCs w:val="21"/>
          <w:highlight w:val="none"/>
          <w:lang w:val="en-US" w:eastAsia="zh-CN" w:bidi="ar-SA"/>
        </w:rPr>
        <w:t>供应商未按规定加密的投标文件，电子交易平台将拒收。</w:t>
      </w:r>
    </w:p>
    <w:p w14:paraId="602A5823">
      <w:pPr>
        <w:keepNext w:val="0"/>
        <w:keepLines w:val="0"/>
        <w:pageBreakBefore w:val="0"/>
        <w:tabs>
          <w:tab w:val="left" w:pos="1418"/>
        </w:tabs>
        <w:kinsoku/>
        <w:wordWrap/>
        <w:topLinePunct w:val="0"/>
        <w:autoSpaceDE w:val="0"/>
        <w:autoSpaceDN w:val="0"/>
        <w:bidi w:val="0"/>
        <w:adjustRightInd w:val="0"/>
        <w:spacing w:line="360" w:lineRule="auto"/>
        <w:ind w:firstLine="420" w:firstLineChars="200"/>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color w:val="auto"/>
          <w:szCs w:val="21"/>
          <w:highlight w:val="none"/>
        </w:rPr>
        <w:t>▲</w:t>
      </w:r>
      <w:r>
        <w:rPr>
          <w:rFonts w:hint="eastAsia" w:ascii="宋体" w:hAnsi="宋体" w:eastAsia="宋体" w:cs="宋体"/>
          <w:b w:val="0"/>
          <w:bCs w:val="0"/>
          <w:color w:val="auto"/>
          <w:kern w:val="2"/>
          <w:sz w:val="21"/>
          <w:szCs w:val="21"/>
          <w:highlight w:val="none"/>
          <w:lang w:val="en-US" w:eastAsia="zh-CN" w:bidi="ar-SA"/>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w:t>
      </w:r>
      <w:r>
        <w:rPr>
          <w:rFonts w:hint="eastAsia" w:ascii="宋体" w:hAnsi="宋体" w:eastAsia="宋体" w:cs="宋体"/>
          <w:color w:val="auto"/>
          <w:sz w:val="21"/>
          <w:szCs w:val="21"/>
          <w:highlight w:val="none"/>
        </w:rPr>
        <w:t>▲</w:t>
      </w:r>
      <w:r>
        <w:rPr>
          <w:rFonts w:hint="eastAsia" w:ascii="宋体" w:hAnsi="宋体" w:eastAsia="宋体" w:cs="宋体"/>
          <w:b w:val="0"/>
          <w:bCs w:val="0"/>
          <w:color w:val="auto"/>
          <w:kern w:val="2"/>
          <w:sz w:val="21"/>
          <w:szCs w:val="21"/>
          <w:highlight w:val="none"/>
          <w:lang w:val="en-US" w:eastAsia="zh-CN" w:bidi="ar-SA"/>
        </w:rPr>
        <w:t>投标截止时间后递交的投标文件，电子交易平台将拒收。</w:t>
      </w:r>
    </w:p>
    <w:p w14:paraId="4A27DA5F">
      <w:pPr>
        <w:keepNext w:val="0"/>
        <w:keepLines w:val="0"/>
        <w:pageBreakBefore w:val="0"/>
        <w:tabs>
          <w:tab w:val="left" w:pos="1418"/>
        </w:tabs>
        <w:kinsoku/>
        <w:wordWrap/>
        <w:topLinePunct w:val="0"/>
        <w:autoSpaceDE w:val="0"/>
        <w:autoSpaceDN w:val="0"/>
        <w:bidi w:val="0"/>
        <w:adjustRightInd w:val="0"/>
        <w:spacing w:line="360" w:lineRule="auto"/>
        <w:ind w:firstLine="420" w:firstLineChars="200"/>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供应商在电子交易平台传输递交投标文件后，还可以在投标截止时间前提交备份投标文件，若供应商未提交备份投标文件，其后果由供应商自行承担。</w:t>
      </w:r>
    </w:p>
    <w:p w14:paraId="30E02653">
      <w:pPr>
        <w:keepNext w:val="0"/>
        <w:keepLines w:val="0"/>
        <w:pageBreakBefore w:val="0"/>
        <w:tabs>
          <w:tab w:val="left" w:pos="1418"/>
        </w:tabs>
        <w:kinsoku/>
        <w:wordWrap/>
        <w:topLinePunct w:val="0"/>
        <w:autoSpaceDE w:val="0"/>
        <w:autoSpaceDN w:val="0"/>
        <w:bidi w:val="0"/>
        <w:adjustRightInd w:val="0"/>
        <w:spacing w:line="360" w:lineRule="auto"/>
        <w:ind w:firstLine="420" w:firstLineChars="200"/>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▲供应商仅提交备份投标文件的，投标无效。</w:t>
      </w:r>
    </w:p>
    <w:p w14:paraId="5DD43D9D">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如有特殊情况，采购</w:t>
      </w:r>
      <w:r>
        <w:rPr>
          <w:rFonts w:hint="eastAsia" w:ascii="宋体" w:hAnsi="宋体" w:eastAsia="宋体" w:cs="宋体"/>
          <w:color w:val="auto"/>
          <w:sz w:val="21"/>
          <w:szCs w:val="21"/>
          <w:highlight w:val="none"/>
          <w:lang w:val="en-US" w:eastAsia="zh-CN"/>
        </w:rPr>
        <w:t>代理</w:t>
      </w:r>
      <w:r>
        <w:rPr>
          <w:rFonts w:hint="eastAsia" w:ascii="宋体" w:hAnsi="宋体" w:eastAsia="宋体" w:cs="宋体"/>
          <w:color w:val="auto"/>
          <w:sz w:val="21"/>
          <w:szCs w:val="21"/>
          <w:highlight w:val="none"/>
        </w:rPr>
        <w:t>机构延长截止时间和开标时间，采购</w:t>
      </w:r>
      <w:r>
        <w:rPr>
          <w:rFonts w:hint="eastAsia" w:ascii="宋体" w:hAnsi="宋体" w:eastAsia="宋体" w:cs="宋体"/>
          <w:color w:val="auto"/>
          <w:sz w:val="21"/>
          <w:szCs w:val="21"/>
          <w:highlight w:val="none"/>
          <w:lang w:val="en-US" w:eastAsia="zh-CN"/>
        </w:rPr>
        <w:t>代理</w:t>
      </w:r>
      <w:r>
        <w:rPr>
          <w:rFonts w:hint="eastAsia" w:ascii="宋体" w:hAnsi="宋体" w:eastAsia="宋体" w:cs="宋体"/>
          <w:color w:val="auto"/>
          <w:sz w:val="21"/>
          <w:szCs w:val="21"/>
          <w:highlight w:val="none"/>
        </w:rPr>
        <w:t>机构和投标人的权利和义务将受到新的截止时间和开标时间的约束。</w:t>
      </w:r>
    </w:p>
    <w:p w14:paraId="3F1FB3A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4、投标文件的补充、修改和撤回。</w:t>
      </w:r>
    </w:p>
    <w:p w14:paraId="1A9E8880">
      <w:pPr>
        <w:pStyle w:val="55"/>
        <w:ind w:left="0" w:leftChars="0" w:firstLine="480" w:firstLineChars="200"/>
        <w:rPr>
          <w:rFonts w:hint="eastAsia" w:ascii="宋体" w:hAnsi="宋体" w:eastAsia="宋体" w:cs="宋体"/>
          <w:color w:val="auto"/>
          <w:kern w:val="2"/>
          <w:sz w:val="21"/>
          <w:szCs w:val="21"/>
          <w:highlight w:val="none"/>
          <w:lang w:val="en-GB" w:eastAsia="zh-CN" w:bidi="ar-SA"/>
        </w:rPr>
      </w:pPr>
      <w:r>
        <w:rPr>
          <w:rFonts w:hint="eastAsia" w:ascii="宋体" w:hAnsi="宋体" w:eastAsia="宋体" w:cs="宋体"/>
          <w:color w:val="auto"/>
          <w:szCs w:val="21"/>
          <w:highlight w:val="none"/>
        </w:rPr>
        <w:t>▲</w:t>
      </w:r>
      <w:r>
        <w:rPr>
          <w:rFonts w:hint="eastAsia" w:ascii="宋体" w:hAnsi="宋体" w:eastAsia="宋体" w:cs="宋体"/>
          <w:color w:val="auto"/>
          <w:kern w:val="2"/>
          <w:sz w:val="21"/>
          <w:szCs w:val="21"/>
          <w:highlight w:val="none"/>
          <w:lang w:val="en-GB" w:eastAsia="zh-CN" w:bidi="ar-SA"/>
        </w:rPr>
        <w:t>（</w:t>
      </w:r>
      <w:r>
        <w:rPr>
          <w:rFonts w:hint="eastAsia" w:ascii="宋体" w:hAnsi="宋体" w:eastAsia="宋体" w:cs="宋体"/>
          <w:color w:val="auto"/>
          <w:kern w:val="2"/>
          <w:sz w:val="21"/>
          <w:szCs w:val="21"/>
          <w:highlight w:val="none"/>
          <w:lang w:val="en-US" w:eastAsia="zh-CN" w:bidi="ar-SA"/>
        </w:rPr>
        <w:t>1</w:t>
      </w:r>
      <w:r>
        <w:rPr>
          <w:rFonts w:hint="eastAsia" w:ascii="宋体" w:hAnsi="宋体" w:eastAsia="宋体" w:cs="宋体"/>
          <w:color w:val="auto"/>
          <w:kern w:val="2"/>
          <w:sz w:val="21"/>
          <w:szCs w:val="21"/>
          <w:highlight w:val="none"/>
          <w:lang w:val="en-GB" w:eastAsia="zh-CN" w:bidi="ar-SA"/>
        </w:rPr>
        <w:t>）投标人应当在投标截止时间前完成电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12CEB651">
      <w:pPr>
        <w:pStyle w:val="55"/>
        <w:ind w:left="0" w:leftChars="0" w:firstLine="420" w:firstLineChars="200"/>
        <w:rPr>
          <w:rFonts w:hint="eastAsia" w:ascii="宋体" w:hAnsi="宋体" w:eastAsia="宋体" w:cs="宋体"/>
          <w:color w:val="auto"/>
          <w:kern w:val="2"/>
          <w:sz w:val="21"/>
          <w:szCs w:val="21"/>
          <w:highlight w:val="none"/>
          <w:lang w:val="en-GB" w:eastAsia="zh-CN" w:bidi="ar-SA"/>
        </w:rPr>
      </w:pPr>
      <w:r>
        <w:rPr>
          <w:rFonts w:hint="eastAsia" w:ascii="宋体" w:hAnsi="宋体" w:eastAsia="宋体" w:cs="宋体"/>
          <w:color w:val="auto"/>
          <w:kern w:val="2"/>
          <w:sz w:val="21"/>
          <w:szCs w:val="21"/>
          <w:highlight w:val="none"/>
          <w:lang w:val="en-GB" w:eastAsia="zh-CN" w:bidi="ar-SA"/>
        </w:rPr>
        <w:t>（</w:t>
      </w:r>
      <w:r>
        <w:rPr>
          <w:rFonts w:hint="eastAsia" w:ascii="宋体" w:hAnsi="宋体" w:eastAsia="宋体" w:cs="宋体"/>
          <w:color w:val="auto"/>
          <w:kern w:val="2"/>
          <w:sz w:val="21"/>
          <w:szCs w:val="21"/>
          <w:highlight w:val="none"/>
          <w:lang w:val="en-US" w:eastAsia="zh-CN" w:bidi="ar-SA"/>
        </w:rPr>
        <w:t>2</w:t>
      </w:r>
      <w:r>
        <w:rPr>
          <w:rFonts w:hint="eastAsia" w:ascii="宋体" w:hAnsi="宋体" w:eastAsia="宋体" w:cs="宋体"/>
          <w:color w:val="auto"/>
          <w:kern w:val="2"/>
          <w:sz w:val="21"/>
          <w:szCs w:val="21"/>
          <w:highlight w:val="none"/>
          <w:lang w:val="en-GB" w:eastAsia="zh-CN" w:bidi="ar-SA"/>
        </w:rPr>
        <w:t>）投标截止时间后，投标供应商不得撤回、修改投标文件。</w:t>
      </w:r>
    </w:p>
    <w:p w14:paraId="5D94AD8B">
      <w:pPr>
        <w:pStyle w:val="55"/>
        <w:ind w:left="0" w:lef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（3）</w:t>
      </w:r>
      <w:r>
        <w:rPr>
          <w:rFonts w:hint="eastAsia" w:ascii="宋体" w:hAnsi="宋体" w:eastAsia="宋体" w:cs="宋体"/>
          <w:color w:val="auto"/>
          <w:kern w:val="2"/>
          <w:sz w:val="21"/>
          <w:szCs w:val="21"/>
          <w:highlight w:val="none"/>
          <w:lang w:val="en-GB" w:eastAsia="zh-CN" w:bidi="ar-SA"/>
        </w:rPr>
        <w:t>在开标后规定的投标有效期内，投标人不能撤销投标文件。</w:t>
      </w:r>
    </w:p>
    <w:p w14:paraId="040F0C26">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（三）投标文件的有效期</w:t>
      </w:r>
    </w:p>
    <w:p w14:paraId="787ECF4A">
      <w:pPr>
        <w:spacing w:line="360" w:lineRule="auto"/>
        <w:ind w:firstLine="420" w:firstLineChars="200"/>
        <w:rPr>
          <w:rFonts w:hint="eastAsia" w:ascii="宋体" w:hAnsi="宋体" w:eastAsia="宋体" w:cs="宋体"/>
          <w:color w:val="auto"/>
          <w:sz w:val="21"/>
          <w:szCs w:val="21"/>
          <w:highlight w:val="none"/>
          <w:lang w:val="en-GB"/>
        </w:rPr>
      </w:pP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GB"/>
        </w:rPr>
        <w:t>自投标截止日起90天投标文件应保持有效。有效期不足的投标文件将被拒绝。</w:t>
      </w:r>
    </w:p>
    <w:p w14:paraId="7591C28A">
      <w:pPr>
        <w:spacing w:line="360" w:lineRule="auto"/>
        <w:ind w:firstLine="420" w:firstLineChars="200"/>
        <w:rPr>
          <w:rFonts w:hint="eastAsia" w:ascii="宋体" w:hAnsi="宋体" w:eastAsia="宋体" w:cs="宋体"/>
          <w:color w:val="auto"/>
          <w:sz w:val="21"/>
          <w:szCs w:val="21"/>
          <w:highlight w:val="none"/>
          <w:lang w:val="en-GB"/>
        </w:rPr>
      </w:pPr>
      <w:r>
        <w:rPr>
          <w:rFonts w:hint="eastAsia" w:ascii="宋体" w:hAnsi="宋体" w:eastAsia="宋体" w:cs="宋体"/>
          <w:color w:val="auto"/>
          <w:szCs w:val="21"/>
          <w:highlight w:val="none"/>
        </w:rPr>
        <w:t>2、在符合相关法律法规规定的情况下，</w:t>
      </w:r>
      <w:r>
        <w:rPr>
          <w:rFonts w:hint="eastAsia" w:ascii="宋体" w:hAnsi="宋体" w:eastAsia="宋体" w:cs="宋体"/>
          <w:color w:val="auto"/>
          <w:sz w:val="21"/>
          <w:szCs w:val="21"/>
          <w:highlight w:val="none"/>
          <w:lang w:val="en-GB"/>
        </w:rPr>
        <w:t>采购人可与投标人协商延长投标文件的有效期，这种要求和答复均以书面形式进行。</w:t>
      </w:r>
    </w:p>
    <w:p w14:paraId="6506FF0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3、中标人的投标文件自开标之日起至合同履行完毕均应保持有效。</w:t>
      </w:r>
    </w:p>
    <w:p w14:paraId="0168A8EF">
      <w:pPr>
        <w:keepNext w:val="0"/>
        <w:keepLines w:val="0"/>
        <w:pageBreakBefore w:val="0"/>
        <w:kinsoku/>
        <w:wordWrap/>
        <w:overflowPunct/>
        <w:topLinePunct w:val="0"/>
        <w:bidi w:val="0"/>
        <w:spacing w:line="360" w:lineRule="auto"/>
        <w:textAlignment w:val="auto"/>
        <w:outlineLvl w:val="9"/>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四、开标</w:t>
      </w:r>
    </w:p>
    <w:p w14:paraId="6F70B25E">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（一）开标事项</w:t>
      </w:r>
    </w:p>
    <w:p w14:paraId="4932FF18">
      <w:pPr>
        <w:keepNext w:val="0"/>
        <w:keepLines w:val="0"/>
        <w:pageBreakBefore w:val="0"/>
        <w:tabs>
          <w:tab w:val="left" w:pos="1418"/>
        </w:tabs>
        <w:kinsoku/>
        <w:wordWrap/>
        <w:overflowPunct/>
        <w:topLinePunct w:val="0"/>
        <w:autoSpaceDE w:val="0"/>
        <w:autoSpaceDN w:val="0"/>
        <w:bidi w:val="0"/>
        <w:adjustRightInd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采购组织机构在“招标公告”规定的时间和地点公开开标，本次招标采用先评审商务资格和技术服务方案，后公开并评审报价的办法实施。</w:t>
      </w:r>
    </w:p>
    <w:p w14:paraId="17AE9B79">
      <w:pPr>
        <w:keepNext w:val="0"/>
        <w:keepLines w:val="0"/>
        <w:pageBreakBefore w:val="0"/>
        <w:tabs>
          <w:tab w:val="left" w:pos="1418"/>
        </w:tabs>
        <w:kinsoku/>
        <w:wordWrap/>
        <w:overflowPunct/>
        <w:topLinePunct w:val="0"/>
        <w:autoSpaceDE w:val="0"/>
        <w:autoSpaceDN w:val="0"/>
        <w:bidi w:val="0"/>
        <w:adjustRightInd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特别说明：如遇政府采购云平台电子化开标或评审程序调整的，按调整后程序执行。</w:t>
      </w:r>
    </w:p>
    <w:p w14:paraId="75B0B048">
      <w:pPr>
        <w:keepNext w:val="0"/>
        <w:keepLines w:val="0"/>
        <w:pageBreakBefore w:val="0"/>
        <w:tabs>
          <w:tab w:val="left" w:pos="1418"/>
        </w:tabs>
        <w:kinsoku/>
        <w:wordWrap/>
        <w:overflowPunct/>
        <w:topLinePunct w:val="0"/>
        <w:autoSpaceDE w:val="0"/>
        <w:autoSpaceDN w:val="0"/>
        <w:bidi w:val="0"/>
        <w:adjustRightInd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采购过程中出现以下情形，导致电子交易平台无法正常运行，或者无法保证电子交易的公平、公正和安全时，采购组织机构可中止电子交易活动：</w:t>
      </w:r>
    </w:p>
    <w:p w14:paraId="7D0133EA">
      <w:pPr>
        <w:keepNext w:val="0"/>
        <w:keepLines w:val="0"/>
        <w:pageBreakBefore w:val="0"/>
        <w:tabs>
          <w:tab w:val="left" w:pos="1418"/>
        </w:tabs>
        <w:kinsoku/>
        <w:wordWrap/>
        <w:overflowPunct/>
        <w:topLinePunct w:val="0"/>
        <w:autoSpaceDE w:val="0"/>
        <w:autoSpaceDN w:val="0"/>
        <w:bidi w:val="0"/>
        <w:adjustRightInd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（1）电子交易平台发生故障而无法登录访问的；</w:t>
      </w:r>
    </w:p>
    <w:p w14:paraId="61EDDAC7">
      <w:pPr>
        <w:keepNext w:val="0"/>
        <w:keepLines w:val="0"/>
        <w:pageBreakBefore w:val="0"/>
        <w:tabs>
          <w:tab w:val="left" w:pos="1418"/>
        </w:tabs>
        <w:kinsoku/>
        <w:wordWrap/>
        <w:overflowPunct/>
        <w:topLinePunct w:val="0"/>
        <w:autoSpaceDE w:val="0"/>
        <w:autoSpaceDN w:val="0"/>
        <w:bidi w:val="0"/>
        <w:adjustRightInd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（2）电子交易平台应用或数据库出现错误，不能进行正常操作的；</w:t>
      </w:r>
    </w:p>
    <w:p w14:paraId="75E55908">
      <w:pPr>
        <w:keepNext w:val="0"/>
        <w:keepLines w:val="0"/>
        <w:pageBreakBefore w:val="0"/>
        <w:tabs>
          <w:tab w:val="left" w:pos="1418"/>
        </w:tabs>
        <w:kinsoku/>
        <w:wordWrap/>
        <w:overflowPunct/>
        <w:topLinePunct w:val="0"/>
        <w:autoSpaceDE w:val="0"/>
        <w:autoSpaceDN w:val="0"/>
        <w:bidi w:val="0"/>
        <w:adjustRightInd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（3）电子交易平台发现严重安全漏洞，有潜在泄密危险的；</w:t>
      </w:r>
    </w:p>
    <w:p w14:paraId="5F95D047">
      <w:pPr>
        <w:keepNext w:val="0"/>
        <w:keepLines w:val="0"/>
        <w:pageBreakBefore w:val="0"/>
        <w:tabs>
          <w:tab w:val="left" w:pos="1418"/>
        </w:tabs>
        <w:kinsoku/>
        <w:wordWrap/>
        <w:overflowPunct/>
        <w:topLinePunct w:val="0"/>
        <w:autoSpaceDE w:val="0"/>
        <w:autoSpaceDN w:val="0"/>
        <w:bidi w:val="0"/>
        <w:adjustRightInd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（4）病毒导致不能进行正常操作的；</w:t>
      </w:r>
    </w:p>
    <w:p w14:paraId="433CF93C">
      <w:pPr>
        <w:keepNext w:val="0"/>
        <w:keepLines w:val="0"/>
        <w:pageBreakBefore w:val="0"/>
        <w:tabs>
          <w:tab w:val="left" w:pos="1418"/>
        </w:tabs>
        <w:kinsoku/>
        <w:wordWrap/>
        <w:overflowPunct/>
        <w:topLinePunct w:val="0"/>
        <w:autoSpaceDE w:val="0"/>
        <w:autoSpaceDN w:val="0"/>
        <w:bidi w:val="0"/>
        <w:adjustRightInd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（5）其他无法保证电子交易的公平、公正和安全的情况。</w:t>
      </w:r>
    </w:p>
    <w:p w14:paraId="079BD7F7">
      <w:pPr>
        <w:keepNext w:val="0"/>
        <w:keepLines w:val="0"/>
        <w:pageBreakBefore w:val="0"/>
        <w:tabs>
          <w:tab w:val="left" w:pos="1418"/>
        </w:tabs>
        <w:kinsoku/>
        <w:wordWrap/>
        <w:overflowPunct/>
        <w:topLinePunct w:val="0"/>
        <w:autoSpaceDE w:val="0"/>
        <w:autoSpaceDN w:val="0"/>
        <w:bidi w:val="0"/>
        <w:adjustRightInd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14:paraId="0B580BBA">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 开标程序</w:t>
      </w:r>
    </w:p>
    <w:p w14:paraId="752FCC8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1、开标会由招标项目负责人主持，主持人宣布开标会议开始；</w:t>
      </w:r>
    </w:p>
    <w:p w14:paraId="1FF8A06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2、主持人介绍参加开标会的人员名单；</w:t>
      </w:r>
    </w:p>
    <w:p w14:paraId="72C90DA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3、主持人宣布评标期间的有关事项，告知应当回避的情形，提请有关人员回避；对投标人进行签到验证。</w:t>
      </w:r>
    </w:p>
    <w:p w14:paraId="2B1CA19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4、向各投标人发出电子加密投标文件【开始解密】通知，由投标人按招标文件规定的时间内自行进行投标文件解密。投标文件的制作和解密应使用同一个数字证书，否则将可能解密失败。</w:t>
      </w:r>
    </w:p>
    <w:p w14:paraId="1D806D9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5、采购组织机构点击【开启标书信息】，开启标书成功后进入开标流程。</w:t>
      </w:r>
    </w:p>
    <w:p w14:paraId="1CDD88C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6、资格及商务技术文件评审；</w:t>
      </w:r>
    </w:p>
    <w:p w14:paraId="1312724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7、由主持人公布无效投标的投标人名单、投标无效的原因及其他有效投标的评分汇总分；</w:t>
      </w:r>
    </w:p>
    <w:p w14:paraId="605448A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8、开启报价响应文件：采购代理机构成功开启报价响应文件后，方可查看各投标人报价情况。</w:t>
      </w:r>
    </w:p>
    <w:p w14:paraId="29D3908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9、报价文件评审；</w:t>
      </w:r>
    </w:p>
    <w:p w14:paraId="05B7187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10、由主持人公布无效投标的投标人名单、投标无效的原因及其他有效投标的报价文件得分；</w:t>
      </w:r>
    </w:p>
    <w:p w14:paraId="384E0BF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11、宣布综合得分结果及中标候选人名单；</w:t>
      </w:r>
    </w:p>
    <w:p w14:paraId="56EE4FE9">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12、开标会议结束</w:t>
      </w:r>
      <w:r>
        <w:rPr>
          <w:rFonts w:hint="eastAsia" w:ascii="宋体" w:hAnsi="宋体" w:eastAsia="宋体" w:cs="宋体"/>
          <w:color w:val="auto"/>
          <w:sz w:val="21"/>
          <w:szCs w:val="21"/>
          <w:highlight w:val="none"/>
        </w:rPr>
        <w:t>。</w:t>
      </w:r>
    </w:p>
    <w:p w14:paraId="1F9B6119">
      <w:pPr>
        <w:spacing w:line="360" w:lineRule="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五、评标</w:t>
      </w:r>
    </w:p>
    <w:p w14:paraId="5A490734">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本项目采用电子评审方法，评标的依据为招标文件和投标文件。</w:t>
      </w:r>
    </w:p>
    <w:p w14:paraId="6D4FD0AB">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（一）组建评标委员会</w:t>
      </w:r>
    </w:p>
    <w:p w14:paraId="2A68EE3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评标委员会由采购人代表和评审专家组成，成员人数为5人以上单数，其中评审专家不得少于成员总数的三分之二。</w:t>
      </w:r>
    </w:p>
    <w:p w14:paraId="2E76875F">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（二）评标程序</w:t>
      </w:r>
    </w:p>
    <w:p w14:paraId="726C6639">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1、资格审查</w:t>
      </w:r>
    </w:p>
    <w:p w14:paraId="05AC0DCF">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公开招标采购项目开标结束后，采购人或者采购组织机构应当依法对投标人的资格进行审查，对审查发现无效的进行必要的询标，结束后公布无效投标的投标人名单、投标无效的原因。</w:t>
      </w:r>
    </w:p>
    <w:p w14:paraId="75E3CAF4">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2、符合性审查</w:t>
      </w:r>
    </w:p>
    <w:p w14:paraId="579D263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评标委员会应当对符合资格的投标人的投标文件进行符合性审查，以确定其是否满足招标文件的实质性要求，对审查发现无效的进行必要的询标，结束后公布无效投标的投标人名单、投标无效的原因。</w:t>
      </w:r>
    </w:p>
    <w:p w14:paraId="772C1273">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3、综合比较与评价</w:t>
      </w:r>
    </w:p>
    <w:p w14:paraId="59A34024">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（1）对于投标文件中含义不明确、同类问题表述不一致或者有明显文字和计算错误的内容，评标委员会应当以书面形式要求投标人作出必要的澄清、说明或者补正。</w:t>
      </w:r>
    </w:p>
    <w:p w14:paraId="4B5D5DB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（2）评标委员会应当按照招标文件中规定的评标方法和标准，对符合性审查合格的投标文件进行商务和技术评估，综合比较与评价。</w:t>
      </w:r>
    </w:p>
    <w:p w14:paraId="1897525B">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（3）评标时，评标委员会各成员应当独立对每个投标人的投标文件进行评价，并汇总每个投标人的得分。</w:t>
      </w:r>
    </w:p>
    <w:p w14:paraId="065F4784">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4、得分确认及评审报告编写</w:t>
      </w:r>
    </w:p>
    <w:p w14:paraId="7C533BE6">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（1）评标委员会对报价文件进行复核，对于系统计算出的价格分及总得分进行确认；</w:t>
      </w:r>
    </w:p>
    <w:p w14:paraId="1B68C53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（2）评标委员会应当按照招标文件中规定的评标方法和标准，对符合性审查合格的投标文件进行商务和技术评估，综合比较与评价。</w:t>
      </w:r>
    </w:p>
    <w:p w14:paraId="31BFE8B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（3）评标委员会按评标原则及得分情况编写评审报告。</w:t>
      </w:r>
    </w:p>
    <w:p w14:paraId="26312059">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5、评价</w:t>
      </w:r>
    </w:p>
    <w:p w14:paraId="07721F70">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采购组织机构对评标委员会评审专家进行评价。</w:t>
      </w:r>
    </w:p>
    <w:p w14:paraId="0F8C9512">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（三）澄清问题的形式</w:t>
      </w:r>
    </w:p>
    <w:p w14:paraId="7EF061BD">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投标人的澄清、说明或者补正应当采用书面形式，并加盖公章或者由</w:t>
      </w:r>
      <w:r>
        <w:rPr>
          <w:rFonts w:hint="eastAsia" w:ascii="宋体" w:hAnsi="宋体" w:eastAsia="宋体" w:cs="宋体"/>
          <w:color w:val="auto"/>
          <w:sz w:val="21"/>
          <w:szCs w:val="21"/>
          <w:highlight w:val="none"/>
          <w:lang w:eastAsia="zh-CN"/>
        </w:rPr>
        <w:t>法定代表人或授权委托代理人</w:t>
      </w:r>
      <w:r>
        <w:rPr>
          <w:rFonts w:hint="eastAsia" w:ascii="宋体" w:hAnsi="宋体" w:eastAsia="宋体" w:cs="宋体"/>
          <w:color w:val="auto"/>
          <w:sz w:val="21"/>
          <w:szCs w:val="21"/>
          <w:highlight w:val="none"/>
        </w:rPr>
        <w:t>签字，并不得超出投标文件的范围或者改变投标文件的实质性内容。</w:t>
      </w:r>
    </w:p>
    <w:p w14:paraId="4B1D83CF">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（四）错误修正</w:t>
      </w:r>
    </w:p>
    <w:p w14:paraId="7EEBAD93">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投标文件报价出现前后不一致的，除招标文件另有规定外，按照下列规定修正：</w:t>
      </w:r>
    </w:p>
    <w:p w14:paraId="6E6B5433">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1、投标文件中开标一览表（报价表）内容与投标文件中相应内容不一致的，以开标一览表（报价表）为准</w:t>
      </w:r>
      <w:r>
        <w:rPr>
          <w:rFonts w:hint="eastAsia" w:ascii="宋体" w:hAnsi="宋体" w:eastAsia="宋体" w:cs="宋体"/>
          <w:color w:val="auto"/>
          <w:sz w:val="21"/>
          <w:szCs w:val="21"/>
          <w:highlight w:val="none"/>
          <w:lang w:eastAsia="zh-CN"/>
        </w:rPr>
        <w:t>。政采云平台开标一览表中填报的价格与上传的报价响应文件中开标一览表的报价不一致的，以上传的报价响应文件中开标一览表的价格为准，修正平台上的投标报价</w:t>
      </w:r>
      <w:r>
        <w:rPr>
          <w:rFonts w:hint="eastAsia" w:ascii="宋体" w:hAnsi="宋体" w:eastAsia="宋体" w:cs="宋体"/>
          <w:color w:val="auto"/>
          <w:sz w:val="21"/>
          <w:szCs w:val="21"/>
          <w:highlight w:val="none"/>
        </w:rPr>
        <w:t>；</w:t>
      </w:r>
    </w:p>
    <w:p w14:paraId="30433C46">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2、大写金额和小写金额不一致的，以大写金额为准；</w:t>
      </w:r>
    </w:p>
    <w:p w14:paraId="45F42835">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3、单价金额小数点或者百分比有明显错位的，以开标一览表的总价为准，并修改单价；</w:t>
      </w:r>
    </w:p>
    <w:p w14:paraId="7E0F67E2">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4、总价金额与按单价汇总金额不一致的，以单价金额计算结果为准。</w:t>
      </w:r>
    </w:p>
    <w:p w14:paraId="586009D9">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▲同时出现两种以上不一致的，按照前款规定的顺序修正。修正应当采用书面形式，并加盖公章，或者由法定代表人或授权委托代理人签字。修正后的报价经投标人确认后产生约束力，投标人不确认</w:t>
      </w:r>
      <w:r>
        <w:rPr>
          <w:rFonts w:hint="eastAsia" w:cs="宋体"/>
          <w:color w:val="auto"/>
          <w:sz w:val="21"/>
          <w:szCs w:val="21"/>
          <w:highlight w:val="none"/>
          <w:lang w:val="en-US" w:eastAsia="zh-CN"/>
        </w:rPr>
        <w:t>或未在规定时间内进行有效澄清</w:t>
      </w:r>
      <w:r>
        <w:rPr>
          <w:rFonts w:hint="eastAsia" w:ascii="宋体" w:hAnsi="宋体" w:eastAsia="宋体" w:cs="宋体"/>
          <w:color w:val="auto"/>
          <w:sz w:val="21"/>
          <w:szCs w:val="21"/>
          <w:highlight w:val="none"/>
        </w:rPr>
        <w:t>的，其投标无效。</w:t>
      </w:r>
    </w:p>
    <w:p w14:paraId="3C14DC6E">
      <w:pPr>
        <w:spacing w:line="360" w:lineRule="auto"/>
        <w:ind w:firstLine="420" w:firstLineChars="200"/>
        <w:outlineLvl w:val="9"/>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b/>
          <w:bCs/>
          <w:color w:val="auto"/>
          <w:sz w:val="21"/>
          <w:szCs w:val="21"/>
          <w:highlight w:val="none"/>
        </w:rPr>
        <w:t>（五）投标人存在下列情况之一的，投标无效</w:t>
      </w:r>
    </w:p>
    <w:p w14:paraId="7720682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1、资格证明文件或商务与技术文件跟报价文件出现混装或在资格证明文件或商务与技术文件中出现投标报价的，或者报价文件中报价的货物跟商务与技术文件中的投标货物出现重大偏差的；</w:t>
      </w:r>
    </w:p>
    <w:p w14:paraId="5F0E9BC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2、不具备招标文件中规定的资格要求的。</w:t>
      </w:r>
      <w:r>
        <w:rPr>
          <w:rFonts w:hint="eastAsia" w:ascii="宋体" w:hAnsi="宋体" w:eastAsia="宋体" w:cs="宋体"/>
          <w:color w:val="auto"/>
          <w:sz w:val="21"/>
          <w:szCs w:val="21"/>
          <w:highlight w:val="none"/>
        </w:rPr>
        <w:tab/>
      </w:r>
    </w:p>
    <w:p w14:paraId="2CC64D96">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3、投标文件含有采购人不能接受的附加条件的。</w:t>
      </w:r>
    </w:p>
    <w:p w14:paraId="646B3879">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en-US" w:eastAsia="zh-CN"/>
        </w:rPr>
        <w:t>投标人的</w:t>
      </w:r>
      <w:r>
        <w:rPr>
          <w:rFonts w:hint="eastAsia" w:ascii="宋体" w:hAnsi="宋体" w:eastAsia="宋体" w:cs="宋体"/>
          <w:color w:val="auto"/>
          <w:sz w:val="21"/>
          <w:szCs w:val="21"/>
          <w:highlight w:val="none"/>
          <w:lang w:eastAsia="zh-CN"/>
        </w:rPr>
        <w:t>授权委托代理人</w:t>
      </w:r>
      <w:r>
        <w:rPr>
          <w:rFonts w:hint="eastAsia" w:ascii="宋体" w:hAnsi="宋体" w:eastAsia="宋体" w:cs="宋体"/>
          <w:color w:val="auto"/>
          <w:sz w:val="21"/>
          <w:szCs w:val="21"/>
          <w:highlight w:val="none"/>
        </w:rPr>
        <w:t>未能出具身份证明或与法定代表人授权委托人身份不符的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受疫情影响，投标人的授权委托代理人无须现场参加开标</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p>
    <w:p w14:paraId="29E2CE02">
      <w:pPr>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eastAsia="zh-CN"/>
        </w:rPr>
        <w:t>投标人的电子投标文件无法按时解密且本项目未达到启动备份文件条件的。</w:t>
      </w:r>
    </w:p>
    <w:p w14:paraId="2DEBE486">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6、电子投标文件解密失败的，且未在规定时间内提交备份投标文件的；</w:t>
      </w:r>
    </w:p>
    <w:p w14:paraId="734C8189">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7、电子投标文件未按规定要求提供电子签章的；</w:t>
      </w:r>
    </w:p>
    <w:p w14:paraId="5BF772A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32BFD1F5">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w:t>
      </w:r>
      <w:r>
        <w:rPr>
          <w:rFonts w:hint="eastAsia" w:ascii="宋体" w:hAnsi="宋体" w:eastAsia="宋体" w:cs="宋体"/>
          <w:color w:val="auto"/>
          <w:szCs w:val="21"/>
          <w:highlight w:val="none"/>
        </w:rPr>
        <w:t>报价超过招标文件中规定的预算价/最高限(单)价。</w:t>
      </w:r>
      <w:r>
        <w:rPr>
          <w:rFonts w:hint="eastAsia" w:ascii="宋体" w:hAnsi="宋体" w:eastAsia="宋体" w:cs="宋体"/>
          <w:color w:val="auto"/>
          <w:sz w:val="21"/>
          <w:szCs w:val="21"/>
          <w:highlight w:val="none"/>
        </w:rPr>
        <w:t xml:space="preserve"> </w:t>
      </w:r>
    </w:p>
    <w:p w14:paraId="23F1AE0B">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、投标参数未如实填写，完全复制粘贴招标参数的。</w:t>
      </w:r>
    </w:p>
    <w:p w14:paraId="14BFCF48">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 xml:space="preserve">、投标文件提供虚假材料的。 </w:t>
      </w:r>
    </w:p>
    <w:p w14:paraId="3671BD0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12</w:t>
      </w:r>
      <w:r>
        <w:rPr>
          <w:rFonts w:hint="eastAsia" w:ascii="宋体" w:hAnsi="宋体" w:eastAsia="宋体" w:cs="宋体"/>
          <w:color w:val="auto"/>
          <w:sz w:val="21"/>
          <w:szCs w:val="21"/>
          <w:highlight w:val="none"/>
        </w:rPr>
        <w:t>、不符合中华人民共和国财政部令第87号《政府采购货物和服务招标投标管理办法》第三十七条情形之一的，视为投标人串通投标，其投标无效，并移送采购监管部门：</w:t>
      </w:r>
    </w:p>
    <w:p w14:paraId="603D5FE3">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（1）不同投标人的投标文件由同一单位或者个人编制；</w:t>
      </w:r>
    </w:p>
    <w:p w14:paraId="44AAB61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（2）不同投标人委托同一单位或者个人办理投标事宜；</w:t>
      </w:r>
    </w:p>
    <w:p w14:paraId="0C59E2B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（3）不同投标人的投标文件载明的项目管理成员或者联系人员为同一人；</w:t>
      </w:r>
    </w:p>
    <w:p w14:paraId="7FB6885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（4）不同投标人的投标文件异常一致或者投标报价呈规律性差异；</w:t>
      </w:r>
    </w:p>
    <w:p w14:paraId="7F01652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（5）不同投标人的投标文件相互混装；</w:t>
      </w:r>
    </w:p>
    <w:p w14:paraId="04A90B07">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13、</w:t>
      </w:r>
      <w:r>
        <w:rPr>
          <w:rFonts w:hint="eastAsia" w:ascii="宋体" w:hAnsi="宋体" w:eastAsia="宋体" w:cs="宋体"/>
          <w:color w:val="auto"/>
          <w:szCs w:val="21"/>
          <w:highlight w:val="none"/>
        </w:rPr>
        <w:t>不同供应商的电子投标（响应）文件上传计算机的网卡MAC地址或硬盘序列号等硬件信息相同且无法合理解释的；</w:t>
      </w:r>
    </w:p>
    <w:p w14:paraId="07AC37D4">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14、</w:t>
      </w:r>
      <w:r>
        <w:rPr>
          <w:rFonts w:hint="eastAsia" w:ascii="宋体" w:hAnsi="宋体" w:eastAsia="宋体" w:cs="宋体"/>
          <w:color w:val="auto"/>
          <w:szCs w:val="21"/>
          <w:highlight w:val="none"/>
        </w:rPr>
        <w:t>上传的电子投标（响应）文件若出现使用本项目其他投标（响应）供应商的数字证书加密的，或者加盖本项目其他投标（响应）供应商的电子印章的；</w:t>
      </w:r>
    </w:p>
    <w:p w14:paraId="279B4C6C">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15、</w:t>
      </w:r>
      <w:r>
        <w:rPr>
          <w:rFonts w:hint="eastAsia" w:ascii="宋体" w:hAnsi="宋体" w:eastAsia="宋体" w:cs="宋体"/>
          <w:color w:val="auto"/>
          <w:szCs w:val="21"/>
          <w:highlight w:val="none"/>
        </w:rPr>
        <w:t>不同供应商的投标（响应）文件的内容存在3处（含）以上错误一致的；</w:t>
      </w:r>
    </w:p>
    <w:p w14:paraId="46CD7B29">
      <w:pPr>
        <w:keepNext w:val="0"/>
        <w:keepLines w:val="0"/>
        <w:pageBreakBefore w:val="0"/>
        <w:kinsoku/>
        <w:wordWrap/>
        <w:overflowPunct/>
        <w:topLinePunct w:val="0"/>
        <w:bidi w:val="0"/>
        <w:spacing w:line="360"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16、</w:t>
      </w:r>
      <w:r>
        <w:rPr>
          <w:rFonts w:hint="eastAsia" w:ascii="宋体" w:hAnsi="宋体" w:eastAsia="宋体" w:cs="宋体"/>
          <w:color w:val="auto"/>
          <w:szCs w:val="21"/>
          <w:highlight w:val="none"/>
        </w:rPr>
        <w:t>不同供应商联系人为同一人或不同联系人的联系电话一致的。</w:t>
      </w:r>
    </w:p>
    <w:p w14:paraId="6A5E790D">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1</w:t>
      </w:r>
      <w:r>
        <w:rPr>
          <w:rFonts w:hint="eastAsia" w:ascii="宋体" w:hAnsi="宋体" w:cs="宋体"/>
          <w:color w:val="auto"/>
          <w:szCs w:val="21"/>
          <w:highlight w:val="none"/>
          <w:lang w:val="en-US" w:eastAsia="zh-CN"/>
        </w:rPr>
        <w:t>7</w:t>
      </w: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不符合法律、法规和招标文件中规定的其他实质性要求的（招标文件中打“▲”内容及被拒绝的条款）。</w:t>
      </w:r>
    </w:p>
    <w:p w14:paraId="58D874FC">
      <w:pPr>
        <w:spacing w:line="360" w:lineRule="auto"/>
        <w:ind w:firstLine="420" w:firstLineChars="200"/>
        <w:outlineLvl w:val="9"/>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b/>
          <w:bCs/>
          <w:color w:val="auto"/>
          <w:sz w:val="21"/>
          <w:szCs w:val="21"/>
          <w:highlight w:val="none"/>
        </w:rPr>
        <w:t>（六）有下列情况之一的，本次招标作为废标处理</w:t>
      </w:r>
    </w:p>
    <w:p w14:paraId="77B30DE3">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1、出现影响采购公正的违法、违规行为的；</w:t>
      </w:r>
    </w:p>
    <w:p w14:paraId="68EB6449">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2、评标委员会发现招标文件存在歧义、重大缺陷导致评标工作无法进行，或者招标文件内容违反国家有关强制性规定的；</w:t>
      </w:r>
    </w:p>
    <w:p w14:paraId="65470AD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3、因重大变故，采购任务取消的；</w:t>
      </w:r>
    </w:p>
    <w:p w14:paraId="47BB5AC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4、法律、法规和招标文件规定的其他导致评标结果无效的。</w:t>
      </w:r>
    </w:p>
    <w:p w14:paraId="5265F742">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（七）评标原则和评标办法</w:t>
      </w:r>
    </w:p>
    <w:p w14:paraId="0F5EBEF0">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32FF167B">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2、评标办法。具体评标内容及评分标准等详见《第三章：评标</w:t>
      </w:r>
      <w:r>
        <w:rPr>
          <w:rFonts w:hint="eastAsia" w:ascii="宋体" w:hAnsi="宋体" w:cs="宋体"/>
          <w:color w:val="auto"/>
          <w:sz w:val="21"/>
          <w:szCs w:val="21"/>
          <w:highlight w:val="none"/>
          <w:lang w:val="en-US" w:eastAsia="zh-CN"/>
        </w:rPr>
        <w:t>办法</w:t>
      </w:r>
      <w:r>
        <w:rPr>
          <w:rFonts w:hint="eastAsia" w:ascii="宋体" w:hAnsi="宋体" w:eastAsia="宋体" w:cs="宋体"/>
          <w:color w:val="auto"/>
          <w:sz w:val="21"/>
          <w:szCs w:val="21"/>
          <w:highlight w:val="none"/>
        </w:rPr>
        <w:t>及评分标准》。</w:t>
      </w:r>
    </w:p>
    <w:p w14:paraId="5E434955">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（八）评标过程的监控</w:t>
      </w:r>
    </w:p>
    <w:p w14:paraId="1984EF39">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本项目评标过程实行全程录音、录像监控，政府采购监管部门视情进行现场监督，投标人在评标过程中所进行的试图影响评标结果的不公正活动，可能导致其投标被拒绝。</w:t>
      </w:r>
    </w:p>
    <w:p w14:paraId="3D612E38">
      <w:pPr>
        <w:spacing w:line="360" w:lineRule="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六、定标</w:t>
      </w:r>
    </w:p>
    <w:p w14:paraId="2D0669B5">
      <w:pPr>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确定中标供应商。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14:paraId="0EABC1BD">
      <w:pPr>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布中标结果公告。中标结果将自中标人确定之日起2个工作日内在省级以上财政部门指定的媒体及相关网站公告。如发现中标供应商资格无效或其放弃中标资格，则按本次评标供应商得分排序结果依次替补或重新组织。</w:t>
      </w:r>
    </w:p>
    <w:p w14:paraId="182FA7AB">
      <w:pPr>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3、发出中标通知书。采购组织机构在发布中标结果的同时，向中标人发出中标通知书。</w:t>
      </w:r>
    </w:p>
    <w:p w14:paraId="00A8D893">
      <w:pPr>
        <w:pStyle w:val="18"/>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中标人在中标之后领取通知书之前，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p>
    <w:p w14:paraId="1E634ED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5、招标代理费：</w:t>
      </w:r>
      <w:r>
        <w:rPr>
          <w:rFonts w:hint="eastAsia" w:ascii="宋体" w:hAnsi="宋体" w:eastAsia="宋体" w:cs="宋体"/>
          <w:color w:val="auto"/>
          <w:szCs w:val="21"/>
          <w:highlight w:val="none"/>
        </w:rPr>
        <w:t>按照中标通知书确定的中标金额，</w:t>
      </w:r>
      <w:r>
        <w:rPr>
          <w:rFonts w:hint="eastAsia" w:ascii="宋体" w:hAnsi="宋体" w:eastAsia="宋体" w:cs="宋体"/>
          <w:color w:val="auto"/>
          <w:szCs w:val="21"/>
          <w:highlight w:val="none"/>
          <w:lang w:val="en-US" w:eastAsia="zh-CN"/>
        </w:rPr>
        <w:t>按下附表收费标准，采用差额累进算法</w:t>
      </w:r>
      <w:r>
        <w:rPr>
          <w:rFonts w:hint="eastAsia" w:ascii="宋体" w:hAnsi="宋体" w:eastAsia="宋体" w:cs="宋体"/>
          <w:color w:val="auto"/>
          <w:szCs w:val="21"/>
          <w:highlight w:val="none"/>
        </w:rPr>
        <w:t>向中标单位收取代理服务费。</w:t>
      </w:r>
      <w:r>
        <w:rPr>
          <w:rFonts w:hint="eastAsia" w:ascii="宋体" w:hAnsi="宋体" w:eastAsia="宋体" w:cs="宋体"/>
          <w:color w:val="auto"/>
          <w:sz w:val="21"/>
          <w:szCs w:val="21"/>
          <w:highlight w:val="none"/>
        </w:rPr>
        <w:t>代理服务费结算不足</w:t>
      </w:r>
      <w:r>
        <w:rPr>
          <w:rFonts w:hint="eastAsia" w:ascii="宋体" w:hAnsi="宋体" w:eastAsia="宋体" w:cs="宋体"/>
          <w:color w:val="auto"/>
          <w:sz w:val="21"/>
          <w:szCs w:val="21"/>
          <w:highlight w:val="none"/>
          <w:lang w:val="en-US" w:eastAsia="zh-CN"/>
        </w:rPr>
        <w:t>陆仟元</w:t>
      </w:r>
      <w:r>
        <w:rPr>
          <w:rFonts w:hint="eastAsia" w:ascii="宋体" w:hAnsi="宋体" w:eastAsia="宋体" w:cs="宋体"/>
          <w:color w:val="auto"/>
          <w:sz w:val="21"/>
          <w:szCs w:val="21"/>
          <w:highlight w:val="none"/>
        </w:rPr>
        <w:t>的，按定额</w:t>
      </w:r>
      <w:r>
        <w:rPr>
          <w:rFonts w:hint="eastAsia" w:ascii="宋体" w:hAnsi="宋体" w:eastAsia="宋体" w:cs="宋体"/>
          <w:color w:val="auto"/>
          <w:sz w:val="21"/>
          <w:szCs w:val="21"/>
          <w:highlight w:val="none"/>
          <w:lang w:val="en-US" w:eastAsia="zh-CN"/>
        </w:rPr>
        <w:t>陆仟元</w:t>
      </w:r>
      <w:r>
        <w:rPr>
          <w:rFonts w:hint="eastAsia" w:ascii="宋体" w:hAnsi="宋体" w:eastAsia="宋体" w:cs="宋体"/>
          <w:color w:val="auto"/>
          <w:sz w:val="21"/>
          <w:szCs w:val="21"/>
          <w:highlight w:val="none"/>
        </w:rPr>
        <w:t>收取。该费用中标方须在领取中标通知书时一次性付清。（单位名称：台州永安工程咨询有限公司；人民币账号：530125998900015；开户行：台州银行黄岩工业园区支行）</w:t>
      </w:r>
    </w:p>
    <w:p w14:paraId="4DF4FAD1">
      <w:pPr>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附表：招标代理服务收费标准</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6"/>
        <w:gridCol w:w="2067"/>
      </w:tblGrid>
      <w:tr w14:paraId="201B6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2556" w:type="dxa"/>
          </w:tcPr>
          <w:p w14:paraId="3D19D0F4">
            <w:pPr>
              <w:ind w:firstLine="1470" w:firstLineChars="700"/>
              <w:rPr>
                <w:rFonts w:hint="eastAsia" w:ascii="宋体" w:hAnsi="宋体" w:eastAsia="宋体" w:cs="宋体"/>
                <w:b/>
                <w:color w:val="auto"/>
                <w:szCs w:val="21"/>
                <w:highlight w:val="none"/>
              </w:rPr>
            </w:pPr>
            <w:r>
              <w:rPr>
                <w:rFonts w:hint="eastAsia" w:ascii="宋体" w:hAnsi="宋体" w:eastAsia="宋体" w:cs="宋体"/>
                <w:color w:val="auto"/>
                <w:highlight w:val="none"/>
              </w:rPr>
              <mc:AlternateContent>
                <mc:Choice Requires="wps">
                  <w:drawing>
                    <wp:anchor distT="0" distB="0" distL="114300" distR="114300" simplePos="0" relativeHeight="251664384" behindDoc="0" locked="0" layoutInCell="1" allowOverlap="1">
                      <wp:simplePos x="0" y="0"/>
                      <wp:positionH relativeFrom="column">
                        <wp:posOffset>-58420</wp:posOffset>
                      </wp:positionH>
                      <wp:positionV relativeFrom="paragraph">
                        <wp:posOffset>21590</wp:posOffset>
                      </wp:positionV>
                      <wp:extent cx="1619250" cy="725170"/>
                      <wp:effectExtent l="1905" t="4445" r="17145" b="13335"/>
                      <wp:wrapNone/>
                      <wp:docPr id="6" name="直接连接符 6"/>
                      <wp:cNvGraphicFramePr/>
                      <a:graphic xmlns:a="http://schemas.openxmlformats.org/drawingml/2006/main">
                        <a:graphicData uri="http://schemas.microsoft.com/office/word/2010/wordprocessingShape">
                          <wps:wsp>
                            <wps:cNvCnPr/>
                            <wps:spPr>
                              <a:xfrm flipH="1" flipV="1">
                                <a:off x="999490" y="935355"/>
                                <a:ext cx="1619250" cy="72517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flip:x y;margin-left:-4.6pt;margin-top:1.7pt;height:57.1pt;width:127.5pt;z-index:251664384;mso-width-relative:page;mso-height-relative:page;" filled="f" stroked="t" coordsize="21600,21600" o:gfxdata="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DPfnlX1AAAAAgBAAAPAAAAAAAAAAEAIAAAACIA&#10;AABkcnMvZG93bnJldi54bWxQSwECFAAUAAAACACHTuJAWpXT7g0CAAD2AwAADgAAAAAAAAABACAA&#10;AAAjAQAAZHJzL2Uyb0RvYy54bWxQSwUGAAAAAAYABgBZAQAAogUAAAAA&#10;">
                      <v:fill on="f" focussize="0,0"/>
                      <v:stroke color="#000000 [3200]" joinstyle="round"/>
                      <v:imagedata o:title=""/>
                      <o:lock v:ext="edit" aspectratio="f"/>
                    </v:line>
                  </w:pict>
                </mc:Fallback>
              </mc:AlternateContent>
            </w:r>
            <w:r>
              <w:rPr>
                <w:rFonts w:hint="eastAsia" w:ascii="宋体" w:hAnsi="宋体" w:eastAsia="宋体" w:cs="宋体"/>
                <w:color w:val="auto"/>
                <w:highlight w:val="none"/>
              </w:rPr>
              <mc:AlternateContent>
                <mc:Choice Requires="wps">
                  <w:drawing>
                    <wp:anchor distT="0" distB="0" distL="114300" distR="114300" simplePos="0" relativeHeight="251663360" behindDoc="0" locked="0" layoutInCell="1" allowOverlap="1">
                      <wp:simplePos x="0" y="0"/>
                      <wp:positionH relativeFrom="column">
                        <wp:posOffset>645160</wp:posOffset>
                      </wp:positionH>
                      <wp:positionV relativeFrom="paragraph">
                        <wp:posOffset>0</wp:posOffset>
                      </wp:positionV>
                      <wp:extent cx="922655" cy="739775"/>
                      <wp:effectExtent l="3175" t="3810" r="7620" b="18415"/>
                      <wp:wrapNone/>
                      <wp:docPr id="4" name="直接连接符 4"/>
                      <wp:cNvGraphicFramePr/>
                      <a:graphic xmlns:a="http://schemas.openxmlformats.org/drawingml/2006/main">
                        <a:graphicData uri="http://schemas.microsoft.com/office/word/2010/wordprocessingShape">
                          <wps:wsp>
                            <wps:cNvCnPr/>
                            <wps:spPr>
                              <a:xfrm>
                                <a:off x="1812925" y="964565"/>
                                <a:ext cx="922655" cy="73977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50.8pt;margin-top:0pt;height:58.25pt;width:72.65pt;z-index:251663360;mso-width-relative:page;mso-height-relative:page;" filled="f" stroked="t" coordsize="21600,21600" o:gfxdata="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T4BhXtUAAAAIAQAADwAAAAAAAAABACAAAAAiAAAAZHJzL2Rvd25y&#10;ZXYueG1sUEsBAhQAFAAAAAgAh07iQAUyfA4BAgAA4gMAAA4AAAAAAAAAAQAgAAAAJAEAAGRycy9l&#10;Mm9Eb2MueG1sUEsFBgAAAAAGAAYAWQEAAJcFAAAAAA==&#10;">
                      <v:fill on="f" focussize="0,0"/>
                      <v:stroke color="#000000 [3200]" joinstyle="round"/>
                      <v:imagedata o:title=""/>
                      <o:lock v:ext="edit" aspectratio="f"/>
                    </v:line>
                  </w:pict>
                </mc:Fallback>
              </mc:AlternateContent>
            </w:r>
            <w:r>
              <w:rPr>
                <w:rFonts w:hint="eastAsia" w:ascii="宋体" w:hAnsi="宋体" w:eastAsia="宋体" w:cs="宋体"/>
                <w:b/>
                <w:color w:val="auto"/>
                <w:szCs w:val="21"/>
                <w:highlight w:val="none"/>
              </w:rPr>
              <mc:AlternateContent>
                <mc:Choice Requires="wps">
                  <w:drawing>
                    <wp:anchor distT="0" distB="0" distL="114300" distR="114300" simplePos="0" relativeHeight="251662336" behindDoc="0" locked="0" layoutInCell="0" allowOverlap="1">
                      <wp:simplePos x="0" y="0"/>
                      <wp:positionH relativeFrom="column">
                        <wp:posOffset>-114300</wp:posOffset>
                      </wp:positionH>
                      <wp:positionV relativeFrom="paragraph">
                        <wp:posOffset>-6350</wp:posOffset>
                      </wp:positionV>
                      <wp:extent cx="635" cy="0"/>
                      <wp:effectExtent l="0" t="0" r="0" b="0"/>
                      <wp:wrapNone/>
                      <wp:docPr id="22" name="直接连接符 22"/>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9pt;margin-top:-0.5pt;height:0pt;width:0.05pt;z-index:251662336;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a5HTftUAAAAJAQAADwAAAAAAAAABACAAAAAiAAAAZHJzL2Rvd25yZXYueG1sUEsBAhQAFAAAAAgA&#10;h07iQCx4TKvvAQAA5AMAAA4AAAAAAAAAAQAgAAAAJAEAAGRycy9lMm9Eb2MueG1sUEsFBgAAAAAG&#10;AAYAWQEAAIUFAAAAAA==&#10;">
                      <v:fill on="f" focussize="0,0"/>
                      <v:stroke color="#000000" joinstyle="round"/>
                      <v:imagedata o:title=""/>
                      <o:lock v:ext="edit" aspectratio="f"/>
                    </v:line>
                  </w:pict>
                </mc:Fallback>
              </mc:AlternateContent>
            </w:r>
            <w:r>
              <w:rPr>
                <w:rFonts w:hint="eastAsia" w:ascii="宋体" w:hAnsi="宋体" w:eastAsia="宋体" w:cs="宋体"/>
                <w:b/>
                <w:color w:val="auto"/>
                <w:szCs w:val="21"/>
                <w:highlight w:val="none"/>
              </w:rPr>
              <w:t>服务</w:t>
            </w:r>
          </w:p>
          <w:p w14:paraId="580ADBEA">
            <w:pPr>
              <w:ind w:firstLine="1054" w:firstLineChars="5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费　　类型</w:t>
            </w:r>
          </w:p>
          <w:p w14:paraId="386B1A9D">
            <w:pPr>
              <w:ind w:firstLine="1476" w:firstLineChars="7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率</w:t>
            </w:r>
          </w:p>
          <w:p w14:paraId="5756BBF2">
            <w:pP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中标金额（万元）</w:t>
            </w:r>
          </w:p>
        </w:tc>
        <w:tc>
          <w:tcPr>
            <w:tcW w:w="2067" w:type="dxa"/>
            <w:vAlign w:val="center"/>
          </w:tcPr>
          <w:p w14:paraId="1EC86489">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服务招标</w:t>
            </w:r>
          </w:p>
        </w:tc>
      </w:tr>
      <w:tr w14:paraId="0A833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556" w:type="dxa"/>
          </w:tcPr>
          <w:p w14:paraId="59CA8C94">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100以下</w:t>
            </w:r>
          </w:p>
        </w:tc>
        <w:tc>
          <w:tcPr>
            <w:tcW w:w="2067" w:type="dxa"/>
          </w:tcPr>
          <w:p w14:paraId="14043133">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1.5%</w:t>
            </w:r>
          </w:p>
        </w:tc>
      </w:tr>
      <w:tr w14:paraId="4E091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556" w:type="dxa"/>
          </w:tcPr>
          <w:p w14:paraId="6F07C7A3">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100-500</w:t>
            </w:r>
          </w:p>
        </w:tc>
        <w:tc>
          <w:tcPr>
            <w:tcW w:w="2067" w:type="dxa"/>
          </w:tcPr>
          <w:p w14:paraId="0F426F14">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0.8%</w:t>
            </w:r>
          </w:p>
        </w:tc>
      </w:tr>
      <w:tr w14:paraId="05CF0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556" w:type="dxa"/>
          </w:tcPr>
          <w:p w14:paraId="74A4DE59">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500-1000</w:t>
            </w:r>
          </w:p>
        </w:tc>
        <w:tc>
          <w:tcPr>
            <w:tcW w:w="2067" w:type="dxa"/>
          </w:tcPr>
          <w:p w14:paraId="0134CF72">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0.45%</w:t>
            </w:r>
          </w:p>
        </w:tc>
      </w:tr>
      <w:tr w14:paraId="569E1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556" w:type="dxa"/>
          </w:tcPr>
          <w:p w14:paraId="10DCDCEC">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1000-5000</w:t>
            </w:r>
          </w:p>
        </w:tc>
        <w:tc>
          <w:tcPr>
            <w:tcW w:w="2067" w:type="dxa"/>
          </w:tcPr>
          <w:p w14:paraId="4134C77D">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0.25%</w:t>
            </w:r>
          </w:p>
        </w:tc>
      </w:tr>
      <w:tr w14:paraId="5421E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556" w:type="dxa"/>
          </w:tcPr>
          <w:p w14:paraId="7FB03D62">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5000-10000</w:t>
            </w:r>
          </w:p>
        </w:tc>
        <w:tc>
          <w:tcPr>
            <w:tcW w:w="2067" w:type="dxa"/>
          </w:tcPr>
          <w:p w14:paraId="016F8220">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0.1%</w:t>
            </w:r>
          </w:p>
        </w:tc>
      </w:tr>
      <w:tr w14:paraId="18705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556" w:type="dxa"/>
          </w:tcPr>
          <w:p w14:paraId="1BEEDDEB">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10000-100000</w:t>
            </w:r>
          </w:p>
        </w:tc>
        <w:tc>
          <w:tcPr>
            <w:tcW w:w="2067" w:type="dxa"/>
          </w:tcPr>
          <w:p w14:paraId="3EC92E69">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0.05%</w:t>
            </w:r>
          </w:p>
        </w:tc>
      </w:tr>
      <w:tr w14:paraId="1AD6A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2556" w:type="dxa"/>
          </w:tcPr>
          <w:p w14:paraId="0E09C9C4">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100000以上</w:t>
            </w:r>
          </w:p>
        </w:tc>
        <w:tc>
          <w:tcPr>
            <w:tcW w:w="2067" w:type="dxa"/>
          </w:tcPr>
          <w:p w14:paraId="7F2A0D7B">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0.01%</w:t>
            </w:r>
          </w:p>
        </w:tc>
      </w:tr>
    </w:tbl>
    <w:p w14:paraId="2267B646">
      <w:pPr>
        <w:spacing w:line="360" w:lineRule="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七、合同签订及公告</w:t>
      </w:r>
    </w:p>
    <w:p w14:paraId="1419E5D0">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（一）签订合同</w:t>
      </w:r>
    </w:p>
    <w:p w14:paraId="064C5B3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1、采购人应当自中标通知书发出之日起</w:t>
      </w:r>
      <w:r>
        <w:rPr>
          <w:rFonts w:hint="eastAsia" w:ascii="宋体" w:hAnsi="宋体" w:eastAsia="宋体" w:cs="宋体"/>
          <w:color w:val="auto"/>
          <w:sz w:val="21"/>
          <w:szCs w:val="21"/>
          <w:highlight w:val="none"/>
          <w:lang w:val="en-US" w:eastAsia="zh-CN"/>
        </w:rPr>
        <w:t>30</w:t>
      </w:r>
      <w:r>
        <w:rPr>
          <w:rFonts w:hint="eastAsia" w:ascii="宋体" w:hAnsi="宋体" w:eastAsia="宋体" w:cs="宋体"/>
          <w:color w:val="auto"/>
          <w:sz w:val="21"/>
          <w:szCs w:val="21"/>
          <w:highlight w:val="none"/>
        </w:rPr>
        <w:t>日内，按照招标文件和中标人投标文件的规定，与中标人签订书面合同。所签订的合同不得对招标文件确定的事项和中标人投标文件作实质性修改。</w:t>
      </w:r>
    </w:p>
    <w:p w14:paraId="13374AC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2、采购人不得向中标人提出任何不合理的要求作为签订合同的条件。</w:t>
      </w:r>
    </w:p>
    <w:p w14:paraId="201E3214">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3、中标供应商无故拖延、拒签合同的,取消中标资格。</w:t>
      </w:r>
    </w:p>
    <w:p w14:paraId="43B9C85D">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14:paraId="1E60A835">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5、询问或者质疑事项可能影响中标结果的，采购人应当暂停签订合同，已经签订合同的，应当中止履行合同（中标结果的质疑期为中标结果公告期限届满之日起七个工作日）。</w:t>
      </w:r>
    </w:p>
    <w:p w14:paraId="5BE2851C">
      <w:pPr>
        <w:spacing w:line="36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（二）合同公告及备案</w:t>
      </w:r>
    </w:p>
    <w:p w14:paraId="0E18A85F">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1、采购人应当自政府采购合同签订之日起2个工作日内，在省级以上财政部门指定的政府采购信息发布媒体及相关网站上公告。</w:t>
      </w:r>
    </w:p>
    <w:p w14:paraId="1976DFB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2、采购人应当自政府采购合同签订之日起7个工作日内，将政府采购合同副本报同级人民政府财政部门备案以及采购组织机构存档。</w:t>
      </w:r>
    </w:p>
    <w:p w14:paraId="2F421FF4">
      <w:pPr>
        <w:rPr>
          <w:rFonts w:hint="eastAsia" w:ascii="宋体" w:hAnsi="宋体" w:eastAsia="宋体" w:cs="宋体"/>
          <w:color w:val="auto"/>
          <w:highlight w:val="none"/>
        </w:rPr>
      </w:pPr>
    </w:p>
    <w:p w14:paraId="00FC92CD">
      <w:pP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2BDECFAB">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第三章 评标办法及评分标准</w:t>
      </w:r>
    </w:p>
    <w:p w14:paraId="0A7DECF8">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一、采购组织机构将组织评标委员会，对投标人提供的投标文件进行综合评审。</w:t>
      </w:r>
    </w:p>
    <w:p w14:paraId="0AA2F73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二、本次招标项目的评标方法为综合评分法，总计100分，其中</w:t>
      </w:r>
      <w:r>
        <w:rPr>
          <w:rFonts w:hint="eastAsia" w:ascii="宋体" w:hAnsi="宋体" w:eastAsia="宋体" w:cs="宋体"/>
          <w:color w:val="auto"/>
          <w:sz w:val="21"/>
          <w:szCs w:val="21"/>
          <w:highlight w:val="none"/>
          <w:lang w:val="zh-CN"/>
        </w:rPr>
        <w:t>商务技术文件分值</w:t>
      </w:r>
      <w:r>
        <w:rPr>
          <w:rFonts w:hint="eastAsia" w:ascii="宋体" w:hAnsi="宋体" w:cs="宋体"/>
          <w:color w:val="auto"/>
          <w:sz w:val="21"/>
          <w:szCs w:val="21"/>
          <w:highlight w:val="none"/>
          <w:lang w:val="en-US" w:eastAsia="zh-CN"/>
        </w:rPr>
        <w:t>90</w:t>
      </w:r>
      <w:r>
        <w:rPr>
          <w:rFonts w:hint="eastAsia" w:ascii="宋体" w:hAnsi="宋体" w:eastAsia="宋体" w:cs="宋体"/>
          <w:color w:val="auto"/>
          <w:sz w:val="21"/>
          <w:szCs w:val="21"/>
          <w:highlight w:val="none"/>
          <w:lang w:val="zh-CN"/>
        </w:rPr>
        <w:t>分，投标报价分值</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zh-CN"/>
        </w:rPr>
        <w:t>分</w:t>
      </w:r>
      <w:r>
        <w:rPr>
          <w:rFonts w:hint="eastAsia" w:ascii="宋体" w:hAnsi="宋体" w:eastAsia="宋体" w:cs="宋体"/>
          <w:color w:val="auto"/>
          <w:sz w:val="21"/>
          <w:szCs w:val="21"/>
          <w:highlight w:val="none"/>
        </w:rPr>
        <w:t>。评标标准按评分细化条款及分值进行评审。</w:t>
      </w:r>
    </w:p>
    <w:p w14:paraId="7508A35B">
      <w:pPr>
        <w:spacing w:line="360" w:lineRule="auto"/>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（一）商务技术文件中的客观分应由评审小组成员独立评审，</w:t>
      </w:r>
      <w:r>
        <w:rPr>
          <w:rFonts w:hint="eastAsia" w:ascii="宋体" w:hAnsi="宋体" w:eastAsia="宋体" w:cs="宋体"/>
          <w:color w:val="auto"/>
          <w:sz w:val="21"/>
          <w:szCs w:val="21"/>
          <w:highlight w:val="none"/>
          <w:lang w:val="en-US" w:eastAsia="zh-CN"/>
        </w:rPr>
        <w:t>但客观分打分应一致</w:t>
      </w:r>
      <w:r>
        <w:rPr>
          <w:rFonts w:hint="eastAsia" w:ascii="宋体" w:hAnsi="宋体" w:eastAsia="宋体" w:cs="宋体"/>
          <w:color w:val="auto"/>
          <w:sz w:val="21"/>
          <w:szCs w:val="21"/>
          <w:highlight w:val="none"/>
          <w:lang w:val="zh-CN"/>
        </w:rPr>
        <w:t>；</w:t>
      </w:r>
      <w:r>
        <w:rPr>
          <w:rFonts w:hint="eastAsia" w:ascii="宋体" w:hAnsi="宋体" w:eastAsia="宋体" w:cs="宋体"/>
          <w:color w:val="auto"/>
          <w:szCs w:val="21"/>
          <w:highlight w:val="none"/>
          <w:lang w:val="zh-CN"/>
        </w:rPr>
        <w:t>客观分不一致时，由评审委员会复核或书面说明理由，</w:t>
      </w:r>
      <w:r>
        <w:rPr>
          <w:rFonts w:hint="eastAsia" w:ascii="宋体" w:hAnsi="宋体" w:eastAsia="宋体" w:cs="宋体"/>
          <w:color w:val="auto"/>
          <w:sz w:val="21"/>
          <w:szCs w:val="21"/>
          <w:highlight w:val="none"/>
          <w:lang w:val="zh-CN"/>
        </w:rPr>
        <w:t>其余在规定的分值内单独评定打分</w:t>
      </w:r>
      <w:r>
        <w:rPr>
          <w:rFonts w:hint="eastAsia" w:ascii="宋体" w:hAnsi="宋体" w:eastAsia="宋体" w:cs="宋体"/>
          <w:color w:val="auto"/>
          <w:sz w:val="21"/>
          <w:szCs w:val="21"/>
          <w:highlight w:val="none"/>
        </w:rPr>
        <w:t>（小数点后保留1位）</w:t>
      </w:r>
      <w:r>
        <w:rPr>
          <w:rFonts w:hint="eastAsia" w:ascii="宋体" w:hAnsi="宋体" w:eastAsia="宋体" w:cs="宋体"/>
          <w:color w:val="auto"/>
          <w:sz w:val="21"/>
          <w:szCs w:val="21"/>
          <w:highlight w:val="none"/>
          <w:lang w:val="zh-CN"/>
        </w:rPr>
        <w:t>。</w:t>
      </w:r>
    </w:p>
    <w:p w14:paraId="55E971BC">
      <w:pPr>
        <w:spacing w:line="360" w:lineRule="auto"/>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（二）各投标人商务技术文件得分按照评标委员会成员的独立评分结果汇总后的算术平均分计算</w:t>
      </w:r>
      <w:r>
        <w:rPr>
          <w:rFonts w:hint="eastAsia" w:ascii="宋体" w:hAnsi="宋体" w:eastAsia="宋体" w:cs="宋体"/>
          <w:color w:val="auto"/>
          <w:sz w:val="21"/>
          <w:szCs w:val="21"/>
          <w:highlight w:val="none"/>
        </w:rPr>
        <w:t>（小数点后保留2位</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四舍五入</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t>，计算公式为：</w:t>
      </w:r>
    </w:p>
    <w:p w14:paraId="2CF55695">
      <w:pPr>
        <w:spacing w:line="360" w:lineRule="auto"/>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商务技术文件</w:t>
      </w:r>
      <w:r>
        <w:rPr>
          <w:rFonts w:hint="eastAsia" w:ascii="宋体" w:hAnsi="宋体" w:eastAsia="宋体" w:cs="宋体"/>
          <w:color w:val="auto"/>
          <w:sz w:val="21"/>
          <w:szCs w:val="21"/>
          <w:highlight w:val="none"/>
        </w:rPr>
        <w:t>得分</w:t>
      </w:r>
      <w:r>
        <w:rPr>
          <w:rFonts w:hint="eastAsia" w:ascii="宋体" w:hAnsi="宋体" w:eastAsia="宋体" w:cs="宋体"/>
          <w:color w:val="auto"/>
          <w:sz w:val="21"/>
          <w:szCs w:val="21"/>
          <w:highlight w:val="none"/>
          <w:lang w:val="zh-CN"/>
        </w:rPr>
        <w:t>=评标委员会所有成员评分合计数/评标委员会组成人员数。</w:t>
      </w:r>
    </w:p>
    <w:p w14:paraId="78D3FCF0">
      <w:pPr>
        <w:spacing w:line="360" w:lineRule="auto"/>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（三）投标报价得分采用低价优先法计算</w:t>
      </w:r>
      <w:r>
        <w:rPr>
          <w:rFonts w:hint="eastAsia" w:ascii="宋体" w:hAnsi="宋体" w:eastAsia="宋体" w:cs="宋体"/>
          <w:color w:val="auto"/>
          <w:sz w:val="21"/>
          <w:szCs w:val="21"/>
          <w:highlight w:val="none"/>
        </w:rPr>
        <w:t>（小数点后保留2位</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四舍五入</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t>，即满足招标文件要求且投标价格最低的投标报价为评标基准价，其报价得满分。其他投标人的投标报价得分按下列公式计算：</w:t>
      </w:r>
    </w:p>
    <w:p w14:paraId="13622816">
      <w:pPr>
        <w:spacing w:line="360" w:lineRule="auto"/>
        <w:ind w:firstLine="420" w:firstLineChars="200"/>
        <w:rPr>
          <w:rFonts w:hint="eastAsia" w:ascii="宋体" w:hAnsi="宋体" w:eastAsia="宋体" w:cs="宋体"/>
          <w:color w:val="auto"/>
          <w:sz w:val="21"/>
          <w:szCs w:val="21"/>
          <w:highlight w:val="none"/>
          <w:u w:val="single"/>
          <w:lang w:val="zh-CN"/>
        </w:rPr>
      </w:pPr>
      <w:r>
        <w:rPr>
          <w:rFonts w:hint="eastAsia" w:ascii="宋体" w:hAnsi="宋体" w:eastAsia="宋体" w:cs="宋体"/>
          <w:color w:val="auto"/>
          <w:sz w:val="21"/>
          <w:szCs w:val="21"/>
          <w:highlight w:val="none"/>
          <w:u w:val="single"/>
          <w:lang w:val="zh-CN"/>
        </w:rPr>
        <w:t>投标报价得分=(评标基准价／投标报价)×</w:t>
      </w:r>
      <w:r>
        <w:rPr>
          <w:rFonts w:hint="eastAsia" w:ascii="宋体" w:hAnsi="宋体" w:cs="宋体"/>
          <w:color w:val="auto"/>
          <w:sz w:val="21"/>
          <w:szCs w:val="21"/>
          <w:highlight w:val="none"/>
          <w:u w:val="single"/>
          <w:lang w:val="en-US" w:eastAsia="zh-CN"/>
        </w:rPr>
        <w:t>10</w:t>
      </w:r>
      <w:r>
        <w:rPr>
          <w:rFonts w:hint="eastAsia" w:ascii="宋体" w:hAnsi="宋体" w:eastAsia="宋体" w:cs="宋体"/>
          <w:color w:val="auto"/>
          <w:sz w:val="21"/>
          <w:szCs w:val="21"/>
          <w:highlight w:val="none"/>
          <w:u w:val="single"/>
          <w:lang w:val="zh-CN"/>
        </w:rPr>
        <w:t>%×100 。</w:t>
      </w:r>
    </w:p>
    <w:p w14:paraId="5EE26372">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注：本项目专门面向中小企业采购，价格评审时，中小微企业的投标价格不做扣除。</w:t>
      </w:r>
    </w:p>
    <w:p w14:paraId="581E8C46">
      <w:pPr>
        <w:spacing w:line="360" w:lineRule="auto"/>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（四）投标人综合得分＝商务技术文件得分＋投标报价得分。</w:t>
      </w:r>
    </w:p>
    <w:p w14:paraId="5C124204">
      <w:pPr>
        <w:autoSpaceDE w:val="0"/>
        <w:autoSpaceDN w:val="0"/>
        <w:adjustRightInd w:val="0"/>
        <w:spacing w:line="360" w:lineRule="auto"/>
        <w:ind w:right="85"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三、在最大限度地满足</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lang w:val="zh-CN"/>
        </w:rPr>
        <w:t>文件实质性要求前提下，</w:t>
      </w:r>
      <w:r>
        <w:rPr>
          <w:rFonts w:hint="eastAsia" w:ascii="宋体" w:hAnsi="宋体" w:eastAsia="宋体" w:cs="宋体"/>
          <w:color w:val="auto"/>
          <w:sz w:val="21"/>
          <w:szCs w:val="21"/>
          <w:highlight w:val="none"/>
          <w:lang w:val="en-US" w:eastAsia="zh-CN"/>
        </w:rPr>
        <w:t>评标委员会</w:t>
      </w:r>
      <w:r>
        <w:rPr>
          <w:rFonts w:hint="eastAsia" w:ascii="宋体" w:hAnsi="宋体" w:eastAsia="宋体" w:cs="宋体"/>
          <w:color w:val="auto"/>
          <w:sz w:val="21"/>
          <w:szCs w:val="21"/>
          <w:highlight w:val="none"/>
          <w:lang w:val="zh-CN"/>
        </w:rPr>
        <w:t>按照</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lang w:val="zh-CN"/>
        </w:rPr>
        <w:t>文件中规定的各项因素进行综合评审后，</w:t>
      </w:r>
      <w:r>
        <w:rPr>
          <w:rFonts w:hint="eastAsia" w:ascii="宋体" w:hAnsi="宋体" w:cs="宋体"/>
          <w:color w:val="auto"/>
          <w:sz w:val="21"/>
          <w:szCs w:val="21"/>
          <w:highlight w:val="none"/>
          <w:lang w:val="en-US" w:eastAsia="zh-CN"/>
        </w:rPr>
        <w:t>每标段</w:t>
      </w:r>
      <w:r>
        <w:rPr>
          <w:rFonts w:hint="eastAsia" w:ascii="宋体" w:hAnsi="宋体" w:eastAsia="宋体" w:cs="宋体"/>
          <w:color w:val="auto"/>
          <w:sz w:val="21"/>
          <w:szCs w:val="21"/>
          <w:highlight w:val="none"/>
          <w:lang w:val="zh-CN"/>
        </w:rPr>
        <w:t>以评审总得分最高的投标人为第一中标候选人，评审总得分次高的投标人为第二中标候选人。</w:t>
      </w:r>
    </w:p>
    <w:p w14:paraId="1BA75215">
      <w:pPr>
        <w:spacing w:line="360" w:lineRule="auto"/>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四、如综合得分相同，投标报价低者为先；如综合得分且投标报价相同的，以技术</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val="zh-CN"/>
        </w:rPr>
        <w:t>得分较高者为先，技术</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val="zh-CN"/>
        </w:rPr>
        <w:t>得分也相同的则抽签决定。</w:t>
      </w:r>
    </w:p>
    <w:p w14:paraId="26F3B9CB">
      <w:pPr>
        <w:spacing w:line="360" w:lineRule="auto"/>
        <w:ind w:firstLine="422" w:firstLineChars="200"/>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 xml:space="preserve">注：本项目分为两个标项，每个供应商可自行选择标项响应投标，因本项目任务重，为保证服务质量，本项目采用兼投不兼中的方式。投标人可参加以上两个标项的投标、评标，但每个供应商只能中一个标项，根据标项一、标项二的顺序依次进行开评标，如投标供应商已中先开标项，则自动失去未开标项的投标响应资格。                  </w:t>
      </w:r>
    </w:p>
    <w:p w14:paraId="1DEF03CA">
      <w:pPr>
        <w:spacing w:line="360" w:lineRule="auto"/>
        <w:ind w:firstLine="420" w:firstLineChars="200"/>
        <w:rPr>
          <w:rFonts w:hint="eastAsia" w:ascii="宋体" w:hAnsi="宋体" w:eastAsia="宋体" w:cs="宋体"/>
          <w:color w:val="auto"/>
          <w:spacing w:val="10"/>
          <w:szCs w:val="21"/>
          <w:highlight w:val="none"/>
        </w:rPr>
      </w:pPr>
      <w:r>
        <w:rPr>
          <w:rFonts w:hint="eastAsia" w:ascii="宋体" w:hAnsi="宋体" w:eastAsia="宋体" w:cs="宋体"/>
          <w:color w:val="auto"/>
          <w:highlight w:val="none"/>
          <w:lang w:val="en-US" w:eastAsia="zh-CN"/>
        </w:rPr>
        <w:t>五、</w:t>
      </w:r>
      <w:r>
        <w:rPr>
          <w:rFonts w:hint="eastAsia" w:ascii="宋体" w:hAnsi="宋体" w:eastAsia="宋体" w:cs="宋体"/>
          <w:color w:val="auto"/>
          <w:highlight w:val="none"/>
        </w:rPr>
        <w:t>中标候选人放弃中标、拒绝与采购人签订合同、因不可抗力提出不能履行合同，采购人可以按照评审报告推荐的中标或者成交候选人名单排序，确定下一候选人为中标或者成交供应商，也可以重新开展政府采购活动。评标办法的解释权归招标人。</w:t>
      </w:r>
    </w:p>
    <w:p w14:paraId="2F84810B">
      <w:pPr>
        <w:spacing w:line="360" w:lineRule="auto"/>
        <w:ind w:firstLine="420" w:firstLineChars="200"/>
        <w:rPr>
          <w:rFonts w:hint="eastAsia" w:ascii="宋体" w:hAnsi="宋体" w:eastAsia="宋体" w:cs="宋体"/>
          <w:color w:val="auto"/>
          <w:sz w:val="21"/>
          <w:szCs w:val="21"/>
          <w:highlight w:val="none"/>
          <w:lang w:val="zh-CN"/>
        </w:rPr>
      </w:pPr>
      <w:r>
        <w:rPr>
          <w:rFonts w:hint="eastAsia" w:ascii="宋体" w:hAnsi="宋体" w:cs="宋体"/>
          <w:color w:val="auto"/>
          <w:sz w:val="21"/>
          <w:szCs w:val="21"/>
          <w:highlight w:val="none"/>
          <w:lang w:val="en-US" w:eastAsia="zh-CN"/>
        </w:rPr>
        <w:t>六</w:t>
      </w:r>
      <w:r>
        <w:rPr>
          <w:rFonts w:hint="eastAsia" w:ascii="宋体" w:hAnsi="宋体" w:eastAsia="宋体" w:cs="宋体"/>
          <w:color w:val="auto"/>
          <w:sz w:val="21"/>
          <w:szCs w:val="21"/>
          <w:highlight w:val="none"/>
          <w:lang w:val="zh-CN"/>
        </w:rPr>
        <w:t>、本次评分具体分值细化条款如下表：</w:t>
      </w:r>
    </w:p>
    <w:p w14:paraId="6B3F819D">
      <w:pPr>
        <w:spacing w:line="360" w:lineRule="auto"/>
        <w:jc w:val="center"/>
        <w:rPr>
          <w:rFonts w:hint="eastAsia" w:ascii="宋体" w:hAnsi="宋体" w:eastAsia="宋体" w:cs="宋体"/>
          <w:color w:val="auto"/>
          <w:sz w:val="21"/>
          <w:szCs w:val="21"/>
          <w:highlight w:val="none"/>
          <w:lang w:val="zh-CN"/>
        </w:rPr>
      </w:pPr>
      <w:r>
        <w:rPr>
          <w:rFonts w:hint="eastAsia" w:ascii="宋体" w:hAnsi="宋体" w:cs="宋体"/>
          <w:b/>
          <w:color w:val="auto"/>
          <w:szCs w:val="21"/>
          <w:highlight w:val="none"/>
          <w:lang w:val="en-US" w:eastAsia="zh-CN"/>
        </w:rPr>
        <w:t>标段一：</w:t>
      </w:r>
      <w:r>
        <w:rPr>
          <w:rFonts w:hint="eastAsia" w:ascii="宋体" w:hAnsi="宋体" w:eastAsia="宋体" w:cs="宋体"/>
          <w:b/>
          <w:color w:val="auto"/>
          <w:szCs w:val="21"/>
          <w:highlight w:val="none"/>
        </w:rPr>
        <w:t>评标打分标准</w:t>
      </w:r>
      <w:r>
        <w:rPr>
          <w:rFonts w:hint="eastAsia" w:ascii="宋体" w:hAnsi="宋体" w:eastAsia="宋体" w:cs="宋体"/>
          <w:b/>
          <w:color w:val="auto"/>
          <w:szCs w:val="21"/>
          <w:highlight w:val="none"/>
          <w:lang w:val="en-US" w:eastAsia="zh-CN"/>
        </w:rPr>
        <w:t>表</w:t>
      </w:r>
      <w:r>
        <w:rPr>
          <w:rFonts w:hint="eastAsia" w:ascii="宋体" w:hAnsi="宋体" w:eastAsia="宋体" w:cs="宋体"/>
          <w:color w:val="auto"/>
          <w:sz w:val="21"/>
          <w:szCs w:val="21"/>
          <w:highlight w:val="none"/>
          <w:lang w:val="zh-CN"/>
        </w:rPr>
        <w:t xml:space="preserve"> </w:t>
      </w:r>
    </w:p>
    <w:tbl>
      <w:tblPr>
        <w:tblStyle w:val="21"/>
        <w:tblW w:w="90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1122"/>
        <w:gridCol w:w="6148"/>
        <w:gridCol w:w="702"/>
      </w:tblGrid>
      <w:tr w14:paraId="6B19E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182" w:type="dxa"/>
            <w:gridSpan w:val="2"/>
            <w:noWrap w:val="0"/>
            <w:vAlign w:val="center"/>
          </w:tcPr>
          <w:p w14:paraId="3743C425">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评标因素</w:t>
            </w:r>
          </w:p>
        </w:tc>
        <w:tc>
          <w:tcPr>
            <w:tcW w:w="6148" w:type="dxa"/>
            <w:noWrap w:val="0"/>
            <w:vAlign w:val="center"/>
          </w:tcPr>
          <w:p w14:paraId="5E66E809">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评分标准</w:t>
            </w:r>
          </w:p>
        </w:tc>
        <w:tc>
          <w:tcPr>
            <w:tcW w:w="702" w:type="dxa"/>
            <w:noWrap w:val="0"/>
            <w:vAlign w:val="center"/>
          </w:tcPr>
          <w:p w14:paraId="45E57923">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分值</w:t>
            </w:r>
          </w:p>
        </w:tc>
      </w:tr>
      <w:tr w14:paraId="7963A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jc w:val="center"/>
        </w:trPr>
        <w:tc>
          <w:tcPr>
            <w:tcW w:w="1060" w:type="dxa"/>
            <w:vMerge w:val="restart"/>
            <w:noWrap w:val="0"/>
            <w:vAlign w:val="center"/>
          </w:tcPr>
          <w:p w14:paraId="1AF2AFB7">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商务分</w:t>
            </w:r>
          </w:p>
          <w:p w14:paraId="4E84993F">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（9分）</w:t>
            </w:r>
          </w:p>
        </w:tc>
        <w:tc>
          <w:tcPr>
            <w:tcW w:w="1122" w:type="dxa"/>
            <w:noWrap w:val="0"/>
            <w:vAlign w:val="center"/>
          </w:tcPr>
          <w:p w14:paraId="59E60819">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团队人员</w:t>
            </w:r>
          </w:p>
        </w:tc>
        <w:tc>
          <w:tcPr>
            <w:tcW w:w="6148" w:type="dxa"/>
            <w:noWrap w:val="0"/>
            <w:vAlign w:val="center"/>
          </w:tcPr>
          <w:p w14:paraId="52669A9C">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拟派本项目的工作人员：每提供一本导游资质证书得2分，本项最高得8分。</w:t>
            </w:r>
          </w:p>
          <w:p w14:paraId="4BBA54C9">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color w:val="auto"/>
                <w:kern w:val="2"/>
                <w:sz w:val="21"/>
                <w:szCs w:val="21"/>
                <w:highlight w:val="none"/>
                <w:lang w:val="en-US" w:eastAsia="zh-CN" w:bidi="ar-SA"/>
              </w:rPr>
              <w:t>须</w:t>
            </w:r>
            <w:r>
              <w:rPr>
                <w:rFonts w:hint="eastAsia" w:asciiTheme="minorEastAsia" w:hAnsiTheme="minorEastAsia" w:eastAsiaTheme="minorEastAsia" w:cstheme="minorEastAsia"/>
                <w:b/>
                <w:bCs/>
                <w:color w:val="auto"/>
                <w:sz w:val="21"/>
                <w:szCs w:val="21"/>
                <w:highlight w:val="none"/>
                <w:lang w:val="en-US" w:eastAsia="zh-CN"/>
              </w:rPr>
              <w:t>提供相应证书扫描件</w:t>
            </w:r>
            <w:r>
              <w:rPr>
                <w:rFonts w:hint="eastAsia" w:asciiTheme="minorEastAsia" w:hAnsiTheme="minorEastAsia" w:eastAsiaTheme="minorEastAsia" w:cstheme="minorEastAsia"/>
                <w:b/>
                <w:bCs/>
                <w:color w:val="auto"/>
                <w:sz w:val="21"/>
                <w:szCs w:val="21"/>
                <w:highlight w:val="none"/>
              </w:rPr>
              <w:t>及</w:t>
            </w:r>
            <w:r>
              <w:rPr>
                <w:rFonts w:hint="eastAsia" w:asciiTheme="minorEastAsia" w:hAnsiTheme="minorEastAsia" w:eastAsiaTheme="minorEastAsia" w:cstheme="minorEastAsia"/>
                <w:b/>
                <w:bCs/>
                <w:color w:val="auto"/>
                <w:sz w:val="21"/>
                <w:szCs w:val="21"/>
                <w:highlight w:val="none"/>
                <w:lang w:val="en-US" w:eastAsia="zh-CN"/>
              </w:rPr>
              <w:t>投标人为其缴纳的2025年2月的</w:t>
            </w:r>
            <w:r>
              <w:rPr>
                <w:rFonts w:hint="eastAsia" w:asciiTheme="minorEastAsia" w:hAnsiTheme="minorEastAsia" w:eastAsiaTheme="minorEastAsia" w:cstheme="minorEastAsia"/>
                <w:b/>
                <w:bCs/>
                <w:color w:val="auto"/>
                <w:sz w:val="21"/>
                <w:szCs w:val="21"/>
                <w:highlight w:val="none"/>
              </w:rPr>
              <w:t>社保缴费证明</w:t>
            </w:r>
            <w:r>
              <w:rPr>
                <w:rFonts w:hint="eastAsia" w:asciiTheme="minorEastAsia" w:hAnsiTheme="minorEastAsia" w:eastAsiaTheme="minorEastAsia" w:cstheme="minorEastAsia"/>
                <w:b/>
                <w:bCs/>
                <w:color w:val="auto"/>
                <w:sz w:val="21"/>
                <w:szCs w:val="21"/>
                <w:highlight w:val="none"/>
                <w:lang w:val="en-US" w:eastAsia="zh-CN"/>
              </w:rPr>
              <w:t>并</w:t>
            </w:r>
            <w:r>
              <w:rPr>
                <w:rFonts w:hint="eastAsia" w:asciiTheme="minorEastAsia" w:hAnsiTheme="minorEastAsia" w:eastAsiaTheme="minorEastAsia" w:cstheme="minorEastAsia"/>
                <w:b/>
                <w:bCs/>
                <w:color w:val="auto"/>
                <w:sz w:val="21"/>
                <w:szCs w:val="21"/>
                <w:highlight w:val="none"/>
              </w:rPr>
              <w:t>加盖</w:t>
            </w:r>
            <w:r>
              <w:rPr>
                <w:rFonts w:hint="eastAsia" w:asciiTheme="minorEastAsia" w:hAnsiTheme="minorEastAsia" w:eastAsiaTheme="minorEastAsia" w:cstheme="minorEastAsia"/>
                <w:b/>
                <w:bCs/>
                <w:color w:val="auto"/>
                <w:sz w:val="21"/>
                <w:szCs w:val="21"/>
                <w:highlight w:val="none"/>
                <w:lang w:val="en-US" w:eastAsia="zh-CN"/>
              </w:rPr>
              <w:t>投标人</w:t>
            </w:r>
            <w:r>
              <w:rPr>
                <w:rFonts w:hint="eastAsia" w:asciiTheme="minorEastAsia" w:hAnsiTheme="minorEastAsia" w:eastAsiaTheme="minorEastAsia" w:cstheme="minorEastAsia"/>
                <w:b/>
                <w:bCs/>
                <w:color w:val="auto"/>
                <w:sz w:val="21"/>
                <w:szCs w:val="21"/>
                <w:highlight w:val="none"/>
              </w:rPr>
              <w:t>公章编入投标文件中，</w:t>
            </w:r>
            <w:r>
              <w:rPr>
                <w:rFonts w:hint="eastAsia" w:asciiTheme="minorEastAsia" w:hAnsiTheme="minorEastAsia" w:eastAsiaTheme="minorEastAsia" w:cstheme="minorEastAsia"/>
                <w:b/>
                <w:bCs/>
                <w:color w:val="auto"/>
                <w:sz w:val="21"/>
                <w:szCs w:val="21"/>
                <w:highlight w:val="none"/>
                <w:lang w:val="en-US" w:eastAsia="zh-CN"/>
              </w:rPr>
              <w:t>未提供或提供不全的</w:t>
            </w:r>
            <w:r>
              <w:rPr>
                <w:rFonts w:hint="eastAsia" w:asciiTheme="minorEastAsia" w:hAnsiTheme="minorEastAsia" w:eastAsiaTheme="minorEastAsia" w:cstheme="minorEastAsia"/>
                <w:b/>
                <w:bCs/>
                <w:color w:val="auto"/>
                <w:sz w:val="21"/>
                <w:szCs w:val="21"/>
                <w:highlight w:val="none"/>
              </w:rPr>
              <w:t>不得分</w:t>
            </w:r>
            <w:r>
              <w:rPr>
                <w:rFonts w:hint="eastAsia" w:asciiTheme="minorEastAsia" w:hAnsiTheme="minorEastAsia" w:eastAsiaTheme="minorEastAsia" w:cstheme="minorEastAsia"/>
                <w:b/>
                <w:bCs/>
                <w:color w:val="auto"/>
                <w:sz w:val="21"/>
                <w:szCs w:val="21"/>
                <w:highlight w:val="none"/>
                <w:lang w:val="en-US" w:eastAsia="zh-CN"/>
              </w:rPr>
              <w:t>）</w:t>
            </w:r>
          </w:p>
        </w:tc>
        <w:tc>
          <w:tcPr>
            <w:tcW w:w="702" w:type="dxa"/>
            <w:noWrap w:val="0"/>
            <w:vAlign w:val="center"/>
          </w:tcPr>
          <w:p w14:paraId="1089292E">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8</w:t>
            </w:r>
          </w:p>
        </w:tc>
      </w:tr>
      <w:tr w14:paraId="616DA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4" w:hRule="atLeast"/>
          <w:jc w:val="center"/>
        </w:trPr>
        <w:tc>
          <w:tcPr>
            <w:tcW w:w="1060" w:type="dxa"/>
            <w:vMerge w:val="continue"/>
            <w:noWrap w:val="0"/>
            <w:vAlign w:val="center"/>
          </w:tcPr>
          <w:p w14:paraId="07F92C1D">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1E6A894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承接经验</w:t>
            </w:r>
          </w:p>
        </w:tc>
        <w:tc>
          <w:tcPr>
            <w:tcW w:w="6148" w:type="dxa"/>
            <w:noWrap w:val="0"/>
            <w:vAlign w:val="center"/>
          </w:tcPr>
          <w:p w14:paraId="45A34FA9">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投标人</w:t>
            </w:r>
            <w:r>
              <w:rPr>
                <w:rFonts w:hint="eastAsia" w:asciiTheme="minorEastAsia" w:hAnsiTheme="minorEastAsia" w:eastAsiaTheme="minorEastAsia" w:cstheme="minorEastAsia"/>
                <w:color w:val="auto"/>
                <w:sz w:val="21"/>
                <w:szCs w:val="21"/>
                <w:highlight w:val="none"/>
                <w:lang w:val="en-US" w:eastAsia="zh-CN"/>
              </w:rPr>
              <w:t>提供自2020年1月1日</w:t>
            </w:r>
            <w:r>
              <w:rPr>
                <w:rFonts w:hint="eastAsia" w:asciiTheme="minorEastAsia" w:hAnsiTheme="minorEastAsia" w:eastAsiaTheme="minorEastAsia" w:cstheme="minorEastAsia"/>
                <w:color w:val="auto"/>
                <w:sz w:val="21"/>
                <w:szCs w:val="21"/>
                <w:highlight w:val="none"/>
                <w:lang w:eastAsia="zh-CN"/>
              </w:rPr>
              <w:t>以来</w:t>
            </w:r>
            <w:r>
              <w:rPr>
                <w:rFonts w:hint="eastAsia" w:asciiTheme="minorEastAsia" w:hAnsiTheme="minorEastAsia" w:eastAsiaTheme="minorEastAsia" w:cstheme="minorEastAsia"/>
                <w:color w:val="auto"/>
                <w:sz w:val="21"/>
                <w:szCs w:val="21"/>
                <w:highlight w:val="none"/>
              </w:rPr>
              <w:t>（以合同签订时间为准）</w:t>
            </w:r>
            <w:r>
              <w:rPr>
                <w:rFonts w:hint="eastAsia" w:asciiTheme="minorEastAsia" w:hAnsiTheme="minorEastAsia" w:eastAsiaTheme="minorEastAsia" w:cstheme="minorEastAsia"/>
                <w:color w:val="auto"/>
                <w:sz w:val="21"/>
                <w:szCs w:val="21"/>
                <w:highlight w:val="none"/>
                <w:lang w:val="en-US" w:eastAsia="zh-CN"/>
              </w:rPr>
              <w:t>承接的</w:t>
            </w:r>
            <w:r>
              <w:rPr>
                <w:rFonts w:hint="eastAsia" w:asciiTheme="minorEastAsia" w:hAnsiTheme="minorEastAsia" w:eastAsiaTheme="minorEastAsia" w:cstheme="minorEastAsia"/>
                <w:color w:val="auto"/>
                <w:sz w:val="21"/>
                <w:szCs w:val="21"/>
                <w:highlight w:val="none"/>
                <w:lang w:eastAsia="zh-CN"/>
              </w:rPr>
              <w:t>类似项目</w:t>
            </w:r>
            <w:r>
              <w:rPr>
                <w:rFonts w:hint="eastAsia" w:asciiTheme="minorEastAsia" w:hAnsiTheme="minorEastAsia" w:eastAsiaTheme="minorEastAsia" w:cstheme="minorEastAsia"/>
                <w:color w:val="auto"/>
                <w:sz w:val="21"/>
                <w:szCs w:val="21"/>
                <w:highlight w:val="none"/>
                <w:lang w:val="en-US" w:eastAsia="zh-CN"/>
              </w:rPr>
              <w:t>业绩证明</w:t>
            </w:r>
            <w:r>
              <w:rPr>
                <w:rFonts w:hint="eastAsia" w:asciiTheme="minorEastAsia" w:hAnsiTheme="minorEastAsia" w:eastAsiaTheme="minorEastAsia" w:cstheme="minorEastAsia"/>
                <w:color w:val="auto"/>
                <w:sz w:val="21"/>
                <w:szCs w:val="21"/>
                <w:highlight w:val="none"/>
              </w:rPr>
              <w:t>，每提供1个得</w:t>
            </w:r>
            <w:r>
              <w:rPr>
                <w:rFonts w:hint="eastAsia" w:asciiTheme="minorEastAsia" w:hAnsiTheme="minorEastAsia" w:eastAsiaTheme="minorEastAsia" w:cstheme="minorEastAsia"/>
                <w:color w:val="auto"/>
                <w:sz w:val="21"/>
                <w:szCs w:val="21"/>
                <w:highlight w:val="none"/>
                <w:lang w:val="en-US" w:eastAsia="zh-CN"/>
              </w:rPr>
              <w:t>0.2</w:t>
            </w:r>
            <w:r>
              <w:rPr>
                <w:rFonts w:hint="eastAsia" w:asciiTheme="minorEastAsia" w:hAnsiTheme="minorEastAsia" w:eastAsiaTheme="minorEastAsia" w:cstheme="minorEastAsia"/>
                <w:color w:val="auto"/>
                <w:sz w:val="21"/>
                <w:szCs w:val="21"/>
                <w:highlight w:val="none"/>
              </w:rPr>
              <w:t>分，</w:t>
            </w:r>
            <w:r>
              <w:rPr>
                <w:rFonts w:hint="eastAsia" w:asciiTheme="minorEastAsia" w:hAnsiTheme="minorEastAsia" w:eastAsiaTheme="minorEastAsia" w:cstheme="minorEastAsia"/>
                <w:color w:val="auto"/>
                <w:sz w:val="21"/>
                <w:szCs w:val="21"/>
                <w:highlight w:val="none"/>
                <w:lang w:val="en-US" w:eastAsia="zh-CN"/>
              </w:rPr>
              <w:t>本项</w:t>
            </w:r>
            <w:r>
              <w:rPr>
                <w:rFonts w:hint="eastAsia" w:asciiTheme="minorEastAsia" w:hAnsiTheme="minorEastAsia" w:eastAsiaTheme="minorEastAsia" w:cstheme="minorEastAsia"/>
                <w:color w:val="auto"/>
                <w:sz w:val="21"/>
                <w:szCs w:val="21"/>
                <w:highlight w:val="none"/>
              </w:rPr>
              <w:t>最高得</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分。</w:t>
            </w:r>
          </w:p>
          <w:p w14:paraId="12CC94F2">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（须提供合同</w:t>
            </w:r>
            <w:r>
              <w:rPr>
                <w:rFonts w:hint="eastAsia" w:asciiTheme="minorEastAsia" w:hAnsiTheme="minorEastAsia" w:eastAsiaTheme="minorEastAsia" w:cstheme="minorEastAsia"/>
                <w:b/>
                <w:bCs/>
                <w:color w:val="auto"/>
                <w:kern w:val="2"/>
                <w:sz w:val="21"/>
                <w:szCs w:val="21"/>
                <w:highlight w:val="none"/>
                <w:lang w:val="en-US" w:eastAsia="zh-CN"/>
              </w:rPr>
              <w:t>扫描</w:t>
            </w:r>
            <w:r>
              <w:rPr>
                <w:rFonts w:hint="eastAsia" w:asciiTheme="minorEastAsia" w:hAnsiTheme="minorEastAsia" w:eastAsiaTheme="minorEastAsia" w:cstheme="minorEastAsia"/>
                <w:b/>
                <w:bCs/>
                <w:color w:val="auto"/>
                <w:kern w:val="2"/>
                <w:sz w:val="21"/>
                <w:szCs w:val="21"/>
                <w:highlight w:val="none"/>
                <w:lang w:eastAsia="zh-CN"/>
              </w:rPr>
              <w:t>件</w:t>
            </w:r>
            <w:r>
              <w:rPr>
                <w:rFonts w:hint="eastAsia" w:asciiTheme="minorEastAsia" w:hAnsiTheme="minorEastAsia" w:eastAsiaTheme="minorEastAsia" w:cstheme="minorEastAsia"/>
                <w:b/>
                <w:bCs/>
                <w:color w:val="auto"/>
                <w:sz w:val="21"/>
                <w:szCs w:val="21"/>
                <w:highlight w:val="none"/>
              </w:rPr>
              <w:t>加盖</w:t>
            </w:r>
            <w:r>
              <w:rPr>
                <w:rFonts w:hint="eastAsia" w:asciiTheme="minorEastAsia" w:hAnsiTheme="minorEastAsia" w:eastAsiaTheme="minorEastAsia" w:cstheme="minorEastAsia"/>
                <w:b/>
                <w:bCs/>
                <w:color w:val="auto"/>
                <w:sz w:val="21"/>
                <w:szCs w:val="21"/>
                <w:highlight w:val="none"/>
                <w:lang w:val="en-US" w:eastAsia="zh-CN"/>
              </w:rPr>
              <w:t>投标人</w:t>
            </w:r>
            <w:r>
              <w:rPr>
                <w:rFonts w:hint="eastAsia" w:asciiTheme="minorEastAsia" w:hAnsiTheme="minorEastAsia" w:eastAsiaTheme="minorEastAsia" w:cstheme="minorEastAsia"/>
                <w:b/>
                <w:bCs/>
                <w:color w:val="auto"/>
                <w:sz w:val="21"/>
                <w:szCs w:val="21"/>
                <w:highlight w:val="none"/>
              </w:rPr>
              <w:t>公章编入投标文件中，</w:t>
            </w:r>
            <w:r>
              <w:rPr>
                <w:rFonts w:hint="eastAsia" w:asciiTheme="minorEastAsia" w:hAnsiTheme="minorEastAsia" w:eastAsiaTheme="minorEastAsia" w:cstheme="minorEastAsia"/>
                <w:b/>
                <w:bCs/>
                <w:color w:val="auto"/>
                <w:sz w:val="21"/>
                <w:szCs w:val="21"/>
                <w:highlight w:val="none"/>
                <w:lang w:val="en-US" w:eastAsia="zh-CN"/>
              </w:rPr>
              <w:t>未提供的</w:t>
            </w:r>
            <w:r>
              <w:rPr>
                <w:rFonts w:hint="eastAsia" w:asciiTheme="minorEastAsia" w:hAnsiTheme="minorEastAsia" w:eastAsiaTheme="minorEastAsia" w:cstheme="minorEastAsia"/>
                <w:b/>
                <w:bCs/>
                <w:color w:val="auto"/>
                <w:sz w:val="21"/>
                <w:szCs w:val="21"/>
                <w:highlight w:val="none"/>
              </w:rPr>
              <w:t>不得分</w:t>
            </w:r>
            <w:r>
              <w:rPr>
                <w:rFonts w:hint="eastAsia" w:asciiTheme="minorEastAsia" w:hAnsiTheme="minorEastAsia" w:eastAsiaTheme="minorEastAsia" w:cstheme="minorEastAsia"/>
                <w:b/>
                <w:bCs/>
                <w:color w:val="auto"/>
                <w:kern w:val="2"/>
                <w:sz w:val="21"/>
                <w:szCs w:val="21"/>
                <w:highlight w:val="none"/>
                <w:lang w:val="en-US" w:eastAsia="zh-CN" w:bidi="ar-SA"/>
              </w:rPr>
              <w:t>）</w:t>
            </w:r>
          </w:p>
        </w:tc>
        <w:tc>
          <w:tcPr>
            <w:tcW w:w="702" w:type="dxa"/>
            <w:noWrap w:val="0"/>
            <w:vAlign w:val="center"/>
          </w:tcPr>
          <w:p w14:paraId="651E2A7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1</w:t>
            </w:r>
          </w:p>
        </w:tc>
      </w:tr>
      <w:tr w14:paraId="13264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2" w:hRule="atLeast"/>
          <w:jc w:val="center"/>
        </w:trPr>
        <w:tc>
          <w:tcPr>
            <w:tcW w:w="1060" w:type="dxa"/>
            <w:vMerge w:val="restart"/>
            <w:noWrap w:val="0"/>
            <w:vAlign w:val="center"/>
          </w:tcPr>
          <w:p w14:paraId="0FB95003">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技术分</w:t>
            </w:r>
          </w:p>
          <w:p w14:paraId="52180912">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（81分）</w:t>
            </w:r>
          </w:p>
        </w:tc>
        <w:tc>
          <w:tcPr>
            <w:tcW w:w="1122" w:type="dxa"/>
            <w:vMerge w:val="restart"/>
            <w:noWrap w:val="0"/>
            <w:vAlign w:val="center"/>
          </w:tcPr>
          <w:p w14:paraId="55F75594">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noWrap w:val="0"/>
            <w:vAlign w:val="center"/>
          </w:tcPr>
          <w:p w14:paraId="588BF79F">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整体方案：</w:t>
            </w:r>
            <w:r>
              <w:rPr>
                <w:rFonts w:hint="eastAsia" w:asciiTheme="minorEastAsia" w:hAnsiTheme="minorEastAsia" w:eastAsiaTheme="minorEastAsia" w:cstheme="minorEastAsia"/>
                <w:color w:val="auto"/>
                <w:sz w:val="21"/>
                <w:szCs w:val="21"/>
                <w:highlight w:val="none"/>
                <w:lang w:val="en-US" w:eastAsia="zh-CN"/>
              </w:rPr>
              <w:t>根据投标人针对疗休养提供的整体服务方案，包括导游安排、景区门票观光车安排等内容进行打分。</w:t>
            </w:r>
          </w:p>
          <w:p w14:paraId="35BDC5D6">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方案全面完整，科学合理，总体出行路线安排明确，有针对性的得3.0-5.0分；</w:t>
            </w:r>
          </w:p>
          <w:p w14:paraId="5A616CE4">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方案基本合理，出行路线安排粗略的得0.1-2.9分；</w:t>
            </w:r>
          </w:p>
          <w:p w14:paraId="60C3220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41A32A5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r>
      <w:tr w14:paraId="5667A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1060" w:type="dxa"/>
            <w:vMerge w:val="continue"/>
            <w:noWrap w:val="0"/>
            <w:vAlign w:val="center"/>
          </w:tcPr>
          <w:p w14:paraId="5F6E64BF">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vMerge w:val="continue"/>
            <w:noWrap w:val="0"/>
            <w:vAlign w:val="center"/>
          </w:tcPr>
          <w:p w14:paraId="08ADE199">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6148" w:type="dxa"/>
            <w:noWrap w:val="0"/>
            <w:vAlign w:val="center"/>
          </w:tcPr>
          <w:p w14:paraId="283FC27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食：</w:t>
            </w:r>
            <w:r>
              <w:rPr>
                <w:rFonts w:hint="eastAsia" w:asciiTheme="minorEastAsia" w:hAnsiTheme="minorEastAsia" w:eastAsiaTheme="minorEastAsia" w:cstheme="minorEastAsia"/>
                <w:color w:val="auto"/>
                <w:sz w:val="21"/>
                <w:szCs w:val="21"/>
                <w:highlight w:val="none"/>
                <w:lang w:val="en-US" w:eastAsia="zh-CN"/>
              </w:rPr>
              <w:t>根据旅游过程中各餐标准及荤素搭配等情况进行打分。</w:t>
            </w:r>
          </w:p>
          <w:p w14:paraId="23A216D3">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饮食荤素搭配均衡、营养丰富的得6.0-8.0分；</w:t>
            </w:r>
          </w:p>
          <w:p w14:paraId="59916A5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荤素搭配教均衡、品种较少的得3.0-5.9分；</w:t>
            </w:r>
          </w:p>
          <w:p w14:paraId="2176F47E">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荤素不均衡的得0.1-2.9分；</w:t>
            </w:r>
          </w:p>
          <w:p w14:paraId="4EAEAE33">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0B0B7CBF">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r>
      <w:tr w14:paraId="6EB67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6" w:hRule="atLeast"/>
          <w:jc w:val="center"/>
        </w:trPr>
        <w:tc>
          <w:tcPr>
            <w:tcW w:w="1060" w:type="dxa"/>
            <w:vMerge w:val="continue"/>
            <w:noWrap w:val="0"/>
            <w:vAlign w:val="center"/>
          </w:tcPr>
          <w:p w14:paraId="7A79D3E3">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vMerge w:val="continue"/>
            <w:noWrap w:val="0"/>
            <w:vAlign w:val="center"/>
          </w:tcPr>
          <w:p w14:paraId="1BC9013D">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6148" w:type="dxa"/>
            <w:noWrap w:val="0"/>
            <w:vAlign w:val="center"/>
          </w:tcPr>
          <w:p w14:paraId="4694B6F8">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宿：</w:t>
            </w:r>
            <w:r>
              <w:rPr>
                <w:rFonts w:hint="eastAsia" w:asciiTheme="minorEastAsia" w:hAnsiTheme="minorEastAsia" w:eastAsiaTheme="minorEastAsia" w:cstheme="minorEastAsia"/>
                <w:color w:val="auto"/>
                <w:sz w:val="21"/>
                <w:szCs w:val="21"/>
                <w:highlight w:val="none"/>
                <w:lang w:val="en-US" w:eastAsia="zh-CN"/>
              </w:rPr>
              <w:t>根据行程中住宿酒店所处地段、开业时间、星级等情况进行打分。</w:t>
            </w:r>
          </w:p>
          <w:p w14:paraId="444D8EA2">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住宿酒店所处地段佳、星级高、开业时间新的得6.0-8.0分；</w:t>
            </w:r>
          </w:p>
          <w:p w14:paraId="60E6E425">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地段较偏、星级一般、设施较旧的得3.0-5.9分；</w:t>
            </w:r>
          </w:p>
          <w:p w14:paraId="73849C1F">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地段偏僻、星级低的得0.1-2.9分；</w:t>
            </w:r>
          </w:p>
          <w:p w14:paraId="75ADFEA6">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6610435D">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r>
      <w:tr w14:paraId="2EB6D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6" w:hRule="atLeast"/>
          <w:jc w:val="center"/>
        </w:trPr>
        <w:tc>
          <w:tcPr>
            <w:tcW w:w="1060" w:type="dxa"/>
            <w:vMerge w:val="continue"/>
            <w:noWrap w:val="0"/>
            <w:vAlign w:val="center"/>
          </w:tcPr>
          <w:p w14:paraId="3054887E">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vMerge w:val="continue"/>
            <w:noWrap w:val="0"/>
            <w:vAlign w:val="center"/>
          </w:tcPr>
          <w:p w14:paraId="354C9F02">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6148" w:type="dxa"/>
            <w:noWrap w:val="0"/>
            <w:vAlign w:val="center"/>
          </w:tcPr>
          <w:p w14:paraId="787EF8AF">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行：</w:t>
            </w:r>
            <w:r>
              <w:rPr>
                <w:rFonts w:hint="eastAsia" w:asciiTheme="minorEastAsia" w:hAnsiTheme="minorEastAsia" w:eastAsiaTheme="minorEastAsia" w:cstheme="minorEastAsia"/>
                <w:color w:val="auto"/>
                <w:sz w:val="21"/>
                <w:szCs w:val="21"/>
                <w:highlight w:val="none"/>
                <w:lang w:eastAsia="zh-CN"/>
              </w:rPr>
              <w:t>根据接待大巴的详细情况</w:t>
            </w:r>
            <w:r>
              <w:rPr>
                <w:rFonts w:hint="eastAsia" w:asciiTheme="minorEastAsia" w:hAnsiTheme="minorEastAsia" w:eastAsiaTheme="minorEastAsia" w:cstheme="minorEastAsia"/>
                <w:color w:val="auto"/>
                <w:sz w:val="21"/>
                <w:szCs w:val="21"/>
                <w:highlight w:val="none"/>
                <w:lang w:val="en-US" w:eastAsia="zh-CN"/>
              </w:rPr>
              <w:t>进行打分。</w:t>
            </w:r>
          </w:p>
          <w:p w14:paraId="496B7643">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大巴车辆充足，车辆为近两年新车的得6.0-8.0分；</w:t>
            </w:r>
          </w:p>
          <w:p w14:paraId="0D5DF273">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大巴数量合适，车辆为近三年车辆的得3.0-5.9分；</w:t>
            </w:r>
          </w:p>
          <w:p w14:paraId="14F4CEC6">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大巴数量较少，车辆为近五年车辆的得0.1-2.9分；</w:t>
            </w:r>
          </w:p>
          <w:p w14:paraId="68BBF2DF">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1061EFEB">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r>
      <w:tr w14:paraId="56303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1E8AFA3C">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7EE9C16E">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奇幻吉林6天游</w:t>
            </w:r>
            <w:r>
              <w:rPr>
                <w:rFonts w:hint="eastAsia" w:asciiTheme="minorEastAsia" w:hAnsiTheme="minorEastAsia" w:eastAsiaTheme="minorEastAsia" w:cstheme="minorEastAsia"/>
                <w:color w:val="auto"/>
                <w:sz w:val="21"/>
                <w:szCs w:val="21"/>
                <w:highlight w:val="none"/>
                <w:lang w:val="zh-CN"/>
              </w:rPr>
              <w:t>策划方案</w:t>
            </w:r>
          </w:p>
        </w:tc>
        <w:tc>
          <w:tcPr>
            <w:tcW w:w="6148" w:type="dxa"/>
            <w:noWrap w:val="0"/>
            <w:vAlign w:val="center"/>
          </w:tcPr>
          <w:p w14:paraId="2BA325B6">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奇幻吉林6天游</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35FBF2AF">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方案全面完整，科学合理，总体出行路线安排明确，行程安排有针对性的得6.0-8.0分；</w:t>
            </w:r>
          </w:p>
          <w:p w14:paraId="01CDDFC9">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方案基本合理，出行路线安排粗略的得3.0-5.9分；</w:t>
            </w:r>
          </w:p>
          <w:p w14:paraId="435A8F61">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方案简单片面，出行路线安排不合理的得0.1-2.9分；</w:t>
            </w:r>
          </w:p>
          <w:p w14:paraId="4FF05C95">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4193AAC1">
            <w:pPr>
              <w:keepNext w:val="0"/>
              <w:keepLines w:val="0"/>
              <w:pageBreakBefore w:val="0"/>
              <w:kinsoku/>
              <w:wordWrap/>
              <w:overflowPunct/>
              <w:topLinePunct w:val="0"/>
              <w:bidi w:val="0"/>
              <w:adjustRightInd w:val="0"/>
              <w:snapToGrid w:val="0"/>
              <w:spacing w:line="240" w:lineRule="auto"/>
              <w:ind w:firstLine="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r>
      <w:tr w14:paraId="1C95B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1E1867B5">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6CB16E50">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新疆那拉提独库双飞 7日+1日</w:t>
            </w: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noWrap w:val="0"/>
            <w:vAlign w:val="center"/>
          </w:tcPr>
          <w:p w14:paraId="4D37FAF1">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新疆那拉提独库双飞 7日+1日</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6AAE9E0E">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方案全面完整，科学合理，总体出行路线安排明确，行程安排有针对性的得6.0-8.0分；</w:t>
            </w:r>
          </w:p>
          <w:p w14:paraId="5D56D679">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方案基本合理，出行路线安排粗略的得3.0-5.9分；</w:t>
            </w:r>
          </w:p>
          <w:p w14:paraId="7303ACA8">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方案简单片面，出行路线安排不合理的得0.1-2.9分；</w:t>
            </w:r>
          </w:p>
          <w:p w14:paraId="230CF587">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7BDA65C8">
            <w:pPr>
              <w:keepNext w:val="0"/>
              <w:keepLines w:val="0"/>
              <w:pageBreakBefore w:val="0"/>
              <w:kinsoku/>
              <w:wordWrap/>
              <w:overflowPunct/>
              <w:topLinePunct w:val="0"/>
              <w:bidi w:val="0"/>
              <w:adjustRightInd w:val="0"/>
              <w:snapToGrid w:val="0"/>
              <w:spacing w:line="240" w:lineRule="auto"/>
              <w:ind w:firstLine="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r>
      <w:tr w14:paraId="6E15B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4D359782">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shd w:val="clear" w:color="auto" w:fill="auto"/>
            <w:noWrap w:val="0"/>
            <w:vAlign w:val="center"/>
          </w:tcPr>
          <w:p w14:paraId="433E59D9">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西宁茫崖6日游</w:t>
            </w: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shd w:val="clear" w:color="auto" w:fill="auto"/>
            <w:noWrap w:val="0"/>
            <w:vAlign w:val="center"/>
          </w:tcPr>
          <w:p w14:paraId="7568302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西宁茫崖6日游</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72C84BB5">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方案全面完整，科学合理，总体出行路线安排明确，行程安排有针对性的得6.0-8.0分；</w:t>
            </w:r>
          </w:p>
          <w:p w14:paraId="2CE58E7E">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方案基本合理，出行路线安排粗略的得3.0-5.9分；</w:t>
            </w:r>
          </w:p>
          <w:p w14:paraId="1145AF06">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方案简单片面，出行路线安排不合理的得0.1-2.9分；</w:t>
            </w:r>
          </w:p>
          <w:p w14:paraId="2E93E696">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kern w:val="2"/>
                <w:sz w:val="21"/>
                <w:szCs w:val="24"/>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shd w:val="clear" w:color="auto" w:fill="auto"/>
            <w:noWrap w:val="0"/>
            <w:vAlign w:val="center"/>
          </w:tcPr>
          <w:p w14:paraId="25241430">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r>
      <w:tr w14:paraId="0EECF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541E8E15">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53B69F0E">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default"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特色方案</w:t>
            </w:r>
          </w:p>
        </w:tc>
        <w:tc>
          <w:tcPr>
            <w:tcW w:w="6148" w:type="dxa"/>
            <w:noWrap w:val="0"/>
            <w:vAlign w:val="center"/>
          </w:tcPr>
          <w:p w14:paraId="76D07B5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val="0"/>
                <w:bCs w:val="0"/>
                <w:color w:val="auto"/>
                <w:sz w:val="21"/>
                <w:szCs w:val="21"/>
                <w:highlight w:val="none"/>
                <w:lang w:val="en-US" w:eastAsia="zh-CN"/>
              </w:rPr>
              <w:t>台州市路桥区中医院医疗服务共同体</w:t>
            </w:r>
            <w:r>
              <w:rPr>
                <w:rFonts w:hint="eastAsia" w:asciiTheme="minorEastAsia" w:hAnsiTheme="minorEastAsia" w:eastAsiaTheme="minorEastAsia" w:cstheme="minorEastAsia"/>
                <w:color w:val="auto"/>
                <w:sz w:val="21"/>
                <w:szCs w:val="21"/>
                <w:highlight w:val="none"/>
                <w:lang w:val="en-US" w:eastAsia="zh-CN"/>
              </w:rPr>
              <w:t>疗休养提供的特色行程方案（特色行程方案须提供推荐线路以外的，省内省外各提供3条），根据方案导游、票务、行程安排、旅行过程中的食宿行等内容进行打分。</w:t>
            </w:r>
          </w:p>
          <w:p w14:paraId="39B87928">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方案全面完整，科学合理，总体出行路线安排明确，行程安排有针对性的得6.0-8.0分；</w:t>
            </w:r>
          </w:p>
          <w:p w14:paraId="160A5690">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方案基本合理，出行路线安排粗略的得3.0-5.9分；</w:t>
            </w:r>
          </w:p>
          <w:p w14:paraId="4114CABB">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方案简单片面，出行路线安排不合理的得0.1-2.9分；</w:t>
            </w:r>
          </w:p>
          <w:p w14:paraId="4E169A06">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48CB08A2">
            <w:pPr>
              <w:keepNext w:val="0"/>
              <w:keepLines w:val="0"/>
              <w:pageBreakBefore w:val="0"/>
              <w:kinsoku/>
              <w:wordWrap/>
              <w:overflowPunct/>
              <w:topLinePunct w:val="0"/>
              <w:bidi w:val="0"/>
              <w:adjustRightInd w:val="0"/>
              <w:snapToGrid w:val="0"/>
              <w:spacing w:line="240" w:lineRule="auto"/>
              <w:ind w:firstLine="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r>
      <w:tr w14:paraId="07C2E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60" w:type="dxa"/>
            <w:vMerge w:val="continue"/>
            <w:noWrap w:val="0"/>
            <w:vAlign w:val="center"/>
          </w:tcPr>
          <w:p w14:paraId="76F01635">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6A5B5A96">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服务质量保证</w:t>
            </w:r>
          </w:p>
        </w:tc>
        <w:tc>
          <w:tcPr>
            <w:tcW w:w="6148" w:type="dxa"/>
            <w:noWrap w:val="0"/>
            <w:vAlign w:val="center"/>
          </w:tcPr>
          <w:p w14:paraId="67098121">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根据投标人</w:t>
            </w:r>
            <w:r>
              <w:rPr>
                <w:rFonts w:hint="eastAsia" w:asciiTheme="minorEastAsia" w:hAnsiTheme="minorEastAsia" w:eastAsiaTheme="minorEastAsia" w:cstheme="minorEastAsia"/>
                <w:color w:val="auto"/>
                <w:sz w:val="21"/>
                <w:szCs w:val="21"/>
                <w:highlight w:val="none"/>
              </w:rPr>
              <w:t>针对本项目制定的</w:t>
            </w:r>
            <w:r>
              <w:rPr>
                <w:rFonts w:hint="eastAsia" w:asciiTheme="minorEastAsia" w:hAnsiTheme="minorEastAsia" w:eastAsiaTheme="minorEastAsia" w:cstheme="minorEastAsia"/>
                <w:color w:val="auto"/>
                <w:sz w:val="21"/>
                <w:szCs w:val="21"/>
                <w:highlight w:val="none"/>
                <w:lang w:val="en-US" w:eastAsia="zh-CN"/>
              </w:rPr>
              <w:t>服务</w:t>
            </w:r>
            <w:r>
              <w:rPr>
                <w:rFonts w:hint="eastAsia" w:asciiTheme="minorEastAsia" w:hAnsiTheme="minorEastAsia" w:eastAsiaTheme="minorEastAsia" w:cstheme="minorEastAsia"/>
                <w:color w:val="auto"/>
                <w:sz w:val="21"/>
                <w:szCs w:val="21"/>
                <w:highlight w:val="none"/>
              </w:rPr>
              <w:t>质量保证措施</w:t>
            </w:r>
            <w:r>
              <w:rPr>
                <w:rFonts w:hint="eastAsia" w:asciiTheme="minorEastAsia" w:hAnsiTheme="minorEastAsia" w:eastAsiaTheme="minorEastAsia" w:cstheme="minorEastAsia"/>
                <w:color w:val="auto"/>
                <w:sz w:val="21"/>
                <w:szCs w:val="21"/>
                <w:highlight w:val="none"/>
                <w:lang w:eastAsia="zh-CN"/>
              </w:rPr>
              <w:t>进行打分。</w:t>
            </w:r>
          </w:p>
          <w:p w14:paraId="65D879E6">
            <w:pPr>
              <w:keepNext w:val="0"/>
              <w:keepLines w:val="0"/>
              <w:pageBreakBefore w:val="0"/>
              <w:tabs>
                <w:tab w:val="left" w:pos="2061"/>
              </w:tabs>
              <w:kinsoku/>
              <w:wordWrap/>
              <w:overflowPunct/>
              <w:topLinePunct w:val="0"/>
              <w:bidi w:val="0"/>
              <w:spacing w:beforeAutospacing="0" w:afterAutospacing="0" w:line="240" w:lineRule="auto"/>
              <w:ind w:left="0" w:leftChars="0" w:right="0" w:rightChars="0" w:firstLine="0" w:firstLineChars="0"/>
              <w:jc w:val="left"/>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服务质量</w:t>
            </w:r>
            <w:r>
              <w:rPr>
                <w:rFonts w:hint="eastAsia" w:asciiTheme="minorEastAsia" w:hAnsiTheme="minorEastAsia" w:eastAsiaTheme="minorEastAsia" w:cstheme="minorEastAsia"/>
                <w:color w:val="auto"/>
                <w:kern w:val="2"/>
                <w:sz w:val="21"/>
                <w:szCs w:val="21"/>
                <w:highlight w:val="none"/>
                <w:lang w:val="en-US" w:eastAsia="zh-CN" w:bidi="ar-SA"/>
              </w:rPr>
              <w:t>保证</w:t>
            </w:r>
            <w:r>
              <w:rPr>
                <w:rFonts w:hint="eastAsia" w:ascii="宋体" w:hAnsi="宋体" w:eastAsia="宋体" w:cs="宋体"/>
                <w:color w:val="auto"/>
                <w:highlight w:val="none"/>
                <w:lang w:val="en-US" w:eastAsia="zh-CN"/>
              </w:rPr>
              <w:t>方案阐述全面，管理规范、</w:t>
            </w:r>
            <w:r>
              <w:rPr>
                <w:rFonts w:hint="eastAsia" w:ascii="宋体" w:hAnsi="宋体" w:eastAsia="宋体" w:cs="宋体"/>
                <w:b w:val="0"/>
                <w:bCs w:val="0"/>
                <w:color w:val="auto"/>
                <w:sz w:val="21"/>
                <w:szCs w:val="21"/>
                <w:highlight w:val="none"/>
                <w:lang w:val="en-US" w:eastAsia="zh-CN"/>
              </w:rPr>
              <w:t>管理组织构架、监督体系、</w:t>
            </w:r>
            <w:r>
              <w:rPr>
                <w:rFonts w:hint="eastAsia" w:ascii="宋体" w:hAnsi="宋体" w:eastAsia="宋体" w:cs="宋体"/>
                <w:color w:val="auto"/>
                <w:highlight w:val="none"/>
                <w:lang w:val="en-US" w:eastAsia="zh-CN"/>
              </w:rPr>
              <w:t>内控制度、质量管控</w:t>
            </w:r>
            <w:r>
              <w:rPr>
                <w:rFonts w:hint="eastAsia" w:ascii="宋体" w:hAnsi="宋体" w:eastAsia="宋体" w:cs="宋体"/>
                <w:color w:val="auto"/>
                <w:highlight w:val="none"/>
              </w:rPr>
              <w:t>措施</w:t>
            </w:r>
            <w:r>
              <w:rPr>
                <w:rFonts w:hint="eastAsia" w:ascii="宋体" w:hAnsi="宋体" w:eastAsia="宋体" w:cs="宋体"/>
                <w:color w:val="auto"/>
                <w:highlight w:val="none"/>
                <w:lang w:val="en-US" w:eastAsia="zh-CN"/>
              </w:rPr>
              <w:t>等阐述</w:t>
            </w:r>
            <w:r>
              <w:rPr>
                <w:rFonts w:hint="eastAsia" w:ascii="宋体" w:hAnsi="宋体" w:eastAsia="宋体" w:cs="宋体"/>
                <w:b w:val="0"/>
                <w:bCs w:val="0"/>
                <w:color w:val="auto"/>
                <w:sz w:val="21"/>
                <w:szCs w:val="21"/>
                <w:highlight w:val="none"/>
                <w:lang w:val="en-US" w:eastAsia="zh-CN"/>
              </w:rPr>
              <w:t>合理可行且</w:t>
            </w:r>
            <w:r>
              <w:rPr>
                <w:rFonts w:hint="eastAsia" w:ascii="宋体" w:hAnsi="宋体" w:eastAsia="宋体" w:cs="宋体"/>
                <w:color w:val="auto"/>
                <w:highlight w:val="none"/>
                <w:lang w:val="en-US" w:eastAsia="zh-CN"/>
              </w:rPr>
              <w:t>有针对性</w:t>
            </w:r>
            <w:r>
              <w:rPr>
                <w:rFonts w:hint="eastAsia" w:ascii="宋体" w:hAnsi="宋体" w:eastAsia="宋体" w:cs="宋体"/>
                <w:b w:val="0"/>
                <w:bCs w:val="0"/>
                <w:color w:val="auto"/>
                <w:sz w:val="21"/>
                <w:szCs w:val="21"/>
                <w:highlight w:val="none"/>
                <w:lang w:val="en-US" w:eastAsia="zh-CN"/>
              </w:rPr>
              <w:t>，人员安排、设备配置等均安排明确，能</w:t>
            </w:r>
            <w:r>
              <w:rPr>
                <w:rFonts w:hint="eastAsia" w:ascii="宋体" w:hAnsi="宋体" w:eastAsia="宋体" w:cs="宋体"/>
                <w:color w:val="auto"/>
                <w:highlight w:val="none"/>
                <w:lang w:val="en-US" w:eastAsia="zh-CN"/>
              </w:rPr>
              <w:t>有效保障项目服务质量的得</w:t>
            </w:r>
            <w:r>
              <w:rPr>
                <w:rFonts w:hint="eastAsia" w:ascii="宋体" w:hAnsi="宋体" w:cs="宋体"/>
                <w:color w:val="auto"/>
                <w:highlight w:val="none"/>
                <w:lang w:val="en-US" w:eastAsia="zh-CN"/>
              </w:rPr>
              <w:t>3.0-5.0</w:t>
            </w:r>
            <w:r>
              <w:rPr>
                <w:rFonts w:hint="eastAsia" w:ascii="宋体" w:hAnsi="宋体" w:eastAsia="宋体" w:cs="宋体"/>
                <w:color w:val="auto"/>
                <w:highlight w:val="none"/>
                <w:lang w:val="en-US" w:eastAsia="zh-CN"/>
              </w:rPr>
              <w:t>分</w:t>
            </w:r>
            <w:r>
              <w:rPr>
                <w:rFonts w:hint="eastAsia" w:ascii="宋体" w:hAnsi="宋体" w:eastAsia="宋体" w:cs="宋体"/>
                <w:color w:val="auto"/>
                <w:highlight w:val="none"/>
              </w:rPr>
              <w:t>；</w:t>
            </w:r>
          </w:p>
          <w:p w14:paraId="5A72D71B">
            <w:pPr>
              <w:keepNext w:val="0"/>
              <w:keepLines w:val="0"/>
              <w:pageBreakBefore w:val="0"/>
              <w:tabs>
                <w:tab w:val="left" w:pos="2061"/>
              </w:tabs>
              <w:kinsoku/>
              <w:wordWrap/>
              <w:overflowPunct/>
              <w:topLinePunct w:val="0"/>
              <w:bidi w:val="0"/>
              <w:spacing w:beforeAutospacing="0" w:afterAutospacing="0" w:line="240" w:lineRule="auto"/>
              <w:ind w:left="0" w:leftChars="0" w:right="0" w:rightChars="0" w:firstLine="0" w:firstLineChars="0"/>
              <w:jc w:val="lef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方案简单，人员、设备的配置有提及但安排不明确，考核要求制定不完善的得0.1-2.9分；</w:t>
            </w:r>
          </w:p>
          <w:p w14:paraId="5401C4E6">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highlight w:val="none"/>
                <w:lang w:val="en-US" w:eastAsia="zh-CN"/>
              </w:rPr>
              <w:t>未提及此项不得分。</w:t>
            </w:r>
          </w:p>
        </w:tc>
        <w:tc>
          <w:tcPr>
            <w:tcW w:w="702" w:type="dxa"/>
            <w:noWrap w:val="0"/>
            <w:vAlign w:val="center"/>
          </w:tcPr>
          <w:p w14:paraId="702FF6A2">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r>
      <w:tr w14:paraId="43C97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jc w:val="center"/>
        </w:trPr>
        <w:tc>
          <w:tcPr>
            <w:tcW w:w="1060" w:type="dxa"/>
            <w:vMerge w:val="continue"/>
            <w:noWrap w:val="0"/>
            <w:vAlign w:val="center"/>
          </w:tcPr>
          <w:p w14:paraId="69D25996">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3DD53817">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服务承诺</w:t>
            </w:r>
          </w:p>
        </w:tc>
        <w:tc>
          <w:tcPr>
            <w:tcW w:w="6148" w:type="dxa"/>
            <w:noWrap w:val="0"/>
            <w:vAlign w:val="center"/>
          </w:tcPr>
          <w:p w14:paraId="1507491E">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投标人在当地有服务网点或承诺中标后在当地设立服务网点，且在12小时内（含12小时）响应的得5分。</w:t>
            </w:r>
          </w:p>
          <w:p w14:paraId="0F8F3FC5">
            <w:pPr>
              <w:keepNext w:val="0"/>
              <w:keepLines w:val="0"/>
              <w:pageBreakBefore w:val="0"/>
              <w:kinsoku/>
              <w:wordWrap/>
              <w:overflowPunct/>
              <w:topLinePunct w:val="0"/>
              <w:bidi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r>
              <w:rPr>
                <w:rFonts w:hint="eastAsia" w:asciiTheme="minorEastAsia" w:hAnsiTheme="minorEastAsia" w:eastAsiaTheme="minorEastAsia" w:cstheme="minorEastAsia"/>
                <w:b/>
                <w:bCs/>
                <w:color w:val="auto"/>
                <w:sz w:val="21"/>
                <w:szCs w:val="21"/>
                <w:highlight w:val="none"/>
                <w:lang w:val="en-US" w:eastAsia="zh-CN"/>
              </w:rPr>
              <w:t>（须提供已有服务网点证明材料扫描件或承诺函原件并加盖投标人公章编入投标文件中，未提供不得分）</w:t>
            </w:r>
          </w:p>
        </w:tc>
        <w:tc>
          <w:tcPr>
            <w:tcW w:w="702" w:type="dxa"/>
            <w:noWrap w:val="0"/>
            <w:vAlign w:val="center"/>
          </w:tcPr>
          <w:p w14:paraId="55D2DBED">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r>
      <w:tr w14:paraId="0A1D0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22431123">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5C05CA1F">
            <w:pPr>
              <w:keepLines w:val="0"/>
              <w:pageBreakBefore w:val="0"/>
              <w:kinsoku/>
              <w:wordWrap/>
              <w:overflowPunct/>
              <w:topLinePunct w:val="0"/>
              <w:bidi w:val="0"/>
              <w:spacing w:beforeAutospacing="0" w:afterAutospacing="0" w:line="240" w:lineRule="auto"/>
              <w:ind w:left="0" w:left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宋体" w:hAnsi="宋体" w:eastAsia="宋体" w:cs="宋体"/>
                <w:color w:val="auto"/>
                <w:spacing w:val="-4"/>
                <w:szCs w:val="21"/>
                <w:highlight w:val="none"/>
                <w:lang w:val="en-US" w:eastAsia="zh-CN"/>
              </w:rPr>
              <w:t>应急预案</w:t>
            </w:r>
          </w:p>
        </w:tc>
        <w:tc>
          <w:tcPr>
            <w:tcW w:w="6148" w:type="dxa"/>
            <w:noWrap w:val="0"/>
            <w:vAlign w:val="center"/>
          </w:tcPr>
          <w:p w14:paraId="0BD68F40">
            <w:pPr>
              <w:keepNext w:val="0"/>
              <w:keepLines w:val="0"/>
              <w:pageBreakBefore w:val="0"/>
              <w:kinsoku/>
              <w:wordWrap/>
              <w:overflowPunct/>
              <w:topLinePunct w:val="0"/>
              <w:bidi w:val="0"/>
              <w:spacing w:beforeAutospacing="0" w:afterAutospacing="0" w:line="240" w:lineRule="auto"/>
              <w:ind w:left="0"/>
              <w:jc w:val="left"/>
              <w:textAlignment w:val="auto"/>
              <w:outlineLvl w:val="9"/>
              <w:rPr>
                <w:rFonts w:hint="eastAsia" w:ascii="宋体" w:hAnsi="宋体" w:eastAsia="宋体" w:cs="宋体"/>
                <w:color w:val="auto"/>
                <w:spacing w:val="-4"/>
                <w:szCs w:val="21"/>
                <w:highlight w:val="none"/>
                <w:lang w:val="en-US" w:eastAsia="zh-CN"/>
              </w:rPr>
            </w:pPr>
            <w:r>
              <w:rPr>
                <w:rFonts w:hint="eastAsia" w:ascii="宋体" w:hAnsi="宋体" w:eastAsia="宋体" w:cs="宋体"/>
                <w:color w:val="auto"/>
                <w:spacing w:val="-4"/>
                <w:szCs w:val="21"/>
                <w:highlight w:val="none"/>
                <w:lang w:val="en-US" w:eastAsia="zh-CN"/>
              </w:rPr>
              <w:t>根据投标人针对后续实际服务过程中可能遇到的紧急事件、异常处理等是否具有详细完善的应急响应制度、实施保障方案进行打分。</w:t>
            </w:r>
          </w:p>
          <w:p w14:paraId="5D53B37C">
            <w:pPr>
              <w:keepNext w:val="0"/>
              <w:keepLines w:val="0"/>
              <w:pageBreakBefore w:val="0"/>
              <w:kinsoku/>
              <w:wordWrap/>
              <w:overflowPunct/>
              <w:topLinePunct w:val="0"/>
              <w:bidi w:val="0"/>
              <w:spacing w:beforeAutospacing="0" w:afterAutospacing="0" w:line="240" w:lineRule="auto"/>
              <w:ind w:left="0"/>
              <w:jc w:val="left"/>
              <w:textAlignment w:val="auto"/>
              <w:outlineLvl w:val="9"/>
              <w:rPr>
                <w:rFonts w:hint="eastAsia" w:ascii="宋体" w:hAnsi="宋体" w:eastAsia="宋体" w:cs="宋体"/>
                <w:color w:val="auto"/>
                <w:spacing w:val="-4"/>
                <w:szCs w:val="21"/>
                <w:highlight w:val="none"/>
                <w:lang w:val="en-US" w:eastAsia="zh-CN"/>
              </w:rPr>
            </w:pPr>
            <w:r>
              <w:rPr>
                <w:rFonts w:hint="eastAsia" w:ascii="宋体" w:hAnsi="宋体" w:eastAsia="宋体" w:cs="宋体"/>
                <w:color w:val="auto"/>
                <w:spacing w:val="-4"/>
                <w:szCs w:val="21"/>
                <w:highlight w:val="none"/>
                <w:lang w:val="en-US" w:eastAsia="zh-CN"/>
              </w:rPr>
              <w:t>应急响应制度阐述完整详细，实施保障方案内容明确且具有针对性，提出的应急措施科学可行的得</w:t>
            </w:r>
            <w:r>
              <w:rPr>
                <w:rFonts w:hint="eastAsia" w:ascii="宋体" w:hAnsi="宋体" w:cs="宋体"/>
                <w:color w:val="auto"/>
                <w:spacing w:val="-4"/>
                <w:szCs w:val="21"/>
                <w:highlight w:val="none"/>
                <w:lang w:val="en-US" w:eastAsia="zh-CN"/>
              </w:rPr>
              <w:t>3.0-5.0分</w:t>
            </w:r>
            <w:r>
              <w:rPr>
                <w:rFonts w:hint="eastAsia" w:ascii="宋体" w:hAnsi="宋体" w:eastAsia="宋体" w:cs="宋体"/>
                <w:color w:val="auto"/>
                <w:spacing w:val="-4"/>
                <w:szCs w:val="21"/>
                <w:highlight w:val="none"/>
                <w:lang w:val="en-US" w:eastAsia="zh-CN"/>
              </w:rPr>
              <w:t>；</w:t>
            </w:r>
          </w:p>
          <w:p w14:paraId="452677E3">
            <w:pPr>
              <w:keepNext w:val="0"/>
              <w:keepLines w:val="0"/>
              <w:pageBreakBefore w:val="0"/>
              <w:kinsoku/>
              <w:wordWrap/>
              <w:overflowPunct/>
              <w:topLinePunct w:val="0"/>
              <w:bidi w:val="0"/>
              <w:spacing w:beforeAutospacing="0" w:afterAutospacing="0" w:line="240" w:lineRule="auto"/>
              <w:ind w:left="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4"/>
                <w:szCs w:val="21"/>
                <w:highlight w:val="none"/>
                <w:lang w:val="en-US" w:eastAsia="zh-CN"/>
              </w:rPr>
              <w:t>应急响应方案简单，提出的应急措施</w:t>
            </w:r>
            <w:r>
              <w:rPr>
                <w:rFonts w:hint="eastAsia" w:ascii="宋体" w:hAnsi="宋体" w:eastAsia="宋体" w:cs="宋体"/>
                <w:color w:val="auto"/>
                <w:sz w:val="21"/>
                <w:szCs w:val="21"/>
                <w:highlight w:val="none"/>
                <w:lang w:val="en-US" w:eastAsia="zh-CN"/>
              </w:rPr>
              <w:t>缺乏针对性和有效性的得0.1-2.9分；</w:t>
            </w:r>
          </w:p>
          <w:p w14:paraId="0F8440DA">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未提及此项不得分。</w:t>
            </w:r>
          </w:p>
        </w:tc>
        <w:tc>
          <w:tcPr>
            <w:tcW w:w="702" w:type="dxa"/>
            <w:noWrap w:val="0"/>
            <w:vAlign w:val="center"/>
          </w:tcPr>
          <w:p w14:paraId="364C61BE">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r>
      <w:tr w14:paraId="29C57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jc w:val="center"/>
        </w:trPr>
        <w:tc>
          <w:tcPr>
            <w:tcW w:w="1060" w:type="dxa"/>
            <w:vMerge w:val="continue"/>
            <w:noWrap w:val="0"/>
            <w:vAlign w:val="center"/>
          </w:tcPr>
          <w:p w14:paraId="22484284">
            <w:pPr>
              <w:keepNext w:val="0"/>
              <w:keepLines w:val="0"/>
              <w:pageBreakBefore w:val="0"/>
              <w:widowControl/>
              <w:kinsoku/>
              <w:wordWrap/>
              <w:overflowPunct/>
              <w:topLinePunct w:val="0"/>
              <w:bidi w:val="0"/>
              <w:spacing w:line="240" w:lineRule="auto"/>
              <w:ind w:firstLine="0" w:firstLineChars="0"/>
              <w:jc w:val="center"/>
              <w:textAlignment w:val="auto"/>
              <w:rPr>
                <w:rFonts w:hint="eastAsia" w:asciiTheme="minorEastAsia" w:hAnsiTheme="minorEastAsia" w:eastAsiaTheme="minorEastAsia" w:cstheme="minorEastAsia"/>
                <w:color w:val="auto"/>
                <w:kern w:val="0"/>
                <w:sz w:val="21"/>
                <w:szCs w:val="21"/>
                <w:highlight w:val="none"/>
              </w:rPr>
            </w:pPr>
          </w:p>
        </w:tc>
        <w:tc>
          <w:tcPr>
            <w:tcW w:w="1122" w:type="dxa"/>
            <w:noWrap w:val="0"/>
            <w:vAlign w:val="center"/>
          </w:tcPr>
          <w:p w14:paraId="785663E7">
            <w:pPr>
              <w:keepNext w:val="0"/>
              <w:keepLines w:val="0"/>
              <w:pageBreakBefore w:val="0"/>
              <w:widowControl/>
              <w:kinsoku/>
              <w:wordWrap/>
              <w:overflowPunct/>
              <w:topLinePunct w:val="0"/>
              <w:bidi w:val="0"/>
              <w:spacing w:line="240" w:lineRule="auto"/>
              <w:ind w:firstLine="0" w:firstLineChars="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合理化建议</w:t>
            </w:r>
          </w:p>
        </w:tc>
        <w:tc>
          <w:tcPr>
            <w:tcW w:w="6148" w:type="dxa"/>
            <w:noWrap w:val="0"/>
            <w:vAlign w:val="center"/>
          </w:tcPr>
          <w:p w14:paraId="03BE0525">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根据投标人提供的合理化建议</w:t>
            </w:r>
            <w:r>
              <w:rPr>
                <w:rFonts w:hint="eastAsia" w:asciiTheme="minorEastAsia" w:hAnsiTheme="minorEastAsia" w:eastAsiaTheme="minorEastAsia" w:cstheme="minorEastAsia"/>
                <w:color w:val="auto"/>
                <w:sz w:val="21"/>
                <w:szCs w:val="21"/>
                <w:highlight w:val="none"/>
                <w:lang w:eastAsia="zh-CN"/>
              </w:rPr>
              <w:t>进行打分。</w:t>
            </w:r>
          </w:p>
          <w:p w14:paraId="03B10912">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其他合理化建议科学、合理、可行的得</w:t>
            </w:r>
            <w:r>
              <w:rPr>
                <w:rFonts w:hint="eastAsia" w:asciiTheme="minorEastAsia" w:hAnsiTheme="minorEastAsia" w:eastAsiaTheme="minorEastAsia" w:cstheme="minorEastAsia"/>
                <w:color w:val="auto"/>
                <w:sz w:val="21"/>
                <w:szCs w:val="21"/>
                <w:highlight w:val="none"/>
                <w:lang w:val="en-US" w:eastAsia="zh-CN"/>
              </w:rPr>
              <w:t>3.0-5.0分；</w:t>
            </w:r>
          </w:p>
          <w:p w14:paraId="557451CC">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其他合理化建议基本符合采购人需求的得</w:t>
            </w:r>
            <w:r>
              <w:rPr>
                <w:rFonts w:hint="eastAsia" w:asciiTheme="minorEastAsia" w:hAnsiTheme="minorEastAsia" w:eastAsiaTheme="minorEastAsia" w:cstheme="minorEastAsia"/>
                <w:color w:val="auto"/>
                <w:sz w:val="21"/>
                <w:szCs w:val="21"/>
                <w:highlight w:val="none"/>
                <w:lang w:val="en-US" w:eastAsia="zh-CN"/>
              </w:rPr>
              <w:t>0.1-2.9分；</w:t>
            </w:r>
          </w:p>
          <w:p w14:paraId="1B3A3685">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119F5FD3">
            <w:pPr>
              <w:keepNext w:val="0"/>
              <w:keepLines w:val="0"/>
              <w:pageBreakBefore w:val="0"/>
              <w:kinsoku/>
              <w:wordWrap/>
              <w:overflowPunct/>
              <w:topLinePunct w:val="0"/>
              <w:bidi w:val="0"/>
              <w:spacing w:line="240" w:lineRule="auto"/>
              <w:ind w:firstLine="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5</w:t>
            </w:r>
          </w:p>
        </w:tc>
      </w:tr>
      <w:tr w14:paraId="5CCFE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2182" w:type="dxa"/>
            <w:gridSpan w:val="2"/>
            <w:noWrap w:val="0"/>
            <w:vAlign w:val="center"/>
          </w:tcPr>
          <w:p w14:paraId="421A5F7D">
            <w:pPr>
              <w:keepNext w:val="0"/>
              <w:keepLines w:val="0"/>
              <w:pageBreakBefore w:val="0"/>
              <w:kinsoku/>
              <w:wordWrap/>
              <w:overflowPunct/>
              <w:topLinePunct w:val="0"/>
              <w:bidi w:val="0"/>
              <w:spacing w:line="240" w:lineRule="auto"/>
              <w:ind w:left="0"/>
              <w:jc w:val="center"/>
              <w:textAlignment w:val="auto"/>
              <w:rPr>
                <w:rStyle w:val="54"/>
                <w:rFonts w:hint="eastAsia" w:ascii="宋体" w:hAnsi="宋体" w:eastAsia="宋体" w:cs="宋体"/>
                <w:color w:val="auto"/>
                <w:kern w:val="0"/>
                <w:sz w:val="21"/>
                <w:szCs w:val="21"/>
                <w:highlight w:val="none"/>
              </w:rPr>
            </w:pPr>
            <w:r>
              <w:rPr>
                <w:rStyle w:val="54"/>
                <w:rFonts w:hint="eastAsia" w:ascii="宋体" w:hAnsi="宋体" w:eastAsia="宋体" w:cs="宋体"/>
                <w:color w:val="auto"/>
                <w:kern w:val="0"/>
                <w:sz w:val="21"/>
                <w:szCs w:val="21"/>
                <w:highlight w:val="none"/>
              </w:rPr>
              <w:t>价格</w:t>
            </w:r>
          </w:p>
          <w:p w14:paraId="093B8EDC">
            <w:pPr>
              <w:keepNext w:val="0"/>
              <w:keepLines w:val="0"/>
              <w:pageBreakBefore w:val="0"/>
              <w:kinsoku/>
              <w:wordWrap/>
              <w:overflowPunct/>
              <w:topLinePunct w:val="0"/>
              <w:bidi w:val="0"/>
              <w:spacing w:line="240" w:lineRule="auto"/>
              <w:ind w:left="0" w:leftChars="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Style w:val="54"/>
                <w:rFonts w:hint="eastAsia" w:ascii="宋体" w:hAnsi="宋体" w:eastAsia="宋体" w:cs="宋体"/>
                <w:color w:val="auto"/>
                <w:kern w:val="0"/>
                <w:sz w:val="21"/>
                <w:szCs w:val="21"/>
                <w:highlight w:val="none"/>
              </w:rPr>
              <w:t>（</w:t>
            </w:r>
            <w:r>
              <w:rPr>
                <w:rStyle w:val="54"/>
                <w:rFonts w:hint="eastAsia" w:ascii="宋体" w:hAnsi="宋体" w:eastAsia="宋体" w:cs="宋体"/>
                <w:color w:val="auto"/>
                <w:kern w:val="0"/>
                <w:sz w:val="21"/>
                <w:szCs w:val="21"/>
                <w:highlight w:val="none"/>
                <w:lang w:val="en-US" w:eastAsia="zh-CN"/>
              </w:rPr>
              <w:t>10</w:t>
            </w:r>
            <w:r>
              <w:rPr>
                <w:rStyle w:val="54"/>
                <w:rFonts w:hint="eastAsia" w:ascii="宋体" w:hAnsi="宋体" w:eastAsia="宋体" w:cs="宋体"/>
                <w:color w:val="auto"/>
                <w:kern w:val="0"/>
                <w:sz w:val="21"/>
                <w:szCs w:val="21"/>
                <w:highlight w:val="none"/>
              </w:rPr>
              <w:t>分）</w:t>
            </w:r>
          </w:p>
        </w:tc>
        <w:tc>
          <w:tcPr>
            <w:tcW w:w="6148" w:type="dxa"/>
            <w:noWrap w:val="0"/>
            <w:vAlign w:val="center"/>
          </w:tcPr>
          <w:p w14:paraId="677D387A">
            <w:pPr>
              <w:keepNext w:val="0"/>
              <w:keepLines w:val="0"/>
              <w:pageBreakBefore w:val="0"/>
              <w:kinsoku/>
              <w:wordWrap/>
              <w:overflowPunct/>
              <w:topLinePunct w:val="0"/>
              <w:bidi w:val="0"/>
              <w:spacing w:line="240" w:lineRule="auto"/>
              <w:ind w:left="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取投标合格供应商的投标最终报价最低价</w:t>
            </w:r>
            <w:r>
              <w:rPr>
                <w:rFonts w:hint="eastAsia" w:ascii="宋体" w:hAnsi="宋体" w:eastAsia="宋体" w:cs="宋体"/>
                <w:color w:val="auto"/>
                <w:sz w:val="21"/>
                <w:szCs w:val="21"/>
                <w:highlight w:val="none"/>
                <w:lang w:val="zh-CN"/>
              </w:rPr>
              <w:t>为评标基准价，</w:t>
            </w:r>
            <w:r>
              <w:rPr>
                <w:rFonts w:hint="eastAsia" w:ascii="宋体" w:hAnsi="宋体" w:eastAsia="宋体" w:cs="宋体"/>
                <w:color w:val="auto"/>
                <w:sz w:val="21"/>
                <w:szCs w:val="21"/>
                <w:highlight w:val="none"/>
              </w:rPr>
              <w:t>基准价为</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zh-CN"/>
              </w:rPr>
              <w:t>。</w:t>
            </w:r>
          </w:p>
          <w:p w14:paraId="50B41947">
            <w:pPr>
              <w:keepNext w:val="0"/>
              <w:keepLines w:val="0"/>
              <w:pageBreakBefore w:val="0"/>
              <w:kinsoku/>
              <w:wordWrap/>
              <w:overflowPunct/>
              <w:topLinePunct w:val="0"/>
              <w:bidi w:val="0"/>
              <w:spacing w:line="240" w:lineRule="auto"/>
              <w:ind w:left="0" w:leftChars="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sz w:val="21"/>
                <w:szCs w:val="21"/>
                <w:highlight w:val="none"/>
                <w:lang w:val="zh-CN"/>
              </w:rPr>
              <w:t>投标报价得分=(评标基准价／投标报价)×</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zh-CN"/>
              </w:rPr>
              <w:t>%×100 。（</w:t>
            </w:r>
            <w:r>
              <w:rPr>
                <w:rFonts w:hint="eastAsia" w:ascii="宋体" w:hAnsi="宋体" w:eastAsia="宋体" w:cs="宋体"/>
                <w:color w:val="auto"/>
                <w:sz w:val="21"/>
                <w:szCs w:val="21"/>
                <w:highlight w:val="none"/>
              </w:rPr>
              <w:t>小数点后保留2位小数</w:t>
            </w:r>
            <w:r>
              <w:rPr>
                <w:rFonts w:hint="eastAsia" w:ascii="宋体" w:hAnsi="宋体" w:eastAsia="宋体" w:cs="宋体"/>
                <w:color w:val="auto"/>
                <w:sz w:val="21"/>
                <w:szCs w:val="21"/>
                <w:highlight w:val="none"/>
                <w:lang w:val="zh-CN"/>
              </w:rPr>
              <w:t>）。</w:t>
            </w:r>
          </w:p>
        </w:tc>
        <w:tc>
          <w:tcPr>
            <w:tcW w:w="702" w:type="dxa"/>
            <w:noWrap w:val="0"/>
            <w:vAlign w:val="center"/>
          </w:tcPr>
          <w:p w14:paraId="7D8A1D8C">
            <w:pPr>
              <w:keepNext w:val="0"/>
              <w:keepLines w:val="0"/>
              <w:pageBreakBefore w:val="0"/>
              <w:kinsoku/>
              <w:wordWrap/>
              <w:overflowPunct/>
              <w:topLinePunct w:val="0"/>
              <w:bidi w:val="0"/>
              <w:adjustRightInd w:val="0"/>
              <w:snapToGrid w:val="0"/>
              <w:spacing w:line="240" w:lineRule="auto"/>
              <w:ind w:left="0" w:leftChars="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宋体" w:hAnsi="宋体" w:eastAsia="宋体" w:cs="宋体"/>
                <w:color w:val="auto"/>
                <w:sz w:val="21"/>
                <w:szCs w:val="21"/>
                <w:highlight w:val="none"/>
                <w:lang w:val="en-US" w:eastAsia="zh-CN"/>
              </w:rPr>
              <w:t>10</w:t>
            </w:r>
          </w:p>
        </w:tc>
      </w:tr>
    </w:tbl>
    <w:p w14:paraId="1EB24F14">
      <w:pPr>
        <w:spacing w:line="360" w:lineRule="auto"/>
        <w:ind w:firstLine="420" w:firstLineChars="200"/>
        <w:rPr>
          <w:rFonts w:hint="eastAsia" w:ascii="宋体" w:hAnsi="宋体" w:eastAsia="宋体" w:cs="宋体"/>
          <w:color w:val="auto"/>
          <w:sz w:val="21"/>
          <w:szCs w:val="21"/>
          <w:highlight w:val="none"/>
          <w:lang w:val="zh-CN"/>
        </w:rPr>
      </w:pPr>
    </w:p>
    <w:p w14:paraId="7D68AE6C">
      <w:pPr>
        <w:spacing w:line="360" w:lineRule="auto"/>
        <w:ind w:firstLine="420" w:firstLineChars="200"/>
        <w:rPr>
          <w:rFonts w:hint="eastAsia" w:ascii="宋体" w:hAnsi="宋体" w:eastAsia="宋体" w:cs="宋体"/>
          <w:color w:val="auto"/>
          <w:sz w:val="21"/>
          <w:szCs w:val="21"/>
          <w:highlight w:val="none"/>
          <w:lang w:val="zh-CN"/>
        </w:rPr>
      </w:pPr>
    </w:p>
    <w:p w14:paraId="7AFBCCAA">
      <w:pPr>
        <w:pStyle w:val="7"/>
        <w:rPr>
          <w:rFonts w:hint="eastAsia" w:ascii="宋体" w:hAnsi="宋体" w:eastAsia="宋体" w:cs="宋体"/>
          <w:b/>
          <w:color w:val="auto"/>
          <w:sz w:val="36"/>
          <w:szCs w:val="36"/>
          <w:highlight w:val="none"/>
        </w:rPr>
      </w:pPr>
    </w:p>
    <w:p w14:paraId="6D5DE14F">
      <w:pPr>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r>
        <w:rPr>
          <w:rFonts w:hint="eastAsia" w:ascii="宋体" w:hAnsi="宋体" w:cs="宋体"/>
          <w:b/>
          <w:color w:val="auto"/>
          <w:szCs w:val="21"/>
          <w:highlight w:val="none"/>
          <w:lang w:val="en-US" w:eastAsia="zh-CN"/>
        </w:rPr>
        <w:t>标段二：</w:t>
      </w:r>
      <w:r>
        <w:rPr>
          <w:rFonts w:hint="eastAsia" w:ascii="宋体" w:hAnsi="宋体" w:eastAsia="宋体" w:cs="宋体"/>
          <w:b/>
          <w:color w:val="auto"/>
          <w:szCs w:val="21"/>
          <w:highlight w:val="none"/>
        </w:rPr>
        <w:t>评标打分标准</w:t>
      </w:r>
      <w:r>
        <w:rPr>
          <w:rFonts w:hint="eastAsia" w:ascii="宋体" w:hAnsi="宋体" w:eastAsia="宋体" w:cs="宋体"/>
          <w:b/>
          <w:color w:val="auto"/>
          <w:szCs w:val="21"/>
          <w:highlight w:val="none"/>
          <w:lang w:val="en-US" w:eastAsia="zh-CN"/>
        </w:rPr>
        <w:t>表</w:t>
      </w:r>
    </w:p>
    <w:tbl>
      <w:tblPr>
        <w:tblStyle w:val="21"/>
        <w:tblW w:w="90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1122"/>
        <w:gridCol w:w="6148"/>
        <w:gridCol w:w="702"/>
      </w:tblGrid>
      <w:tr w14:paraId="4C0DC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182" w:type="dxa"/>
            <w:gridSpan w:val="2"/>
            <w:noWrap w:val="0"/>
            <w:vAlign w:val="center"/>
          </w:tcPr>
          <w:p w14:paraId="1F2BC054">
            <w:pPr>
              <w:jc w:val="center"/>
              <w:rPr>
                <w:rFonts w:hint="eastAsia" w:asciiTheme="minorEastAsia" w:hAnsiTheme="minorEastAsia" w:eastAsiaTheme="minorEastAsia" w:cstheme="minorEastAsia"/>
                <w:b/>
                <w:bCs/>
                <w:color w:val="auto"/>
                <w:sz w:val="21"/>
                <w:szCs w:val="21"/>
                <w:highlight w:val="none"/>
              </w:rPr>
            </w:pPr>
            <w:r>
              <w:rPr>
                <w:rFonts w:hint="eastAsia" w:ascii="宋体" w:hAnsi="宋体" w:eastAsia="宋体" w:cs="宋体"/>
                <w:b/>
                <w:color w:val="auto"/>
                <w:sz w:val="36"/>
                <w:szCs w:val="36"/>
                <w:highlight w:val="none"/>
              </w:rPr>
              <w:br w:type="page"/>
            </w:r>
            <w:r>
              <w:rPr>
                <w:rFonts w:hint="eastAsia" w:asciiTheme="minorEastAsia" w:hAnsiTheme="minorEastAsia" w:eastAsiaTheme="minorEastAsia" w:cstheme="minorEastAsia"/>
                <w:b/>
                <w:bCs/>
                <w:color w:val="auto"/>
                <w:sz w:val="21"/>
                <w:szCs w:val="21"/>
                <w:highlight w:val="none"/>
              </w:rPr>
              <w:t>评标因素</w:t>
            </w:r>
          </w:p>
        </w:tc>
        <w:tc>
          <w:tcPr>
            <w:tcW w:w="6148" w:type="dxa"/>
            <w:noWrap w:val="0"/>
            <w:vAlign w:val="center"/>
          </w:tcPr>
          <w:p w14:paraId="65A03D0C">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评分标准</w:t>
            </w:r>
          </w:p>
        </w:tc>
        <w:tc>
          <w:tcPr>
            <w:tcW w:w="702" w:type="dxa"/>
            <w:noWrap w:val="0"/>
            <w:vAlign w:val="center"/>
          </w:tcPr>
          <w:p w14:paraId="2D9AD13F">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分值</w:t>
            </w:r>
          </w:p>
        </w:tc>
      </w:tr>
      <w:tr w14:paraId="10A0F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jc w:val="center"/>
        </w:trPr>
        <w:tc>
          <w:tcPr>
            <w:tcW w:w="1060" w:type="dxa"/>
            <w:vMerge w:val="restart"/>
            <w:noWrap w:val="0"/>
            <w:vAlign w:val="center"/>
          </w:tcPr>
          <w:p w14:paraId="49BB3719">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商务分</w:t>
            </w:r>
          </w:p>
          <w:p w14:paraId="494E94BD">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（9分）</w:t>
            </w:r>
          </w:p>
        </w:tc>
        <w:tc>
          <w:tcPr>
            <w:tcW w:w="1122" w:type="dxa"/>
            <w:noWrap w:val="0"/>
            <w:vAlign w:val="center"/>
          </w:tcPr>
          <w:p w14:paraId="1FA6F92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团队人员</w:t>
            </w:r>
          </w:p>
        </w:tc>
        <w:tc>
          <w:tcPr>
            <w:tcW w:w="6148" w:type="dxa"/>
            <w:noWrap w:val="0"/>
            <w:vAlign w:val="center"/>
          </w:tcPr>
          <w:p w14:paraId="76A51EE1">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拟派本项目的工作人员：每提供一本导游资质证书得2分，本项最高得8分。</w:t>
            </w:r>
          </w:p>
          <w:p w14:paraId="16440444">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color w:val="auto"/>
                <w:kern w:val="2"/>
                <w:sz w:val="21"/>
                <w:szCs w:val="21"/>
                <w:highlight w:val="none"/>
                <w:lang w:val="en-US" w:eastAsia="zh-CN" w:bidi="ar-SA"/>
              </w:rPr>
              <w:t>须</w:t>
            </w:r>
            <w:r>
              <w:rPr>
                <w:rFonts w:hint="eastAsia" w:asciiTheme="minorEastAsia" w:hAnsiTheme="minorEastAsia" w:eastAsiaTheme="minorEastAsia" w:cstheme="minorEastAsia"/>
                <w:b/>
                <w:bCs/>
                <w:color w:val="auto"/>
                <w:sz w:val="21"/>
                <w:szCs w:val="21"/>
                <w:highlight w:val="none"/>
                <w:lang w:val="en-US" w:eastAsia="zh-CN"/>
              </w:rPr>
              <w:t>提供相应证书扫描件</w:t>
            </w:r>
            <w:r>
              <w:rPr>
                <w:rFonts w:hint="eastAsia" w:asciiTheme="minorEastAsia" w:hAnsiTheme="minorEastAsia" w:eastAsiaTheme="minorEastAsia" w:cstheme="minorEastAsia"/>
                <w:b/>
                <w:bCs/>
                <w:color w:val="auto"/>
                <w:sz w:val="21"/>
                <w:szCs w:val="21"/>
                <w:highlight w:val="none"/>
              </w:rPr>
              <w:t>及</w:t>
            </w:r>
            <w:r>
              <w:rPr>
                <w:rFonts w:hint="eastAsia" w:asciiTheme="minorEastAsia" w:hAnsiTheme="minorEastAsia" w:eastAsiaTheme="minorEastAsia" w:cstheme="minorEastAsia"/>
                <w:b/>
                <w:bCs/>
                <w:color w:val="auto"/>
                <w:sz w:val="21"/>
                <w:szCs w:val="21"/>
                <w:highlight w:val="none"/>
                <w:lang w:val="en-US" w:eastAsia="zh-CN"/>
              </w:rPr>
              <w:t>投标人为其缴纳的2025年2月的</w:t>
            </w:r>
            <w:r>
              <w:rPr>
                <w:rFonts w:hint="eastAsia" w:asciiTheme="minorEastAsia" w:hAnsiTheme="minorEastAsia" w:eastAsiaTheme="minorEastAsia" w:cstheme="minorEastAsia"/>
                <w:b/>
                <w:bCs/>
                <w:color w:val="auto"/>
                <w:sz w:val="21"/>
                <w:szCs w:val="21"/>
                <w:highlight w:val="none"/>
              </w:rPr>
              <w:t>社保缴费证明</w:t>
            </w:r>
            <w:r>
              <w:rPr>
                <w:rFonts w:hint="eastAsia" w:asciiTheme="minorEastAsia" w:hAnsiTheme="minorEastAsia" w:eastAsiaTheme="minorEastAsia" w:cstheme="minorEastAsia"/>
                <w:b/>
                <w:bCs/>
                <w:color w:val="auto"/>
                <w:sz w:val="21"/>
                <w:szCs w:val="21"/>
                <w:highlight w:val="none"/>
                <w:lang w:val="en-US" w:eastAsia="zh-CN"/>
              </w:rPr>
              <w:t>并</w:t>
            </w:r>
            <w:r>
              <w:rPr>
                <w:rFonts w:hint="eastAsia" w:asciiTheme="minorEastAsia" w:hAnsiTheme="minorEastAsia" w:eastAsiaTheme="minorEastAsia" w:cstheme="minorEastAsia"/>
                <w:b/>
                <w:bCs/>
                <w:color w:val="auto"/>
                <w:sz w:val="21"/>
                <w:szCs w:val="21"/>
                <w:highlight w:val="none"/>
              </w:rPr>
              <w:t>加盖</w:t>
            </w:r>
            <w:r>
              <w:rPr>
                <w:rFonts w:hint="eastAsia" w:asciiTheme="minorEastAsia" w:hAnsiTheme="minorEastAsia" w:eastAsiaTheme="minorEastAsia" w:cstheme="minorEastAsia"/>
                <w:b/>
                <w:bCs/>
                <w:color w:val="auto"/>
                <w:sz w:val="21"/>
                <w:szCs w:val="21"/>
                <w:highlight w:val="none"/>
                <w:lang w:val="en-US" w:eastAsia="zh-CN"/>
              </w:rPr>
              <w:t>投标人</w:t>
            </w:r>
            <w:r>
              <w:rPr>
                <w:rFonts w:hint="eastAsia" w:asciiTheme="minorEastAsia" w:hAnsiTheme="minorEastAsia" w:eastAsiaTheme="minorEastAsia" w:cstheme="minorEastAsia"/>
                <w:b/>
                <w:bCs/>
                <w:color w:val="auto"/>
                <w:sz w:val="21"/>
                <w:szCs w:val="21"/>
                <w:highlight w:val="none"/>
              </w:rPr>
              <w:t>公章编入投标文件中，</w:t>
            </w:r>
            <w:r>
              <w:rPr>
                <w:rFonts w:hint="eastAsia" w:asciiTheme="minorEastAsia" w:hAnsiTheme="minorEastAsia" w:eastAsiaTheme="minorEastAsia" w:cstheme="minorEastAsia"/>
                <w:b/>
                <w:bCs/>
                <w:color w:val="auto"/>
                <w:sz w:val="21"/>
                <w:szCs w:val="21"/>
                <w:highlight w:val="none"/>
                <w:lang w:val="en-US" w:eastAsia="zh-CN"/>
              </w:rPr>
              <w:t>未提供或提供不全的</w:t>
            </w:r>
            <w:r>
              <w:rPr>
                <w:rFonts w:hint="eastAsia" w:asciiTheme="minorEastAsia" w:hAnsiTheme="minorEastAsia" w:eastAsiaTheme="minorEastAsia" w:cstheme="minorEastAsia"/>
                <w:b/>
                <w:bCs/>
                <w:color w:val="auto"/>
                <w:sz w:val="21"/>
                <w:szCs w:val="21"/>
                <w:highlight w:val="none"/>
              </w:rPr>
              <w:t>不得分</w:t>
            </w:r>
            <w:r>
              <w:rPr>
                <w:rFonts w:hint="eastAsia" w:asciiTheme="minorEastAsia" w:hAnsiTheme="minorEastAsia" w:eastAsiaTheme="minorEastAsia" w:cstheme="minorEastAsia"/>
                <w:b/>
                <w:bCs/>
                <w:color w:val="auto"/>
                <w:sz w:val="21"/>
                <w:szCs w:val="21"/>
                <w:highlight w:val="none"/>
                <w:lang w:val="en-US" w:eastAsia="zh-CN"/>
              </w:rPr>
              <w:t>）</w:t>
            </w:r>
          </w:p>
        </w:tc>
        <w:tc>
          <w:tcPr>
            <w:tcW w:w="702" w:type="dxa"/>
            <w:noWrap w:val="0"/>
            <w:vAlign w:val="center"/>
          </w:tcPr>
          <w:p w14:paraId="72B4FD38">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8</w:t>
            </w:r>
          </w:p>
        </w:tc>
      </w:tr>
      <w:tr w14:paraId="59B7C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4" w:hRule="atLeast"/>
          <w:jc w:val="center"/>
        </w:trPr>
        <w:tc>
          <w:tcPr>
            <w:tcW w:w="1060" w:type="dxa"/>
            <w:vMerge w:val="continue"/>
            <w:noWrap w:val="0"/>
            <w:vAlign w:val="center"/>
          </w:tcPr>
          <w:p w14:paraId="28A06C4A">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42154480">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承接经验</w:t>
            </w:r>
          </w:p>
        </w:tc>
        <w:tc>
          <w:tcPr>
            <w:tcW w:w="6148" w:type="dxa"/>
            <w:noWrap w:val="0"/>
            <w:vAlign w:val="center"/>
          </w:tcPr>
          <w:p w14:paraId="57422E8A">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投标人</w:t>
            </w:r>
            <w:r>
              <w:rPr>
                <w:rFonts w:hint="eastAsia" w:asciiTheme="minorEastAsia" w:hAnsiTheme="minorEastAsia" w:eastAsiaTheme="minorEastAsia" w:cstheme="minorEastAsia"/>
                <w:color w:val="auto"/>
                <w:sz w:val="21"/>
                <w:szCs w:val="21"/>
                <w:highlight w:val="none"/>
                <w:lang w:val="en-US" w:eastAsia="zh-CN"/>
              </w:rPr>
              <w:t>提供自2020年1月1日</w:t>
            </w:r>
            <w:r>
              <w:rPr>
                <w:rFonts w:hint="eastAsia" w:asciiTheme="minorEastAsia" w:hAnsiTheme="minorEastAsia" w:eastAsiaTheme="minorEastAsia" w:cstheme="minorEastAsia"/>
                <w:color w:val="auto"/>
                <w:sz w:val="21"/>
                <w:szCs w:val="21"/>
                <w:highlight w:val="none"/>
                <w:lang w:eastAsia="zh-CN"/>
              </w:rPr>
              <w:t>以来</w:t>
            </w:r>
            <w:r>
              <w:rPr>
                <w:rFonts w:hint="eastAsia" w:asciiTheme="minorEastAsia" w:hAnsiTheme="minorEastAsia" w:eastAsiaTheme="minorEastAsia" w:cstheme="minorEastAsia"/>
                <w:color w:val="auto"/>
                <w:sz w:val="21"/>
                <w:szCs w:val="21"/>
                <w:highlight w:val="none"/>
              </w:rPr>
              <w:t>（以合同签订时间为准）</w:t>
            </w:r>
            <w:r>
              <w:rPr>
                <w:rFonts w:hint="eastAsia" w:asciiTheme="minorEastAsia" w:hAnsiTheme="minorEastAsia" w:eastAsiaTheme="minorEastAsia" w:cstheme="minorEastAsia"/>
                <w:color w:val="auto"/>
                <w:sz w:val="21"/>
                <w:szCs w:val="21"/>
                <w:highlight w:val="none"/>
                <w:lang w:val="en-US" w:eastAsia="zh-CN"/>
              </w:rPr>
              <w:t>承接的</w:t>
            </w:r>
            <w:r>
              <w:rPr>
                <w:rFonts w:hint="eastAsia" w:asciiTheme="minorEastAsia" w:hAnsiTheme="minorEastAsia" w:eastAsiaTheme="minorEastAsia" w:cstheme="minorEastAsia"/>
                <w:color w:val="auto"/>
                <w:sz w:val="21"/>
                <w:szCs w:val="21"/>
                <w:highlight w:val="none"/>
                <w:lang w:eastAsia="zh-CN"/>
              </w:rPr>
              <w:t>类似项目</w:t>
            </w:r>
            <w:r>
              <w:rPr>
                <w:rFonts w:hint="eastAsia" w:asciiTheme="minorEastAsia" w:hAnsiTheme="minorEastAsia" w:eastAsiaTheme="minorEastAsia" w:cstheme="minorEastAsia"/>
                <w:color w:val="auto"/>
                <w:sz w:val="21"/>
                <w:szCs w:val="21"/>
                <w:highlight w:val="none"/>
                <w:lang w:val="en-US" w:eastAsia="zh-CN"/>
              </w:rPr>
              <w:t>业绩证明</w:t>
            </w:r>
            <w:r>
              <w:rPr>
                <w:rFonts w:hint="eastAsia" w:asciiTheme="minorEastAsia" w:hAnsiTheme="minorEastAsia" w:eastAsiaTheme="minorEastAsia" w:cstheme="minorEastAsia"/>
                <w:color w:val="auto"/>
                <w:sz w:val="21"/>
                <w:szCs w:val="21"/>
                <w:highlight w:val="none"/>
              </w:rPr>
              <w:t>，每提供1个得</w:t>
            </w:r>
            <w:r>
              <w:rPr>
                <w:rFonts w:hint="eastAsia" w:asciiTheme="minorEastAsia" w:hAnsiTheme="minorEastAsia" w:eastAsiaTheme="minorEastAsia" w:cstheme="minorEastAsia"/>
                <w:color w:val="auto"/>
                <w:sz w:val="21"/>
                <w:szCs w:val="21"/>
                <w:highlight w:val="none"/>
                <w:lang w:val="en-US" w:eastAsia="zh-CN"/>
              </w:rPr>
              <w:t>0.2</w:t>
            </w:r>
            <w:r>
              <w:rPr>
                <w:rFonts w:hint="eastAsia" w:asciiTheme="minorEastAsia" w:hAnsiTheme="minorEastAsia" w:eastAsiaTheme="minorEastAsia" w:cstheme="minorEastAsia"/>
                <w:color w:val="auto"/>
                <w:sz w:val="21"/>
                <w:szCs w:val="21"/>
                <w:highlight w:val="none"/>
              </w:rPr>
              <w:t>分，</w:t>
            </w:r>
            <w:r>
              <w:rPr>
                <w:rFonts w:hint="eastAsia" w:asciiTheme="minorEastAsia" w:hAnsiTheme="minorEastAsia" w:eastAsiaTheme="minorEastAsia" w:cstheme="minorEastAsia"/>
                <w:color w:val="auto"/>
                <w:sz w:val="21"/>
                <w:szCs w:val="21"/>
                <w:highlight w:val="none"/>
                <w:lang w:val="en-US" w:eastAsia="zh-CN"/>
              </w:rPr>
              <w:t>本项</w:t>
            </w:r>
            <w:r>
              <w:rPr>
                <w:rFonts w:hint="eastAsia" w:asciiTheme="minorEastAsia" w:hAnsiTheme="minorEastAsia" w:eastAsiaTheme="minorEastAsia" w:cstheme="minorEastAsia"/>
                <w:color w:val="auto"/>
                <w:sz w:val="21"/>
                <w:szCs w:val="21"/>
                <w:highlight w:val="none"/>
              </w:rPr>
              <w:t>最高得</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分。</w:t>
            </w:r>
          </w:p>
          <w:p w14:paraId="7BDD6E17">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（须提供合同</w:t>
            </w:r>
            <w:r>
              <w:rPr>
                <w:rFonts w:hint="eastAsia" w:asciiTheme="minorEastAsia" w:hAnsiTheme="minorEastAsia" w:eastAsiaTheme="minorEastAsia" w:cstheme="minorEastAsia"/>
                <w:b/>
                <w:bCs/>
                <w:color w:val="auto"/>
                <w:kern w:val="2"/>
                <w:sz w:val="21"/>
                <w:szCs w:val="21"/>
                <w:highlight w:val="none"/>
                <w:lang w:val="en-US" w:eastAsia="zh-CN"/>
              </w:rPr>
              <w:t>扫描</w:t>
            </w:r>
            <w:r>
              <w:rPr>
                <w:rFonts w:hint="eastAsia" w:asciiTheme="minorEastAsia" w:hAnsiTheme="minorEastAsia" w:eastAsiaTheme="minorEastAsia" w:cstheme="minorEastAsia"/>
                <w:b/>
                <w:bCs/>
                <w:color w:val="auto"/>
                <w:kern w:val="2"/>
                <w:sz w:val="21"/>
                <w:szCs w:val="21"/>
                <w:highlight w:val="none"/>
                <w:lang w:eastAsia="zh-CN"/>
              </w:rPr>
              <w:t>件</w:t>
            </w:r>
            <w:r>
              <w:rPr>
                <w:rFonts w:hint="eastAsia" w:asciiTheme="minorEastAsia" w:hAnsiTheme="minorEastAsia" w:eastAsiaTheme="minorEastAsia" w:cstheme="minorEastAsia"/>
                <w:b/>
                <w:bCs/>
                <w:color w:val="auto"/>
                <w:sz w:val="21"/>
                <w:szCs w:val="21"/>
                <w:highlight w:val="none"/>
              </w:rPr>
              <w:t>加盖</w:t>
            </w:r>
            <w:r>
              <w:rPr>
                <w:rFonts w:hint="eastAsia" w:asciiTheme="minorEastAsia" w:hAnsiTheme="minorEastAsia" w:eastAsiaTheme="minorEastAsia" w:cstheme="minorEastAsia"/>
                <w:b/>
                <w:bCs/>
                <w:color w:val="auto"/>
                <w:sz w:val="21"/>
                <w:szCs w:val="21"/>
                <w:highlight w:val="none"/>
                <w:lang w:val="en-US" w:eastAsia="zh-CN"/>
              </w:rPr>
              <w:t>投标人</w:t>
            </w:r>
            <w:r>
              <w:rPr>
                <w:rFonts w:hint="eastAsia" w:asciiTheme="minorEastAsia" w:hAnsiTheme="minorEastAsia" w:eastAsiaTheme="minorEastAsia" w:cstheme="minorEastAsia"/>
                <w:b/>
                <w:bCs/>
                <w:color w:val="auto"/>
                <w:sz w:val="21"/>
                <w:szCs w:val="21"/>
                <w:highlight w:val="none"/>
              </w:rPr>
              <w:t>公章编入投标文件中，</w:t>
            </w:r>
            <w:r>
              <w:rPr>
                <w:rFonts w:hint="eastAsia" w:asciiTheme="minorEastAsia" w:hAnsiTheme="minorEastAsia" w:eastAsiaTheme="minorEastAsia" w:cstheme="minorEastAsia"/>
                <w:b/>
                <w:bCs/>
                <w:color w:val="auto"/>
                <w:sz w:val="21"/>
                <w:szCs w:val="21"/>
                <w:highlight w:val="none"/>
                <w:lang w:val="en-US" w:eastAsia="zh-CN"/>
              </w:rPr>
              <w:t>未提供的</w:t>
            </w:r>
            <w:r>
              <w:rPr>
                <w:rFonts w:hint="eastAsia" w:asciiTheme="minorEastAsia" w:hAnsiTheme="minorEastAsia" w:eastAsiaTheme="minorEastAsia" w:cstheme="minorEastAsia"/>
                <w:b/>
                <w:bCs/>
                <w:color w:val="auto"/>
                <w:sz w:val="21"/>
                <w:szCs w:val="21"/>
                <w:highlight w:val="none"/>
              </w:rPr>
              <w:t>不得分</w:t>
            </w:r>
            <w:r>
              <w:rPr>
                <w:rFonts w:hint="eastAsia" w:asciiTheme="minorEastAsia" w:hAnsiTheme="minorEastAsia" w:eastAsiaTheme="minorEastAsia" w:cstheme="minorEastAsia"/>
                <w:b/>
                <w:bCs/>
                <w:color w:val="auto"/>
                <w:kern w:val="2"/>
                <w:sz w:val="21"/>
                <w:szCs w:val="21"/>
                <w:highlight w:val="none"/>
                <w:lang w:val="en-US" w:eastAsia="zh-CN" w:bidi="ar-SA"/>
              </w:rPr>
              <w:t>）</w:t>
            </w:r>
          </w:p>
        </w:tc>
        <w:tc>
          <w:tcPr>
            <w:tcW w:w="702" w:type="dxa"/>
            <w:noWrap w:val="0"/>
            <w:vAlign w:val="center"/>
          </w:tcPr>
          <w:p w14:paraId="63BA4914">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1</w:t>
            </w:r>
          </w:p>
        </w:tc>
      </w:tr>
      <w:tr w14:paraId="5CF44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2" w:hRule="atLeast"/>
          <w:jc w:val="center"/>
        </w:trPr>
        <w:tc>
          <w:tcPr>
            <w:tcW w:w="1060" w:type="dxa"/>
            <w:vMerge w:val="restart"/>
            <w:noWrap w:val="0"/>
            <w:vAlign w:val="center"/>
          </w:tcPr>
          <w:p w14:paraId="1F3E0D8B">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技术分</w:t>
            </w:r>
          </w:p>
          <w:p w14:paraId="4F3831B5">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（81分）</w:t>
            </w:r>
          </w:p>
        </w:tc>
        <w:tc>
          <w:tcPr>
            <w:tcW w:w="1122" w:type="dxa"/>
            <w:vMerge w:val="restart"/>
            <w:noWrap w:val="0"/>
            <w:vAlign w:val="center"/>
          </w:tcPr>
          <w:p w14:paraId="61F6D4DB">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noWrap w:val="0"/>
            <w:vAlign w:val="center"/>
          </w:tcPr>
          <w:p w14:paraId="730F70E7">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整体方案：</w:t>
            </w:r>
            <w:r>
              <w:rPr>
                <w:rFonts w:hint="eastAsia" w:asciiTheme="minorEastAsia" w:hAnsiTheme="minorEastAsia" w:eastAsiaTheme="minorEastAsia" w:cstheme="minorEastAsia"/>
                <w:color w:val="auto"/>
                <w:sz w:val="21"/>
                <w:szCs w:val="21"/>
                <w:highlight w:val="none"/>
                <w:lang w:val="en-US" w:eastAsia="zh-CN"/>
              </w:rPr>
              <w:t>根据投标人针对疗休养提供的整体服务方案，包括导游安排、景区门票观光车安排等内容进行打分。</w:t>
            </w:r>
          </w:p>
          <w:p w14:paraId="08B35A39">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方案全面完整，科学合理，总体出行路线安排明确，有针对性的得3.0-5.0分；</w:t>
            </w:r>
          </w:p>
          <w:p w14:paraId="50A82228">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方案基本合理，出行路线安排粗略的得0.1-2.9分；</w:t>
            </w:r>
          </w:p>
          <w:p w14:paraId="38C9BFBA">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246564B2">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r>
      <w:tr w14:paraId="65FF9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1060" w:type="dxa"/>
            <w:vMerge w:val="continue"/>
            <w:noWrap w:val="0"/>
            <w:vAlign w:val="center"/>
          </w:tcPr>
          <w:p w14:paraId="16004F13">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vMerge w:val="continue"/>
            <w:noWrap w:val="0"/>
            <w:vAlign w:val="center"/>
          </w:tcPr>
          <w:p w14:paraId="67594F82">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6148" w:type="dxa"/>
            <w:noWrap w:val="0"/>
            <w:vAlign w:val="center"/>
          </w:tcPr>
          <w:p w14:paraId="1783CF46">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食：</w:t>
            </w:r>
            <w:r>
              <w:rPr>
                <w:rFonts w:hint="eastAsia" w:asciiTheme="minorEastAsia" w:hAnsiTheme="minorEastAsia" w:eastAsiaTheme="minorEastAsia" w:cstheme="minorEastAsia"/>
                <w:color w:val="auto"/>
                <w:sz w:val="21"/>
                <w:szCs w:val="21"/>
                <w:highlight w:val="none"/>
                <w:lang w:val="en-US" w:eastAsia="zh-CN"/>
              </w:rPr>
              <w:t>根据旅游过程中各餐标准及荤素搭配等情况进行打分。</w:t>
            </w:r>
          </w:p>
          <w:p w14:paraId="7B7AC548">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饮食荤素搭配均衡、营养丰富的得3.0-5.0分；</w:t>
            </w:r>
          </w:p>
          <w:p w14:paraId="5A7CDC8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荤素搭配教均衡、品种较少的得0.1-2.9分；</w:t>
            </w:r>
          </w:p>
          <w:p w14:paraId="65CE39E8">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0D49EA16">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r>
      <w:tr w14:paraId="3B25D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6" w:hRule="atLeast"/>
          <w:jc w:val="center"/>
        </w:trPr>
        <w:tc>
          <w:tcPr>
            <w:tcW w:w="1060" w:type="dxa"/>
            <w:vMerge w:val="continue"/>
            <w:noWrap w:val="0"/>
            <w:vAlign w:val="center"/>
          </w:tcPr>
          <w:p w14:paraId="4A9E47A3">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vMerge w:val="continue"/>
            <w:noWrap w:val="0"/>
            <w:vAlign w:val="center"/>
          </w:tcPr>
          <w:p w14:paraId="4ACEEF9F">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6148" w:type="dxa"/>
            <w:noWrap w:val="0"/>
            <w:vAlign w:val="center"/>
          </w:tcPr>
          <w:p w14:paraId="5A3F062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宿：</w:t>
            </w:r>
            <w:r>
              <w:rPr>
                <w:rFonts w:hint="eastAsia" w:asciiTheme="minorEastAsia" w:hAnsiTheme="minorEastAsia" w:eastAsiaTheme="minorEastAsia" w:cstheme="minorEastAsia"/>
                <w:color w:val="auto"/>
                <w:sz w:val="21"/>
                <w:szCs w:val="21"/>
                <w:highlight w:val="none"/>
                <w:lang w:val="en-US" w:eastAsia="zh-CN"/>
              </w:rPr>
              <w:t>根据行程中住宿酒店所处地段、开业时间、星级等情况进行打分。</w:t>
            </w:r>
          </w:p>
          <w:p w14:paraId="0EB9F56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住宿酒店所处地段佳、星级高、开业时间新的得3.0-5.0分；</w:t>
            </w:r>
          </w:p>
          <w:p w14:paraId="30500DB8">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地段较偏、星级一般、设施较旧的得0.1-2.9分；</w:t>
            </w:r>
          </w:p>
          <w:p w14:paraId="0DFE19A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7C73AB64">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r>
      <w:tr w14:paraId="6933B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6" w:hRule="atLeast"/>
          <w:jc w:val="center"/>
        </w:trPr>
        <w:tc>
          <w:tcPr>
            <w:tcW w:w="1060" w:type="dxa"/>
            <w:vMerge w:val="continue"/>
            <w:noWrap w:val="0"/>
            <w:vAlign w:val="center"/>
          </w:tcPr>
          <w:p w14:paraId="09674FF8">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vMerge w:val="continue"/>
            <w:noWrap w:val="0"/>
            <w:vAlign w:val="center"/>
          </w:tcPr>
          <w:p w14:paraId="6DC6BB7D">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6148" w:type="dxa"/>
            <w:noWrap w:val="0"/>
            <w:vAlign w:val="center"/>
          </w:tcPr>
          <w:p w14:paraId="54EF01B3">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行：</w:t>
            </w:r>
            <w:r>
              <w:rPr>
                <w:rFonts w:hint="eastAsia" w:asciiTheme="minorEastAsia" w:hAnsiTheme="minorEastAsia" w:eastAsiaTheme="minorEastAsia" w:cstheme="minorEastAsia"/>
                <w:color w:val="auto"/>
                <w:sz w:val="21"/>
                <w:szCs w:val="21"/>
                <w:highlight w:val="none"/>
                <w:lang w:eastAsia="zh-CN"/>
              </w:rPr>
              <w:t>根据接待大巴的详细情况</w:t>
            </w:r>
            <w:r>
              <w:rPr>
                <w:rFonts w:hint="eastAsia" w:asciiTheme="minorEastAsia" w:hAnsiTheme="minorEastAsia" w:eastAsiaTheme="minorEastAsia" w:cstheme="minorEastAsia"/>
                <w:color w:val="auto"/>
                <w:sz w:val="21"/>
                <w:szCs w:val="21"/>
                <w:highlight w:val="none"/>
                <w:lang w:val="en-US" w:eastAsia="zh-CN"/>
              </w:rPr>
              <w:t>进行打分。</w:t>
            </w:r>
          </w:p>
          <w:p w14:paraId="3E2B6DD1">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大巴车辆充足，车辆为近两年新车的得3.0-5.0分；</w:t>
            </w:r>
          </w:p>
          <w:p w14:paraId="2368C460">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大巴数量较少，车辆为近五年车辆的得0.1-2.9分；</w:t>
            </w:r>
          </w:p>
          <w:p w14:paraId="28BCF008">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6F83D06C">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r>
      <w:tr w14:paraId="3DDB0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50195980">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186BFC69">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天空之城(成都稻城亚丁）三飞 8 日</w:t>
            </w:r>
            <w:r>
              <w:rPr>
                <w:rFonts w:hint="eastAsia" w:asciiTheme="minorEastAsia" w:hAnsiTheme="minorEastAsia" w:eastAsiaTheme="minorEastAsia" w:cstheme="minorEastAsia"/>
                <w:color w:val="auto"/>
                <w:sz w:val="21"/>
                <w:szCs w:val="21"/>
                <w:highlight w:val="none"/>
                <w:lang w:val="zh-CN"/>
              </w:rPr>
              <w:t>策划方案</w:t>
            </w:r>
          </w:p>
        </w:tc>
        <w:tc>
          <w:tcPr>
            <w:tcW w:w="6148" w:type="dxa"/>
            <w:noWrap w:val="0"/>
            <w:vAlign w:val="center"/>
          </w:tcPr>
          <w:p w14:paraId="4587DA4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天空之城(成都稻城亚丁）三飞 8 日</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0AFDB0F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方案全面完整，科学合理，总体出行路线安排明确，行程安排有针对性的得5.0-7.0分；</w:t>
            </w:r>
          </w:p>
          <w:p w14:paraId="135EAA15">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方案基本合理，出行路线安排粗略的得2.0-4.9分；</w:t>
            </w:r>
          </w:p>
          <w:p w14:paraId="1362F05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方案简单片面，出行路线安排不合理的得0.1-1.9分；</w:t>
            </w:r>
          </w:p>
          <w:p w14:paraId="6AF13F9C">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66D8FC1D">
            <w:pPr>
              <w:keepNext w:val="0"/>
              <w:keepLines w:val="0"/>
              <w:pageBreakBefore w:val="0"/>
              <w:kinsoku/>
              <w:wordWrap/>
              <w:overflowPunct/>
              <w:topLinePunct w:val="0"/>
              <w:bidi w:val="0"/>
              <w:adjustRightInd w:val="0"/>
              <w:snapToGrid w:val="0"/>
              <w:spacing w:line="240" w:lineRule="auto"/>
              <w:ind w:firstLine="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7</w:t>
            </w:r>
          </w:p>
        </w:tc>
      </w:tr>
      <w:tr w14:paraId="11D48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012519CC">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shd w:val="clear" w:color="auto" w:fill="auto"/>
            <w:noWrap w:val="0"/>
            <w:vAlign w:val="center"/>
          </w:tcPr>
          <w:p w14:paraId="39DFB804">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北疆9日</w:t>
            </w: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shd w:val="clear" w:color="auto" w:fill="auto"/>
            <w:noWrap w:val="0"/>
            <w:vAlign w:val="center"/>
          </w:tcPr>
          <w:p w14:paraId="2C8DCD6A">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北疆9日</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66642C17">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方案全面完整，科学合理，总体出行路线安排明确，行程安排有针对性的得5.0-7.0分；</w:t>
            </w:r>
          </w:p>
          <w:p w14:paraId="5650EAC5">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方案基本合理，出行路线安排粗略的得2.0-4.9分；</w:t>
            </w:r>
          </w:p>
          <w:p w14:paraId="0EA58B60">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方案简单片面，出行路线安排不合理的得0.1-1.9分；</w:t>
            </w:r>
          </w:p>
          <w:p w14:paraId="7430593B">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kern w:val="2"/>
                <w:sz w:val="21"/>
                <w:szCs w:val="24"/>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shd w:val="clear" w:color="auto" w:fill="auto"/>
            <w:noWrap w:val="0"/>
            <w:vAlign w:val="center"/>
          </w:tcPr>
          <w:p w14:paraId="36F6137A">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7</w:t>
            </w:r>
          </w:p>
        </w:tc>
      </w:tr>
      <w:tr w14:paraId="60783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5E5C2D0D">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shd w:val="clear" w:color="auto" w:fill="auto"/>
            <w:noWrap w:val="0"/>
            <w:vAlign w:val="center"/>
          </w:tcPr>
          <w:p w14:paraId="2749BE59">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重庆5日游</w:t>
            </w: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shd w:val="clear" w:color="auto" w:fill="auto"/>
            <w:noWrap w:val="0"/>
            <w:vAlign w:val="center"/>
          </w:tcPr>
          <w:p w14:paraId="66A77592">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重庆5日游</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5FA76467">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方案全面完整，科学合理，总体出行路线安排明确，行程安排有针对性的得5.0-7.0分；</w:t>
            </w:r>
          </w:p>
          <w:p w14:paraId="4D268286">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方案基本合理，出行路线安排粗略的得2.0-4.9分；</w:t>
            </w:r>
          </w:p>
          <w:p w14:paraId="31736E2F">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方案简单片面，出行路线安排不合理的得0.1-1.9分；</w:t>
            </w:r>
          </w:p>
          <w:p w14:paraId="5EE2AFA2">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kern w:val="2"/>
                <w:sz w:val="21"/>
                <w:szCs w:val="24"/>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shd w:val="clear" w:color="auto" w:fill="auto"/>
            <w:noWrap w:val="0"/>
            <w:vAlign w:val="center"/>
          </w:tcPr>
          <w:p w14:paraId="20E07130">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7</w:t>
            </w:r>
          </w:p>
        </w:tc>
      </w:tr>
      <w:tr w14:paraId="04815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10E49031">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shd w:val="clear" w:color="auto" w:fill="auto"/>
            <w:noWrap w:val="0"/>
            <w:vAlign w:val="center"/>
          </w:tcPr>
          <w:p w14:paraId="403D924C">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成都、九寨、黄龙溪古镇、武侯祠双飞双高 5 日疗</w:t>
            </w: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shd w:val="clear" w:color="auto" w:fill="auto"/>
            <w:noWrap w:val="0"/>
            <w:vAlign w:val="center"/>
          </w:tcPr>
          <w:p w14:paraId="0BD72875">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成都、九寨、黄龙溪古镇、武侯祠双飞双高 5 日疗</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755106D1">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方案全面完整，科学合理，总体出行路线安排明确，行程安排有针对性的得5.0-7.0分；</w:t>
            </w:r>
          </w:p>
          <w:p w14:paraId="01A9B383">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方案基本合理，出行路线安排粗略的得2.0-4.9分；</w:t>
            </w:r>
          </w:p>
          <w:p w14:paraId="418DFCB9">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方案简单片面，出行路线安排不合理的得0.1-1.9分；</w:t>
            </w:r>
          </w:p>
          <w:p w14:paraId="30B9D98F">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kern w:val="2"/>
                <w:sz w:val="21"/>
                <w:szCs w:val="24"/>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shd w:val="clear" w:color="auto" w:fill="auto"/>
            <w:noWrap w:val="0"/>
            <w:vAlign w:val="center"/>
          </w:tcPr>
          <w:p w14:paraId="6710ED56">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7</w:t>
            </w:r>
          </w:p>
        </w:tc>
      </w:tr>
      <w:tr w14:paraId="508EA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738264E9">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1908C64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黄山四日游</w:t>
            </w: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noWrap w:val="0"/>
            <w:vAlign w:val="center"/>
          </w:tcPr>
          <w:p w14:paraId="1A29D065">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黄山四日游</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5943C3A6">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方案全面完整，科学合理，总体出行路线安排明确，行程安排有针对性的得5.0-7.0分；</w:t>
            </w:r>
          </w:p>
          <w:p w14:paraId="2344F3B5">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方案基本合理，出行路线安排粗略的得2.0-4.9分；</w:t>
            </w:r>
          </w:p>
          <w:p w14:paraId="3CE1032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方案简单片面，出行路线安排不合理的得0.1-1.9分；</w:t>
            </w:r>
          </w:p>
          <w:p w14:paraId="1A0D658A">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2C374C40">
            <w:pPr>
              <w:keepNext w:val="0"/>
              <w:keepLines w:val="0"/>
              <w:pageBreakBefore w:val="0"/>
              <w:kinsoku/>
              <w:wordWrap/>
              <w:overflowPunct/>
              <w:topLinePunct w:val="0"/>
              <w:bidi w:val="0"/>
              <w:adjustRightInd w:val="0"/>
              <w:snapToGrid w:val="0"/>
              <w:spacing w:line="240" w:lineRule="auto"/>
              <w:ind w:firstLine="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7</w:t>
            </w:r>
          </w:p>
        </w:tc>
      </w:tr>
      <w:tr w14:paraId="53C9F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397C0833">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08B2C468">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default"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特色方案</w:t>
            </w:r>
          </w:p>
        </w:tc>
        <w:tc>
          <w:tcPr>
            <w:tcW w:w="6148" w:type="dxa"/>
            <w:noWrap w:val="0"/>
            <w:vAlign w:val="center"/>
          </w:tcPr>
          <w:p w14:paraId="58B9E632">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val="0"/>
                <w:bCs w:val="0"/>
                <w:color w:val="auto"/>
                <w:sz w:val="21"/>
                <w:szCs w:val="21"/>
                <w:highlight w:val="none"/>
                <w:lang w:val="en-US" w:eastAsia="zh-CN"/>
              </w:rPr>
              <w:t>台州市路桥区中医院医疗服务共同体</w:t>
            </w:r>
            <w:r>
              <w:rPr>
                <w:rFonts w:hint="eastAsia" w:asciiTheme="minorEastAsia" w:hAnsiTheme="minorEastAsia" w:eastAsiaTheme="minorEastAsia" w:cstheme="minorEastAsia"/>
                <w:color w:val="auto"/>
                <w:sz w:val="21"/>
                <w:szCs w:val="21"/>
                <w:highlight w:val="none"/>
                <w:lang w:val="en-US" w:eastAsia="zh-CN"/>
              </w:rPr>
              <w:t>疗休养提供的特色行程方案（特色行程方案须提供推荐线路以外的，省内省外各提供3条），根据方案导游、票务、行程安排、旅行过程中的食宿行等内容进行打分。</w:t>
            </w:r>
          </w:p>
          <w:p w14:paraId="02E7EC49">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方案全面完整，科学合理，总体出行路线安排明确，行程安排有针对性的得5.0-6.0分；</w:t>
            </w:r>
          </w:p>
          <w:p w14:paraId="293993B5">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方案基本合理，出行路线安排粗略的得2.0-4.9分；</w:t>
            </w:r>
          </w:p>
          <w:p w14:paraId="1A453BD4">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方案简单片面，出行路线安排不合理的得0.1-1.9分；</w:t>
            </w:r>
          </w:p>
          <w:p w14:paraId="6C4B5A3A">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03091E62">
            <w:pPr>
              <w:keepNext w:val="0"/>
              <w:keepLines w:val="0"/>
              <w:pageBreakBefore w:val="0"/>
              <w:kinsoku/>
              <w:wordWrap/>
              <w:overflowPunct/>
              <w:topLinePunct w:val="0"/>
              <w:bidi w:val="0"/>
              <w:adjustRightInd w:val="0"/>
              <w:snapToGrid w:val="0"/>
              <w:spacing w:line="240" w:lineRule="auto"/>
              <w:ind w:firstLine="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6</w:t>
            </w:r>
          </w:p>
        </w:tc>
      </w:tr>
      <w:tr w14:paraId="32DFF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60" w:type="dxa"/>
            <w:vMerge w:val="continue"/>
            <w:noWrap w:val="0"/>
            <w:vAlign w:val="center"/>
          </w:tcPr>
          <w:p w14:paraId="0659E033">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17A98372">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服务质量保证</w:t>
            </w:r>
          </w:p>
        </w:tc>
        <w:tc>
          <w:tcPr>
            <w:tcW w:w="6148" w:type="dxa"/>
            <w:noWrap w:val="0"/>
            <w:vAlign w:val="center"/>
          </w:tcPr>
          <w:p w14:paraId="70E68392">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根据投标人</w:t>
            </w:r>
            <w:r>
              <w:rPr>
                <w:rFonts w:hint="eastAsia" w:asciiTheme="minorEastAsia" w:hAnsiTheme="minorEastAsia" w:eastAsiaTheme="minorEastAsia" w:cstheme="minorEastAsia"/>
                <w:color w:val="auto"/>
                <w:sz w:val="21"/>
                <w:szCs w:val="21"/>
                <w:highlight w:val="none"/>
              </w:rPr>
              <w:t>针对本项目制定的</w:t>
            </w:r>
            <w:r>
              <w:rPr>
                <w:rFonts w:hint="eastAsia" w:asciiTheme="minorEastAsia" w:hAnsiTheme="minorEastAsia" w:eastAsiaTheme="minorEastAsia" w:cstheme="minorEastAsia"/>
                <w:color w:val="auto"/>
                <w:sz w:val="21"/>
                <w:szCs w:val="21"/>
                <w:highlight w:val="none"/>
                <w:lang w:val="en-US" w:eastAsia="zh-CN"/>
              </w:rPr>
              <w:t>服务</w:t>
            </w:r>
            <w:r>
              <w:rPr>
                <w:rFonts w:hint="eastAsia" w:asciiTheme="minorEastAsia" w:hAnsiTheme="minorEastAsia" w:eastAsiaTheme="minorEastAsia" w:cstheme="minorEastAsia"/>
                <w:color w:val="auto"/>
                <w:sz w:val="21"/>
                <w:szCs w:val="21"/>
                <w:highlight w:val="none"/>
              </w:rPr>
              <w:t>质量保证措施</w:t>
            </w:r>
            <w:r>
              <w:rPr>
                <w:rFonts w:hint="eastAsia" w:asciiTheme="minorEastAsia" w:hAnsiTheme="minorEastAsia" w:eastAsiaTheme="minorEastAsia" w:cstheme="minorEastAsia"/>
                <w:color w:val="auto"/>
                <w:sz w:val="21"/>
                <w:szCs w:val="21"/>
                <w:highlight w:val="none"/>
                <w:lang w:eastAsia="zh-CN"/>
              </w:rPr>
              <w:t>进行打分。</w:t>
            </w:r>
          </w:p>
          <w:p w14:paraId="0F6516FE">
            <w:pPr>
              <w:keepNext w:val="0"/>
              <w:keepLines w:val="0"/>
              <w:pageBreakBefore w:val="0"/>
              <w:tabs>
                <w:tab w:val="left" w:pos="2061"/>
              </w:tabs>
              <w:kinsoku/>
              <w:wordWrap/>
              <w:overflowPunct/>
              <w:topLinePunct w:val="0"/>
              <w:bidi w:val="0"/>
              <w:spacing w:beforeAutospacing="0" w:afterAutospacing="0" w:line="240" w:lineRule="auto"/>
              <w:ind w:left="0" w:leftChars="0" w:right="0" w:rightChars="0" w:firstLine="0" w:firstLineChars="0"/>
              <w:jc w:val="left"/>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服务质量</w:t>
            </w:r>
            <w:r>
              <w:rPr>
                <w:rFonts w:hint="eastAsia" w:asciiTheme="minorEastAsia" w:hAnsiTheme="minorEastAsia" w:eastAsiaTheme="minorEastAsia" w:cstheme="minorEastAsia"/>
                <w:color w:val="auto"/>
                <w:kern w:val="2"/>
                <w:sz w:val="21"/>
                <w:szCs w:val="21"/>
                <w:highlight w:val="none"/>
                <w:lang w:val="en-US" w:eastAsia="zh-CN" w:bidi="ar-SA"/>
              </w:rPr>
              <w:t>保证</w:t>
            </w:r>
            <w:r>
              <w:rPr>
                <w:rFonts w:hint="eastAsia" w:ascii="宋体" w:hAnsi="宋体" w:eastAsia="宋体" w:cs="宋体"/>
                <w:color w:val="auto"/>
                <w:highlight w:val="none"/>
                <w:lang w:val="en-US" w:eastAsia="zh-CN"/>
              </w:rPr>
              <w:t>方案阐述全面，管理规范、</w:t>
            </w:r>
            <w:r>
              <w:rPr>
                <w:rFonts w:hint="eastAsia" w:ascii="宋体" w:hAnsi="宋体" w:eastAsia="宋体" w:cs="宋体"/>
                <w:b w:val="0"/>
                <w:bCs w:val="0"/>
                <w:color w:val="auto"/>
                <w:sz w:val="21"/>
                <w:szCs w:val="21"/>
                <w:highlight w:val="none"/>
                <w:lang w:val="en-US" w:eastAsia="zh-CN"/>
              </w:rPr>
              <w:t>管理组织构架、监督体系、</w:t>
            </w:r>
            <w:r>
              <w:rPr>
                <w:rFonts w:hint="eastAsia" w:ascii="宋体" w:hAnsi="宋体" w:eastAsia="宋体" w:cs="宋体"/>
                <w:color w:val="auto"/>
                <w:highlight w:val="none"/>
                <w:lang w:val="en-US" w:eastAsia="zh-CN"/>
              </w:rPr>
              <w:t>内控制度、质量管控</w:t>
            </w:r>
            <w:r>
              <w:rPr>
                <w:rFonts w:hint="eastAsia" w:ascii="宋体" w:hAnsi="宋体" w:eastAsia="宋体" w:cs="宋体"/>
                <w:color w:val="auto"/>
                <w:highlight w:val="none"/>
              </w:rPr>
              <w:t>措施</w:t>
            </w:r>
            <w:r>
              <w:rPr>
                <w:rFonts w:hint="eastAsia" w:ascii="宋体" w:hAnsi="宋体" w:eastAsia="宋体" w:cs="宋体"/>
                <w:color w:val="auto"/>
                <w:highlight w:val="none"/>
                <w:lang w:val="en-US" w:eastAsia="zh-CN"/>
              </w:rPr>
              <w:t>等阐述</w:t>
            </w:r>
            <w:r>
              <w:rPr>
                <w:rFonts w:hint="eastAsia" w:ascii="宋体" w:hAnsi="宋体" w:eastAsia="宋体" w:cs="宋体"/>
                <w:b w:val="0"/>
                <w:bCs w:val="0"/>
                <w:color w:val="auto"/>
                <w:sz w:val="21"/>
                <w:szCs w:val="21"/>
                <w:highlight w:val="none"/>
                <w:lang w:val="en-US" w:eastAsia="zh-CN"/>
              </w:rPr>
              <w:t>合理可行且</w:t>
            </w:r>
            <w:r>
              <w:rPr>
                <w:rFonts w:hint="eastAsia" w:ascii="宋体" w:hAnsi="宋体" w:eastAsia="宋体" w:cs="宋体"/>
                <w:color w:val="auto"/>
                <w:highlight w:val="none"/>
                <w:lang w:val="en-US" w:eastAsia="zh-CN"/>
              </w:rPr>
              <w:t>有针对性</w:t>
            </w:r>
            <w:r>
              <w:rPr>
                <w:rFonts w:hint="eastAsia" w:ascii="宋体" w:hAnsi="宋体" w:eastAsia="宋体" w:cs="宋体"/>
                <w:b w:val="0"/>
                <w:bCs w:val="0"/>
                <w:color w:val="auto"/>
                <w:sz w:val="21"/>
                <w:szCs w:val="21"/>
                <w:highlight w:val="none"/>
                <w:lang w:val="en-US" w:eastAsia="zh-CN"/>
              </w:rPr>
              <w:t>，人员安排、设备配置等均安排明确，能</w:t>
            </w:r>
            <w:r>
              <w:rPr>
                <w:rFonts w:hint="eastAsia" w:ascii="宋体" w:hAnsi="宋体" w:eastAsia="宋体" w:cs="宋体"/>
                <w:color w:val="auto"/>
                <w:highlight w:val="none"/>
                <w:lang w:val="en-US" w:eastAsia="zh-CN"/>
              </w:rPr>
              <w:t>有效保障项目服务质量的得</w:t>
            </w:r>
            <w:r>
              <w:rPr>
                <w:rFonts w:hint="eastAsia" w:ascii="宋体" w:hAnsi="宋体" w:cs="宋体"/>
                <w:color w:val="auto"/>
                <w:highlight w:val="none"/>
                <w:lang w:val="en-US" w:eastAsia="zh-CN"/>
              </w:rPr>
              <w:t>3.0-5.0</w:t>
            </w:r>
            <w:r>
              <w:rPr>
                <w:rFonts w:hint="eastAsia" w:ascii="宋体" w:hAnsi="宋体" w:eastAsia="宋体" w:cs="宋体"/>
                <w:color w:val="auto"/>
                <w:highlight w:val="none"/>
                <w:lang w:val="en-US" w:eastAsia="zh-CN"/>
              </w:rPr>
              <w:t>分</w:t>
            </w:r>
            <w:r>
              <w:rPr>
                <w:rFonts w:hint="eastAsia" w:ascii="宋体" w:hAnsi="宋体" w:eastAsia="宋体" w:cs="宋体"/>
                <w:color w:val="auto"/>
                <w:highlight w:val="none"/>
              </w:rPr>
              <w:t>；</w:t>
            </w:r>
          </w:p>
          <w:p w14:paraId="59DFA8F1">
            <w:pPr>
              <w:keepNext w:val="0"/>
              <w:keepLines w:val="0"/>
              <w:pageBreakBefore w:val="0"/>
              <w:tabs>
                <w:tab w:val="left" w:pos="2061"/>
              </w:tabs>
              <w:kinsoku/>
              <w:wordWrap/>
              <w:overflowPunct/>
              <w:topLinePunct w:val="0"/>
              <w:bidi w:val="0"/>
              <w:spacing w:beforeAutospacing="0" w:afterAutospacing="0" w:line="240" w:lineRule="auto"/>
              <w:ind w:left="0" w:leftChars="0" w:right="0" w:rightChars="0" w:firstLine="0" w:firstLineChars="0"/>
              <w:jc w:val="lef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方案简单，人员、设备的配置有提及但安排不明确，考核要求制定不完善的得0.1-2.9分；</w:t>
            </w:r>
          </w:p>
          <w:p w14:paraId="1935DA45">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highlight w:val="none"/>
                <w:lang w:val="en-US" w:eastAsia="zh-CN"/>
              </w:rPr>
              <w:t>未提及此项不得分。</w:t>
            </w:r>
          </w:p>
        </w:tc>
        <w:tc>
          <w:tcPr>
            <w:tcW w:w="702" w:type="dxa"/>
            <w:noWrap w:val="0"/>
            <w:vAlign w:val="center"/>
          </w:tcPr>
          <w:p w14:paraId="6E9D38E4">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r>
      <w:tr w14:paraId="5332F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jc w:val="center"/>
        </w:trPr>
        <w:tc>
          <w:tcPr>
            <w:tcW w:w="1060" w:type="dxa"/>
            <w:vMerge w:val="continue"/>
            <w:noWrap w:val="0"/>
            <w:vAlign w:val="center"/>
          </w:tcPr>
          <w:p w14:paraId="4EA7B723">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6107C598">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服务承诺</w:t>
            </w:r>
          </w:p>
        </w:tc>
        <w:tc>
          <w:tcPr>
            <w:tcW w:w="6148" w:type="dxa"/>
            <w:noWrap w:val="0"/>
            <w:vAlign w:val="center"/>
          </w:tcPr>
          <w:p w14:paraId="48AD141E">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投标人在当地有服务网点或承诺中标后在当地设立服务网点，且在12小时内（含12小时）响应的得5分。</w:t>
            </w:r>
          </w:p>
          <w:p w14:paraId="522BED47">
            <w:pPr>
              <w:keepNext w:val="0"/>
              <w:keepLines w:val="0"/>
              <w:pageBreakBefore w:val="0"/>
              <w:kinsoku/>
              <w:wordWrap/>
              <w:overflowPunct/>
              <w:topLinePunct w:val="0"/>
              <w:bidi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r>
              <w:rPr>
                <w:rFonts w:hint="eastAsia" w:asciiTheme="minorEastAsia" w:hAnsiTheme="minorEastAsia" w:eastAsiaTheme="minorEastAsia" w:cstheme="minorEastAsia"/>
                <w:b/>
                <w:bCs/>
                <w:color w:val="auto"/>
                <w:sz w:val="21"/>
                <w:szCs w:val="21"/>
                <w:highlight w:val="none"/>
                <w:lang w:val="en-US" w:eastAsia="zh-CN"/>
              </w:rPr>
              <w:t>（须提供已有服务网点证明材料扫描件或承诺函原件并加盖投标人公章编入投标文件中，未提供不得分）</w:t>
            </w:r>
          </w:p>
        </w:tc>
        <w:tc>
          <w:tcPr>
            <w:tcW w:w="702" w:type="dxa"/>
            <w:noWrap w:val="0"/>
            <w:vAlign w:val="center"/>
          </w:tcPr>
          <w:p w14:paraId="11D89ED9">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r>
      <w:tr w14:paraId="15A09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60" w:type="dxa"/>
            <w:vMerge w:val="continue"/>
            <w:noWrap w:val="0"/>
            <w:vAlign w:val="center"/>
          </w:tcPr>
          <w:p w14:paraId="2F7AB892">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70213425">
            <w:pPr>
              <w:keepLines w:val="0"/>
              <w:pageBreakBefore w:val="0"/>
              <w:kinsoku/>
              <w:wordWrap/>
              <w:overflowPunct/>
              <w:topLinePunct w:val="0"/>
              <w:bidi w:val="0"/>
              <w:spacing w:beforeAutospacing="0" w:afterAutospacing="0" w:line="240" w:lineRule="auto"/>
              <w:ind w:left="0" w:left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宋体" w:hAnsi="宋体" w:eastAsia="宋体" w:cs="宋体"/>
                <w:color w:val="auto"/>
                <w:spacing w:val="-4"/>
                <w:szCs w:val="21"/>
                <w:highlight w:val="none"/>
                <w:lang w:val="en-US" w:eastAsia="zh-CN"/>
              </w:rPr>
              <w:t>应急预案</w:t>
            </w:r>
          </w:p>
        </w:tc>
        <w:tc>
          <w:tcPr>
            <w:tcW w:w="6148" w:type="dxa"/>
            <w:noWrap w:val="0"/>
            <w:vAlign w:val="center"/>
          </w:tcPr>
          <w:p w14:paraId="41FF80F3">
            <w:pPr>
              <w:keepNext w:val="0"/>
              <w:keepLines w:val="0"/>
              <w:pageBreakBefore w:val="0"/>
              <w:kinsoku/>
              <w:wordWrap/>
              <w:overflowPunct/>
              <w:topLinePunct w:val="0"/>
              <w:bidi w:val="0"/>
              <w:spacing w:beforeAutospacing="0" w:afterAutospacing="0" w:line="240" w:lineRule="auto"/>
              <w:ind w:left="0"/>
              <w:jc w:val="left"/>
              <w:textAlignment w:val="auto"/>
              <w:outlineLvl w:val="9"/>
              <w:rPr>
                <w:rFonts w:hint="eastAsia" w:ascii="宋体" w:hAnsi="宋体" w:eastAsia="宋体" w:cs="宋体"/>
                <w:color w:val="auto"/>
                <w:spacing w:val="-4"/>
                <w:szCs w:val="21"/>
                <w:highlight w:val="none"/>
                <w:lang w:val="en-US" w:eastAsia="zh-CN"/>
              </w:rPr>
            </w:pPr>
            <w:r>
              <w:rPr>
                <w:rFonts w:hint="eastAsia" w:ascii="宋体" w:hAnsi="宋体" w:eastAsia="宋体" w:cs="宋体"/>
                <w:color w:val="auto"/>
                <w:spacing w:val="-4"/>
                <w:szCs w:val="21"/>
                <w:highlight w:val="none"/>
                <w:lang w:val="en-US" w:eastAsia="zh-CN"/>
              </w:rPr>
              <w:t>根据投标人针对后续实际服务过程中可能遇到的紧急事件、异常处理等是否具有详细完善的应急响应制度、实施保障方案进行打分。</w:t>
            </w:r>
          </w:p>
          <w:p w14:paraId="09F9F1AF">
            <w:pPr>
              <w:keepNext w:val="0"/>
              <w:keepLines w:val="0"/>
              <w:pageBreakBefore w:val="0"/>
              <w:kinsoku/>
              <w:wordWrap/>
              <w:overflowPunct/>
              <w:topLinePunct w:val="0"/>
              <w:bidi w:val="0"/>
              <w:spacing w:beforeAutospacing="0" w:afterAutospacing="0" w:line="240" w:lineRule="auto"/>
              <w:ind w:left="0"/>
              <w:jc w:val="left"/>
              <w:textAlignment w:val="auto"/>
              <w:outlineLvl w:val="9"/>
              <w:rPr>
                <w:rFonts w:hint="eastAsia" w:ascii="宋体" w:hAnsi="宋体" w:eastAsia="宋体" w:cs="宋体"/>
                <w:color w:val="auto"/>
                <w:spacing w:val="-4"/>
                <w:szCs w:val="21"/>
                <w:highlight w:val="none"/>
                <w:lang w:val="en-US" w:eastAsia="zh-CN"/>
              </w:rPr>
            </w:pPr>
            <w:r>
              <w:rPr>
                <w:rFonts w:hint="eastAsia" w:ascii="宋体" w:hAnsi="宋体" w:eastAsia="宋体" w:cs="宋体"/>
                <w:color w:val="auto"/>
                <w:spacing w:val="-4"/>
                <w:szCs w:val="21"/>
                <w:highlight w:val="none"/>
                <w:lang w:val="en-US" w:eastAsia="zh-CN"/>
              </w:rPr>
              <w:t>应急响应制度阐述完整详细，实施保障方案内容明确且具有针对性，提出的应急措施科学可行的得</w:t>
            </w:r>
            <w:r>
              <w:rPr>
                <w:rFonts w:hint="eastAsia" w:ascii="宋体" w:hAnsi="宋体" w:cs="宋体"/>
                <w:color w:val="auto"/>
                <w:spacing w:val="-4"/>
                <w:szCs w:val="21"/>
                <w:highlight w:val="none"/>
                <w:lang w:val="en-US" w:eastAsia="zh-CN"/>
              </w:rPr>
              <w:t>3.0-5.0分</w:t>
            </w:r>
            <w:r>
              <w:rPr>
                <w:rFonts w:hint="eastAsia" w:ascii="宋体" w:hAnsi="宋体" w:eastAsia="宋体" w:cs="宋体"/>
                <w:color w:val="auto"/>
                <w:spacing w:val="-4"/>
                <w:szCs w:val="21"/>
                <w:highlight w:val="none"/>
                <w:lang w:val="en-US" w:eastAsia="zh-CN"/>
              </w:rPr>
              <w:t>；</w:t>
            </w:r>
          </w:p>
          <w:p w14:paraId="3DCE6EEF">
            <w:pPr>
              <w:keepNext w:val="0"/>
              <w:keepLines w:val="0"/>
              <w:pageBreakBefore w:val="0"/>
              <w:kinsoku/>
              <w:wordWrap/>
              <w:overflowPunct/>
              <w:topLinePunct w:val="0"/>
              <w:bidi w:val="0"/>
              <w:spacing w:beforeAutospacing="0" w:afterAutospacing="0" w:line="240" w:lineRule="auto"/>
              <w:ind w:left="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4"/>
                <w:szCs w:val="21"/>
                <w:highlight w:val="none"/>
                <w:lang w:val="en-US" w:eastAsia="zh-CN"/>
              </w:rPr>
              <w:t>应急响应方案简单，提出的应急措施</w:t>
            </w:r>
            <w:r>
              <w:rPr>
                <w:rFonts w:hint="eastAsia" w:ascii="宋体" w:hAnsi="宋体" w:eastAsia="宋体" w:cs="宋体"/>
                <w:color w:val="auto"/>
                <w:sz w:val="21"/>
                <w:szCs w:val="21"/>
                <w:highlight w:val="none"/>
                <w:lang w:val="en-US" w:eastAsia="zh-CN"/>
              </w:rPr>
              <w:t>缺乏针对性和有效性的得0.1-2.9分；</w:t>
            </w:r>
          </w:p>
          <w:p w14:paraId="3A5D1727">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未提及此项不得分。</w:t>
            </w:r>
          </w:p>
        </w:tc>
        <w:tc>
          <w:tcPr>
            <w:tcW w:w="702" w:type="dxa"/>
            <w:noWrap w:val="0"/>
            <w:vAlign w:val="center"/>
          </w:tcPr>
          <w:p w14:paraId="35363D14">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r>
      <w:tr w14:paraId="44719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8" w:hRule="atLeast"/>
          <w:jc w:val="center"/>
        </w:trPr>
        <w:tc>
          <w:tcPr>
            <w:tcW w:w="1060" w:type="dxa"/>
            <w:vMerge w:val="continue"/>
            <w:noWrap w:val="0"/>
            <w:vAlign w:val="center"/>
          </w:tcPr>
          <w:p w14:paraId="031E5B97">
            <w:pPr>
              <w:keepNext w:val="0"/>
              <w:keepLines w:val="0"/>
              <w:pageBreakBefore w:val="0"/>
              <w:widowControl/>
              <w:kinsoku/>
              <w:wordWrap/>
              <w:overflowPunct/>
              <w:topLinePunct w:val="0"/>
              <w:bidi w:val="0"/>
              <w:spacing w:line="240" w:lineRule="auto"/>
              <w:ind w:firstLine="0" w:firstLineChars="0"/>
              <w:jc w:val="center"/>
              <w:textAlignment w:val="auto"/>
              <w:rPr>
                <w:rFonts w:hint="eastAsia" w:asciiTheme="minorEastAsia" w:hAnsiTheme="minorEastAsia" w:eastAsiaTheme="minorEastAsia" w:cstheme="minorEastAsia"/>
                <w:color w:val="auto"/>
                <w:kern w:val="0"/>
                <w:sz w:val="21"/>
                <w:szCs w:val="21"/>
                <w:highlight w:val="none"/>
              </w:rPr>
            </w:pPr>
          </w:p>
        </w:tc>
        <w:tc>
          <w:tcPr>
            <w:tcW w:w="1122" w:type="dxa"/>
            <w:noWrap w:val="0"/>
            <w:vAlign w:val="center"/>
          </w:tcPr>
          <w:p w14:paraId="4BAA8CAF">
            <w:pPr>
              <w:keepNext w:val="0"/>
              <w:keepLines w:val="0"/>
              <w:pageBreakBefore w:val="0"/>
              <w:widowControl/>
              <w:kinsoku/>
              <w:wordWrap/>
              <w:overflowPunct/>
              <w:topLinePunct w:val="0"/>
              <w:bidi w:val="0"/>
              <w:spacing w:line="240" w:lineRule="auto"/>
              <w:ind w:firstLine="0" w:firstLineChars="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合理化建议</w:t>
            </w:r>
          </w:p>
        </w:tc>
        <w:tc>
          <w:tcPr>
            <w:tcW w:w="6148" w:type="dxa"/>
            <w:noWrap w:val="0"/>
            <w:vAlign w:val="center"/>
          </w:tcPr>
          <w:p w14:paraId="63C25FBC">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根据投标人提供的合理化建议</w:t>
            </w:r>
            <w:r>
              <w:rPr>
                <w:rFonts w:hint="eastAsia" w:asciiTheme="minorEastAsia" w:hAnsiTheme="minorEastAsia" w:eastAsiaTheme="minorEastAsia" w:cstheme="minorEastAsia"/>
                <w:color w:val="auto"/>
                <w:sz w:val="21"/>
                <w:szCs w:val="21"/>
                <w:highlight w:val="none"/>
                <w:lang w:eastAsia="zh-CN"/>
              </w:rPr>
              <w:t>进行打分。</w:t>
            </w:r>
          </w:p>
          <w:p w14:paraId="49648F4B">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其他合理化建议科学、合理、可行的得</w:t>
            </w:r>
            <w:r>
              <w:rPr>
                <w:rFonts w:hint="eastAsia" w:asciiTheme="minorEastAsia" w:hAnsiTheme="minorEastAsia" w:eastAsiaTheme="minorEastAsia" w:cstheme="minorEastAsia"/>
                <w:color w:val="auto"/>
                <w:sz w:val="21"/>
                <w:szCs w:val="21"/>
                <w:highlight w:val="none"/>
                <w:lang w:val="en-US" w:eastAsia="zh-CN"/>
              </w:rPr>
              <w:t>3.0-5.0分；</w:t>
            </w:r>
          </w:p>
          <w:p w14:paraId="7FE861CE">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其他合理化建议基本符合采购人需求的得</w:t>
            </w:r>
            <w:r>
              <w:rPr>
                <w:rFonts w:hint="eastAsia" w:asciiTheme="minorEastAsia" w:hAnsiTheme="minorEastAsia" w:eastAsiaTheme="minorEastAsia" w:cstheme="minorEastAsia"/>
                <w:color w:val="auto"/>
                <w:sz w:val="21"/>
                <w:szCs w:val="21"/>
                <w:highlight w:val="none"/>
                <w:lang w:val="en-US" w:eastAsia="zh-CN"/>
              </w:rPr>
              <w:t>0.1-2.9分；</w:t>
            </w:r>
          </w:p>
          <w:p w14:paraId="1CBA8C87">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68673C9C">
            <w:pPr>
              <w:keepNext w:val="0"/>
              <w:keepLines w:val="0"/>
              <w:pageBreakBefore w:val="0"/>
              <w:kinsoku/>
              <w:wordWrap/>
              <w:overflowPunct/>
              <w:topLinePunct w:val="0"/>
              <w:bidi w:val="0"/>
              <w:spacing w:line="240" w:lineRule="auto"/>
              <w:ind w:firstLine="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5</w:t>
            </w:r>
          </w:p>
        </w:tc>
      </w:tr>
      <w:tr w14:paraId="07A7B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2182" w:type="dxa"/>
            <w:gridSpan w:val="2"/>
            <w:noWrap w:val="0"/>
            <w:vAlign w:val="center"/>
          </w:tcPr>
          <w:p w14:paraId="093CD866">
            <w:pPr>
              <w:keepNext w:val="0"/>
              <w:keepLines w:val="0"/>
              <w:pageBreakBefore w:val="0"/>
              <w:kinsoku/>
              <w:wordWrap/>
              <w:overflowPunct/>
              <w:topLinePunct w:val="0"/>
              <w:bidi w:val="0"/>
              <w:spacing w:line="240" w:lineRule="auto"/>
              <w:ind w:left="0"/>
              <w:jc w:val="center"/>
              <w:textAlignment w:val="auto"/>
              <w:rPr>
                <w:rStyle w:val="54"/>
                <w:rFonts w:hint="eastAsia" w:ascii="宋体" w:hAnsi="宋体" w:eastAsia="宋体" w:cs="宋体"/>
                <w:color w:val="auto"/>
                <w:kern w:val="0"/>
                <w:sz w:val="21"/>
                <w:szCs w:val="21"/>
                <w:highlight w:val="none"/>
              </w:rPr>
            </w:pPr>
            <w:r>
              <w:rPr>
                <w:rStyle w:val="54"/>
                <w:rFonts w:hint="eastAsia" w:ascii="宋体" w:hAnsi="宋体" w:eastAsia="宋体" w:cs="宋体"/>
                <w:color w:val="auto"/>
                <w:kern w:val="0"/>
                <w:sz w:val="21"/>
                <w:szCs w:val="21"/>
                <w:highlight w:val="none"/>
              </w:rPr>
              <w:t>价格</w:t>
            </w:r>
          </w:p>
          <w:p w14:paraId="4660186F">
            <w:pPr>
              <w:keepNext w:val="0"/>
              <w:keepLines w:val="0"/>
              <w:pageBreakBefore w:val="0"/>
              <w:kinsoku/>
              <w:wordWrap/>
              <w:overflowPunct/>
              <w:topLinePunct w:val="0"/>
              <w:bidi w:val="0"/>
              <w:spacing w:line="240" w:lineRule="auto"/>
              <w:ind w:left="0" w:leftChars="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Style w:val="54"/>
                <w:rFonts w:hint="eastAsia" w:ascii="宋体" w:hAnsi="宋体" w:eastAsia="宋体" w:cs="宋体"/>
                <w:color w:val="auto"/>
                <w:kern w:val="0"/>
                <w:sz w:val="21"/>
                <w:szCs w:val="21"/>
                <w:highlight w:val="none"/>
              </w:rPr>
              <w:t>（</w:t>
            </w:r>
            <w:r>
              <w:rPr>
                <w:rStyle w:val="54"/>
                <w:rFonts w:hint="eastAsia" w:ascii="宋体" w:hAnsi="宋体" w:eastAsia="宋体" w:cs="宋体"/>
                <w:color w:val="auto"/>
                <w:kern w:val="0"/>
                <w:sz w:val="21"/>
                <w:szCs w:val="21"/>
                <w:highlight w:val="none"/>
                <w:lang w:val="en-US" w:eastAsia="zh-CN"/>
              </w:rPr>
              <w:t>10</w:t>
            </w:r>
            <w:r>
              <w:rPr>
                <w:rStyle w:val="54"/>
                <w:rFonts w:hint="eastAsia" w:ascii="宋体" w:hAnsi="宋体" w:eastAsia="宋体" w:cs="宋体"/>
                <w:color w:val="auto"/>
                <w:kern w:val="0"/>
                <w:sz w:val="21"/>
                <w:szCs w:val="21"/>
                <w:highlight w:val="none"/>
              </w:rPr>
              <w:t>分）</w:t>
            </w:r>
          </w:p>
        </w:tc>
        <w:tc>
          <w:tcPr>
            <w:tcW w:w="6148" w:type="dxa"/>
            <w:noWrap w:val="0"/>
            <w:vAlign w:val="center"/>
          </w:tcPr>
          <w:p w14:paraId="1BFC242A">
            <w:pPr>
              <w:keepNext w:val="0"/>
              <w:keepLines w:val="0"/>
              <w:pageBreakBefore w:val="0"/>
              <w:kinsoku/>
              <w:wordWrap/>
              <w:overflowPunct/>
              <w:topLinePunct w:val="0"/>
              <w:bidi w:val="0"/>
              <w:spacing w:line="240" w:lineRule="auto"/>
              <w:ind w:left="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取投标合格供应商的投标最终报价最低价</w:t>
            </w:r>
            <w:r>
              <w:rPr>
                <w:rFonts w:hint="eastAsia" w:ascii="宋体" w:hAnsi="宋体" w:eastAsia="宋体" w:cs="宋体"/>
                <w:color w:val="auto"/>
                <w:sz w:val="21"/>
                <w:szCs w:val="21"/>
                <w:highlight w:val="none"/>
                <w:lang w:val="zh-CN"/>
              </w:rPr>
              <w:t>为评标基准价，</w:t>
            </w:r>
            <w:r>
              <w:rPr>
                <w:rFonts w:hint="eastAsia" w:ascii="宋体" w:hAnsi="宋体" w:eastAsia="宋体" w:cs="宋体"/>
                <w:color w:val="auto"/>
                <w:sz w:val="21"/>
                <w:szCs w:val="21"/>
                <w:highlight w:val="none"/>
              </w:rPr>
              <w:t>基准价为</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zh-CN"/>
              </w:rPr>
              <w:t>。</w:t>
            </w:r>
          </w:p>
          <w:p w14:paraId="66371C28">
            <w:pPr>
              <w:keepNext w:val="0"/>
              <w:keepLines w:val="0"/>
              <w:pageBreakBefore w:val="0"/>
              <w:kinsoku/>
              <w:wordWrap/>
              <w:overflowPunct/>
              <w:topLinePunct w:val="0"/>
              <w:bidi w:val="0"/>
              <w:spacing w:line="240" w:lineRule="auto"/>
              <w:ind w:left="0" w:leftChars="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sz w:val="21"/>
                <w:szCs w:val="21"/>
                <w:highlight w:val="none"/>
                <w:lang w:val="zh-CN"/>
              </w:rPr>
              <w:t>投标报价得分=(评标基准价／投标报价)×</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zh-CN"/>
              </w:rPr>
              <w:t>%×100 。（</w:t>
            </w:r>
            <w:r>
              <w:rPr>
                <w:rFonts w:hint="eastAsia" w:ascii="宋体" w:hAnsi="宋体" w:eastAsia="宋体" w:cs="宋体"/>
                <w:color w:val="auto"/>
                <w:sz w:val="21"/>
                <w:szCs w:val="21"/>
                <w:highlight w:val="none"/>
              </w:rPr>
              <w:t>小数点后保留2位小数</w:t>
            </w:r>
            <w:r>
              <w:rPr>
                <w:rFonts w:hint="eastAsia" w:ascii="宋体" w:hAnsi="宋体" w:eastAsia="宋体" w:cs="宋体"/>
                <w:color w:val="auto"/>
                <w:sz w:val="21"/>
                <w:szCs w:val="21"/>
                <w:highlight w:val="none"/>
                <w:lang w:val="zh-CN"/>
              </w:rPr>
              <w:t>）。</w:t>
            </w:r>
          </w:p>
        </w:tc>
        <w:tc>
          <w:tcPr>
            <w:tcW w:w="702" w:type="dxa"/>
            <w:noWrap w:val="0"/>
            <w:vAlign w:val="center"/>
          </w:tcPr>
          <w:p w14:paraId="02DCEFB9">
            <w:pPr>
              <w:keepNext w:val="0"/>
              <w:keepLines w:val="0"/>
              <w:pageBreakBefore w:val="0"/>
              <w:kinsoku/>
              <w:wordWrap/>
              <w:overflowPunct/>
              <w:topLinePunct w:val="0"/>
              <w:bidi w:val="0"/>
              <w:adjustRightInd w:val="0"/>
              <w:snapToGrid w:val="0"/>
              <w:spacing w:line="240" w:lineRule="auto"/>
              <w:ind w:left="0" w:leftChars="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宋体" w:hAnsi="宋体" w:eastAsia="宋体" w:cs="宋体"/>
                <w:color w:val="auto"/>
                <w:sz w:val="21"/>
                <w:szCs w:val="21"/>
                <w:highlight w:val="none"/>
                <w:lang w:val="en-US" w:eastAsia="zh-CN"/>
              </w:rPr>
              <w:t>10</w:t>
            </w:r>
          </w:p>
        </w:tc>
      </w:tr>
    </w:tbl>
    <w:p w14:paraId="05CBBFAC">
      <w:pPr>
        <w:rPr>
          <w:rFonts w:hint="eastAsia" w:ascii="宋体" w:hAnsi="宋体" w:eastAsia="宋体" w:cs="宋体"/>
          <w:b/>
          <w:color w:val="auto"/>
          <w:sz w:val="36"/>
          <w:szCs w:val="36"/>
          <w:highlight w:val="none"/>
        </w:rPr>
      </w:pPr>
    </w:p>
    <w:p w14:paraId="7BE3EF25">
      <w:pP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0D434B63">
      <w:pPr>
        <w:spacing w:line="360" w:lineRule="auto"/>
        <w:jc w:val="center"/>
        <w:outlineLvl w:val="0"/>
        <w:rPr>
          <w:rFonts w:hint="eastAsia" w:ascii="宋体" w:hAnsi="宋体" w:eastAsia="宋体" w:cs="宋体"/>
          <w:b/>
          <w:color w:val="auto"/>
          <w:sz w:val="24"/>
          <w:highlight w:val="none"/>
        </w:rPr>
      </w:pPr>
      <w:r>
        <w:rPr>
          <w:rFonts w:hint="eastAsia" w:ascii="宋体" w:hAnsi="宋体" w:eastAsia="宋体" w:cs="宋体"/>
          <w:b/>
          <w:color w:val="auto"/>
          <w:sz w:val="36"/>
          <w:szCs w:val="36"/>
          <w:highlight w:val="none"/>
        </w:rPr>
        <w:t>第四章 公开招标需求</w:t>
      </w:r>
    </w:p>
    <w:p w14:paraId="54B157E6">
      <w:pPr>
        <w:pStyle w:val="49"/>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outlineLvl w:val="1"/>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一、招标项目一览表</w:t>
      </w:r>
    </w:p>
    <w:tbl>
      <w:tblPr>
        <w:tblStyle w:val="21"/>
        <w:tblW w:w="91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2126"/>
        <w:gridCol w:w="1532"/>
        <w:gridCol w:w="718"/>
        <w:gridCol w:w="750"/>
        <w:gridCol w:w="1660"/>
        <w:gridCol w:w="1395"/>
      </w:tblGrid>
      <w:tr w14:paraId="1F80A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jc w:val="center"/>
        </w:trPr>
        <w:tc>
          <w:tcPr>
            <w:tcW w:w="943" w:type="dxa"/>
            <w:vAlign w:val="center"/>
          </w:tcPr>
          <w:p w14:paraId="0A5FF0C7">
            <w:pPr>
              <w:tabs>
                <w:tab w:val="left" w:pos="8280"/>
              </w:tabs>
              <w:autoSpaceDE w:val="0"/>
              <w:autoSpaceDN w:val="0"/>
              <w:adjustRightInd w:val="0"/>
              <w:ind w:right="25"/>
              <w:jc w:val="center"/>
              <w:rPr>
                <w:rFonts w:hint="eastAsia" w:ascii="宋体" w:hAnsi="宋体" w:eastAsia="宋体" w:cs="宋体"/>
                <w:b/>
                <w:color w:val="auto"/>
                <w:sz w:val="21"/>
                <w:szCs w:val="21"/>
                <w:highlight w:val="none"/>
                <w:lang w:val="en-US"/>
              </w:rPr>
            </w:pPr>
            <w:r>
              <w:rPr>
                <w:rFonts w:hint="eastAsia" w:ascii="宋体" w:hAnsi="宋体" w:eastAsia="宋体" w:cs="宋体"/>
                <w:b/>
                <w:color w:val="auto"/>
                <w:sz w:val="21"/>
                <w:szCs w:val="21"/>
                <w:highlight w:val="none"/>
                <w:lang w:val="en-US" w:eastAsia="zh-CN"/>
              </w:rPr>
              <w:t>标段号</w:t>
            </w:r>
          </w:p>
        </w:tc>
        <w:tc>
          <w:tcPr>
            <w:tcW w:w="2126" w:type="dxa"/>
            <w:vAlign w:val="center"/>
          </w:tcPr>
          <w:p w14:paraId="70CCC03A">
            <w:pPr>
              <w:tabs>
                <w:tab w:val="left" w:pos="8280"/>
              </w:tabs>
              <w:autoSpaceDE w:val="0"/>
              <w:autoSpaceDN w:val="0"/>
              <w:adjustRightInd w:val="0"/>
              <w:ind w:right="25" w:firstLine="105" w:firstLineChars="5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项目名称</w:t>
            </w:r>
          </w:p>
        </w:tc>
        <w:tc>
          <w:tcPr>
            <w:tcW w:w="1532" w:type="dxa"/>
            <w:vAlign w:val="center"/>
          </w:tcPr>
          <w:p w14:paraId="716E9249">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kern w:val="0"/>
                <w:sz w:val="21"/>
                <w:szCs w:val="21"/>
                <w:highlight w:val="none"/>
              </w:rPr>
              <w:t>简要技术要求</w:t>
            </w:r>
          </w:p>
        </w:tc>
        <w:tc>
          <w:tcPr>
            <w:tcW w:w="718" w:type="dxa"/>
            <w:vAlign w:val="center"/>
          </w:tcPr>
          <w:p w14:paraId="6D208C9C">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数量</w:t>
            </w:r>
          </w:p>
        </w:tc>
        <w:tc>
          <w:tcPr>
            <w:tcW w:w="750" w:type="dxa"/>
            <w:vAlign w:val="center"/>
          </w:tcPr>
          <w:p w14:paraId="56FE14C7">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单位</w:t>
            </w:r>
          </w:p>
        </w:tc>
        <w:tc>
          <w:tcPr>
            <w:tcW w:w="1660" w:type="dxa"/>
            <w:vAlign w:val="center"/>
          </w:tcPr>
          <w:p w14:paraId="442C14A2">
            <w:pPr>
              <w:tabs>
                <w:tab w:val="left" w:pos="8280"/>
              </w:tabs>
              <w:autoSpaceDE w:val="0"/>
              <w:autoSpaceDN w:val="0"/>
              <w:adjustRightInd w:val="0"/>
              <w:ind w:right="25"/>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rPr>
              <w:t>预算</w:t>
            </w:r>
          </w:p>
          <w:p w14:paraId="573F8A14">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（万元）</w:t>
            </w:r>
          </w:p>
        </w:tc>
        <w:tc>
          <w:tcPr>
            <w:tcW w:w="1395" w:type="dxa"/>
            <w:vAlign w:val="center"/>
          </w:tcPr>
          <w:p w14:paraId="2C7625CF">
            <w:pPr>
              <w:tabs>
                <w:tab w:val="left" w:pos="8280"/>
              </w:tabs>
              <w:autoSpaceDE w:val="0"/>
              <w:autoSpaceDN w:val="0"/>
              <w:adjustRightInd w:val="0"/>
              <w:ind w:right="25"/>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最高限价</w:t>
            </w:r>
          </w:p>
          <w:p w14:paraId="1DF5E468">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（万元）</w:t>
            </w:r>
          </w:p>
        </w:tc>
      </w:tr>
      <w:tr w14:paraId="4BCFE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943" w:type="dxa"/>
            <w:vAlign w:val="center"/>
          </w:tcPr>
          <w:p w14:paraId="1AE30A5A">
            <w:pPr>
              <w:tabs>
                <w:tab w:val="left" w:pos="8280"/>
              </w:tabs>
              <w:autoSpaceDE w:val="0"/>
              <w:autoSpaceDN w:val="0"/>
              <w:adjustRightInd w:val="0"/>
              <w:ind w:right="25"/>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一</w:t>
            </w:r>
          </w:p>
        </w:tc>
        <w:tc>
          <w:tcPr>
            <w:tcW w:w="2126" w:type="dxa"/>
            <w:vAlign w:val="center"/>
          </w:tcPr>
          <w:p w14:paraId="50107B4C">
            <w:pPr>
              <w:widowControl/>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职工疗休养协议服务单位招标项目</w:t>
            </w:r>
          </w:p>
        </w:tc>
        <w:tc>
          <w:tcPr>
            <w:tcW w:w="1532" w:type="dxa"/>
            <w:vAlign w:val="center"/>
          </w:tcPr>
          <w:p w14:paraId="3658ADBA">
            <w:pPr>
              <w:tabs>
                <w:tab w:val="left" w:pos="8280"/>
              </w:tabs>
              <w:autoSpaceDE w:val="0"/>
              <w:autoSpaceDN w:val="0"/>
              <w:adjustRightInd w:val="0"/>
              <w:ind w:right="25"/>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详见招标文件</w:t>
            </w:r>
          </w:p>
        </w:tc>
        <w:tc>
          <w:tcPr>
            <w:tcW w:w="718" w:type="dxa"/>
            <w:vAlign w:val="center"/>
          </w:tcPr>
          <w:p w14:paraId="405E12FA">
            <w:pPr>
              <w:tabs>
                <w:tab w:val="left" w:pos="8280"/>
              </w:tabs>
              <w:autoSpaceDE w:val="0"/>
              <w:autoSpaceDN w:val="0"/>
              <w:adjustRightInd w:val="0"/>
              <w:ind w:right="25"/>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750" w:type="dxa"/>
            <w:vAlign w:val="center"/>
          </w:tcPr>
          <w:p w14:paraId="2C92EA7A">
            <w:pPr>
              <w:tabs>
                <w:tab w:val="left" w:pos="8280"/>
              </w:tabs>
              <w:autoSpaceDE w:val="0"/>
              <w:autoSpaceDN w:val="0"/>
              <w:adjustRightInd w:val="0"/>
              <w:ind w:right="25"/>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w:t>
            </w:r>
          </w:p>
        </w:tc>
        <w:tc>
          <w:tcPr>
            <w:tcW w:w="1660" w:type="dxa"/>
            <w:vAlign w:val="center"/>
          </w:tcPr>
          <w:p w14:paraId="6A8B97F9">
            <w:pPr>
              <w:tabs>
                <w:tab w:val="left" w:pos="8280"/>
              </w:tabs>
              <w:autoSpaceDE w:val="0"/>
              <w:autoSpaceDN w:val="0"/>
              <w:adjustRightInd w:val="0"/>
              <w:ind w:right="25" w:right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56.8</w:t>
            </w:r>
          </w:p>
        </w:tc>
        <w:tc>
          <w:tcPr>
            <w:tcW w:w="1395" w:type="dxa"/>
            <w:vAlign w:val="center"/>
          </w:tcPr>
          <w:p w14:paraId="3A67474C">
            <w:pPr>
              <w:tabs>
                <w:tab w:val="left" w:pos="8280"/>
              </w:tabs>
              <w:autoSpaceDE w:val="0"/>
              <w:autoSpaceDN w:val="0"/>
              <w:adjustRightInd w:val="0"/>
              <w:ind w:right="25" w:right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49</w:t>
            </w:r>
          </w:p>
        </w:tc>
      </w:tr>
      <w:tr w14:paraId="445EE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943" w:type="dxa"/>
            <w:vAlign w:val="center"/>
          </w:tcPr>
          <w:p w14:paraId="55F24CE8">
            <w:pPr>
              <w:tabs>
                <w:tab w:val="left" w:pos="8280"/>
              </w:tabs>
              <w:autoSpaceDE w:val="0"/>
              <w:autoSpaceDN w:val="0"/>
              <w:adjustRightInd w:val="0"/>
              <w:ind w:right="25"/>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二</w:t>
            </w:r>
          </w:p>
        </w:tc>
        <w:tc>
          <w:tcPr>
            <w:tcW w:w="2126" w:type="dxa"/>
            <w:shd w:val="clear" w:color="auto" w:fill="auto"/>
            <w:vAlign w:val="center"/>
          </w:tcPr>
          <w:p w14:paraId="7C616A7C">
            <w:pPr>
              <w:widowControl/>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eastAsia="zh-CN"/>
              </w:rPr>
              <w:t>职工疗休养协议服务单位招标项目</w:t>
            </w:r>
          </w:p>
        </w:tc>
        <w:tc>
          <w:tcPr>
            <w:tcW w:w="1532" w:type="dxa"/>
            <w:shd w:val="clear" w:color="auto" w:fill="auto"/>
            <w:vAlign w:val="center"/>
          </w:tcPr>
          <w:p w14:paraId="50B640F9">
            <w:pPr>
              <w:tabs>
                <w:tab w:val="left" w:pos="8280"/>
              </w:tabs>
              <w:autoSpaceDE w:val="0"/>
              <w:autoSpaceDN w:val="0"/>
              <w:adjustRightInd w:val="0"/>
              <w:ind w:right="25"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详见招标文件</w:t>
            </w:r>
          </w:p>
        </w:tc>
        <w:tc>
          <w:tcPr>
            <w:tcW w:w="718" w:type="dxa"/>
            <w:shd w:val="clear" w:color="auto" w:fill="auto"/>
            <w:vAlign w:val="center"/>
          </w:tcPr>
          <w:p w14:paraId="1829F0F9">
            <w:pPr>
              <w:tabs>
                <w:tab w:val="left" w:pos="8280"/>
              </w:tabs>
              <w:autoSpaceDE w:val="0"/>
              <w:autoSpaceDN w:val="0"/>
              <w:adjustRightInd w:val="0"/>
              <w:ind w:right="25"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750" w:type="dxa"/>
            <w:shd w:val="clear" w:color="auto" w:fill="auto"/>
            <w:vAlign w:val="center"/>
          </w:tcPr>
          <w:p w14:paraId="2E27D10F">
            <w:pPr>
              <w:tabs>
                <w:tab w:val="left" w:pos="8280"/>
              </w:tabs>
              <w:autoSpaceDE w:val="0"/>
              <w:autoSpaceDN w:val="0"/>
              <w:adjustRightInd w:val="0"/>
              <w:ind w:right="25"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项</w:t>
            </w:r>
          </w:p>
        </w:tc>
        <w:tc>
          <w:tcPr>
            <w:tcW w:w="1660" w:type="dxa"/>
            <w:vAlign w:val="center"/>
          </w:tcPr>
          <w:p w14:paraId="27B079D7">
            <w:pPr>
              <w:tabs>
                <w:tab w:val="left" w:pos="8280"/>
              </w:tabs>
              <w:autoSpaceDE w:val="0"/>
              <w:autoSpaceDN w:val="0"/>
              <w:adjustRightInd w:val="0"/>
              <w:ind w:right="25"/>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56.8</w:t>
            </w:r>
          </w:p>
        </w:tc>
        <w:tc>
          <w:tcPr>
            <w:tcW w:w="1395" w:type="dxa"/>
            <w:vAlign w:val="center"/>
          </w:tcPr>
          <w:p w14:paraId="3520FFC0">
            <w:pPr>
              <w:tabs>
                <w:tab w:val="left" w:pos="8280"/>
              </w:tabs>
              <w:autoSpaceDE w:val="0"/>
              <w:autoSpaceDN w:val="0"/>
              <w:adjustRightInd w:val="0"/>
              <w:ind w:right="25"/>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49</w:t>
            </w:r>
          </w:p>
        </w:tc>
      </w:tr>
    </w:tbl>
    <w:p w14:paraId="57471D1D">
      <w:pPr>
        <w:tabs>
          <w:tab w:val="left" w:pos="8280"/>
        </w:tabs>
        <w:autoSpaceDE w:val="0"/>
        <w:autoSpaceDN w:val="0"/>
        <w:adjustRightInd w:val="0"/>
        <w:spacing w:line="360" w:lineRule="auto"/>
        <w:ind w:right="25" w:firstLine="280"/>
        <w:rPr>
          <w:rFonts w:hint="eastAsia" w:ascii="宋体" w:hAnsi="宋体" w:eastAsia="宋体" w:cs="宋体"/>
          <w:b/>
          <w:color w:val="auto"/>
          <w:sz w:val="24"/>
          <w:szCs w:val="24"/>
          <w:highlight w:val="none"/>
        </w:rPr>
      </w:pPr>
      <w:r>
        <w:rPr>
          <w:rFonts w:hint="eastAsia" w:asciiTheme="minorEastAsia" w:hAnsiTheme="minorEastAsia" w:eastAsiaTheme="minorEastAsia" w:cstheme="minorEastAsia"/>
          <w:b/>
          <w:bCs/>
          <w:color w:val="auto"/>
          <w:sz w:val="21"/>
          <w:szCs w:val="21"/>
          <w:highlight w:val="none"/>
          <w:lang w:val="en-US" w:eastAsia="zh-CN"/>
        </w:rPr>
        <w:t>注：本项目分为两个标项，每个供应商可自行选择标项响应投标，因本项目任务重，为保证服务质量，本项目采用兼投不兼中的方式。投标人可参加以上两个标项的投标、评标，但每个供应商只能中一个标项，根据标项一、标项二的顺序依次进行开评标，如投标供应商已中先开标项，则自动失去未开标项的投标响应资格。</w:t>
      </w:r>
    </w:p>
    <w:p w14:paraId="5E399A43">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1"/>
        <w:rPr>
          <w:rFonts w:hint="default" w:ascii="宋体" w:hAnsi="宋体" w:eastAsia="宋体" w:cs="宋体"/>
          <w:b/>
          <w:bCs/>
          <w:color w:val="auto"/>
          <w:kern w:val="2"/>
          <w:sz w:val="21"/>
          <w:szCs w:val="21"/>
          <w:highlight w:val="none"/>
          <w:lang w:val="en-US" w:eastAsia="zh-CN" w:bidi="ar-SA"/>
        </w:rPr>
      </w:pPr>
      <w:bookmarkStart w:id="0" w:name="_Toc98821986"/>
      <w:r>
        <w:rPr>
          <w:rFonts w:hint="eastAsia" w:ascii="宋体" w:hAnsi="宋体" w:eastAsia="宋体" w:cs="宋体"/>
          <w:b/>
          <w:bCs/>
          <w:color w:val="auto"/>
          <w:kern w:val="2"/>
          <w:sz w:val="21"/>
          <w:szCs w:val="21"/>
          <w:highlight w:val="none"/>
          <w:lang w:val="en-US" w:eastAsia="zh-CN" w:bidi="ar-SA"/>
        </w:rPr>
        <w:t>二、</w:t>
      </w:r>
      <w:r>
        <w:rPr>
          <w:rFonts w:hint="eastAsia" w:ascii="宋体" w:hAnsi="宋体" w:cs="宋体"/>
          <w:b/>
          <w:bCs/>
          <w:color w:val="auto"/>
          <w:kern w:val="2"/>
          <w:sz w:val="21"/>
          <w:szCs w:val="21"/>
          <w:highlight w:val="none"/>
          <w:lang w:val="en-US" w:eastAsia="zh-CN" w:bidi="ar-SA"/>
        </w:rPr>
        <w:t>项目概况</w:t>
      </w:r>
    </w:p>
    <w:p w14:paraId="34A19632">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1"/>
        <w:rPr>
          <w:rFonts w:hint="default" w:ascii="宋体" w:hAnsi="宋体" w:eastAsia="宋体" w:cs="宋体"/>
          <w:b/>
          <w:bCs/>
          <w:color w:val="auto"/>
          <w:kern w:val="2"/>
          <w:sz w:val="21"/>
          <w:szCs w:val="21"/>
          <w:highlight w:val="none"/>
          <w:lang w:val="en-US" w:eastAsia="zh-CN" w:bidi="ar-SA"/>
        </w:rPr>
      </w:pPr>
      <w:r>
        <w:rPr>
          <w:rFonts w:hint="eastAsia" w:ascii="宋体" w:hAnsi="宋体" w:cs="宋体"/>
          <w:b/>
          <w:bCs/>
          <w:color w:val="auto"/>
          <w:kern w:val="2"/>
          <w:sz w:val="21"/>
          <w:szCs w:val="21"/>
          <w:highlight w:val="none"/>
          <w:lang w:val="en-US" w:eastAsia="zh-CN" w:bidi="ar-SA"/>
        </w:rPr>
        <w:t>1、线路安排</w:t>
      </w:r>
    </w:p>
    <w:tbl>
      <w:tblPr>
        <w:tblStyle w:val="21"/>
        <w:tblW w:w="95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86"/>
        <w:gridCol w:w="976"/>
        <w:gridCol w:w="770"/>
        <w:gridCol w:w="3007"/>
        <w:gridCol w:w="1150"/>
        <w:gridCol w:w="1400"/>
        <w:gridCol w:w="1388"/>
      </w:tblGrid>
      <w:tr w14:paraId="764D8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2" w:hRule="atLeast"/>
          <w:jc w:val="center"/>
        </w:trPr>
        <w:tc>
          <w:tcPr>
            <w:tcW w:w="886" w:type="dxa"/>
            <w:shd w:val="clear" w:color="auto" w:fill="auto"/>
            <w:noWrap/>
            <w:vAlign w:val="center"/>
          </w:tcPr>
          <w:p w14:paraId="111DF8FB">
            <w:pPr>
              <w:spacing w:line="240" w:lineRule="auto"/>
              <w:rPr>
                <w:rFonts w:hint="eastAsia" w:asciiTheme="minorEastAsia" w:hAnsiTheme="minorEastAsia" w:eastAsiaTheme="minorEastAsia" w:cstheme="minorEastAsia"/>
                <w:i w:val="0"/>
                <w:iCs w:val="0"/>
                <w:color w:val="auto"/>
                <w:sz w:val="21"/>
                <w:szCs w:val="21"/>
                <w:highlight w:val="none"/>
                <w:u w:val="none"/>
              </w:rPr>
            </w:pPr>
          </w:p>
        </w:tc>
        <w:tc>
          <w:tcPr>
            <w:tcW w:w="976" w:type="dxa"/>
            <w:shd w:val="clear" w:color="auto" w:fill="auto"/>
            <w:vAlign w:val="center"/>
          </w:tcPr>
          <w:p w14:paraId="49C695F5">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区域</w:t>
            </w:r>
          </w:p>
        </w:tc>
        <w:tc>
          <w:tcPr>
            <w:tcW w:w="770" w:type="dxa"/>
            <w:shd w:val="clear" w:color="auto" w:fill="auto"/>
            <w:vAlign w:val="center"/>
          </w:tcPr>
          <w:p w14:paraId="48AA7C74">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序号</w:t>
            </w:r>
          </w:p>
        </w:tc>
        <w:tc>
          <w:tcPr>
            <w:tcW w:w="3007" w:type="dxa"/>
            <w:shd w:val="clear" w:color="auto" w:fill="auto"/>
            <w:vAlign w:val="center"/>
          </w:tcPr>
          <w:p w14:paraId="45BA2B62">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线路名</w:t>
            </w:r>
          </w:p>
        </w:tc>
        <w:tc>
          <w:tcPr>
            <w:tcW w:w="1150" w:type="dxa"/>
            <w:shd w:val="clear" w:color="auto" w:fill="auto"/>
            <w:vAlign w:val="center"/>
          </w:tcPr>
          <w:p w14:paraId="5F74839D">
            <w:pPr>
              <w:keepNext w:val="0"/>
              <w:keepLines w:val="0"/>
              <w:widowControl/>
              <w:suppressLineNumbers w:val="0"/>
              <w:spacing w:line="240" w:lineRule="auto"/>
              <w:jc w:val="center"/>
              <w:textAlignment w:val="center"/>
              <w:rPr>
                <w:rFonts w:hint="eastAsia" w:asciiTheme="minorEastAsia" w:hAnsi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cstheme="minorEastAsia"/>
                <w:b/>
                <w:bCs/>
                <w:i w:val="0"/>
                <w:iCs w:val="0"/>
                <w:color w:val="auto"/>
                <w:kern w:val="0"/>
                <w:sz w:val="21"/>
                <w:szCs w:val="21"/>
                <w:highlight w:val="none"/>
                <w:u w:val="none"/>
                <w:lang w:val="en-US" w:eastAsia="zh-CN" w:bidi="ar"/>
              </w:rPr>
              <w:t>预算标准</w:t>
            </w:r>
          </w:p>
          <w:p w14:paraId="3FF96055">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（元/人）</w:t>
            </w:r>
          </w:p>
        </w:tc>
        <w:tc>
          <w:tcPr>
            <w:tcW w:w="1400" w:type="dxa"/>
            <w:shd w:val="clear" w:color="auto" w:fill="auto"/>
            <w:vAlign w:val="center"/>
          </w:tcPr>
          <w:p w14:paraId="1B8CEF29">
            <w:pPr>
              <w:keepNext w:val="0"/>
              <w:keepLines w:val="0"/>
              <w:widowControl/>
              <w:suppressLineNumbers w:val="0"/>
              <w:spacing w:line="240" w:lineRule="auto"/>
              <w:jc w:val="center"/>
              <w:textAlignment w:val="center"/>
              <w:rPr>
                <w:rFonts w:hint="default"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人数（暂估）</w:t>
            </w:r>
          </w:p>
        </w:tc>
        <w:tc>
          <w:tcPr>
            <w:tcW w:w="1388" w:type="dxa"/>
            <w:shd w:val="clear" w:color="auto" w:fill="auto"/>
            <w:vAlign w:val="center"/>
          </w:tcPr>
          <w:p w14:paraId="2B271F87">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备注</w:t>
            </w:r>
          </w:p>
        </w:tc>
      </w:tr>
      <w:tr w14:paraId="5DD92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886" w:type="dxa"/>
            <w:vMerge w:val="restart"/>
            <w:shd w:val="clear" w:color="auto" w:fill="auto"/>
            <w:noWrap/>
            <w:vAlign w:val="center"/>
          </w:tcPr>
          <w:p w14:paraId="00FD55BF">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标段一</w:t>
            </w:r>
          </w:p>
        </w:tc>
        <w:tc>
          <w:tcPr>
            <w:tcW w:w="976" w:type="dxa"/>
            <w:vMerge w:val="restart"/>
            <w:shd w:val="clear" w:color="auto" w:fill="auto"/>
            <w:vAlign w:val="center"/>
          </w:tcPr>
          <w:p w14:paraId="159ACE69">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省外推荐线路</w:t>
            </w:r>
          </w:p>
        </w:tc>
        <w:tc>
          <w:tcPr>
            <w:tcW w:w="770" w:type="dxa"/>
            <w:shd w:val="clear" w:color="auto" w:fill="auto"/>
            <w:noWrap/>
            <w:vAlign w:val="center"/>
          </w:tcPr>
          <w:p w14:paraId="2CB7C363">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07" w:type="dxa"/>
            <w:shd w:val="clear" w:color="auto" w:fill="auto"/>
            <w:vAlign w:val="center"/>
          </w:tcPr>
          <w:p w14:paraId="64CBAEC5">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奇幻吉林6天游</w:t>
            </w:r>
          </w:p>
        </w:tc>
        <w:tc>
          <w:tcPr>
            <w:tcW w:w="1150" w:type="dxa"/>
            <w:shd w:val="clear" w:color="auto" w:fill="auto"/>
            <w:noWrap/>
            <w:vAlign w:val="center"/>
          </w:tcPr>
          <w:p w14:paraId="569E0314">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restart"/>
            <w:shd w:val="clear" w:color="auto" w:fill="auto"/>
            <w:vAlign w:val="center"/>
          </w:tcPr>
          <w:p w14:paraId="362B7A32">
            <w:pPr>
              <w:keepNext w:val="0"/>
              <w:keepLines w:val="0"/>
              <w:widowControl/>
              <w:suppressLineNumbers w:val="0"/>
              <w:spacing w:line="240" w:lineRule="auto"/>
              <w:jc w:val="center"/>
              <w:textAlignment w:val="center"/>
              <w:rPr>
                <w:rFonts w:hint="default"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245</w:t>
            </w:r>
          </w:p>
        </w:tc>
        <w:tc>
          <w:tcPr>
            <w:tcW w:w="1388" w:type="dxa"/>
            <w:vMerge w:val="restart"/>
            <w:shd w:val="clear" w:color="auto" w:fill="auto"/>
            <w:vAlign w:val="center"/>
          </w:tcPr>
          <w:p w14:paraId="7CAE9EA3">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具体出行路线根据采购方需求确定。</w:t>
            </w:r>
          </w:p>
          <w:p w14:paraId="5BD09EFF">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采购方有权调整人员数量，最终按实结算。（费用超出预算价元/人/次的部分由职工本人负担即个人补差）</w:t>
            </w:r>
          </w:p>
        </w:tc>
      </w:tr>
      <w:tr w14:paraId="4E272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1B63B15D">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7FAA425E">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69638FC0">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07" w:type="dxa"/>
            <w:shd w:val="clear" w:color="auto" w:fill="auto"/>
            <w:vAlign w:val="center"/>
          </w:tcPr>
          <w:p w14:paraId="3FE1C70D">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新疆那拉提独库双飞7日+1日</w:t>
            </w:r>
          </w:p>
        </w:tc>
        <w:tc>
          <w:tcPr>
            <w:tcW w:w="1150" w:type="dxa"/>
            <w:shd w:val="clear" w:color="auto" w:fill="auto"/>
            <w:noWrap/>
            <w:vAlign w:val="center"/>
          </w:tcPr>
          <w:p w14:paraId="66D6C11C">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27561D56">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19EB96C4">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4717B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47340B62">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2749C749">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42C2A260">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07" w:type="dxa"/>
            <w:shd w:val="clear" w:color="auto" w:fill="auto"/>
            <w:vAlign w:val="center"/>
          </w:tcPr>
          <w:p w14:paraId="0ABF626A">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西宁茫崖6日游</w:t>
            </w:r>
          </w:p>
        </w:tc>
        <w:tc>
          <w:tcPr>
            <w:tcW w:w="1150" w:type="dxa"/>
            <w:shd w:val="clear" w:color="auto" w:fill="auto"/>
            <w:noWrap/>
            <w:vAlign w:val="center"/>
          </w:tcPr>
          <w:p w14:paraId="3108B2DC">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4CC9ACDD">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34EE2A77">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7D892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79" w:hRule="atLeast"/>
          <w:jc w:val="center"/>
        </w:trPr>
        <w:tc>
          <w:tcPr>
            <w:tcW w:w="886" w:type="dxa"/>
            <w:vMerge w:val="continue"/>
            <w:shd w:val="clear" w:color="auto" w:fill="auto"/>
            <w:noWrap/>
            <w:vAlign w:val="center"/>
          </w:tcPr>
          <w:p w14:paraId="3C5E4BBD">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0B1DF490">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04949C4C">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007" w:type="dxa"/>
            <w:shd w:val="clear" w:color="auto" w:fill="auto"/>
            <w:vAlign w:val="center"/>
          </w:tcPr>
          <w:p w14:paraId="2799E062">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泉州3日游</w:t>
            </w:r>
          </w:p>
        </w:tc>
        <w:tc>
          <w:tcPr>
            <w:tcW w:w="1150" w:type="dxa"/>
            <w:shd w:val="clear" w:color="auto" w:fill="auto"/>
            <w:noWrap/>
            <w:vAlign w:val="center"/>
          </w:tcPr>
          <w:p w14:paraId="46220B65">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68FB1D4B">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6B571812">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3CEEF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886" w:type="dxa"/>
            <w:vMerge w:val="continue"/>
            <w:shd w:val="clear" w:color="auto" w:fill="auto"/>
            <w:noWrap/>
            <w:vAlign w:val="center"/>
          </w:tcPr>
          <w:p w14:paraId="0FE8354F">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509B5ABB">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646BDF31">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5</w:t>
            </w:r>
          </w:p>
        </w:tc>
        <w:tc>
          <w:tcPr>
            <w:tcW w:w="3007" w:type="dxa"/>
            <w:shd w:val="clear" w:color="auto" w:fill="auto"/>
            <w:vAlign w:val="center"/>
          </w:tcPr>
          <w:p w14:paraId="085E82B6">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南京3日游</w:t>
            </w:r>
          </w:p>
        </w:tc>
        <w:tc>
          <w:tcPr>
            <w:tcW w:w="1150" w:type="dxa"/>
            <w:shd w:val="clear" w:color="auto" w:fill="auto"/>
            <w:noWrap/>
            <w:vAlign w:val="center"/>
          </w:tcPr>
          <w:p w14:paraId="430A8A2F">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73AB0F5E">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0876AF3E">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155FD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8" w:hRule="atLeast"/>
          <w:jc w:val="center"/>
        </w:trPr>
        <w:tc>
          <w:tcPr>
            <w:tcW w:w="886" w:type="dxa"/>
            <w:vMerge w:val="continue"/>
            <w:shd w:val="clear" w:color="auto" w:fill="auto"/>
            <w:noWrap/>
            <w:vAlign w:val="center"/>
          </w:tcPr>
          <w:p w14:paraId="63D80195">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584BB12E">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7E0504EF">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6</w:t>
            </w:r>
          </w:p>
        </w:tc>
        <w:tc>
          <w:tcPr>
            <w:tcW w:w="3007" w:type="dxa"/>
            <w:shd w:val="clear" w:color="auto" w:fill="auto"/>
            <w:vAlign w:val="center"/>
          </w:tcPr>
          <w:p w14:paraId="557490F7">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厦门鼓浪屿、环岛路、南普陀、胡里山炮台纯玩三日游</w:t>
            </w:r>
          </w:p>
        </w:tc>
        <w:tc>
          <w:tcPr>
            <w:tcW w:w="1150" w:type="dxa"/>
            <w:shd w:val="clear" w:color="auto" w:fill="auto"/>
            <w:noWrap/>
            <w:vAlign w:val="center"/>
          </w:tcPr>
          <w:p w14:paraId="1C58126B">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782A3517">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17FD8E94">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4F398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0834C179">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restart"/>
            <w:shd w:val="clear" w:color="auto" w:fill="auto"/>
            <w:vAlign w:val="center"/>
          </w:tcPr>
          <w:p w14:paraId="0808FC32">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省内推荐线路</w:t>
            </w:r>
          </w:p>
        </w:tc>
        <w:tc>
          <w:tcPr>
            <w:tcW w:w="770" w:type="dxa"/>
            <w:shd w:val="clear" w:color="auto" w:fill="auto"/>
            <w:noWrap/>
            <w:vAlign w:val="center"/>
          </w:tcPr>
          <w:p w14:paraId="7E768B3A">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07" w:type="dxa"/>
            <w:shd w:val="clear" w:color="auto" w:fill="auto"/>
            <w:vAlign w:val="center"/>
          </w:tcPr>
          <w:p w14:paraId="02C05D3C">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舟山4日游</w:t>
            </w:r>
          </w:p>
        </w:tc>
        <w:tc>
          <w:tcPr>
            <w:tcW w:w="1150" w:type="dxa"/>
            <w:shd w:val="clear" w:color="auto" w:fill="auto"/>
            <w:noWrap/>
            <w:vAlign w:val="center"/>
          </w:tcPr>
          <w:p w14:paraId="33E5B170">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7EC89113">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01FE65F5">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50244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4A6C6464">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007BD3F9">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3A0293F2">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07" w:type="dxa"/>
            <w:shd w:val="clear" w:color="auto" w:fill="auto"/>
            <w:vAlign w:val="center"/>
          </w:tcPr>
          <w:p w14:paraId="4DE33135">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安吉龙之梦休闲4日游</w:t>
            </w:r>
          </w:p>
        </w:tc>
        <w:tc>
          <w:tcPr>
            <w:tcW w:w="1150" w:type="dxa"/>
            <w:shd w:val="clear" w:color="auto" w:fill="auto"/>
            <w:noWrap/>
            <w:vAlign w:val="center"/>
          </w:tcPr>
          <w:p w14:paraId="49B253FF">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2B512FFE">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5DA061F4">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393B2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542A1CC9">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2DD98372">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3D794343">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07" w:type="dxa"/>
            <w:shd w:val="clear" w:color="auto" w:fill="auto"/>
            <w:vAlign w:val="center"/>
          </w:tcPr>
          <w:p w14:paraId="364026A7">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衢州江山4日游</w:t>
            </w:r>
          </w:p>
        </w:tc>
        <w:tc>
          <w:tcPr>
            <w:tcW w:w="1150" w:type="dxa"/>
            <w:shd w:val="clear" w:color="auto" w:fill="auto"/>
            <w:noWrap/>
            <w:vAlign w:val="center"/>
          </w:tcPr>
          <w:p w14:paraId="7634C909">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1B721106">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00E318D6">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47494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053E09B1">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6179FFD8">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3089B58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007" w:type="dxa"/>
            <w:shd w:val="clear" w:color="auto" w:fill="auto"/>
            <w:vAlign w:val="center"/>
          </w:tcPr>
          <w:p w14:paraId="74FFD3D3">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丽水4日游</w:t>
            </w:r>
          </w:p>
        </w:tc>
        <w:tc>
          <w:tcPr>
            <w:tcW w:w="1150" w:type="dxa"/>
            <w:shd w:val="clear" w:color="auto" w:fill="auto"/>
            <w:noWrap/>
            <w:vAlign w:val="center"/>
          </w:tcPr>
          <w:p w14:paraId="4B111D93">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439314D5">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714951F4">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0BCB9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5EB5B338">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restart"/>
            <w:shd w:val="clear" w:color="auto" w:fill="auto"/>
            <w:vAlign w:val="center"/>
          </w:tcPr>
          <w:p w14:paraId="29500162">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台州市内推荐线路</w:t>
            </w:r>
          </w:p>
        </w:tc>
        <w:tc>
          <w:tcPr>
            <w:tcW w:w="770" w:type="dxa"/>
            <w:shd w:val="clear" w:color="auto" w:fill="auto"/>
            <w:noWrap/>
            <w:vAlign w:val="center"/>
          </w:tcPr>
          <w:p w14:paraId="0535275A">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07" w:type="dxa"/>
            <w:shd w:val="clear" w:color="auto" w:fill="auto"/>
            <w:vAlign w:val="center"/>
          </w:tcPr>
          <w:p w14:paraId="0B9A5CE4">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大陈岛3日游</w:t>
            </w:r>
          </w:p>
        </w:tc>
        <w:tc>
          <w:tcPr>
            <w:tcW w:w="1150" w:type="dxa"/>
            <w:shd w:val="clear" w:color="auto" w:fill="auto"/>
            <w:noWrap/>
            <w:vAlign w:val="center"/>
          </w:tcPr>
          <w:p w14:paraId="0F0D6B9C">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0C1055A0">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4F8CC7A0">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2C55A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8" w:hRule="atLeast"/>
          <w:jc w:val="center"/>
        </w:trPr>
        <w:tc>
          <w:tcPr>
            <w:tcW w:w="886" w:type="dxa"/>
            <w:vMerge w:val="continue"/>
            <w:shd w:val="clear" w:color="auto" w:fill="auto"/>
            <w:noWrap/>
            <w:vAlign w:val="center"/>
          </w:tcPr>
          <w:p w14:paraId="4DD30727">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38732832">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26F62A13">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07" w:type="dxa"/>
            <w:shd w:val="clear" w:color="auto" w:fill="auto"/>
            <w:vAlign w:val="center"/>
          </w:tcPr>
          <w:p w14:paraId="144F978E">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仙居绿道、神仙居、临海紫阳街 3 日游</w:t>
            </w:r>
          </w:p>
        </w:tc>
        <w:tc>
          <w:tcPr>
            <w:tcW w:w="1150" w:type="dxa"/>
            <w:shd w:val="clear" w:color="auto" w:fill="auto"/>
            <w:noWrap/>
            <w:vAlign w:val="center"/>
          </w:tcPr>
          <w:p w14:paraId="1C665ACE">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2346BDEA">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4EB21A17">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11A96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8" w:hRule="atLeast"/>
          <w:jc w:val="center"/>
        </w:trPr>
        <w:tc>
          <w:tcPr>
            <w:tcW w:w="886" w:type="dxa"/>
            <w:vMerge w:val="continue"/>
            <w:shd w:val="clear" w:color="auto" w:fill="auto"/>
            <w:noWrap/>
            <w:vAlign w:val="center"/>
          </w:tcPr>
          <w:p w14:paraId="636CB828">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61439328">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103BD29E">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07" w:type="dxa"/>
            <w:shd w:val="clear" w:color="auto" w:fill="auto"/>
            <w:vAlign w:val="center"/>
          </w:tcPr>
          <w:p w14:paraId="59133606">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天台牧云谷、天台山大瀑布 国清寺3 日游</w:t>
            </w:r>
          </w:p>
        </w:tc>
        <w:tc>
          <w:tcPr>
            <w:tcW w:w="1150" w:type="dxa"/>
            <w:shd w:val="clear" w:color="auto" w:fill="auto"/>
            <w:noWrap/>
            <w:vAlign w:val="center"/>
          </w:tcPr>
          <w:p w14:paraId="79A65DF3">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756C5440">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46182590">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29AA6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6" w:hRule="atLeast"/>
          <w:jc w:val="center"/>
        </w:trPr>
        <w:tc>
          <w:tcPr>
            <w:tcW w:w="886" w:type="dxa"/>
            <w:vMerge w:val="continue"/>
            <w:shd w:val="clear" w:color="auto" w:fill="auto"/>
            <w:noWrap/>
            <w:vAlign w:val="center"/>
          </w:tcPr>
          <w:p w14:paraId="1EC8F6DB">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28EE4424">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1EC4E267">
            <w:pPr>
              <w:keepNext w:val="0"/>
              <w:keepLines w:val="0"/>
              <w:widowControl/>
              <w:suppressLineNumbers w:val="0"/>
              <w:spacing w:line="240" w:lineRule="auto"/>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007" w:type="dxa"/>
            <w:shd w:val="clear" w:color="auto" w:fill="auto"/>
            <w:vAlign w:val="center"/>
          </w:tcPr>
          <w:p w14:paraId="43BA0409">
            <w:pPr>
              <w:keepNext w:val="0"/>
              <w:keepLines w:val="0"/>
              <w:widowControl/>
              <w:suppressLineNumbers w:val="0"/>
              <w:spacing w:line="240" w:lineRule="auto"/>
              <w:jc w:val="left"/>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路桥白天鹅叙宴3日游</w:t>
            </w:r>
          </w:p>
        </w:tc>
        <w:tc>
          <w:tcPr>
            <w:tcW w:w="1150" w:type="dxa"/>
            <w:shd w:val="clear" w:color="auto" w:fill="auto"/>
            <w:noWrap/>
            <w:vAlign w:val="center"/>
          </w:tcPr>
          <w:p w14:paraId="2CC8FD72">
            <w:pPr>
              <w:jc w:val="center"/>
              <w:rPr>
                <w:rFonts w:hint="default"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0E046211">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50832326">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51D67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886" w:type="dxa"/>
            <w:vMerge w:val="restart"/>
            <w:shd w:val="clear" w:color="auto" w:fill="auto"/>
            <w:noWrap/>
            <w:vAlign w:val="center"/>
          </w:tcPr>
          <w:p w14:paraId="6BC2DB59">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标段二</w:t>
            </w:r>
          </w:p>
        </w:tc>
        <w:tc>
          <w:tcPr>
            <w:tcW w:w="976" w:type="dxa"/>
            <w:vMerge w:val="restart"/>
            <w:shd w:val="clear" w:color="auto" w:fill="auto"/>
            <w:vAlign w:val="center"/>
          </w:tcPr>
          <w:p w14:paraId="22C0800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省外推荐线路</w:t>
            </w:r>
          </w:p>
        </w:tc>
        <w:tc>
          <w:tcPr>
            <w:tcW w:w="770" w:type="dxa"/>
            <w:shd w:val="clear" w:color="auto" w:fill="auto"/>
            <w:noWrap/>
            <w:vAlign w:val="center"/>
          </w:tcPr>
          <w:p w14:paraId="00B66647">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07" w:type="dxa"/>
            <w:shd w:val="clear" w:color="auto" w:fill="auto"/>
            <w:vAlign w:val="center"/>
          </w:tcPr>
          <w:p w14:paraId="0AC620DE">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天空之城(成都稻城亚丁）三飞 8 日</w:t>
            </w:r>
          </w:p>
        </w:tc>
        <w:tc>
          <w:tcPr>
            <w:tcW w:w="1150" w:type="dxa"/>
            <w:shd w:val="clear" w:color="auto" w:fill="auto"/>
            <w:noWrap/>
            <w:vAlign w:val="center"/>
          </w:tcPr>
          <w:p w14:paraId="4CC9C156">
            <w:pPr>
              <w:jc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restart"/>
            <w:shd w:val="clear" w:color="auto" w:fill="auto"/>
            <w:vAlign w:val="center"/>
          </w:tcPr>
          <w:p w14:paraId="491F5681">
            <w:pPr>
              <w:spacing w:line="240" w:lineRule="auto"/>
              <w:jc w:val="center"/>
              <w:rPr>
                <w:rFonts w:hint="default" w:asciiTheme="minorEastAsia" w:hAnsiTheme="minorEastAsia" w:eastAsiaTheme="minorEastAsia" w:cstheme="minorEastAsia"/>
                <w:i w:val="0"/>
                <w:iCs w:val="0"/>
                <w:color w:val="auto"/>
                <w:sz w:val="21"/>
                <w:szCs w:val="21"/>
                <w:highlight w:val="none"/>
                <w:u w:val="none"/>
                <w:lang w:val="en-US" w:eastAsia="zh-CN"/>
              </w:rPr>
            </w:pPr>
            <w:r>
              <w:rPr>
                <w:rFonts w:hint="eastAsia" w:asciiTheme="minorEastAsia" w:hAnsiTheme="minorEastAsia" w:eastAsiaTheme="minorEastAsia" w:cstheme="minorEastAsia"/>
                <w:i w:val="0"/>
                <w:iCs w:val="0"/>
                <w:color w:val="auto"/>
                <w:sz w:val="21"/>
                <w:szCs w:val="21"/>
                <w:highlight w:val="none"/>
                <w:u w:val="none"/>
                <w:lang w:val="en-US" w:eastAsia="zh-CN"/>
              </w:rPr>
              <w:t>245</w:t>
            </w:r>
          </w:p>
        </w:tc>
        <w:tc>
          <w:tcPr>
            <w:tcW w:w="1388" w:type="dxa"/>
            <w:vMerge w:val="continue"/>
            <w:shd w:val="clear" w:color="auto" w:fill="auto"/>
            <w:vAlign w:val="center"/>
          </w:tcPr>
          <w:p w14:paraId="16E7C8DE">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0813C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886" w:type="dxa"/>
            <w:vMerge w:val="continue"/>
            <w:shd w:val="clear" w:color="auto" w:fill="auto"/>
            <w:noWrap/>
            <w:vAlign w:val="center"/>
          </w:tcPr>
          <w:p w14:paraId="7D7602FE">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0C1E7352">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4F7E7B7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07" w:type="dxa"/>
            <w:shd w:val="clear" w:color="auto" w:fill="auto"/>
            <w:vAlign w:val="center"/>
          </w:tcPr>
          <w:p w14:paraId="06696F14">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北疆9日</w:t>
            </w:r>
          </w:p>
        </w:tc>
        <w:tc>
          <w:tcPr>
            <w:tcW w:w="1150" w:type="dxa"/>
            <w:shd w:val="clear" w:color="auto" w:fill="auto"/>
            <w:noWrap/>
            <w:vAlign w:val="center"/>
          </w:tcPr>
          <w:p w14:paraId="340F27F0">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2000</w:t>
            </w:r>
          </w:p>
        </w:tc>
        <w:tc>
          <w:tcPr>
            <w:tcW w:w="1400" w:type="dxa"/>
            <w:vMerge w:val="continue"/>
            <w:shd w:val="clear" w:color="auto" w:fill="auto"/>
            <w:vAlign w:val="center"/>
          </w:tcPr>
          <w:p w14:paraId="65A462BB">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1FC73855">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607C8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3150F7CF">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06CA0F6C">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1A465C24">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07" w:type="dxa"/>
            <w:shd w:val="clear" w:color="auto" w:fill="auto"/>
            <w:vAlign w:val="center"/>
          </w:tcPr>
          <w:p w14:paraId="7B6FADF6">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重庆5日游</w:t>
            </w:r>
          </w:p>
        </w:tc>
        <w:tc>
          <w:tcPr>
            <w:tcW w:w="1150" w:type="dxa"/>
            <w:shd w:val="clear" w:color="auto" w:fill="auto"/>
            <w:noWrap/>
            <w:vAlign w:val="center"/>
          </w:tcPr>
          <w:p w14:paraId="296C43FB">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09C6CA9F">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0E0EDAB7">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784D2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7A7E362D">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428BDE04">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4A4FE247">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007" w:type="dxa"/>
            <w:shd w:val="clear" w:color="auto" w:fill="auto"/>
            <w:vAlign w:val="center"/>
          </w:tcPr>
          <w:p w14:paraId="2D011E4E">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成都、九寨、黄龙溪古镇、武侯祠双飞双高 5 日疗</w:t>
            </w:r>
          </w:p>
        </w:tc>
        <w:tc>
          <w:tcPr>
            <w:tcW w:w="1150" w:type="dxa"/>
            <w:shd w:val="clear" w:color="auto" w:fill="auto"/>
            <w:noWrap/>
            <w:vAlign w:val="center"/>
          </w:tcPr>
          <w:p w14:paraId="041244B1">
            <w:pPr>
              <w:jc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07242992">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06F6E9D9">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3BB74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1691636E">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226998EF">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2AC78645">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5</w:t>
            </w:r>
          </w:p>
        </w:tc>
        <w:tc>
          <w:tcPr>
            <w:tcW w:w="3007" w:type="dxa"/>
            <w:shd w:val="clear" w:color="auto" w:fill="auto"/>
            <w:vAlign w:val="center"/>
          </w:tcPr>
          <w:p w14:paraId="14DEA8BA">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福州、平潭岛度假3日游</w:t>
            </w:r>
          </w:p>
        </w:tc>
        <w:tc>
          <w:tcPr>
            <w:tcW w:w="1150" w:type="dxa"/>
            <w:shd w:val="clear" w:color="auto" w:fill="auto"/>
            <w:noWrap/>
            <w:vAlign w:val="center"/>
          </w:tcPr>
          <w:p w14:paraId="0AA859E5">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4D5522A2">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7DF12C57">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332AB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5D18A32C">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3BD0ACD6">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62500A44">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6</w:t>
            </w:r>
          </w:p>
        </w:tc>
        <w:tc>
          <w:tcPr>
            <w:tcW w:w="3007" w:type="dxa"/>
            <w:shd w:val="clear" w:color="auto" w:fill="auto"/>
            <w:vAlign w:val="center"/>
          </w:tcPr>
          <w:p w14:paraId="78E44ACB">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黄山四日游</w:t>
            </w:r>
          </w:p>
        </w:tc>
        <w:tc>
          <w:tcPr>
            <w:tcW w:w="1150" w:type="dxa"/>
            <w:shd w:val="clear" w:color="auto" w:fill="auto"/>
            <w:noWrap/>
            <w:vAlign w:val="center"/>
          </w:tcPr>
          <w:p w14:paraId="34AEE85D">
            <w:pPr>
              <w:jc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17989388">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750D159F">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7E459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7EE71B2E">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restart"/>
            <w:shd w:val="clear" w:color="auto" w:fill="auto"/>
            <w:vAlign w:val="center"/>
          </w:tcPr>
          <w:p w14:paraId="5C3FF68E">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省内推荐线路</w:t>
            </w:r>
          </w:p>
        </w:tc>
        <w:tc>
          <w:tcPr>
            <w:tcW w:w="770" w:type="dxa"/>
            <w:shd w:val="clear" w:color="auto" w:fill="auto"/>
            <w:noWrap/>
            <w:vAlign w:val="center"/>
          </w:tcPr>
          <w:p w14:paraId="7D0E1968">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07" w:type="dxa"/>
            <w:shd w:val="clear" w:color="auto" w:fill="auto"/>
            <w:vAlign w:val="center"/>
          </w:tcPr>
          <w:p w14:paraId="61CDBDDF">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临安4日游</w:t>
            </w:r>
          </w:p>
        </w:tc>
        <w:tc>
          <w:tcPr>
            <w:tcW w:w="1150" w:type="dxa"/>
            <w:shd w:val="clear" w:color="auto" w:fill="auto"/>
            <w:noWrap/>
            <w:vAlign w:val="center"/>
          </w:tcPr>
          <w:p w14:paraId="2F09D2D2">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7150EB7F">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4DE49CB4">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6C5EB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7376E799">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513911FA">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72C666D0">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07" w:type="dxa"/>
            <w:shd w:val="clear" w:color="auto" w:fill="auto"/>
            <w:vAlign w:val="center"/>
          </w:tcPr>
          <w:p w14:paraId="6808BCD3">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浦江休闲之旅5日游</w:t>
            </w:r>
          </w:p>
        </w:tc>
        <w:tc>
          <w:tcPr>
            <w:tcW w:w="1150" w:type="dxa"/>
            <w:shd w:val="clear" w:color="auto" w:fill="auto"/>
            <w:noWrap/>
            <w:vAlign w:val="center"/>
          </w:tcPr>
          <w:p w14:paraId="47725AAB">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42862C94">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51F24D1B">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06CA9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1D6C666E">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013BF6D4">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5C327947">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07" w:type="dxa"/>
            <w:shd w:val="clear" w:color="auto" w:fill="auto"/>
            <w:vAlign w:val="center"/>
          </w:tcPr>
          <w:p w14:paraId="65CF1D86">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千岛湖慢生活4日游</w:t>
            </w:r>
          </w:p>
        </w:tc>
        <w:tc>
          <w:tcPr>
            <w:tcW w:w="1150" w:type="dxa"/>
            <w:shd w:val="clear" w:color="auto" w:fill="auto"/>
            <w:noWrap/>
            <w:vAlign w:val="center"/>
          </w:tcPr>
          <w:p w14:paraId="19C34E3C">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63EF51B9">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74F5345E">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2C99F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3442C118">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7E2F4005">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3C4444C2">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007" w:type="dxa"/>
            <w:shd w:val="clear" w:color="auto" w:fill="auto"/>
            <w:vAlign w:val="center"/>
          </w:tcPr>
          <w:p w14:paraId="0EF50021">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宁波雪窦山应梦里四日游</w:t>
            </w:r>
          </w:p>
        </w:tc>
        <w:tc>
          <w:tcPr>
            <w:tcW w:w="1150" w:type="dxa"/>
            <w:shd w:val="clear" w:color="auto" w:fill="auto"/>
            <w:noWrap/>
            <w:vAlign w:val="center"/>
          </w:tcPr>
          <w:p w14:paraId="41E955F3">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607FD95D">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5623C010">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0FCC8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86" w:type="dxa"/>
            <w:vMerge w:val="continue"/>
            <w:shd w:val="clear" w:color="auto" w:fill="auto"/>
            <w:noWrap/>
            <w:vAlign w:val="center"/>
          </w:tcPr>
          <w:p w14:paraId="3193F75D">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restart"/>
            <w:shd w:val="clear" w:color="auto" w:fill="auto"/>
            <w:vAlign w:val="center"/>
          </w:tcPr>
          <w:p w14:paraId="563830C8">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台州市内推荐线路</w:t>
            </w:r>
          </w:p>
        </w:tc>
        <w:tc>
          <w:tcPr>
            <w:tcW w:w="770" w:type="dxa"/>
            <w:shd w:val="clear" w:color="auto" w:fill="auto"/>
            <w:noWrap/>
            <w:vAlign w:val="center"/>
          </w:tcPr>
          <w:p w14:paraId="18A2B6D8">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07" w:type="dxa"/>
            <w:shd w:val="clear" w:color="auto" w:fill="auto"/>
            <w:vAlign w:val="center"/>
          </w:tcPr>
          <w:p w14:paraId="7224712F">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临海 桃渚古城、江南长城、江南大峡谷 3 日游</w:t>
            </w:r>
          </w:p>
        </w:tc>
        <w:tc>
          <w:tcPr>
            <w:tcW w:w="1150" w:type="dxa"/>
            <w:shd w:val="clear" w:color="auto" w:fill="auto"/>
            <w:noWrap/>
            <w:vAlign w:val="center"/>
          </w:tcPr>
          <w:p w14:paraId="25760491">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28BADC63">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0D7570A4">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2A646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54B268D8">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2D443B61">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79956A8C">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07" w:type="dxa"/>
            <w:shd w:val="clear" w:color="auto" w:fill="auto"/>
            <w:vAlign w:val="center"/>
          </w:tcPr>
          <w:p w14:paraId="6439A7BF">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温岭 3 日游</w:t>
            </w:r>
          </w:p>
        </w:tc>
        <w:tc>
          <w:tcPr>
            <w:tcW w:w="1150" w:type="dxa"/>
            <w:shd w:val="clear" w:color="auto" w:fill="auto"/>
            <w:noWrap/>
            <w:vAlign w:val="center"/>
          </w:tcPr>
          <w:p w14:paraId="4C41400B">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37BAF7D0">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2E5C9578">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5FF62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28" w:hRule="atLeast"/>
          <w:jc w:val="center"/>
        </w:trPr>
        <w:tc>
          <w:tcPr>
            <w:tcW w:w="886" w:type="dxa"/>
            <w:vMerge w:val="continue"/>
            <w:shd w:val="clear" w:color="auto" w:fill="auto"/>
            <w:noWrap/>
            <w:vAlign w:val="center"/>
          </w:tcPr>
          <w:p w14:paraId="09BCBB4A">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6D1E2EF5">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415F3D9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07" w:type="dxa"/>
            <w:shd w:val="clear" w:color="auto" w:fill="auto"/>
            <w:vAlign w:val="center"/>
          </w:tcPr>
          <w:p w14:paraId="5ABC9D85">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天台山大瀑布、天台雪乐园、天台寒山多彩田园研学基地3日游</w:t>
            </w:r>
          </w:p>
        </w:tc>
        <w:tc>
          <w:tcPr>
            <w:tcW w:w="1150" w:type="dxa"/>
            <w:shd w:val="clear" w:color="auto" w:fill="auto"/>
            <w:noWrap/>
            <w:vAlign w:val="center"/>
          </w:tcPr>
          <w:p w14:paraId="31034A5C">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宋体" w:hAnsi="宋体" w:eastAsia="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422C68F9">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41039AFE">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r>
      <w:tr w14:paraId="0E146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24" w:hRule="atLeast"/>
          <w:jc w:val="center"/>
        </w:trPr>
        <w:tc>
          <w:tcPr>
            <w:tcW w:w="886" w:type="dxa"/>
            <w:vMerge w:val="continue"/>
            <w:shd w:val="clear" w:color="auto" w:fill="auto"/>
            <w:noWrap/>
            <w:vAlign w:val="center"/>
          </w:tcPr>
          <w:p w14:paraId="60B98D1A">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0A7EC410">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422C942F">
            <w:pPr>
              <w:keepNext w:val="0"/>
              <w:keepLines w:val="0"/>
              <w:widowControl/>
              <w:suppressLineNumbers w:val="0"/>
              <w:spacing w:line="240" w:lineRule="auto"/>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007" w:type="dxa"/>
            <w:shd w:val="clear" w:color="auto" w:fill="auto"/>
            <w:vAlign w:val="center"/>
          </w:tcPr>
          <w:p w14:paraId="1527E916">
            <w:pPr>
              <w:keepNext w:val="0"/>
              <w:keepLines w:val="0"/>
              <w:widowControl/>
              <w:suppressLineNumbers w:val="0"/>
              <w:spacing w:line="240" w:lineRule="auto"/>
              <w:jc w:val="left"/>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路桥飞龙山庄叙宴3日游</w:t>
            </w:r>
          </w:p>
        </w:tc>
        <w:tc>
          <w:tcPr>
            <w:tcW w:w="1150" w:type="dxa"/>
            <w:shd w:val="clear" w:color="auto" w:fill="auto"/>
            <w:noWrap/>
            <w:vAlign w:val="center"/>
          </w:tcPr>
          <w:p w14:paraId="7B881A3E">
            <w:pPr>
              <w:jc w:val="center"/>
              <w:rPr>
                <w:rFonts w:hint="default"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2000</w:t>
            </w:r>
          </w:p>
        </w:tc>
        <w:tc>
          <w:tcPr>
            <w:tcW w:w="1400" w:type="dxa"/>
            <w:vMerge w:val="continue"/>
            <w:shd w:val="clear" w:color="auto" w:fill="auto"/>
            <w:vAlign w:val="center"/>
          </w:tcPr>
          <w:p w14:paraId="07863C91">
            <w:pPr>
              <w:spacing w:line="240" w:lineRule="auto"/>
              <w:jc w:val="center"/>
              <w:rPr>
                <w:rFonts w:hint="eastAsia" w:asciiTheme="minorEastAsia" w:hAnsiTheme="minorEastAsia" w:eastAsiaTheme="minorEastAsia" w:cstheme="minorEastAsia"/>
                <w:i w:val="0"/>
                <w:iCs w:val="0"/>
                <w:color w:val="auto"/>
                <w:sz w:val="21"/>
                <w:szCs w:val="21"/>
                <w:highlight w:val="none"/>
                <w:u w:val="none"/>
              </w:rPr>
            </w:pPr>
          </w:p>
        </w:tc>
        <w:tc>
          <w:tcPr>
            <w:tcW w:w="1388" w:type="dxa"/>
            <w:vMerge w:val="continue"/>
            <w:shd w:val="clear" w:color="auto" w:fill="auto"/>
            <w:vAlign w:val="center"/>
          </w:tcPr>
          <w:p w14:paraId="20A7FBFF">
            <w:pPr>
              <w:spacing w:line="240" w:lineRule="auto"/>
              <w:jc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p>
        </w:tc>
      </w:tr>
    </w:tbl>
    <w:p w14:paraId="5E959028">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注：</w:t>
      </w:r>
    </w:p>
    <w:p w14:paraId="35A80876">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①如因区级以上政府政策调整，采购人有权调整线路，供应商必须无条件服从。</w:t>
      </w:r>
    </w:p>
    <w:p w14:paraId="00E62604">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②本招标采购文件内如未明确为哪个标项要求，即为所有标项的共同要求和内容，如已明示为哪个标项的具体要求，即按相关要求执行。</w:t>
      </w:r>
    </w:p>
    <w:p w14:paraId="3FC8A74B">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default" w:asciiTheme="minorEastAsia" w:hAnsiTheme="minorEastAsia" w:eastAsiaTheme="minorEastAsia" w:cstheme="minorEastAsia"/>
          <w:color w:val="auto"/>
          <w:sz w:val="21"/>
          <w:szCs w:val="21"/>
          <w:highlight w:val="none"/>
          <w:lang w:val="en-US" w:eastAsia="zh-CN"/>
        </w:rPr>
        <w:t>③</w:t>
      </w:r>
      <w:r>
        <w:rPr>
          <w:rFonts w:hint="eastAsia" w:asciiTheme="minorEastAsia" w:hAnsiTheme="minorEastAsia" w:eastAsiaTheme="minorEastAsia" w:cstheme="minorEastAsia"/>
          <w:color w:val="auto"/>
          <w:sz w:val="21"/>
          <w:szCs w:val="21"/>
          <w:highlight w:val="none"/>
          <w:lang w:val="en-US" w:eastAsia="zh-CN"/>
        </w:rPr>
        <w:t>标段一：人数以实际报名人数为准，最终按实结算。其中省内2000元/人线路费用不允许超出。省外线路</w:t>
      </w:r>
      <w:r>
        <w:rPr>
          <w:rFonts w:hint="eastAsia" w:asciiTheme="minorEastAsia" w:hAnsiTheme="minorEastAsia" w:eastAsiaTheme="minorEastAsia" w:cstheme="minorEastAsia"/>
          <w:b/>
          <w:bCs/>
          <w:color w:val="auto"/>
          <w:sz w:val="21"/>
          <w:szCs w:val="21"/>
          <w:highlight w:val="none"/>
          <w:lang w:val="en-US" w:eastAsia="zh-CN"/>
        </w:rPr>
        <w:t>（泉州3日游、南京3日游、厦门鼓浪屿、环岛路、南普陀、胡里山炮台纯玩三日游三条线路除外）</w:t>
      </w:r>
      <w:r>
        <w:rPr>
          <w:rFonts w:hint="eastAsia" w:asciiTheme="minorEastAsia" w:hAnsiTheme="minorEastAsia" w:eastAsiaTheme="minorEastAsia" w:cstheme="minorEastAsia"/>
          <w:color w:val="auto"/>
          <w:sz w:val="21"/>
          <w:szCs w:val="21"/>
          <w:highlight w:val="none"/>
          <w:lang w:val="en-US" w:eastAsia="zh-CN"/>
        </w:rPr>
        <w:t>费用允许超出，超出部分价格由职工本人负担即个人补差。</w:t>
      </w:r>
    </w:p>
    <w:p w14:paraId="5274FB7C">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④标段二：人数以实际报名人数为准，最终按实结算。其中省内2000元/人线路费用不允许超出。省外线路</w:t>
      </w:r>
      <w:r>
        <w:rPr>
          <w:rFonts w:hint="eastAsia" w:asciiTheme="minorEastAsia" w:hAnsiTheme="minorEastAsia" w:eastAsiaTheme="minorEastAsia" w:cstheme="minorEastAsia"/>
          <w:b/>
          <w:bCs/>
          <w:color w:val="auto"/>
          <w:sz w:val="21"/>
          <w:szCs w:val="21"/>
          <w:highlight w:val="none"/>
          <w:lang w:val="en-US" w:eastAsia="zh-CN"/>
        </w:rPr>
        <w:t>（福州、平潭岛度假3日游线路除外）</w:t>
      </w:r>
      <w:r>
        <w:rPr>
          <w:rFonts w:hint="eastAsia" w:asciiTheme="minorEastAsia" w:hAnsiTheme="minorEastAsia" w:eastAsiaTheme="minorEastAsia" w:cstheme="minorEastAsia"/>
          <w:color w:val="auto"/>
          <w:sz w:val="21"/>
          <w:szCs w:val="21"/>
          <w:highlight w:val="none"/>
          <w:lang w:val="en-US" w:eastAsia="zh-CN"/>
        </w:rPr>
        <w:t>费用允许超出，超出部分价格由职工本人负担即个人补差。</w:t>
      </w:r>
    </w:p>
    <w:p w14:paraId="2F08E2CA">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color w:val="auto"/>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⑤行程标项拟安排：</w:t>
      </w:r>
    </w:p>
    <w:p w14:paraId="41B8E0CC">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（1）中标服务单位组织人员活动、参观游览，行程安排要符合人员疗养，在确保安全的前提下力求做到动静结合，贴近需求。</w:t>
      </w:r>
    </w:p>
    <w:p w14:paraId="662E6331">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（2）要求：行程安排及景区参观路线可根据天气等实际情况征得采购方同意后调整。</w:t>
      </w:r>
    </w:p>
    <w:p w14:paraId="127FC578">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标项要求：各标段采购人不规定具体的线路，由供应商自行组织和安排。（注：供应商需详细说明线路、日程、景点、住宿、餐饮、车辆等情况。以我市对口支援（帮扶、合作）区域为重点，适当辐射周边，每条线路需包含一个对口支援（帮扶、合作）区域。需突出 “疗、休、养”主题、职工的体验度以及淡旺季的不同体现等。），同时此方案不作为采购人最终选定方案。最终方案中标供应商须与采购人沟通后再确认的为准。</w:t>
      </w:r>
    </w:p>
    <w:p w14:paraId="13EF3159">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（4）制定协助旅游的服务方案及旅游出行前的说明。</w:t>
      </w:r>
    </w:p>
    <w:p w14:paraId="03A3B16C">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（5）恶劣气候环境不安排职工疗休养活动。</w:t>
      </w:r>
    </w:p>
    <w:p w14:paraId="5E41DF7F">
      <w:pPr>
        <w:pStyle w:val="2"/>
        <w:rPr>
          <w:rFonts w:hint="default"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2、景点要求</w:t>
      </w:r>
    </w:p>
    <w:tbl>
      <w:tblPr>
        <w:tblStyle w:val="21"/>
        <w:tblW w:w="77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80"/>
        <w:gridCol w:w="865"/>
        <w:gridCol w:w="866"/>
        <w:gridCol w:w="1981"/>
        <w:gridCol w:w="3252"/>
      </w:tblGrid>
      <w:tr w14:paraId="0F7D2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8" w:hRule="atLeast"/>
          <w:jc w:val="center"/>
        </w:trPr>
        <w:tc>
          <w:tcPr>
            <w:tcW w:w="780" w:type="dxa"/>
            <w:shd w:val="clear" w:color="auto" w:fill="auto"/>
            <w:noWrap/>
            <w:vAlign w:val="center"/>
          </w:tcPr>
          <w:p w14:paraId="0E1E7BB0">
            <w:pPr>
              <w:rPr>
                <w:rFonts w:hint="eastAsia" w:asciiTheme="minorEastAsia" w:hAnsiTheme="minorEastAsia" w:eastAsiaTheme="minorEastAsia" w:cstheme="minorEastAsia"/>
                <w:i w:val="0"/>
                <w:iCs w:val="0"/>
                <w:color w:val="auto"/>
                <w:sz w:val="21"/>
                <w:szCs w:val="21"/>
                <w:highlight w:val="none"/>
                <w:u w:val="none"/>
              </w:rPr>
            </w:pPr>
          </w:p>
        </w:tc>
        <w:tc>
          <w:tcPr>
            <w:tcW w:w="865" w:type="dxa"/>
            <w:shd w:val="clear" w:color="auto" w:fill="auto"/>
            <w:vAlign w:val="center"/>
          </w:tcPr>
          <w:p w14:paraId="1FEAA80F">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区域</w:t>
            </w:r>
          </w:p>
        </w:tc>
        <w:tc>
          <w:tcPr>
            <w:tcW w:w="866" w:type="dxa"/>
            <w:shd w:val="clear" w:color="auto" w:fill="auto"/>
            <w:vAlign w:val="center"/>
          </w:tcPr>
          <w:p w14:paraId="48069382">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序号</w:t>
            </w:r>
          </w:p>
        </w:tc>
        <w:tc>
          <w:tcPr>
            <w:tcW w:w="1981" w:type="dxa"/>
            <w:shd w:val="clear" w:color="auto" w:fill="auto"/>
            <w:vAlign w:val="center"/>
          </w:tcPr>
          <w:p w14:paraId="1C71F337">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线路名</w:t>
            </w:r>
          </w:p>
        </w:tc>
        <w:tc>
          <w:tcPr>
            <w:tcW w:w="3252" w:type="dxa"/>
            <w:shd w:val="clear" w:color="auto" w:fill="auto"/>
            <w:vAlign w:val="center"/>
          </w:tcPr>
          <w:p w14:paraId="61B3AA57">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1"/>
                <w:szCs w:val="21"/>
                <w:highlight w:val="none"/>
                <w:u w:val="none"/>
                <w:lang w:val="en-US"/>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景点安排</w:t>
            </w:r>
          </w:p>
        </w:tc>
      </w:tr>
      <w:tr w14:paraId="5B7E3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47" w:hRule="atLeast"/>
          <w:jc w:val="center"/>
        </w:trPr>
        <w:tc>
          <w:tcPr>
            <w:tcW w:w="780" w:type="dxa"/>
            <w:vMerge w:val="restart"/>
            <w:shd w:val="clear" w:color="auto" w:fill="auto"/>
            <w:noWrap/>
            <w:vAlign w:val="center"/>
          </w:tcPr>
          <w:p w14:paraId="3B57908F">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标段一</w:t>
            </w:r>
          </w:p>
        </w:tc>
        <w:tc>
          <w:tcPr>
            <w:tcW w:w="865" w:type="dxa"/>
            <w:vMerge w:val="restart"/>
            <w:shd w:val="clear" w:color="auto" w:fill="auto"/>
            <w:vAlign w:val="center"/>
          </w:tcPr>
          <w:p w14:paraId="341732CB">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省外推荐线路</w:t>
            </w:r>
          </w:p>
        </w:tc>
        <w:tc>
          <w:tcPr>
            <w:tcW w:w="866" w:type="dxa"/>
            <w:shd w:val="clear" w:color="auto" w:fill="auto"/>
            <w:noWrap/>
            <w:vAlign w:val="center"/>
          </w:tcPr>
          <w:p w14:paraId="6E0E5ABA">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1</w:t>
            </w:r>
          </w:p>
        </w:tc>
        <w:tc>
          <w:tcPr>
            <w:tcW w:w="1981" w:type="dxa"/>
            <w:shd w:val="clear" w:color="auto" w:fill="auto"/>
            <w:vAlign w:val="center"/>
          </w:tcPr>
          <w:p w14:paraId="0DF492B7">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奇幻吉林6天游</w:t>
            </w:r>
          </w:p>
        </w:tc>
        <w:tc>
          <w:tcPr>
            <w:tcW w:w="3252" w:type="dxa"/>
            <w:shd w:val="clear" w:color="auto" w:fill="auto"/>
            <w:vAlign w:val="center"/>
          </w:tcPr>
          <w:p w14:paraId="36712BD5">
            <w:pPr>
              <w:keepNext w:val="0"/>
              <w:keepLines w:val="0"/>
              <w:widowControl/>
              <w:numPr>
                <w:ilvl w:val="0"/>
                <w:numId w:val="2"/>
              </w:numPr>
              <w:suppressLineNumbers w:val="0"/>
              <w:jc w:val="left"/>
              <w:textAlignment w:val="center"/>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伪满皇宫博物院</w:t>
            </w:r>
          </w:p>
          <w:p w14:paraId="4F60FC05">
            <w:pPr>
              <w:keepNext w:val="0"/>
              <w:keepLines w:val="0"/>
              <w:widowControl/>
              <w:numPr>
                <w:ilvl w:val="0"/>
                <w:numId w:val="2"/>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通化葡萄酒厂</w:t>
            </w:r>
          </w:p>
          <w:p w14:paraId="3C5E18ED">
            <w:pPr>
              <w:keepNext w:val="0"/>
              <w:keepLines w:val="0"/>
              <w:widowControl/>
              <w:numPr>
                <w:ilvl w:val="0"/>
                <w:numId w:val="2"/>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露水河国际狩猎场</w:t>
            </w:r>
          </w:p>
          <w:p w14:paraId="0C9A918A">
            <w:pPr>
              <w:keepNext w:val="0"/>
              <w:keepLines w:val="0"/>
              <w:widowControl/>
              <w:numPr>
                <w:ilvl w:val="0"/>
                <w:numId w:val="2"/>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矿泉水漂流</w:t>
            </w:r>
          </w:p>
          <w:p w14:paraId="2525DFD0">
            <w:pPr>
              <w:keepNext w:val="0"/>
              <w:keepLines w:val="0"/>
              <w:widowControl/>
              <w:numPr>
                <w:ilvl w:val="0"/>
                <w:numId w:val="2"/>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长白山北景区</w:t>
            </w:r>
          </w:p>
          <w:p w14:paraId="19522FD0">
            <w:pPr>
              <w:keepNext w:val="0"/>
              <w:keepLines w:val="0"/>
              <w:widowControl/>
              <w:numPr>
                <w:ilvl w:val="0"/>
                <w:numId w:val="2"/>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中国朝鲜民俗园</w:t>
            </w:r>
          </w:p>
        </w:tc>
      </w:tr>
      <w:tr w14:paraId="3B900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999" w:hRule="atLeast"/>
          <w:jc w:val="center"/>
        </w:trPr>
        <w:tc>
          <w:tcPr>
            <w:tcW w:w="780" w:type="dxa"/>
            <w:vMerge w:val="continue"/>
            <w:shd w:val="clear" w:color="auto" w:fill="auto"/>
            <w:noWrap/>
            <w:vAlign w:val="center"/>
          </w:tcPr>
          <w:p w14:paraId="1DB5879C">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p>
        </w:tc>
        <w:tc>
          <w:tcPr>
            <w:tcW w:w="865" w:type="dxa"/>
            <w:vMerge w:val="continue"/>
            <w:shd w:val="clear" w:color="auto" w:fill="auto"/>
            <w:vAlign w:val="center"/>
          </w:tcPr>
          <w:p w14:paraId="36ABA1C6">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p>
        </w:tc>
        <w:tc>
          <w:tcPr>
            <w:tcW w:w="866" w:type="dxa"/>
            <w:shd w:val="clear" w:color="auto" w:fill="auto"/>
            <w:noWrap/>
            <w:vAlign w:val="center"/>
          </w:tcPr>
          <w:p w14:paraId="2A1B3387">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2</w:t>
            </w:r>
          </w:p>
        </w:tc>
        <w:tc>
          <w:tcPr>
            <w:tcW w:w="1981" w:type="dxa"/>
            <w:shd w:val="clear" w:color="auto" w:fill="auto"/>
            <w:vAlign w:val="center"/>
          </w:tcPr>
          <w:p w14:paraId="3DFE86BD">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新疆那拉提独库双飞 7日+1日</w:t>
            </w:r>
          </w:p>
        </w:tc>
        <w:tc>
          <w:tcPr>
            <w:tcW w:w="3252" w:type="dxa"/>
            <w:shd w:val="clear" w:color="auto" w:fill="auto"/>
            <w:vAlign w:val="center"/>
          </w:tcPr>
          <w:p w14:paraId="46CFEE63">
            <w:pPr>
              <w:keepNext w:val="0"/>
              <w:keepLines w:val="0"/>
              <w:widowControl/>
              <w:numPr>
                <w:ilvl w:val="0"/>
                <w:numId w:val="3"/>
              </w:numPr>
              <w:suppressLineNumbers w:val="0"/>
              <w:jc w:val="left"/>
              <w:textAlignment w:val="center"/>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阿拉尔</w:t>
            </w:r>
          </w:p>
          <w:p w14:paraId="57E608D9">
            <w:pPr>
              <w:keepNext w:val="0"/>
              <w:keepLines w:val="0"/>
              <w:widowControl/>
              <w:numPr>
                <w:ilvl w:val="0"/>
                <w:numId w:val="3"/>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阿克苏三五九旅纪念馆</w:t>
            </w:r>
          </w:p>
          <w:p w14:paraId="77108AE3">
            <w:pPr>
              <w:keepNext w:val="0"/>
              <w:keepLines w:val="0"/>
              <w:widowControl/>
              <w:numPr>
                <w:ilvl w:val="0"/>
                <w:numId w:val="3"/>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沙漠之门</w:t>
            </w:r>
          </w:p>
          <w:p w14:paraId="2E7CAB8A">
            <w:pPr>
              <w:keepNext w:val="0"/>
              <w:keepLines w:val="0"/>
              <w:widowControl/>
              <w:numPr>
                <w:ilvl w:val="0"/>
                <w:numId w:val="3"/>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阿拉尔丝路沙海湾影视基地</w:t>
            </w:r>
          </w:p>
          <w:p w14:paraId="7829195B">
            <w:pPr>
              <w:keepNext w:val="0"/>
              <w:keepLines w:val="0"/>
              <w:widowControl/>
              <w:numPr>
                <w:ilvl w:val="0"/>
                <w:numId w:val="3"/>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篝火晚会</w:t>
            </w:r>
          </w:p>
          <w:p w14:paraId="1F67B385">
            <w:pPr>
              <w:keepNext w:val="0"/>
              <w:keepLines w:val="0"/>
              <w:widowControl/>
              <w:numPr>
                <w:ilvl w:val="0"/>
                <w:numId w:val="3"/>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温宿大峡谷</w:t>
            </w:r>
          </w:p>
          <w:p w14:paraId="6601F260">
            <w:pPr>
              <w:keepNext w:val="0"/>
              <w:keepLines w:val="0"/>
              <w:widowControl/>
              <w:numPr>
                <w:ilvl w:val="0"/>
                <w:numId w:val="3"/>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库车王府</w:t>
            </w:r>
          </w:p>
          <w:p w14:paraId="5BB553CA">
            <w:pPr>
              <w:keepNext w:val="0"/>
              <w:keepLines w:val="0"/>
              <w:widowControl/>
              <w:numPr>
                <w:ilvl w:val="0"/>
                <w:numId w:val="3"/>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巴音布鲁克草原</w:t>
            </w:r>
          </w:p>
          <w:p w14:paraId="00C8B565">
            <w:pPr>
              <w:keepNext w:val="0"/>
              <w:keepLines w:val="0"/>
              <w:widowControl/>
              <w:numPr>
                <w:ilvl w:val="0"/>
                <w:numId w:val="3"/>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那拉提空中草原</w:t>
            </w:r>
          </w:p>
          <w:p w14:paraId="7B48B1FD">
            <w:pPr>
              <w:keepNext w:val="0"/>
              <w:keepLines w:val="0"/>
              <w:widowControl/>
              <w:numPr>
                <w:ilvl w:val="0"/>
                <w:numId w:val="3"/>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赛里木湖+区间车</w:t>
            </w:r>
          </w:p>
        </w:tc>
      </w:tr>
      <w:tr w14:paraId="26869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97" w:hRule="atLeast"/>
          <w:jc w:val="center"/>
        </w:trPr>
        <w:tc>
          <w:tcPr>
            <w:tcW w:w="780" w:type="dxa"/>
            <w:vMerge w:val="continue"/>
            <w:shd w:val="clear" w:color="auto" w:fill="auto"/>
            <w:noWrap/>
            <w:vAlign w:val="center"/>
          </w:tcPr>
          <w:p w14:paraId="02D379B3">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p>
        </w:tc>
        <w:tc>
          <w:tcPr>
            <w:tcW w:w="865" w:type="dxa"/>
            <w:vMerge w:val="continue"/>
            <w:shd w:val="clear" w:color="auto" w:fill="auto"/>
            <w:vAlign w:val="center"/>
          </w:tcPr>
          <w:p w14:paraId="3CD0F674">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p>
        </w:tc>
        <w:tc>
          <w:tcPr>
            <w:tcW w:w="866" w:type="dxa"/>
            <w:shd w:val="clear" w:color="auto" w:fill="auto"/>
            <w:noWrap/>
            <w:vAlign w:val="center"/>
          </w:tcPr>
          <w:p w14:paraId="289D2C13">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3</w:t>
            </w:r>
          </w:p>
        </w:tc>
        <w:tc>
          <w:tcPr>
            <w:tcW w:w="1981" w:type="dxa"/>
            <w:shd w:val="clear" w:color="auto" w:fill="auto"/>
            <w:vAlign w:val="center"/>
          </w:tcPr>
          <w:p w14:paraId="09115BA9">
            <w:pPr>
              <w:keepNext w:val="0"/>
              <w:keepLines w:val="0"/>
              <w:widowControl/>
              <w:suppressLineNumbers w:val="0"/>
              <w:jc w:val="center"/>
              <w:textAlignment w:val="top"/>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西宁茫崖6日游</w:t>
            </w:r>
          </w:p>
        </w:tc>
        <w:tc>
          <w:tcPr>
            <w:tcW w:w="3252" w:type="dxa"/>
            <w:shd w:val="clear" w:color="auto" w:fill="auto"/>
            <w:vAlign w:val="center"/>
          </w:tcPr>
          <w:p w14:paraId="713C3BF3">
            <w:pPr>
              <w:keepNext w:val="0"/>
              <w:keepLines w:val="0"/>
              <w:widowControl/>
              <w:numPr>
                <w:ilvl w:val="0"/>
                <w:numId w:val="4"/>
              </w:numPr>
              <w:suppressLineNumbers w:val="0"/>
              <w:jc w:val="left"/>
              <w:textAlignment w:val="top"/>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sz w:val="21"/>
                <w:szCs w:val="21"/>
                <w:highlight w:val="none"/>
                <w:u w:val="none"/>
              </w:rPr>
              <w:t>兰州</w:t>
            </w:r>
          </w:p>
          <w:p w14:paraId="7D121A86">
            <w:pPr>
              <w:keepNext w:val="0"/>
              <w:keepLines w:val="0"/>
              <w:widowControl/>
              <w:numPr>
                <w:ilvl w:val="0"/>
                <w:numId w:val="4"/>
              </w:numPr>
              <w:suppressLineNumbers w:val="0"/>
              <w:jc w:val="left"/>
              <w:textAlignment w:val="top"/>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sz w:val="21"/>
                <w:szCs w:val="21"/>
                <w:highlight w:val="none"/>
                <w:u w:val="none"/>
              </w:rPr>
              <w:t>青海湖</w:t>
            </w:r>
          </w:p>
          <w:p w14:paraId="26E0CB0E">
            <w:pPr>
              <w:keepNext w:val="0"/>
              <w:keepLines w:val="0"/>
              <w:widowControl/>
              <w:numPr>
                <w:ilvl w:val="0"/>
                <w:numId w:val="4"/>
              </w:numPr>
              <w:suppressLineNumbers w:val="0"/>
              <w:jc w:val="left"/>
              <w:textAlignment w:val="top"/>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sz w:val="21"/>
                <w:szCs w:val="21"/>
                <w:highlight w:val="none"/>
                <w:u w:val="none"/>
              </w:rPr>
              <w:t>茶卡、德令哈</w:t>
            </w:r>
          </w:p>
          <w:p w14:paraId="63BE3906">
            <w:pPr>
              <w:keepNext w:val="0"/>
              <w:keepLines w:val="0"/>
              <w:widowControl/>
              <w:numPr>
                <w:ilvl w:val="0"/>
                <w:numId w:val="4"/>
              </w:numPr>
              <w:suppressLineNumbers w:val="0"/>
              <w:jc w:val="left"/>
              <w:textAlignment w:val="top"/>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sz w:val="21"/>
                <w:szCs w:val="21"/>
                <w:highlight w:val="none"/>
                <w:u w:val="none"/>
              </w:rPr>
              <w:t>茫崖</w:t>
            </w:r>
          </w:p>
          <w:p w14:paraId="337105F6">
            <w:pPr>
              <w:keepNext w:val="0"/>
              <w:keepLines w:val="0"/>
              <w:widowControl/>
              <w:numPr>
                <w:ilvl w:val="0"/>
                <w:numId w:val="4"/>
              </w:numPr>
              <w:suppressLineNumbers w:val="0"/>
              <w:jc w:val="left"/>
              <w:textAlignment w:val="top"/>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sz w:val="21"/>
                <w:szCs w:val="21"/>
                <w:highlight w:val="none"/>
                <w:u w:val="none"/>
              </w:rPr>
              <w:t>西宁</w:t>
            </w:r>
          </w:p>
        </w:tc>
      </w:tr>
    </w:tbl>
    <w:p w14:paraId="4DC33A7E">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p>
    <w:tbl>
      <w:tblPr>
        <w:tblStyle w:val="21"/>
        <w:tblW w:w="791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23"/>
        <w:gridCol w:w="912"/>
        <w:gridCol w:w="913"/>
        <w:gridCol w:w="2089"/>
        <w:gridCol w:w="3182"/>
      </w:tblGrid>
      <w:tr w14:paraId="63709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3" w:hRule="atLeast"/>
          <w:jc w:val="center"/>
        </w:trPr>
        <w:tc>
          <w:tcPr>
            <w:tcW w:w="823"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1C584F41">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2DF0D">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区域</w:t>
            </w:r>
          </w:p>
        </w:tc>
        <w:tc>
          <w:tcPr>
            <w:tcW w:w="9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4F69E">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序号</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A25A0">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线路名</w:t>
            </w:r>
          </w:p>
        </w:tc>
        <w:tc>
          <w:tcPr>
            <w:tcW w:w="31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F7A8A">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景点安排</w:t>
            </w:r>
          </w:p>
        </w:tc>
      </w:tr>
      <w:tr w14:paraId="46610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2" w:hRule="atLeast"/>
          <w:jc w:val="center"/>
        </w:trPr>
        <w:tc>
          <w:tcPr>
            <w:tcW w:w="823"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14:paraId="28877C42">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标段二</w:t>
            </w:r>
          </w:p>
        </w:tc>
        <w:tc>
          <w:tcPr>
            <w:tcW w:w="9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9C54F5">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省外推荐线路</w:t>
            </w:r>
          </w:p>
        </w:tc>
        <w:tc>
          <w:tcPr>
            <w:tcW w:w="9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13091">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29D6F">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天空之城(成都稻城亚丁）三飞 8 日</w:t>
            </w:r>
          </w:p>
        </w:tc>
        <w:tc>
          <w:tcPr>
            <w:tcW w:w="31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02730">
            <w:pPr>
              <w:keepNext w:val="0"/>
              <w:keepLines w:val="0"/>
              <w:widowControl/>
              <w:numPr>
                <w:ilvl w:val="0"/>
                <w:numId w:val="5"/>
              </w:numPr>
              <w:suppressLineNumbers w:val="0"/>
              <w:jc w:val="left"/>
              <w:textAlignment w:val="center"/>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双桥沟</w:t>
            </w:r>
          </w:p>
          <w:p w14:paraId="71A14438">
            <w:pPr>
              <w:keepNext w:val="0"/>
              <w:keepLines w:val="0"/>
              <w:widowControl/>
              <w:numPr>
                <w:ilvl w:val="0"/>
                <w:numId w:val="5"/>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甲居藏寨</w:t>
            </w:r>
          </w:p>
          <w:p w14:paraId="51099B51">
            <w:pPr>
              <w:keepNext w:val="0"/>
              <w:keepLines w:val="0"/>
              <w:widowControl/>
              <w:numPr>
                <w:ilvl w:val="0"/>
                <w:numId w:val="5"/>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格萨尔王城</w:t>
            </w:r>
          </w:p>
          <w:p w14:paraId="28D2E618">
            <w:pPr>
              <w:keepNext w:val="0"/>
              <w:keepLines w:val="0"/>
              <w:widowControl/>
              <w:numPr>
                <w:ilvl w:val="0"/>
                <w:numId w:val="5"/>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措卡湖</w:t>
            </w:r>
          </w:p>
          <w:p w14:paraId="24DE3369">
            <w:pPr>
              <w:keepNext w:val="0"/>
              <w:keepLines w:val="0"/>
              <w:widowControl/>
              <w:numPr>
                <w:ilvl w:val="0"/>
                <w:numId w:val="5"/>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勒通古镇</w:t>
            </w:r>
          </w:p>
          <w:p w14:paraId="704084E1">
            <w:pPr>
              <w:keepNext w:val="0"/>
              <w:keepLines w:val="0"/>
              <w:widowControl/>
              <w:numPr>
                <w:ilvl w:val="0"/>
                <w:numId w:val="5"/>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长青春科尔寺</w:t>
            </w:r>
          </w:p>
          <w:p w14:paraId="20463022">
            <w:pPr>
              <w:keepNext w:val="0"/>
              <w:keepLines w:val="0"/>
              <w:widowControl/>
              <w:numPr>
                <w:ilvl w:val="0"/>
                <w:numId w:val="5"/>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稻城亚丁</w:t>
            </w:r>
          </w:p>
        </w:tc>
      </w:tr>
      <w:tr w14:paraId="7060A8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3" w:hRule="atLeast"/>
          <w:jc w:val="center"/>
        </w:trPr>
        <w:tc>
          <w:tcPr>
            <w:tcW w:w="823" w:type="dxa"/>
            <w:vMerge w:val="continue"/>
            <w:tcBorders>
              <w:left w:val="single" w:color="000000" w:sz="4" w:space="0"/>
              <w:right w:val="single" w:color="000000" w:sz="4" w:space="0"/>
            </w:tcBorders>
            <w:shd w:val="clear" w:color="auto" w:fill="auto"/>
            <w:noWrap/>
            <w:vAlign w:val="center"/>
          </w:tcPr>
          <w:p w14:paraId="12A926F4">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p>
        </w:tc>
        <w:tc>
          <w:tcPr>
            <w:tcW w:w="912" w:type="dxa"/>
            <w:vMerge w:val="continue"/>
            <w:tcBorders>
              <w:left w:val="single" w:color="000000" w:sz="4" w:space="0"/>
              <w:right w:val="single" w:color="000000" w:sz="4" w:space="0"/>
            </w:tcBorders>
            <w:shd w:val="clear" w:color="auto" w:fill="auto"/>
            <w:vAlign w:val="center"/>
          </w:tcPr>
          <w:p w14:paraId="3D45BD34">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p>
        </w:tc>
        <w:tc>
          <w:tcPr>
            <w:tcW w:w="9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AEFA2">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2</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B0EFF">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北疆9日</w:t>
            </w:r>
          </w:p>
        </w:tc>
        <w:tc>
          <w:tcPr>
            <w:tcW w:w="31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8C2AC">
            <w:pPr>
              <w:keepNext w:val="0"/>
              <w:keepLines w:val="0"/>
              <w:widowControl/>
              <w:numPr>
                <w:ilvl w:val="0"/>
                <w:numId w:val="6"/>
              </w:numPr>
              <w:suppressLineNumbers w:val="0"/>
              <w:jc w:val="left"/>
              <w:textAlignment w:val="center"/>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乌市---S21沙漠公路--北屯</w:t>
            </w:r>
          </w:p>
          <w:p w14:paraId="4D5258C5">
            <w:pPr>
              <w:keepNext w:val="0"/>
              <w:keepLines w:val="0"/>
              <w:widowControl/>
              <w:numPr>
                <w:ilvl w:val="0"/>
                <w:numId w:val="6"/>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喀纳斯</w:t>
            </w:r>
          </w:p>
          <w:p w14:paraId="43436682">
            <w:pPr>
              <w:keepNext w:val="0"/>
              <w:keepLines w:val="0"/>
              <w:widowControl/>
              <w:numPr>
                <w:ilvl w:val="0"/>
                <w:numId w:val="6"/>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禾木</w:t>
            </w:r>
          </w:p>
          <w:p w14:paraId="38370245">
            <w:pPr>
              <w:keepNext w:val="0"/>
              <w:keepLines w:val="0"/>
              <w:widowControl/>
              <w:numPr>
                <w:ilvl w:val="0"/>
                <w:numId w:val="6"/>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魔鬼城</w:t>
            </w:r>
          </w:p>
          <w:p w14:paraId="73C0670F">
            <w:pPr>
              <w:keepNext w:val="0"/>
              <w:keepLines w:val="0"/>
              <w:widowControl/>
              <w:numPr>
                <w:ilvl w:val="0"/>
                <w:numId w:val="6"/>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赛里木湖</w:t>
            </w:r>
          </w:p>
          <w:p w14:paraId="4FB2BB0D">
            <w:pPr>
              <w:keepNext w:val="0"/>
              <w:keepLines w:val="0"/>
              <w:widowControl/>
              <w:numPr>
                <w:ilvl w:val="0"/>
                <w:numId w:val="6"/>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果子沟大桥</w:t>
            </w:r>
          </w:p>
          <w:p w14:paraId="75CDBCE2">
            <w:pPr>
              <w:keepNext w:val="0"/>
              <w:keepLines w:val="0"/>
              <w:widowControl/>
              <w:numPr>
                <w:ilvl w:val="0"/>
                <w:numId w:val="6"/>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霍城熏衣草基地</w:t>
            </w:r>
          </w:p>
          <w:p w14:paraId="043152F0">
            <w:pPr>
              <w:keepNext w:val="0"/>
              <w:keepLines w:val="0"/>
              <w:widowControl/>
              <w:numPr>
                <w:ilvl w:val="0"/>
                <w:numId w:val="6"/>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那拉提</w:t>
            </w:r>
          </w:p>
          <w:p w14:paraId="2B591EE9">
            <w:pPr>
              <w:keepNext w:val="0"/>
              <w:keepLines w:val="0"/>
              <w:widowControl/>
              <w:numPr>
                <w:ilvl w:val="0"/>
                <w:numId w:val="6"/>
              </w:numPr>
              <w:suppressLineNumbers w:val="0"/>
              <w:jc w:val="left"/>
              <w:textAlignment w:val="center"/>
              <w:rPr>
                <w:rFonts w:hint="eastAsia" w:asciiTheme="minorEastAsia" w:hAnsiTheme="minorEastAsia" w:eastAsiaTheme="minorEastAsia" w:cstheme="minorEastAsia"/>
                <w:i w:val="0"/>
                <w:iCs w:val="0"/>
                <w:color w:val="auto"/>
                <w:kern w:val="2"/>
                <w:sz w:val="21"/>
                <w:szCs w:val="21"/>
                <w:highlight w:val="none"/>
                <w:u w:val="none"/>
                <w:lang w:val="en-US" w:eastAsia="zh-CN" w:bidi="ar-SA"/>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独库公路返回乌鲁木齐</w:t>
            </w:r>
          </w:p>
        </w:tc>
      </w:tr>
      <w:tr w14:paraId="64BAFF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2" w:hRule="atLeast"/>
          <w:jc w:val="center"/>
        </w:trPr>
        <w:tc>
          <w:tcPr>
            <w:tcW w:w="823" w:type="dxa"/>
            <w:vMerge w:val="continue"/>
            <w:tcBorders>
              <w:left w:val="single" w:color="000000" w:sz="4" w:space="0"/>
              <w:right w:val="single" w:color="000000" w:sz="4" w:space="0"/>
            </w:tcBorders>
            <w:shd w:val="clear" w:color="auto" w:fill="auto"/>
            <w:noWrap/>
            <w:vAlign w:val="center"/>
          </w:tcPr>
          <w:p w14:paraId="1B7291F1">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p>
        </w:tc>
        <w:tc>
          <w:tcPr>
            <w:tcW w:w="912" w:type="dxa"/>
            <w:vMerge w:val="continue"/>
            <w:tcBorders>
              <w:left w:val="single" w:color="000000" w:sz="4" w:space="0"/>
              <w:right w:val="single" w:color="000000" w:sz="4" w:space="0"/>
            </w:tcBorders>
            <w:shd w:val="clear" w:color="auto" w:fill="auto"/>
            <w:vAlign w:val="center"/>
          </w:tcPr>
          <w:p w14:paraId="3CA10FE3">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p>
        </w:tc>
        <w:tc>
          <w:tcPr>
            <w:tcW w:w="9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D3344">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3</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2D189">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重庆5日游</w:t>
            </w:r>
          </w:p>
        </w:tc>
        <w:tc>
          <w:tcPr>
            <w:tcW w:w="31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8C490">
            <w:pPr>
              <w:keepNext w:val="0"/>
              <w:keepLines w:val="0"/>
              <w:widowControl/>
              <w:numPr>
                <w:ilvl w:val="0"/>
                <w:numId w:val="7"/>
              </w:numPr>
              <w:suppressLineNumbers w:val="0"/>
              <w:jc w:val="left"/>
              <w:textAlignment w:val="center"/>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涪陵</w:t>
            </w:r>
          </w:p>
          <w:p w14:paraId="2FC1E394">
            <w:pPr>
              <w:keepNext w:val="0"/>
              <w:keepLines w:val="0"/>
              <w:widowControl/>
              <w:numPr>
                <w:ilvl w:val="0"/>
                <w:numId w:val="7"/>
              </w:numPr>
              <w:suppressLineNumbers w:val="0"/>
              <w:jc w:val="left"/>
              <w:textAlignment w:val="center"/>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白鹤梁水下博物馆</w:t>
            </w:r>
          </w:p>
          <w:p w14:paraId="3DA25F56">
            <w:pPr>
              <w:keepNext w:val="0"/>
              <w:keepLines w:val="0"/>
              <w:widowControl/>
              <w:numPr>
                <w:ilvl w:val="0"/>
                <w:numId w:val="7"/>
              </w:numPr>
              <w:suppressLineNumbers w:val="0"/>
              <w:jc w:val="left"/>
              <w:textAlignment w:val="center"/>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洪岩洞等</w:t>
            </w:r>
          </w:p>
          <w:p w14:paraId="53FE212E">
            <w:pPr>
              <w:keepNext w:val="0"/>
              <w:keepLines w:val="0"/>
              <w:widowControl/>
              <w:numPr>
                <w:ilvl w:val="0"/>
                <w:numId w:val="7"/>
              </w:numPr>
              <w:suppressLineNumbers w:val="0"/>
              <w:jc w:val="left"/>
              <w:textAlignment w:val="center"/>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自由活动</w:t>
            </w:r>
          </w:p>
        </w:tc>
      </w:tr>
      <w:tr w14:paraId="048DBB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2" w:hRule="atLeast"/>
          <w:jc w:val="center"/>
        </w:trPr>
        <w:tc>
          <w:tcPr>
            <w:tcW w:w="823"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14:paraId="1EC96066">
            <w:pPr>
              <w:jc w:val="center"/>
              <w:rPr>
                <w:rFonts w:hint="eastAsia" w:asciiTheme="minorEastAsia" w:hAnsiTheme="minorEastAsia" w:eastAsiaTheme="minorEastAsia" w:cstheme="minorEastAsia"/>
                <w:b/>
                <w:bCs/>
                <w:i w:val="0"/>
                <w:iCs w:val="0"/>
                <w:color w:val="auto"/>
                <w:sz w:val="21"/>
                <w:szCs w:val="21"/>
                <w:highlight w:val="none"/>
                <w:u w:val="none"/>
              </w:rPr>
            </w:pPr>
          </w:p>
        </w:tc>
        <w:tc>
          <w:tcPr>
            <w:tcW w:w="9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B70DBB">
            <w:pPr>
              <w:jc w:val="center"/>
              <w:rPr>
                <w:rFonts w:hint="eastAsia" w:asciiTheme="minorEastAsia" w:hAnsiTheme="minorEastAsia" w:eastAsiaTheme="minorEastAsia" w:cstheme="minorEastAsia"/>
                <w:b/>
                <w:bCs/>
                <w:i w:val="0"/>
                <w:iCs w:val="0"/>
                <w:color w:val="auto"/>
                <w:sz w:val="21"/>
                <w:szCs w:val="21"/>
                <w:highlight w:val="none"/>
                <w:u w:val="none"/>
              </w:rPr>
            </w:pPr>
          </w:p>
        </w:tc>
        <w:tc>
          <w:tcPr>
            <w:tcW w:w="9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CFB31">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4</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0E97D">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成都、九寨、黄龙溪古镇、武侯祠双飞双高 5 日疗</w:t>
            </w:r>
          </w:p>
        </w:tc>
        <w:tc>
          <w:tcPr>
            <w:tcW w:w="31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5D3AF">
            <w:pPr>
              <w:keepNext w:val="0"/>
              <w:keepLines w:val="0"/>
              <w:widowControl/>
              <w:numPr>
                <w:ilvl w:val="0"/>
                <w:numId w:val="8"/>
              </w:numPr>
              <w:suppressLineNumbers w:val="0"/>
              <w:jc w:val="left"/>
              <w:textAlignment w:val="center"/>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成都大熊猫基地</w:t>
            </w:r>
          </w:p>
          <w:p w14:paraId="18E9BA0E">
            <w:pPr>
              <w:keepNext w:val="0"/>
              <w:keepLines w:val="0"/>
              <w:widowControl/>
              <w:numPr>
                <w:ilvl w:val="0"/>
                <w:numId w:val="8"/>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九寨沟风景区</w:t>
            </w:r>
          </w:p>
          <w:p w14:paraId="20E91292">
            <w:pPr>
              <w:keepNext w:val="0"/>
              <w:keepLines w:val="0"/>
              <w:widowControl/>
              <w:numPr>
                <w:ilvl w:val="0"/>
                <w:numId w:val="8"/>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自由活动</w:t>
            </w:r>
          </w:p>
          <w:p w14:paraId="1399C263">
            <w:pPr>
              <w:keepNext w:val="0"/>
              <w:keepLines w:val="0"/>
              <w:widowControl/>
              <w:numPr>
                <w:ilvl w:val="0"/>
                <w:numId w:val="8"/>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黄龙溪古镇</w:t>
            </w:r>
          </w:p>
        </w:tc>
      </w:tr>
      <w:tr w14:paraId="6A5D70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4" w:hRule="atLeast"/>
          <w:jc w:val="center"/>
        </w:trPr>
        <w:tc>
          <w:tcPr>
            <w:tcW w:w="823"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14:paraId="5C5905A8">
            <w:pPr>
              <w:jc w:val="center"/>
              <w:rPr>
                <w:rFonts w:hint="eastAsia" w:asciiTheme="minorEastAsia" w:hAnsiTheme="minorEastAsia" w:eastAsiaTheme="minorEastAsia" w:cstheme="minorEastAsia"/>
                <w:b/>
                <w:bCs/>
                <w:i w:val="0"/>
                <w:iCs w:val="0"/>
                <w:color w:val="auto"/>
                <w:sz w:val="21"/>
                <w:szCs w:val="21"/>
                <w:highlight w:val="none"/>
                <w:u w:val="none"/>
              </w:rPr>
            </w:pPr>
          </w:p>
        </w:tc>
        <w:tc>
          <w:tcPr>
            <w:tcW w:w="9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53796D">
            <w:pPr>
              <w:jc w:val="center"/>
              <w:rPr>
                <w:rFonts w:hint="eastAsia" w:asciiTheme="minorEastAsia" w:hAnsiTheme="minorEastAsia" w:eastAsiaTheme="minorEastAsia" w:cstheme="minorEastAsia"/>
                <w:b/>
                <w:bCs/>
                <w:i w:val="0"/>
                <w:iCs w:val="0"/>
                <w:color w:val="auto"/>
                <w:sz w:val="21"/>
                <w:szCs w:val="21"/>
                <w:highlight w:val="none"/>
                <w:u w:val="none"/>
              </w:rPr>
            </w:pPr>
          </w:p>
        </w:tc>
        <w:tc>
          <w:tcPr>
            <w:tcW w:w="9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9F34D">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cstheme="minorEastAsia"/>
                <w:b/>
                <w:bCs/>
                <w:i w:val="0"/>
                <w:iCs w:val="0"/>
                <w:color w:val="auto"/>
                <w:kern w:val="0"/>
                <w:sz w:val="21"/>
                <w:szCs w:val="21"/>
                <w:highlight w:val="none"/>
                <w:u w:val="none"/>
                <w:lang w:val="en-US" w:eastAsia="zh-CN" w:bidi="ar"/>
              </w:rPr>
              <w:t>5</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72F9A">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黄山四日游</w:t>
            </w:r>
          </w:p>
        </w:tc>
        <w:tc>
          <w:tcPr>
            <w:tcW w:w="31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449CF">
            <w:pPr>
              <w:keepNext w:val="0"/>
              <w:keepLines w:val="0"/>
              <w:widowControl/>
              <w:numPr>
                <w:ilvl w:val="0"/>
                <w:numId w:val="9"/>
              </w:numPr>
              <w:suppressLineNumbers w:val="0"/>
              <w:jc w:val="left"/>
              <w:textAlignment w:val="center"/>
              <w:rPr>
                <w:rFonts w:hint="eastAsia" w:asciiTheme="minorEastAsia" w:hAnsiTheme="minorEastAsia" w:eastAsiaTheme="minorEastAsia" w:cstheme="minorEastAsia"/>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徽州古城</w:t>
            </w:r>
          </w:p>
          <w:p w14:paraId="5BC58344">
            <w:pPr>
              <w:keepNext w:val="0"/>
              <w:keepLines w:val="0"/>
              <w:widowControl/>
              <w:numPr>
                <w:ilvl w:val="0"/>
                <w:numId w:val="9"/>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屯溪老街</w:t>
            </w:r>
          </w:p>
          <w:p w14:paraId="0117D060">
            <w:pPr>
              <w:keepNext w:val="0"/>
              <w:keepLines w:val="0"/>
              <w:widowControl/>
              <w:numPr>
                <w:ilvl w:val="0"/>
                <w:numId w:val="9"/>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黄山风景区(</w:t>
            </w: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（须包含上下缆车</w:t>
            </w: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、景区环保车）</w:t>
            </w:r>
          </w:p>
          <w:p w14:paraId="64510A65">
            <w:pPr>
              <w:keepNext w:val="0"/>
              <w:keepLines w:val="0"/>
              <w:widowControl/>
              <w:numPr>
                <w:ilvl w:val="0"/>
                <w:numId w:val="9"/>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水墨宏村</w:t>
            </w:r>
          </w:p>
          <w:p w14:paraId="6B7499F4">
            <w:pPr>
              <w:keepNext w:val="0"/>
              <w:keepLines w:val="0"/>
              <w:widowControl/>
              <w:numPr>
                <w:ilvl w:val="0"/>
                <w:numId w:val="9"/>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南屏古村&amp;田园花海</w:t>
            </w:r>
          </w:p>
          <w:p w14:paraId="6610D9CF">
            <w:pPr>
              <w:keepNext w:val="0"/>
              <w:keepLines w:val="0"/>
              <w:widowControl/>
              <w:numPr>
                <w:ilvl w:val="0"/>
                <w:numId w:val="9"/>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陶渊明故居-守拙园</w:t>
            </w:r>
          </w:p>
          <w:p w14:paraId="4365AD51">
            <w:pPr>
              <w:keepNext w:val="0"/>
              <w:keepLines w:val="0"/>
              <w:widowControl/>
              <w:numPr>
                <w:ilvl w:val="0"/>
                <w:numId w:val="9"/>
              </w:numPr>
              <w:suppressLineNumbers w:val="0"/>
              <w:jc w:val="left"/>
              <w:textAlignment w:val="center"/>
              <w:rPr>
                <w:rFonts w:hint="eastAsia" w:asciiTheme="minorEastAsia" w:hAnsiTheme="minorEastAsia" w:eastAsiaTheme="minorEastAsia" w:cstheme="minorEastAsia"/>
                <w:i w:val="0"/>
                <w:iCs w:val="0"/>
                <w:color w:val="auto"/>
                <w:sz w:val="21"/>
                <w:szCs w:val="21"/>
                <w:highlight w:val="none"/>
                <w:u w:val="none"/>
              </w:rPr>
            </w:pP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新安江山水画廊</w:t>
            </w:r>
          </w:p>
        </w:tc>
      </w:tr>
    </w:tbl>
    <w:p w14:paraId="7FF39F2A">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outlineLvl w:val="1"/>
        <w:rPr>
          <w:rFonts w:hint="default"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注：供应商提供的旅行方案必须包括以上所列景点。</w:t>
      </w:r>
    </w:p>
    <w:p w14:paraId="60328E00">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三、采购内容及要求</w:t>
      </w:r>
    </w:p>
    <w:p w14:paraId="5E9208C4">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针对本项目要求供应商拟派出的服务人员须持有导游资格证书，其它人员亦要求具有相应的执业资格。</w:t>
      </w:r>
    </w:p>
    <w:p w14:paraId="0E8ED7BD">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b/>
          <w:bCs w:val="0"/>
          <w:color w:val="auto"/>
          <w:sz w:val="21"/>
          <w:szCs w:val="21"/>
          <w:highlight w:val="none"/>
          <w:u w:val="single"/>
        </w:rPr>
      </w:pPr>
      <w:r>
        <w:rPr>
          <w:rFonts w:hint="eastAsia" w:asciiTheme="minorEastAsia" w:hAnsiTheme="minorEastAsia" w:eastAsiaTheme="minorEastAsia" w:cstheme="minorEastAsia"/>
          <w:b w:val="0"/>
          <w:bCs/>
          <w:color w:val="auto"/>
          <w:sz w:val="21"/>
          <w:szCs w:val="21"/>
          <w:highlight w:val="none"/>
          <w:u w:val="none"/>
          <w:lang w:val="en-US" w:eastAsia="zh-CN"/>
        </w:rPr>
        <w:t>2、</w:t>
      </w:r>
      <w:r>
        <w:rPr>
          <w:rFonts w:hint="eastAsia" w:asciiTheme="minorEastAsia" w:hAnsiTheme="minorEastAsia" w:eastAsiaTheme="minorEastAsia" w:cstheme="minorEastAsia"/>
          <w:b w:val="0"/>
          <w:bCs/>
          <w:color w:val="auto"/>
          <w:sz w:val="21"/>
          <w:szCs w:val="21"/>
          <w:highlight w:val="none"/>
          <w:u w:val="none"/>
        </w:rPr>
        <w:t>接待大巴应是近</w:t>
      </w:r>
      <w:r>
        <w:rPr>
          <w:rFonts w:hint="eastAsia" w:asciiTheme="minorEastAsia" w:hAnsiTheme="minorEastAsia" w:eastAsiaTheme="minorEastAsia" w:cstheme="minorEastAsia"/>
          <w:b w:val="0"/>
          <w:bCs/>
          <w:color w:val="auto"/>
          <w:sz w:val="21"/>
          <w:szCs w:val="21"/>
          <w:highlight w:val="none"/>
          <w:u w:val="none"/>
          <w:lang w:eastAsia="zh-CN"/>
        </w:rPr>
        <w:t>五</w:t>
      </w:r>
      <w:r>
        <w:rPr>
          <w:rFonts w:hint="eastAsia" w:asciiTheme="minorEastAsia" w:hAnsiTheme="minorEastAsia" w:eastAsiaTheme="minorEastAsia" w:cstheme="minorEastAsia"/>
          <w:b w:val="0"/>
          <w:bCs/>
          <w:color w:val="auto"/>
          <w:sz w:val="21"/>
          <w:szCs w:val="21"/>
          <w:highlight w:val="none"/>
          <w:u w:val="none"/>
        </w:rPr>
        <w:t>年内购买的新车辆，以行驶证或相关证明为准。</w:t>
      </w:r>
    </w:p>
    <w:p w14:paraId="66132C5A">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近两年内无旅游安全责任事故，未受到旅游、工商、物价、交通等相关部门的行政处罚，无重大旅游投诉、行业通报，无影响面较大的负面报道的经营服务单位。</w:t>
      </w:r>
    </w:p>
    <w:p w14:paraId="6E786D98">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4、</w:t>
      </w:r>
      <w:r>
        <w:rPr>
          <w:rFonts w:hint="eastAsia" w:asciiTheme="minorEastAsia" w:hAnsiTheme="minorEastAsia" w:eastAsiaTheme="minorEastAsia" w:cstheme="minorEastAsia"/>
          <w:color w:val="auto"/>
          <w:sz w:val="21"/>
          <w:szCs w:val="21"/>
          <w:highlight w:val="none"/>
        </w:rPr>
        <w:t>无因民事经济、合同纠纷被法院冻结或划拨旅游质保金的现象，且无拖欠款行为的举报。</w:t>
      </w:r>
    </w:p>
    <w:p w14:paraId="10997C8C">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rPr>
        <w:t>供应商必须对采购人要求的全部服务范围进行响应，不得限定采购人活动区域范围，不得进行选择性服务。</w:t>
      </w:r>
    </w:p>
    <w:p w14:paraId="69DBA8AE">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bCs/>
          <w:color w:val="auto"/>
          <w:sz w:val="21"/>
          <w:szCs w:val="21"/>
          <w:highlight w:val="none"/>
          <w:u w:val="single"/>
        </w:rPr>
      </w:pPr>
      <w:r>
        <w:rPr>
          <w:rFonts w:hint="eastAsia" w:asciiTheme="minorEastAsia" w:hAnsiTheme="minorEastAsia" w:eastAsiaTheme="minorEastAsia" w:cstheme="minorEastAsia"/>
          <w:bCs/>
          <w:color w:val="auto"/>
          <w:sz w:val="21"/>
          <w:szCs w:val="21"/>
          <w:highlight w:val="none"/>
          <w:u w:val="single"/>
          <w:lang w:val="en-US" w:eastAsia="zh-CN"/>
        </w:rPr>
        <w:t>6、</w:t>
      </w:r>
      <w:r>
        <w:rPr>
          <w:rFonts w:hint="eastAsia" w:asciiTheme="minorEastAsia" w:hAnsiTheme="minorEastAsia" w:eastAsiaTheme="minorEastAsia" w:cstheme="minorEastAsia"/>
          <w:bCs/>
          <w:color w:val="auto"/>
          <w:sz w:val="21"/>
          <w:szCs w:val="21"/>
          <w:highlight w:val="none"/>
          <w:u w:val="single"/>
        </w:rPr>
        <w:t>每次出行每人的预算包括</w:t>
      </w:r>
      <w:r>
        <w:rPr>
          <w:rFonts w:hint="eastAsia" w:asciiTheme="minorEastAsia" w:hAnsiTheme="minorEastAsia" w:eastAsiaTheme="minorEastAsia" w:cstheme="minorEastAsia"/>
          <w:bCs/>
          <w:color w:val="auto"/>
          <w:sz w:val="21"/>
          <w:szCs w:val="21"/>
          <w:highlight w:val="none"/>
          <w:u w:val="single"/>
          <w:lang w:eastAsia="zh-CN"/>
        </w:rPr>
        <w:t>出行人员的</w:t>
      </w:r>
      <w:r>
        <w:rPr>
          <w:rFonts w:hint="eastAsia" w:asciiTheme="minorEastAsia" w:hAnsiTheme="minorEastAsia" w:eastAsiaTheme="minorEastAsia" w:cstheme="minorEastAsia"/>
          <w:color w:val="auto"/>
          <w:sz w:val="21"/>
          <w:szCs w:val="21"/>
          <w:highlight w:val="none"/>
          <w:u w:val="single"/>
        </w:rPr>
        <w:t>食、宿、行、门票</w:t>
      </w:r>
      <w:r>
        <w:rPr>
          <w:rFonts w:hint="eastAsia" w:asciiTheme="minorEastAsia" w:hAnsiTheme="minorEastAsia" w:eastAsiaTheme="minorEastAsia" w:cstheme="minorEastAsia"/>
          <w:color w:val="auto"/>
          <w:sz w:val="21"/>
          <w:szCs w:val="21"/>
          <w:highlight w:val="none"/>
          <w:u w:val="single"/>
          <w:lang w:eastAsia="zh-CN"/>
        </w:rPr>
        <w:t>、</w:t>
      </w:r>
      <w:r>
        <w:rPr>
          <w:rFonts w:hint="eastAsia" w:asciiTheme="minorEastAsia" w:hAnsiTheme="minorEastAsia" w:eastAsiaTheme="minorEastAsia" w:cstheme="minorEastAsia"/>
          <w:bCs/>
          <w:color w:val="auto"/>
          <w:sz w:val="21"/>
          <w:szCs w:val="21"/>
          <w:highlight w:val="none"/>
          <w:u w:val="single"/>
        </w:rPr>
        <w:t>个人保险费</w:t>
      </w:r>
      <w:r>
        <w:rPr>
          <w:rFonts w:hint="eastAsia" w:asciiTheme="minorEastAsia" w:hAnsiTheme="minorEastAsia" w:eastAsiaTheme="minorEastAsia" w:cstheme="minorEastAsia"/>
          <w:bCs/>
          <w:color w:val="auto"/>
          <w:sz w:val="21"/>
          <w:szCs w:val="21"/>
          <w:highlight w:val="none"/>
          <w:u w:val="single"/>
          <w:lang w:eastAsia="zh-CN"/>
        </w:rPr>
        <w:t>、</w:t>
      </w:r>
      <w:r>
        <w:rPr>
          <w:rFonts w:hint="eastAsia" w:asciiTheme="minorEastAsia" w:hAnsiTheme="minorEastAsia" w:eastAsiaTheme="minorEastAsia" w:cstheme="minorEastAsia"/>
          <w:color w:val="auto"/>
          <w:sz w:val="21"/>
          <w:szCs w:val="21"/>
          <w:highlight w:val="none"/>
          <w:u w:val="single"/>
        </w:rPr>
        <w:t>供应商随行人员的工资福利、食、宿、行、门票、保险等所有费用，也包含供应商企业成本及利润等所有费用</w:t>
      </w:r>
      <w:r>
        <w:rPr>
          <w:rFonts w:hint="eastAsia" w:asciiTheme="minorEastAsia" w:hAnsiTheme="minorEastAsia" w:eastAsiaTheme="minorEastAsia" w:cstheme="minorEastAsia"/>
          <w:bCs/>
          <w:color w:val="auto"/>
          <w:sz w:val="21"/>
          <w:szCs w:val="21"/>
          <w:highlight w:val="none"/>
          <w:u w:val="single"/>
        </w:rPr>
        <w:t>，供应商规划路线时应做充分考虑。</w:t>
      </w:r>
    </w:p>
    <w:p w14:paraId="07BE5EE4">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7、</w:t>
      </w:r>
      <w:r>
        <w:rPr>
          <w:rFonts w:hint="eastAsia" w:asciiTheme="minorEastAsia" w:hAnsiTheme="minorEastAsia" w:eastAsiaTheme="minorEastAsia" w:cstheme="minorEastAsia"/>
          <w:color w:val="auto"/>
          <w:sz w:val="21"/>
          <w:szCs w:val="21"/>
          <w:highlight w:val="none"/>
        </w:rPr>
        <w:t>在每次确定旅游服务</w:t>
      </w:r>
      <w:r>
        <w:rPr>
          <w:rFonts w:hint="eastAsia" w:asciiTheme="minorEastAsia" w:hAnsiTheme="minorEastAsia" w:eastAsiaTheme="minorEastAsia" w:cstheme="minorEastAsia"/>
          <w:color w:val="auto"/>
          <w:sz w:val="21"/>
          <w:szCs w:val="21"/>
          <w:highlight w:val="none"/>
          <w:lang w:eastAsia="zh-CN"/>
        </w:rPr>
        <w:t>时间</w:t>
      </w:r>
      <w:r>
        <w:rPr>
          <w:rFonts w:hint="eastAsia" w:asciiTheme="minorEastAsia" w:hAnsiTheme="minorEastAsia" w:eastAsiaTheme="minorEastAsia" w:cstheme="minorEastAsia"/>
          <w:color w:val="auto"/>
          <w:sz w:val="21"/>
          <w:szCs w:val="21"/>
          <w:highlight w:val="none"/>
        </w:rPr>
        <w:t>后，供应商根据本次旅游的目的地、旅游人员及采购人要求制定路线规划</w:t>
      </w:r>
      <w:r>
        <w:rPr>
          <w:rFonts w:hint="eastAsia" w:asciiTheme="minorEastAsia" w:hAnsiTheme="minorEastAsia" w:eastAsiaTheme="minorEastAsia" w:cstheme="minorEastAsia"/>
          <w:color w:val="auto"/>
          <w:sz w:val="21"/>
          <w:szCs w:val="21"/>
          <w:highlight w:val="none"/>
          <w:lang w:eastAsia="zh-CN"/>
        </w:rPr>
        <w:t>（包括食、宿、行、门票景点等详细信息）</w:t>
      </w:r>
      <w:r>
        <w:rPr>
          <w:rFonts w:hint="eastAsia" w:asciiTheme="minorEastAsia" w:hAnsiTheme="minorEastAsia" w:eastAsiaTheme="minorEastAsia" w:cstheme="minorEastAsia"/>
          <w:color w:val="auto"/>
          <w:sz w:val="21"/>
          <w:szCs w:val="21"/>
          <w:highlight w:val="none"/>
        </w:rPr>
        <w:t>上报采购人审核通过</w:t>
      </w:r>
      <w:r>
        <w:rPr>
          <w:rFonts w:hint="eastAsia" w:asciiTheme="minorEastAsia" w:hAnsiTheme="minorEastAsia" w:eastAsiaTheme="minorEastAsia" w:cstheme="minorEastAsia"/>
          <w:color w:val="auto"/>
          <w:sz w:val="21"/>
          <w:szCs w:val="21"/>
          <w:highlight w:val="none"/>
          <w:lang w:eastAsia="zh-CN"/>
        </w:rPr>
        <w:t>方可成行</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b/>
          <w:bCs/>
          <w:color w:val="auto"/>
          <w:sz w:val="21"/>
          <w:szCs w:val="21"/>
          <w:highlight w:val="none"/>
          <w:u w:val="single"/>
          <w:lang w:eastAsia="zh-CN"/>
        </w:rPr>
        <w:t>如该路线愿意出行的职工不足</w:t>
      </w:r>
      <w:r>
        <w:rPr>
          <w:rFonts w:hint="eastAsia" w:asciiTheme="minorEastAsia" w:hAnsiTheme="minorEastAsia" w:eastAsiaTheme="minorEastAsia" w:cstheme="minorEastAsia"/>
          <w:b/>
          <w:bCs/>
          <w:color w:val="auto"/>
          <w:sz w:val="21"/>
          <w:szCs w:val="21"/>
          <w:highlight w:val="none"/>
          <w:u w:val="single"/>
          <w:lang w:val="en-US" w:eastAsia="zh-CN"/>
        </w:rPr>
        <w:t>10人时，供应商须提供新的路线方案至愿意出行职工人数足够10人以上才能出行，否则采购人有权取消该路线的出行。</w:t>
      </w:r>
    </w:p>
    <w:p w14:paraId="2718BF4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outlineLvl w:val="9"/>
        <w:rPr>
          <w:rFonts w:hint="eastAsia" w:asciiTheme="minorEastAsia" w:hAnsiTheme="minorEastAsia" w:eastAsiaTheme="minorEastAsia" w:cstheme="minorEastAsia"/>
          <w:color w:val="auto"/>
          <w:sz w:val="21"/>
          <w:szCs w:val="21"/>
          <w:highlight w:val="none"/>
          <w:u w:val="none"/>
          <w:lang w:val="en-US" w:eastAsia="zh-CN"/>
        </w:rPr>
      </w:pPr>
      <w:r>
        <w:rPr>
          <w:rFonts w:hint="eastAsia" w:asciiTheme="minorEastAsia" w:hAnsiTheme="minorEastAsia" w:eastAsiaTheme="minorEastAsia" w:cstheme="minorEastAsia"/>
          <w:color w:val="auto"/>
          <w:sz w:val="21"/>
          <w:szCs w:val="21"/>
          <w:highlight w:val="none"/>
          <w:u w:val="none"/>
          <w:lang w:val="en-US" w:eastAsia="zh-CN"/>
        </w:rPr>
        <w:t>8、如疗休养结束后，采购人对疗休养过程不满意，采购人有权取消安排该行程的供应商在之后的疗休养服务。</w:t>
      </w:r>
    </w:p>
    <w:p w14:paraId="3ECB4108">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1"/>
        <w:rPr>
          <w:rFonts w:hint="eastAsia" w:ascii="宋体" w:hAnsi="宋体" w:eastAsia="宋体" w:cs="宋体"/>
          <w:b/>
          <w:bCs/>
          <w:color w:val="auto"/>
          <w:sz w:val="21"/>
          <w:szCs w:val="21"/>
          <w:highlight w:val="none"/>
        </w:rPr>
      </w:pPr>
      <w:r>
        <w:rPr>
          <w:rFonts w:hint="eastAsia" w:asciiTheme="minorEastAsia" w:hAnsiTheme="minorEastAsia" w:eastAsiaTheme="minorEastAsia" w:cstheme="minorEastAsia"/>
          <w:b/>
          <w:color w:val="auto"/>
          <w:sz w:val="21"/>
          <w:szCs w:val="21"/>
          <w:highlight w:val="none"/>
          <w:lang w:val="en-US" w:eastAsia="zh-CN"/>
        </w:rPr>
        <w:t>四、</w:t>
      </w:r>
      <w:r>
        <w:rPr>
          <w:rFonts w:hint="eastAsia" w:ascii="宋体" w:hAnsi="宋体" w:eastAsia="宋体" w:cs="宋体"/>
          <w:b/>
          <w:bCs/>
          <w:color w:val="auto"/>
          <w:sz w:val="21"/>
          <w:szCs w:val="21"/>
          <w:highlight w:val="none"/>
        </w:rPr>
        <w:t xml:space="preserve">项目要求 </w:t>
      </w:r>
    </w:p>
    <w:p w14:paraId="4FA8CCE7">
      <w:pPr>
        <w:keepNext w:val="0"/>
        <w:keepLines w:val="0"/>
        <w:pageBreakBefore w:val="0"/>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val="en-US" w:eastAsia="zh-CN" w:bidi="ar"/>
        </w:rPr>
        <w:t>1</w:t>
      </w:r>
      <w:r>
        <w:rPr>
          <w:rFonts w:hint="eastAsia" w:ascii="宋体" w:hAnsi="宋体" w:eastAsia="宋体" w:cs="宋体"/>
          <w:color w:val="auto"/>
          <w:kern w:val="0"/>
          <w:sz w:val="21"/>
          <w:szCs w:val="21"/>
          <w:highlight w:val="none"/>
          <w:lang w:bidi="ar"/>
        </w:rPr>
        <w:t>、</w:t>
      </w:r>
      <w:r>
        <w:rPr>
          <w:rFonts w:hint="eastAsia" w:ascii="宋体" w:hAnsi="宋体" w:eastAsia="宋体" w:cs="宋体"/>
          <w:color w:val="auto"/>
          <w:kern w:val="0"/>
          <w:sz w:val="21"/>
          <w:szCs w:val="21"/>
          <w:highlight w:val="none"/>
          <w:lang w:eastAsia="zh-CN" w:bidi="ar"/>
        </w:rPr>
        <w:t>供应商</w:t>
      </w:r>
      <w:r>
        <w:rPr>
          <w:rFonts w:hint="eastAsia" w:ascii="宋体" w:hAnsi="宋体" w:eastAsia="宋体" w:cs="宋体"/>
          <w:color w:val="auto"/>
          <w:kern w:val="0"/>
          <w:sz w:val="21"/>
          <w:szCs w:val="21"/>
          <w:highlight w:val="none"/>
          <w:lang w:bidi="ar"/>
        </w:rPr>
        <w:t xml:space="preserve">投标时须提供各行程具体安排方案，如建议出行时间、旅游行程（亮点、行程安排）、 接待标准（交通、住宿、车辆、用餐、景点门票、导服、保险、购物安排）、建议成团人数等。 </w:t>
      </w:r>
    </w:p>
    <w:p w14:paraId="5F4E0BDE">
      <w:pPr>
        <w:keepNext w:val="0"/>
        <w:keepLines w:val="0"/>
        <w:pageBreakBefore w:val="0"/>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w:t>
      </w:r>
      <w:r>
        <w:rPr>
          <w:rFonts w:hint="eastAsia" w:ascii="宋体" w:hAnsi="宋体" w:eastAsia="宋体" w:cs="宋体"/>
          <w:color w:val="auto"/>
          <w:kern w:val="0"/>
          <w:sz w:val="21"/>
          <w:szCs w:val="21"/>
          <w:highlight w:val="none"/>
          <w:lang w:bidi="ar"/>
        </w:rPr>
        <w:t>门票要求</w:t>
      </w:r>
      <w:r>
        <w:rPr>
          <w:rFonts w:hint="eastAsia" w:ascii="宋体" w:hAnsi="宋体" w:eastAsia="宋体" w:cs="宋体"/>
          <w:color w:val="auto"/>
          <w:kern w:val="0"/>
          <w:sz w:val="21"/>
          <w:szCs w:val="21"/>
          <w:highlight w:val="none"/>
          <w:lang w:eastAsia="zh-CN" w:bidi="ar"/>
        </w:rPr>
        <w:t>：</w:t>
      </w:r>
      <w:r>
        <w:rPr>
          <w:rFonts w:hint="eastAsia" w:ascii="宋体" w:hAnsi="宋体" w:eastAsia="宋体" w:cs="宋体"/>
          <w:color w:val="auto"/>
          <w:kern w:val="0"/>
          <w:sz w:val="21"/>
          <w:szCs w:val="21"/>
          <w:highlight w:val="none"/>
          <w:lang w:bidi="ar"/>
        </w:rPr>
        <w:t>全程门票，包括景区内必游览的小门票及景区内交通费用（缆车、游船</w:t>
      </w:r>
      <w:r>
        <w:rPr>
          <w:rFonts w:hint="eastAsia" w:ascii="宋体" w:hAnsi="宋体" w:eastAsia="宋体" w:cs="宋体"/>
          <w:color w:val="auto"/>
          <w:kern w:val="0"/>
          <w:sz w:val="21"/>
          <w:szCs w:val="21"/>
          <w:highlight w:val="none"/>
          <w:lang w:val="en-US" w:eastAsia="zh-CN" w:bidi="ar"/>
        </w:rPr>
        <w:t>、观光车等）。</w:t>
      </w:r>
    </w:p>
    <w:p w14:paraId="19D50CEC">
      <w:pPr>
        <w:keepNext w:val="0"/>
        <w:keepLines w:val="0"/>
        <w:pageBreakBefore w:val="0"/>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3、地接公司要求：</w:t>
      </w:r>
    </w:p>
    <w:p w14:paraId="6D4E2232">
      <w:pPr>
        <w:keepNext w:val="0"/>
        <w:keepLines w:val="0"/>
        <w:pageBreakBefore w:val="0"/>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 xml:space="preserve">（1）地接公司要求为优秀资质公司，有国家导游证的专业导游讲解服务，全程陪同。 </w:t>
      </w:r>
    </w:p>
    <w:p w14:paraId="4A9D8B3F">
      <w:pPr>
        <w:keepNext w:val="0"/>
        <w:keepLines w:val="0"/>
        <w:pageBreakBefore w:val="0"/>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（2）由导游要求举行行前会议，制定应急预案，发放《行程安排明细表》及相关行程服务内容的小册子。</w:t>
      </w:r>
    </w:p>
    <w:p w14:paraId="5F124D1C">
      <w:pPr>
        <w:keepNext w:val="0"/>
        <w:keepLines w:val="0"/>
        <w:pageBreakBefore w:val="0"/>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（3）在出发前分发矿泉水、旅游包、旅游帽等旅游基本用品。</w:t>
      </w:r>
    </w:p>
    <w:p w14:paraId="4DA48D9F">
      <w:pPr>
        <w:keepNext w:val="0"/>
        <w:keepLines w:val="0"/>
        <w:pageBreakBefore w:val="0"/>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（4）省外易发生高原反应地区旅行社需提供氧气瓶，风沙大地区应提供丝巾等，特殊天气应配备应急用品。</w:t>
      </w:r>
    </w:p>
    <w:p w14:paraId="3952E9E9">
      <w:pPr>
        <w:keepNext w:val="0"/>
        <w:keepLines w:val="0"/>
        <w:pageBreakBefore w:val="0"/>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（5）不得限定出行单位活动范围，不得进行选择性服务。</w:t>
      </w:r>
    </w:p>
    <w:p w14:paraId="74C3CC35">
      <w:pPr>
        <w:keepNext w:val="0"/>
        <w:keepLines w:val="0"/>
        <w:pageBreakBefore w:val="0"/>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（6）采购人有权指定带团导游，供应商必须无条件配合。</w:t>
      </w:r>
    </w:p>
    <w:p w14:paraId="40B4EB3E">
      <w:pPr>
        <w:keepNext w:val="0"/>
        <w:keepLines w:val="0"/>
        <w:pageBreakBefore w:val="0"/>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4、用车：全程空调旅游车。要求车况好，车位充足，空调效果好，司机五年内无不良记录，服务态度好、技术好，确保行程安全。省外要求</w:t>
      </w:r>
      <w:r>
        <w:rPr>
          <w:rFonts w:hint="eastAsia" w:ascii="宋体" w:hAnsi="宋体" w:cs="宋体"/>
          <w:color w:val="auto"/>
          <w:kern w:val="0"/>
          <w:sz w:val="21"/>
          <w:szCs w:val="21"/>
          <w:highlight w:val="none"/>
          <w:lang w:val="en-US" w:eastAsia="zh-CN" w:bidi="ar"/>
        </w:rPr>
        <w:t>2020</w:t>
      </w:r>
      <w:r>
        <w:rPr>
          <w:rFonts w:hint="eastAsia" w:ascii="宋体" w:hAnsi="宋体" w:eastAsia="宋体" w:cs="宋体"/>
          <w:color w:val="auto"/>
          <w:kern w:val="0"/>
          <w:sz w:val="21"/>
          <w:szCs w:val="21"/>
          <w:highlight w:val="none"/>
          <w:lang w:val="en-US" w:eastAsia="zh-CN" w:bidi="ar"/>
        </w:rPr>
        <w:t>年后的新购车辆，座位按照实际出团人数1：1.2比例配备。每车至少配备1名</w:t>
      </w:r>
      <w:r>
        <w:rPr>
          <w:rFonts w:hint="eastAsia" w:ascii="宋体" w:hAnsi="宋体" w:cs="宋体"/>
          <w:color w:val="auto"/>
          <w:kern w:val="0"/>
          <w:sz w:val="21"/>
          <w:szCs w:val="21"/>
          <w:highlight w:val="none"/>
          <w:lang w:val="en-US" w:eastAsia="zh-CN" w:bidi="ar"/>
        </w:rPr>
        <w:t>地接</w:t>
      </w:r>
      <w:r>
        <w:rPr>
          <w:rFonts w:hint="eastAsia" w:ascii="宋体" w:hAnsi="宋体" w:eastAsia="宋体" w:cs="宋体"/>
          <w:color w:val="auto"/>
          <w:kern w:val="0"/>
          <w:sz w:val="21"/>
          <w:szCs w:val="21"/>
          <w:highlight w:val="none"/>
          <w:lang w:val="en-US" w:eastAsia="zh-CN" w:bidi="ar"/>
        </w:rPr>
        <w:t>导游。</w:t>
      </w:r>
    </w:p>
    <w:p w14:paraId="4C6A3902">
      <w:pPr>
        <w:keepNext w:val="0"/>
        <w:keepLines w:val="0"/>
        <w:pageBreakBefore w:val="0"/>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5、住宿：</w:t>
      </w:r>
      <w:r>
        <w:rPr>
          <w:rFonts w:hint="eastAsia" w:ascii="宋体" w:hAnsi="宋体" w:cs="宋体"/>
          <w:color w:val="auto"/>
          <w:kern w:val="0"/>
          <w:sz w:val="21"/>
          <w:szCs w:val="21"/>
          <w:highlight w:val="none"/>
          <w:lang w:val="en-US" w:eastAsia="zh-CN" w:bidi="ar"/>
        </w:rPr>
        <w:t>三</w:t>
      </w:r>
      <w:r>
        <w:rPr>
          <w:rFonts w:hint="eastAsia" w:ascii="宋体" w:hAnsi="宋体" w:eastAsia="宋体" w:cs="宋体"/>
          <w:color w:val="auto"/>
          <w:kern w:val="0"/>
          <w:sz w:val="21"/>
          <w:szCs w:val="21"/>
          <w:highlight w:val="none"/>
          <w:lang w:val="en-US" w:eastAsia="zh-CN" w:bidi="ar"/>
        </w:rPr>
        <w:t>星级</w:t>
      </w:r>
      <w:r>
        <w:rPr>
          <w:rFonts w:hint="eastAsia" w:ascii="宋体" w:hAnsi="宋体" w:cs="宋体"/>
          <w:color w:val="auto"/>
          <w:kern w:val="0"/>
          <w:sz w:val="21"/>
          <w:szCs w:val="21"/>
          <w:highlight w:val="none"/>
          <w:lang w:val="en-US" w:eastAsia="zh-CN" w:bidi="ar"/>
        </w:rPr>
        <w:t>及以上</w:t>
      </w:r>
      <w:r>
        <w:rPr>
          <w:rFonts w:hint="eastAsia" w:ascii="宋体" w:hAnsi="宋体" w:eastAsia="宋体" w:cs="宋体"/>
          <w:color w:val="auto"/>
          <w:kern w:val="0"/>
          <w:sz w:val="21"/>
          <w:szCs w:val="21"/>
          <w:highlight w:val="none"/>
          <w:lang w:val="en-US" w:eastAsia="zh-CN" w:bidi="ar"/>
        </w:rPr>
        <w:t>酒店或民宿，要求尽可能在同一楼层且不安排一楼或窗户朝向路边等喧闹环境的房间。房间要求干净整洁，设施齐全且能正常使用（淋浴房沐浴喷头有手持可以活动的喷头），24 小时供应热水。同一标项（地点）原则上住在同一家酒店，中标人最终标项方案中需列出酒店名称或具体的地点、价格。</w:t>
      </w:r>
    </w:p>
    <w:p w14:paraId="5FB2BDD1">
      <w:pPr>
        <w:keepNext w:val="0"/>
        <w:keepLines w:val="0"/>
        <w:pageBreakBefore w:val="0"/>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6、用餐：住宿含早</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中、晚餐全部桌餐，正餐省外不少于</w:t>
      </w:r>
      <w:r>
        <w:rPr>
          <w:rFonts w:hint="eastAsia" w:ascii="宋体" w:hAnsi="宋体" w:cs="宋体"/>
          <w:color w:val="auto"/>
          <w:kern w:val="0"/>
          <w:sz w:val="21"/>
          <w:szCs w:val="21"/>
          <w:highlight w:val="none"/>
          <w:lang w:val="en-US" w:eastAsia="zh-CN" w:bidi="ar"/>
        </w:rPr>
        <w:t>60</w:t>
      </w:r>
      <w:r>
        <w:rPr>
          <w:rFonts w:hint="eastAsia" w:ascii="宋体" w:hAnsi="宋体" w:eastAsia="宋体" w:cs="宋体"/>
          <w:color w:val="auto"/>
          <w:kern w:val="0"/>
          <w:sz w:val="21"/>
          <w:szCs w:val="21"/>
          <w:highlight w:val="none"/>
          <w:lang w:val="en-US" w:eastAsia="zh-CN" w:bidi="ar"/>
        </w:rPr>
        <w:t>元/人、省内不少于</w:t>
      </w:r>
      <w:r>
        <w:rPr>
          <w:rFonts w:hint="eastAsia" w:ascii="宋体" w:hAnsi="宋体" w:cs="宋体"/>
          <w:color w:val="auto"/>
          <w:kern w:val="0"/>
          <w:sz w:val="21"/>
          <w:szCs w:val="21"/>
          <w:highlight w:val="none"/>
          <w:lang w:val="en-US" w:eastAsia="zh-CN" w:bidi="ar"/>
        </w:rPr>
        <w:t>80</w:t>
      </w:r>
      <w:r>
        <w:rPr>
          <w:rFonts w:hint="eastAsia" w:ascii="宋体" w:hAnsi="宋体" w:eastAsia="宋体" w:cs="宋体"/>
          <w:color w:val="auto"/>
          <w:kern w:val="0"/>
          <w:sz w:val="21"/>
          <w:szCs w:val="21"/>
          <w:highlight w:val="none"/>
          <w:lang w:val="en-US" w:eastAsia="zh-CN" w:bidi="ar"/>
        </w:rPr>
        <w:t xml:space="preserve">元/人/餐标准，食物要求新鲜、安全，适合口味。要求每餐菜品多样，不雷同。餐厅交通便利，环境较好。 </w:t>
      </w:r>
    </w:p>
    <w:p w14:paraId="30076895">
      <w:pPr>
        <w:pStyle w:val="7"/>
        <w:keepNext w:val="0"/>
        <w:keepLines w:val="0"/>
        <w:pageBreakBefore w:val="0"/>
        <w:kinsoku/>
        <w:wordWrap/>
        <w:overflowPunct/>
        <w:topLinePunct w:val="0"/>
        <w:bidi w:val="0"/>
        <w:snapToGrid/>
        <w:spacing w:after="0" w:line="360" w:lineRule="auto"/>
        <w:ind w:left="0" w:firstLine="422" w:firstLineChars="200"/>
        <w:jc w:val="lef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4</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rPr>
        <w:t>费用要求</w:t>
      </w:r>
    </w:p>
    <w:p w14:paraId="694AF18F">
      <w:pPr>
        <w:keepNext w:val="0"/>
        <w:keepLines w:val="0"/>
        <w:pageBreakBefore w:val="0"/>
        <w:widowControl/>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（1）导游不得另行收取费用。</w:t>
      </w:r>
    </w:p>
    <w:p w14:paraId="43925DB7">
      <w:pPr>
        <w:keepNext w:val="0"/>
        <w:keepLines w:val="0"/>
        <w:pageBreakBefore w:val="0"/>
        <w:widowControl/>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bidi="ar"/>
        </w:rPr>
        <w:t>（2）若因出行单位要求增加景点等原因导致的超出部分由出行单位人员自行支付。超出部分支付方式应在出行前与组团单位自行协商，供应商规划路线时应做充分考虑。</w:t>
      </w:r>
    </w:p>
    <w:p w14:paraId="49CF1B7B">
      <w:pPr>
        <w:keepNext w:val="0"/>
        <w:keepLines w:val="0"/>
        <w:pageBreakBefore w:val="0"/>
        <w:widowControl/>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3</w:t>
      </w:r>
      <w:r>
        <w:rPr>
          <w:rFonts w:hint="eastAsia" w:ascii="宋体" w:hAnsi="宋体" w:eastAsia="宋体" w:cs="宋体"/>
          <w:color w:val="auto"/>
          <w:kern w:val="0"/>
          <w:sz w:val="21"/>
          <w:szCs w:val="21"/>
          <w:highlight w:val="none"/>
          <w:lang w:bidi="ar"/>
        </w:rPr>
        <w:t>、职工自行选择中标旅行社推出的疗休养活动，中标人不得以任何理由拒绝，否则视为违约。</w:t>
      </w:r>
    </w:p>
    <w:p w14:paraId="4FF1448F">
      <w:pPr>
        <w:keepNext w:val="0"/>
        <w:keepLines w:val="0"/>
        <w:pageBreakBefore w:val="0"/>
        <w:widowControl/>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4</w:t>
      </w:r>
      <w:r>
        <w:rPr>
          <w:rFonts w:hint="eastAsia" w:ascii="宋体" w:hAnsi="宋体" w:eastAsia="宋体" w:cs="宋体"/>
          <w:color w:val="auto"/>
          <w:kern w:val="0"/>
          <w:sz w:val="21"/>
          <w:szCs w:val="21"/>
          <w:highlight w:val="none"/>
          <w:lang w:bidi="ar"/>
        </w:rPr>
        <w:t>、确定疗休养行程后，若</w:t>
      </w:r>
      <w:r>
        <w:rPr>
          <w:rFonts w:hint="eastAsia" w:ascii="宋体" w:hAnsi="宋体" w:eastAsia="宋体" w:cs="宋体"/>
          <w:color w:val="auto"/>
          <w:kern w:val="0"/>
          <w:sz w:val="21"/>
          <w:szCs w:val="21"/>
          <w:highlight w:val="none"/>
          <w:lang w:eastAsia="zh-CN" w:bidi="ar"/>
        </w:rPr>
        <w:t>采购人</w:t>
      </w:r>
      <w:r>
        <w:rPr>
          <w:rFonts w:hint="eastAsia" w:ascii="宋体" w:hAnsi="宋体" w:eastAsia="宋体" w:cs="宋体"/>
          <w:color w:val="auto"/>
          <w:kern w:val="0"/>
          <w:sz w:val="21"/>
          <w:szCs w:val="21"/>
          <w:highlight w:val="none"/>
          <w:lang w:bidi="ar"/>
        </w:rPr>
        <w:t>在出发日</w:t>
      </w:r>
      <w:r>
        <w:rPr>
          <w:rFonts w:hint="eastAsia" w:ascii="宋体" w:hAnsi="宋体" w:eastAsia="宋体" w:cs="宋体"/>
          <w:color w:val="auto"/>
          <w:kern w:val="0"/>
          <w:sz w:val="21"/>
          <w:szCs w:val="21"/>
          <w:highlight w:val="none"/>
          <w:lang w:val="en-US" w:eastAsia="zh-CN" w:bidi="ar"/>
        </w:rPr>
        <w:t>7</w:t>
      </w:r>
      <w:r>
        <w:rPr>
          <w:rFonts w:hint="eastAsia" w:ascii="宋体" w:hAnsi="宋体" w:eastAsia="宋体" w:cs="宋体"/>
          <w:color w:val="auto"/>
          <w:kern w:val="0"/>
          <w:sz w:val="21"/>
          <w:szCs w:val="21"/>
          <w:highlight w:val="none"/>
          <w:lang w:bidi="ar"/>
        </w:rPr>
        <w:t xml:space="preserve">天前告知旅行社取消行程的，不支付任何费用。 </w:t>
      </w:r>
    </w:p>
    <w:p w14:paraId="472C5659">
      <w:pPr>
        <w:keepNext w:val="0"/>
        <w:keepLines w:val="0"/>
        <w:pageBreakBefore w:val="0"/>
        <w:widowControl/>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val="en-US" w:eastAsia="zh-CN" w:bidi="ar"/>
        </w:rPr>
        <w:t>5</w:t>
      </w:r>
      <w:r>
        <w:rPr>
          <w:rFonts w:hint="eastAsia" w:ascii="宋体" w:hAnsi="宋体" w:eastAsia="宋体" w:cs="宋体"/>
          <w:color w:val="auto"/>
          <w:kern w:val="0"/>
          <w:sz w:val="21"/>
          <w:szCs w:val="21"/>
          <w:highlight w:val="none"/>
          <w:lang w:bidi="ar"/>
        </w:rPr>
        <w:t>、</w:t>
      </w:r>
      <w:r>
        <w:rPr>
          <w:rFonts w:hint="eastAsia" w:ascii="宋体" w:hAnsi="宋体" w:eastAsia="宋体" w:cs="宋体"/>
          <w:color w:val="auto"/>
          <w:kern w:val="0"/>
          <w:sz w:val="21"/>
          <w:szCs w:val="21"/>
          <w:highlight w:val="none"/>
          <w:lang w:val="en-US" w:eastAsia="zh-CN" w:bidi="ar"/>
        </w:rPr>
        <w:t>职工参加疗休养按照旅游线路进行报名（具体报名方式由双方协商决定），由采购人统一与中标旅行社签订国家旅游局最新版旅游合同。</w:t>
      </w:r>
    </w:p>
    <w:p w14:paraId="5C06D853">
      <w:pPr>
        <w:keepNext w:val="0"/>
        <w:keepLines w:val="0"/>
        <w:pageBreakBefore w:val="0"/>
        <w:widowControl/>
        <w:kinsoku/>
        <w:wordWrap/>
        <w:overflowPunct/>
        <w:topLinePunct w:val="0"/>
        <w:bidi w:val="0"/>
        <w:snapToGrid/>
        <w:spacing w:line="360" w:lineRule="auto"/>
        <w:ind w:left="0" w:firstLine="420"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kern w:val="0"/>
          <w:sz w:val="21"/>
          <w:szCs w:val="21"/>
          <w:highlight w:val="none"/>
          <w:lang w:val="en-US" w:eastAsia="zh-CN" w:bidi="ar"/>
        </w:rPr>
        <w:t>6、</w:t>
      </w:r>
      <w:r>
        <w:rPr>
          <w:rFonts w:hint="eastAsia" w:ascii="宋体" w:hAnsi="宋体" w:eastAsia="宋体" w:cs="宋体"/>
          <w:color w:val="auto"/>
          <w:kern w:val="0"/>
          <w:sz w:val="21"/>
          <w:szCs w:val="21"/>
          <w:highlight w:val="none"/>
          <w:lang w:bidi="ar"/>
        </w:rPr>
        <w:t>遇上级政策变化，原定方案根据政策要求作及时调整，双方协商后实施。</w:t>
      </w:r>
    </w:p>
    <w:p w14:paraId="74A39F6D">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1"/>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五</w:t>
      </w:r>
      <w:r>
        <w:rPr>
          <w:rFonts w:hint="eastAsia" w:ascii="宋体" w:hAnsi="宋体" w:eastAsia="宋体" w:cs="宋体"/>
          <w:b/>
          <w:bCs/>
          <w:color w:val="auto"/>
          <w:sz w:val="21"/>
          <w:szCs w:val="21"/>
          <w:highlight w:val="none"/>
        </w:rPr>
        <w:t xml:space="preserve">、费用结算与付款 </w:t>
      </w:r>
    </w:p>
    <w:p w14:paraId="67FAED51">
      <w:pPr>
        <w:keepNext w:val="0"/>
        <w:keepLines w:val="0"/>
        <w:pageBreakBefore w:val="0"/>
        <w:widowControl/>
        <w:kinsoku/>
        <w:wordWrap/>
        <w:overflowPunct/>
        <w:topLinePunct w:val="0"/>
        <w:bidi w:val="0"/>
        <w:snapToGrid/>
        <w:spacing w:line="360" w:lineRule="auto"/>
        <w:ind w:left="0" w:firstLine="420" w:firstLineChars="20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1、合同生效以及具备实施条件后7个工作日内支付合同金额的40%作为预付款。</w:t>
      </w:r>
    </w:p>
    <w:p w14:paraId="3AFB224A">
      <w:pPr>
        <w:keepNext w:val="0"/>
        <w:keepLines w:val="0"/>
        <w:pageBreakBefore w:val="0"/>
        <w:widowControl/>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2、每次活动前由采购方提供职工名单，结算时</w:t>
      </w:r>
      <w:r>
        <w:rPr>
          <w:rFonts w:hint="eastAsia" w:asciiTheme="minorEastAsia" w:hAnsiTheme="minorEastAsia" w:eastAsiaTheme="minorEastAsia" w:cstheme="minorEastAsia"/>
          <w:color w:val="auto"/>
          <w:sz w:val="21"/>
          <w:szCs w:val="21"/>
          <w:highlight w:val="none"/>
          <w:u w:val="none"/>
          <w:lang w:val="en-US" w:eastAsia="zh-CN"/>
        </w:rPr>
        <w:t>中标单位须提供旅游景点合影或行程中照片等，</w:t>
      </w:r>
      <w:r>
        <w:rPr>
          <w:rFonts w:hint="eastAsia" w:asciiTheme="minorEastAsia" w:hAnsiTheme="minorEastAsia" w:eastAsiaTheme="minorEastAsia" w:cstheme="minorEastAsia"/>
          <w:color w:val="auto"/>
          <w:sz w:val="21"/>
          <w:szCs w:val="21"/>
          <w:highlight w:val="none"/>
          <w:lang w:val="en-US" w:eastAsia="zh-CN"/>
        </w:rPr>
        <w:t>由职工所属单位一次性付清（中标单价×实际出行人数）；</w:t>
      </w:r>
      <w:r>
        <w:rPr>
          <w:rFonts w:hint="eastAsia" w:asciiTheme="minorEastAsia" w:hAnsiTheme="minorEastAsia" w:eastAsiaTheme="minorEastAsia" w:cstheme="minorEastAsia"/>
          <w:color w:val="auto"/>
          <w:sz w:val="21"/>
          <w:szCs w:val="21"/>
          <w:highlight w:val="none"/>
          <w:u w:val="none"/>
          <w:lang w:val="en-US" w:eastAsia="zh-CN"/>
        </w:rPr>
        <w:t>先从预付款中扣除相应金额，待预付款扣完后不足部分按实结算。</w:t>
      </w:r>
      <w:r>
        <w:rPr>
          <w:rFonts w:hint="eastAsia" w:asciiTheme="minorEastAsia" w:hAnsiTheme="minorEastAsia" w:eastAsiaTheme="minorEastAsia" w:cstheme="minorEastAsia"/>
          <w:color w:val="auto"/>
          <w:sz w:val="21"/>
          <w:szCs w:val="21"/>
          <w:highlight w:val="none"/>
          <w:lang w:val="en-US" w:eastAsia="zh-CN"/>
        </w:rPr>
        <w:t>无论是</w:t>
      </w:r>
      <w:r>
        <w:rPr>
          <w:rFonts w:hint="eastAsia" w:asciiTheme="minorEastAsia" w:hAnsiTheme="minorEastAsia" w:eastAsiaTheme="minorEastAsia" w:cstheme="minorEastAsia"/>
          <w:color w:val="auto"/>
          <w:sz w:val="21"/>
          <w:szCs w:val="21"/>
          <w:highlight w:val="none"/>
          <w:u w:val="none"/>
          <w:lang w:val="en-US" w:eastAsia="zh-CN"/>
        </w:rPr>
        <w:t>否发生情形变动，中标单价不做调整。</w:t>
      </w:r>
    </w:p>
    <w:p w14:paraId="657190C7">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color w:val="auto"/>
          <w:highlight w:val="none"/>
        </w:rPr>
      </w:pPr>
      <w:r>
        <w:rPr>
          <w:rFonts w:hint="eastAsia" w:asciiTheme="minorEastAsia" w:hAnsiTheme="minorEastAsia" w:eastAsiaTheme="minorEastAsia" w:cstheme="minorEastAsia"/>
          <w:color w:val="auto"/>
          <w:sz w:val="21"/>
          <w:szCs w:val="21"/>
          <w:highlight w:val="none"/>
          <w:lang w:val="en-US" w:eastAsia="zh-CN"/>
        </w:rPr>
        <w:t>3、采购方按中标单价进行结算，其余部分由出行人自行与中标单位结算。</w:t>
      </w:r>
    </w:p>
    <w:p w14:paraId="52F81AD8">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1"/>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六</w:t>
      </w:r>
      <w:r>
        <w:rPr>
          <w:rFonts w:hint="eastAsia" w:ascii="宋体" w:hAnsi="宋体" w:eastAsia="宋体" w:cs="宋体"/>
          <w:b/>
          <w:bCs/>
          <w:color w:val="auto"/>
          <w:sz w:val="21"/>
          <w:szCs w:val="21"/>
          <w:highlight w:val="none"/>
        </w:rPr>
        <w:t xml:space="preserve">、服务承诺 </w:t>
      </w:r>
    </w:p>
    <w:p w14:paraId="6F363528">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必须对本次职工疗休养的有关服务内容做出服务承诺，包括：</w:t>
      </w:r>
    </w:p>
    <w:p w14:paraId="7276DAF1">
      <w:pPr>
        <w:pStyle w:val="7"/>
        <w:keepNext w:val="0"/>
        <w:keepLines w:val="0"/>
        <w:pageBreakBefore w:val="0"/>
        <w:numPr>
          <w:ilvl w:val="0"/>
          <w:numId w:val="10"/>
        </w:numPr>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经营质量方面的承诺： </w:t>
      </w:r>
    </w:p>
    <w:p w14:paraId="0898ED80">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①旅行社向职工提供的旅游服务信息必须真实可靠，不得作虚假宣传。因旅行社原因不能成行，未经职工同意擅自转团、拼团，一经核实，承诺支付该批次疗休养费用总额的50%比例违约金，情节严重的</w:t>
      </w:r>
      <w:r>
        <w:rPr>
          <w:rFonts w:hint="eastAsia" w:ascii="宋体" w:hAnsi="宋体" w:eastAsia="宋体" w:cs="宋体"/>
          <w:color w:val="auto"/>
          <w:sz w:val="21"/>
          <w:szCs w:val="21"/>
          <w:highlight w:val="none"/>
          <w:lang w:eastAsia="zh-CN"/>
        </w:rPr>
        <w:t>采购人有权单方面终止合同</w:t>
      </w:r>
      <w:r>
        <w:rPr>
          <w:rFonts w:hint="eastAsia" w:ascii="宋体" w:hAnsi="宋体" w:eastAsia="宋体" w:cs="宋体"/>
          <w:color w:val="auto"/>
          <w:sz w:val="21"/>
          <w:szCs w:val="21"/>
          <w:highlight w:val="none"/>
        </w:rPr>
        <w:t xml:space="preserve">，取消其承办资格。 </w:t>
      </w:r>
    </w:p>
    <w:p w14:paraId="66FB8BB1">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②未经职工同意，旅行社不得在旅游合同约定之外提供其他有偿服务。一经核实，承诺支付</w:t>
      </w:r>
      <w:r>
        <w:rPr>
          <w:rFonts w:hint="eastAsia" w:ascii="宋体" w:hAnsi="宋体" w:eastAsia="宋体" w:cs="宋体"/>
          <w:color w:val="auto"/>
          <w:sz w:val="21"/>
          <w:szCs w:val="21"/>
          <w:highlight w:val="none"/>
          <w:lang w:val="en-US" w:eastAsia="zh-CN"/>
        </w:rPr>
        <w:t>该</w:t>
      </w:r>
      <w:r>
        <w:rPr>
          <w:rFonts w:hint="eastAsia" w:ascii="宋体" w:hAnsi="宋体" w:eastAsia="宋体" w:cs="宋体"/>
          <w:color w:val="auto"/>
          <w:sz w:val="21"/>
          <w:szCs w:val="21"/>
          <w:highlight w:val="none"/>
        </w:rPr>
        <w:t>批次疗休养费用总额的50%比例违约金，情节严重的</w:t>
      </w:r>
      <w:r>
        <w:rPr>
          <w:rFonts w:hint="eastAsia" w:ascii="宋体" w:hAnsi="宋体" w:eastAsia="宋体" w:cs="宋体"/>
          <w:color w:val="auto"/>
          <w:sz w:val="21"/>
          <w:szCs w:val="21"/>
          <w:highlight w:val="none"/>
          <w:lang w:eastAsia="zh-CN"/>
        </w:rPr>
        <w:t>采购人有权单方面终止合同</w:t>
      </w:r>
      <w:r>
        <w:rPr>
          <w:rFonts w:hint="eastAsia" w:ascii="宋体" w:hAnsi="宋体" w:eastAsia="宋体" w:cs="宋体"/>
          <w:color w:val="auto"/>
          <w:sz w:val="21"/>
          <w:szCs w:val="21"/>
          <w:highlight w:val="none"/>
        </w:rPr>
        <w:t xml:space="preserve">，取消其承办资格。 </w:t>
      </w:r>
    </w:p>
    <w:p w14:paraId="0AE8168C">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③疗休养线路不得安排购物点或强制购物。一经核实，承诺支付该批次疗休养费用总额的50% 比例违约金，情节严重的</w:t>
      </w:r>
      <w:r>
        <w:rPr>
          <w:rFonts w:hint="eastAsia" w:ascii="宋体" w:hAnsi="宋体" w:eastAsia="宋体" w:cs="宋体"/>
          <w:color w:val="auto"/>
          <w:sz w:val="21"/>
          <w:szCs w:val="21"/>
          <w:highlight w:val="none"/>
          <w:lang w:eastAsia="zh-CN"/>
        </w:rPr>
        <w:t>采购人有权单方面终止合同</w:t>
      </w:r>
      <w:r>
        <w:rPr>
          <w:rFonts w:hint="eastAsia" w:ascii="宋体" w:hAnsi="宋体" w:eastAsia="宋体" w:cs="宋体"/>
          <w:color w:val="auto"/>
          <w:sz w:val="21"/>
          <w:szCs w:val="21"/>
          <w:highlight w:val="none"/>
        </w:rPr>
        <w:t>，取消其承办资格。</w:t>
      </w:r>
    </w:p>
    <w:p w14:paraId="2F373284">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④旅行社必须严格兑现响应文件内承诺的所有服务标准和内容，若发现为职工提供的服务与响应文件不符，一经查实，旅行社承诺按该批次疗休养费用总额的50%支付违约金，情节严重的</w:t>
      </w:r>
      <w:r>
        <w:rPr>
          <w:rFonts w:hint="eastAsia" w:ascii="宋体" w:hAnsi="宋体" w:eastAsia="宋体" w:cs="宋体"/>
          <w:color w:val="auto"/>
          <w:sz w:val="21"/>
          <w:szCs w:val="21"/>
          <w:highlight w:val="none"/>
          <w:lang w:eastAsia="zh-CN"/>
        </w:rPr>
        <w:t>采购人有权单方面终止合同</w:t>
      </w:r>
      <w:r>
        <w:rPr>
          <w:rFonts w:hint="eastAsia" w:ascii="宋体" w:hAnsi="宋体" w:eastAsia="宋体" w:cs="宋体"/>
          <w:color w:val="auto"/>
          <w:sz w:val="21"/>
          <w:szCs w:val="21"/>
          <w:highlight w:val="none"/>
        </w:rPr>
        <w:t xml:space="preserve">，取消其承办资格。 </w:t>
      </w:r>
    </w:p>
    <w:p w14:paraId="1238C6BC">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⑤旅行社为职工安排或者介绍的旅游活动不得含有违反有关法律、法规规定的内容。一经核实，承诺支付该批次疗休养费用总额的50%比例违约金，情节严重的</w:t>
      </w:r>
      <w:r>
        <w:rPr>
          <w:rFonts w:hint="eastAsia" w:ascii="宋体" w:hAnsi="宋体" w:eastAsia="宋体" w:cs="宋体"/>
          <w:color w:val="auto"/>
          <w:sz w:val="21"/>
          <w:szCs w:val="21"/>
          <w:highlight w:val="none"/>
          <w:lang w:eastAsia="zh-CN"/>
        </w:rPr>
        <w:t>采购人有权单方面终止合同</w:t>
      </w:r>
      <w:r>
        <w:rPr>
          <w:rFonts w:hint="eastAsia" w:ascii="宋体" w:hAnsi="宋体" w:eastAsia="宋体" w:cs="宋体"/>
          <w:color w:val="auto"/>
          <w:sz w:val="21"/>
          <w:szCs w:val="21"/>
          <w:highlight w:val="none"/>
        </w:rPr>
        <w:t xml:space="preserve">，取消其承办资格。 </w:t>
      </w:r>
    </w:p>
    <w:p w14:paraId="7F94C100">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⑥中标旅行社应当按照合同约定履行义务完成项目，不得将项目转让(转包)给其他旅行社，一经查实，旅行社承诺赔偿由此带来的全部损失，同时采购人终止合同，取消其承办资格。 </w:t>
      </w:r>
    </w:p>
    <w:p w14:paraId="395B398C">
      <w:pPr>
        <w:pStyle w:val="7"/>
        <w:keepNext w:val="0"/>
        <w:keepLines w:val="0"/>
        <w:pageBreakBefore w:val="0"/>
        <w:numPr>
          <w:ilvl w:val="0"/>
          <w:numId w:val="10"/>
        </w:numPr>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经营服务方面的承诺： </w:t>
      </w:r>
    </w:p>
    <w:p w14:paraId="312E6EC8">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旅行社为职工提供服务，应当与职工签订国家旅游局新版旅游合同（最新版）并载明下列事项: </w:t>
      </w:r>
    </w:p>
    <w:p w14:paraId="256272F2">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①旅行社的名称及其经营范围、地址、联系电话和旅行社业务经营许可证编号； </w:t>
      </w:r>
    </w:p>
    <w:p w14:paraId="30340504">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②旅行社经办人的姓名、联系电话；</w:t>
      </w:r>
    </w:p>
    <w:p w14:paraId="1C257A13">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③签约地点和日期； </w:t>
      </w:r>
    </w:p>
    <w:p w14:paraId="3CC7E8FB">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④旅游行程的出发地、途经地和目的地；</w:t>
      </w:r>
    </w:p>
    <w:p w14:paraId="1E41CA0A">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⑤旅游行程中交通、住宿、餐饮服务安排及其标准；</w:t>
      </w:r>
    </w:p>
    <w:p w14:paraId="1D4D0BB1">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⑥职工另行付费的游览项目及价格； </w:t>
      </w:r>
    </w:p>
    <w:p w14:paraId="23CC3CC1">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⑦解除或者变更合同的条件和提前通知的期限；</w:t>
      </w:r>
    </w:p>
    <w:p w14:paraId="11B21514">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⑧违反合同的纠纷解决机制及应当承担的责任； </w:t>
      </w:r>
    </w:p>
    <w:p w14:paraId="3516231A">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⑨旅游服务监督、投诉电话； </w:t>
      </w:r>
    </w:p>
    <w:p w14:paraId="3743A0C3">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⑩双方协商一致的其他内容。 </w:t>
      </w:r>
    </w:p>
    <w:p w14:paraId="7F548688">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1"/>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七</w:t>
      </w:r>
      <w:r>
        <w:rPr>
          <w:rFonts w:hint="eastAsia" w:ascii="宋体" w:hAnsi="宋体" w:eastAsia="宋体" w:cs="宋体"/>
          <w:b/>
          <w:bCs/>
          <w:color w:val="auto"/>
          <w:sz w:val="21"/>
          <w:szCs w:val="21"/>
          <w:highlight w:val="none"/>
        </w:rPr>
        <w:t>、购买保险</w:t>
      </w:r>
    </w:p>
    <w:p w14:paraId="574F278E">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旅行社必须为参加疗休养的职工购买旅行社责任险和人身意外保险（费用含在报价中）。包含旅行社责任险500万元，人身意外保险200万元/人（人身意外险包含意外伤害、突发性疾病、伤害医疗、突发性医疗等）</w:t>
      </w:r>
      <w:r>
        <w:rPr>
          <w:rFonts w:hint="eastAsia" w:ascii="宋体" w:hAnsi="宋体" w:cs="宋体"/>
          <w:color w:val="auto"/>
          <w:sz w:val="21"/>
          <w:szCs w:val="21"/>
          <w:highlight w:val="none"/>
          <w:lang w:eastAsia="zh-CN"/>
        </w:rPr>
        <w:t>。</w:t>
      </w:r>
    </w:p>
    <w:p w14:paraId="0BE3DE92">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color w:val="auto"/>
          <w:highlight w:val="none"/>
        </w:rPr>
      </w:pPr>
      <w:r>
        <w:rPr>
          <w:rFonts w:hint="eastAsia" w:ascii="宋体" w:hAnsi="宋体" w:eastAsia="宋体" w:cs="宋体"/>
          <w:color w:val="auto"/>
          <w:sz w:val="21"/>
          <w:szCs w:val="21"/>
          <w:highlight w:val="none"/>
        </w:rPr>
        <w:t>2、旅行社在采购人</w:t>
      </w:r>
      <w:r>
        <w:rPr>
          <w:rFonts w:hint="eastAsia" w:ascii="宋体" w:hAnsi="宋体" w:eastAsia="宋体" w:cs="宋体"/>
          <w:color w:val="auto"/>
          <w:sz w:val="21"/>
          <w:szCs w:val="21"/>
          <w:highlight w:val="none"/>
          <w:lang w:eastAsia="zh-CN"/>
        </w:rPr>
        <w:t>结账</w:t>
      </w:r>
      <w:r>
        <w:rPr>
          <w:rFonts w:hint="eastAsia" w:ascii="宋体" w:hAnsi="宋体" w:eastAsia="宋体" w:cs="宋体"/>
          <w:color w:val="auto"/>
          <w:sz w:val="21"/>
          <w:szCs w:val="21"/>
          <w:highlight w:val="none"/>
        </w:rPr>
        <w:t xml:space="preserve">时应提供职工旅游合同复印件一份、投保人身意外保险复印件一份。 </w:t>
      </w:r>
    </w:p>
    <w:p w14:paraId="781319BB">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1"/>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八</w:t>
      </w:r>
      <w:r>
        <w:rPr>
          <w:rFonts w:hint="eastAsia" w:ascii="宋体" w:hAnsi="宋体" w:eastAsia="宋体" w:cs="宋体"/>
          <w:b/>
          <w:bCs/>
          <w:color w:val="auto"/>
          <w:sz w:val="21"/>
          <w:szCs w:val="21"/>
          <w:highlight w:val="none"/>
        </w:rPr>
        <w:t>、合同签订及执行</w:t>
      </w:r>
    </w:p>
    <w:p w14:paraId="7C1FB551">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1、中标旅行社根据招标文件要求及投标文件响应有关条款，与采购人签订合同，由双方共同严格遵守执行。 </w:t>
      </w:r>
    </w:p>
    <w:p w14:paraId="3C310095">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2、合同书应由供需双方代表亲自签字。 </w:t>
      </w:r>
    </w:p>
    <w:p w14:paraId="621EB4A4">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3、签订合同后项目不得转包，如发现转包，视为违反约定罚款 5 万元并终止合同。 </w:t>
      </w:r>
    </w:p>
    <w:p w14:paraId="780F77AB">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4、签订合同后，任何一方违约均应赔偿给对方造成的经济损失，并支付对方违约金</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万元。任何一方未经协商或通知对方而擅自单方终止合同的，应赔偿对方违约金</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万元，以补偿对方的损失。</w:t>
      </w:r>
    </w:p>
    <w:p w14:paraId="3C61911B">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color w:val="auto"/>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、遇有双方不能协商解决的问题时，任何一方都有权向需方所在地人民法院提起诉讼，由所在地人民法院依法裁决。</w:t>
      </w:r>
    </w:p>
    <w:p w14:paraId="4CBEA49C">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1"/>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九</w:t>
      </w:r>
      <w:r>
        <w:rPr>
          <w:rFonts w:hint="eastAsia" w:ascii="宋体" w:hAnsi="宋体" w:eastAsia="宋体" w:cs="宋体"/>
          <w:b/>
          <w:bCs/>
          <w:color w:val="auto"/>
          <w:sz w:val="21"/>
          <w:szCs w:val="21"/>
          <w:highlight w:val="none"/>
          <w:lang w:val="en-US" w:eastAsia="zh-CN"/>
        </w:rPr>
        <w:t>、其他要求</w:t>
      </w:r>
    </w:p>
    <w:p w14:paraId="29914009">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color w:val="auto"/>
          <w:sz w:val="21"/>
          <w:szCs w:val="21"/>
          <w:highlight w:val="none"/>
        </w:rPr>
        <w:t>▲</w:t>
      </w:r>
      <w:r>
        <w:rPr>
          <w:rFonts w:hint="eastAsia" w:ascii="宋体" w:hAnsi="宋体" w:eastAsia="宋体" w:cs="宋体"/>
          <w:b/>
          <w:bCs/>
          <w:color w:val="auto"/>
          <w:kern w:val="2"/>
          <w:sz w:val="21"/>
          <w:szCs w:val="21"/>
          <w:highlight w:val="none"/>
          <w:lang w:val="en-US" w:eastAsia="zh-CN" w:bidi="ar-SA"/>
        </w:rPr>
        <w:t>1、最后一批疗休养职工人数不足最低成团人数要求，中标供应商应无条件组织成团。</w:t>
      </w:r>
    </w:p>
    <w:p w14:paraId="079A1154">
      <w:pPr>
        <w:keepNext w:val="0"/>
        <w:keepLines w:val="0"/>
        <w:pageBreakBefore w:val="0"/>
        <w:numPr>
          <w:ilvl w:val="0"/>
          <w:numId w:val="0"/>
        </w:numPr>
        <w:kinsoku/>
        <w:wordWrap/>
        <w:overflowPunct/>
        <w:topLinePunct w:val="0"/>
        <w:autoSpaceDE/>
        <w:autoSpaceDN/>
        <w:bidi w:val="0"/>
        <w:adjustRightInd/>
        <w:snapToGrid/>
        <w:spacing w:line="360" w:lineRule="auto"/>
        <w:ind w:left="0" w:firstLine="422" w:firstLineChars="200"/>
        <w:jc w:val="left"/>
        <w:textAlignment w:val="auto"/>
        <w:outlineLvl w:val="9"/>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2、如因区级以上政府政策调整，采购人有权适当调整疗休养路线，中标供应商不得以任何理由拒绝，否则视为违约。</w:t>
      </w:r>
    </w:p>
    <w:p w14:paraId="5CF762FB">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Theme="minorEastAsia" w:hAnsiTheme="minorEastAsia" w:eastAsiaTheme="minorEastAsia" w:cstheme="minorEastAsia"/>
          <w:b w:val="0"/>
          <w:bCs/>
          <w:color w:val="auto"/>
          <w:sz w:val="21"/>
          <w:szCs w:val="21"/>
          <w:highlight w:val="none"/>
          <w:lang w:val="en-US" w:eastAsia="zh-CN"/>
        </w:rPr>
      </w:pPr>
      <w:r>
        <w:rPr>
          <w:rFonts w:hint="eastAsia" w:asciiTheme="minorEastAsia" w:hAnsiTheme="minorEastAsia" w:eastAsiaTheme="minorEastAsia" w:cstheme="minorEastAsia"/>
          <w:b w:val="0"/>
          <w:bCs/>
          <w:color w:val="auto"/>
          <w:sz w:val="21"/>
          <w:szCs w:val="21"/>
          <w:highlight w:val="none"/>
          <w:lang w:val="en-US" w:eastAsia="zh-CN"/>
        </w:rPr>
        <w:t>3、服务期：合同签订之日起至2025年12月31日止，按采购方要求做好疗休养服务。</w:t>
      </w:r>
    </w:p>
    <w:p w14:paraId="2B952C29">
      <w:pPr>
        <w:adjustRightInd w:val="0"/>
        <w:snapToGrid w:val="0"/>
        <w:spacing w:line="360" w:lineRule="auto"/>
        <w:rPr>
          <w:rFonts w:hint="eastAsia" w:ascii="宋体" w:hAnsi="宋体" w:eastAsia="宋体" w:cs="宋体"/>
          <w:b/>
          <w:color w:val="auto"/>
          <w:szCs w:val="21"/>
          <w:highlight w:val="none"/>
          <w:lang w:eastAsia="zh-CN"/>
        </w:rPr>
        <w:sectPr>
          <w:pgSz w:w="11906" w:h="16838"/>
          <w:pgMar w:top="1440" w:right="1440" w:bottom="1440" w:left="1701" w:header="851" w:footer="992" w:gutter="0"/>
          <w:pgNumType w:fmt="decimal"/>
          <w:cols w:space="720" w:num="1"/>
          <w:docGrid w:linePitch="312" w:charSpace="0"/>
        </w:sectPr>
      </w:pPr>
      <w:r>
        <w:rPr>
          <w:rFonts w:hint="eastAsia" w:ascii="宋体" w:hAnsi="宋体" w:cs="宋体"/>
          <w:b/>
          <w:color w:val="auto"/>
          <w:szCs w:val="21"/>
          <w:highlight w:val="none"/>
          <w:lang w:val="en-US" w:eastAsia="zh-CN"/>
        </w:rPr>
        <w:t>十</w:t>
      </w:r>
      <w:r>
        <w:rPr>
          <w:rFonts w:hint="eastAsia" w:ascii="宋体" w:hAnsi="宋体" w:eastAsia="宋体" w:cs="宋体"/>
          <w:b/>
          <w:color w:val="auto"/>
          <w:szCs w:val="21"/>
          <w:highlight w:val="none"/>
        </w:rPr>
        <w:t>、本项目中标（成交）供应商应在</w:t>
      </w:r>
      <w:r>
        <w:rPr>
          <w:rFonts w:hint="eastAsia" w:ascii="宋体" w:hAnsi="宋体" w:eastAsia="宋体" w:cs="宋体"/>
          <w:b/>
          <w:color w:val="auto"/>
          <w:szCs w:val="21"/>
          <w:highlight w:val="none"/>
          <w:lang w:eastAsia="zh-CN"/>
        </w:rPr>
        <w:t>浙江政府采购网</w:t>
      </w:r>
      <w:r>
        <w:rPr>
          <w:rFonts w:hint="eastAsia" w:ascii="宋体" w:hAnsi="宋体" w:eastAsia="宋体" w:cs="宋体"/>
          <w:b/>
          <w:color w:val="auto"/>
          <w:szCs w:val="21"/>
          <w:highlight w:val="none"/>
        </w:rPr>
        <w:t>（</w:t>
      </w:r>
      <w:r>
        <w:rPr>
          <w:rFonts w:hint="eastAsia" w:ascii="宋体" w:hAnsi="宋体" w:eastAsia="宋体" w:cs="宋体"/>
          <w:b/>
          <w:color w:val="auto"/>
          <w:szCs w:val="21"/>
          <w:highlight w:val="none"/>
          <w:lang w:eastAsia="zh-CN"/>
        </w:rPr>
        <w:t>http：//zfcg.czt.zj.gov.cn</w:t>
      </w:r>
      <w:r>
        <w:rPr>
          <w:rFonts w:hint="eastAsia" w:ascii="宋体" w:hAnsi="宋体" w:eastAsia="宋体" w:cs="宋体"/>
          <w:b/>
          <w:color w:val="auto"/>
          <w:szCs w:val="21"/>
          <w:highlight w:val="none"/>
        </w:rPr>
        <w:t>）上注册成为“政府采购供应商”，如不按要求注册的，采购方有权延期发布中标（成交）通知书和中标（成交）公告，后果由供应商自行承担</w:t>
      </w:r>
      <w:bookmarkEnd w:id="0"/>
      <w:r>
        <w:rPr>
          <w:rFonts w:hint="eastAsia" w:ascii="宋体" w:hAnsi="宋体" w:eastAsia="宋体" w:cs="宋体"/>
          <w:b/>
          <w:color w:val="auto"/>
          <w:szCs w:val="21"/>
          <w:highlight w:val="none"/>
          <w:lang w:eastAsia="zh-CN"/>
        </w:rPr>
        <w:t>。</w:t>
      </w:r>
    </w:p>
    <w:p w14:paraId="7D5424F2">
      <w:pPr>
        <w:spacing w:line="360" w:lineRule="auto"/>
        <w:jc w:val="center"/>
        <w:outlineLvl w:val="0"/>
        <w:rPr>
          <w:rFonts w:hint="eastAsia" w:ascii="宋体" w:hAnsi="宋体" w:eastAsia="宋体" w:cs="宋体"/>
          <w:b/>
          <w:color w:val="auto"/>
          <w:sz w:val="36"/>
          <w:szCs w:val="36"/>
          <w:highlight w:val="none"/>
          <w:lang w:eastAsia="zh-CN"/>
        </w:rPr>
      </w:pPr>
      <w:r>
        <w:rPr>
          <w:rFonts w:hint="eastAsia" w:ascii="宋体" w:hAnsi="宋体" w:eastAsia="宋体" w:cs="宋体"/>
          <w:b/>
          <w:color w:val="auto"/>
          <w:sz w:val="36"/>
          <w:szCs w:val="36"/>
          <w:highlight w:val="none"/>
        </w:rPr>
        <w:t>第五章 合同主要条款</w:t>
      </w:r>
    </w:p>
    <w:p w14:paraId="74D3E617">
      <w:pPr>
        <w:pStyle w:val="49"/>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（此稿为合同样本，最终定稿待双方协商后定</w:t>
      </w:r>
      <w:r>
        <w:rPr>
          <w:rFonts w:hint="eastAsia" w:ascii="宋体" w:hAnsi="宋体" w:eastAsia="宋体" w:cs="宋体"/>
          <w:color w:val="auto"/>
          <w:kern w:val="2"/>
          <w:sz w:val="21"/>
          <w:szCs w:val="21"/>
          <w:highlight w:val="none"/>
        </w:rPr>
        <w:t>，但不得背离实质性内容</w:t>
      </w:r>
      <w:r>
        <w:rPr>
          <w:rFonts w:hint="eastAsia" w:ascii="宋体" w:hAnsi="宋体" w:eastAsia="宋体" w:cs="宋体"/>
          <w:color w:val="auto"/>
          <w:kern w:val="2"/>
          <w:sz w:val="21"/>
          <w:szCs w:val="21"/>
          <w:highlight w:val="none"/>
          <w:lang w:val="en-US" w:eastAsia="zh-CN" w:bidi="ar-SA"/>
        </w:rPr>
        <w:t>）</w:t>
      </w:r>
    </w:p>
    <w:p w14:paraId="151E5E46">
      <w:pPr>
        <w:rPr>
          <w:rFonts w:hint="eastAsia" w:ascii="宋体" w:hAnsi="宋体" w:eastAsia="宋体" w:cs="宋体"/>
          <w:color w:val="auto"/>
          <w:highlight w:val="none"/>
        </w:rPr>
      </w:pPr>
    </w:p>
    <w:p w14:paraId="514C3DA6">
      <w:pPr>
        <w:adjustRightInd w:val="0"/>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合同将由</w:t>
      </w:r>
      <w:r>
        <w:rPr>
          <w:rFonts w:hint="eastAsia" w:ascii="宋体" w:hAnsi="宋体" w:cs="宋体"/>
          <w:color w:val="auto"/>
          <w:sz w:val="21"/>
          <w:szCs w:val="21"/>
          <w:highlight w:val="none"/>
          <w:lang w:eastAsia="zh-CN"/>
        </w:rPr>
        <w:t>台州市路桥区中医院医疗服务共同体</w:t>
      </w:r>
      <w:r>
        <w:rPr>
          <w:rFonts w:hint="eastAsia" w:ascii="宋体" w:hAnsi="宋体" w:eastAsia="宋体" w:cs="宋体"/>
          <w:color w:val="auto"/>
          <w:sz w:val="21"/>
          <w:szCs w:val="21"/>
          <w:highlight w:val="none"/>
        </w:rPr>
        <w:t>（以下简称甲方）与经评审最终确定的中标人（以下简称乙方）结合本项目具体情况协商后签订。以下为采购人提出涉及乙方的主要条款，投标人在投标文件中应对其进行确认或拒绝。如投标人在其投标文件中未做拒绝或提出调整完善要求的，采购人将视作认同。具体如下：</w:t>
      </w:r>
    </w:p>
    <w:p w14:paraId="64A3D312">
      <w:pPr>
        <w:pStyle w:val="11"/>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项目编号</w:t>
      </w:r>
      <w:r>
        <w:rPr>
          <w:rFonts w:hint="eastAsia" w:ascii="宋体" w:hAnsi="宋体" w:eastAsia="宋体" w:cs="宋体"/>
          <w:color w:val="auto"/>
          <w:sz w:val="21"/>
          <w:szCs w:val="21"/>
          <w:highlight w:val="none"/>
        </w:rPr>
        <w:t>：</w:t>
      </w:r>
    </w:p>
    <w:p w14:paraId="0E0104F3">
      <w:pPr>
        <w:pStyle w:val="11"/>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甲方：</w:t>
      </w:r>
      <w:r>
        <w:rPr>
          <w:rFonts w:hint="eastAsia" w:ascii="宋体" w:hAnsi="宋体" w:eastAsia="宋体" w:cs="宋体"/>
          <w:color w:val="auto"/>
          <w:sz w:val="21"/>
          <w:szCs w:val="21"/>
          <w:highlight w:val="none"/>
        </w:rPr>
        <w:t>（采购方）</w:t>
      </w:r>
    </w:p>
    <w:p w14:paraId="2383832A">
      <w:pPr>
        <w:pStyle w:val="11"/>
        <w:adjustRightInd w:val="0"/>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乙方：</w:t>
      </w:r>
      <w:r>
        <w:rPr>
          <w:rFonts w:hint="eastAsia" w:ascii="宋体" w:hAnsi="宋体" w:eastAsia="宋体" w:cs="宋体"/>
          <w:color w:val="auto"/>
          <w:sz w:val="21"/>
          <w:szCs w:val="21"/>
          <w:highlight w:val="none"/>
        </w:rPr>
        <w:t>（供应商）</w:t>
      </w:r>
      <w:r>
        <w:rPr>
          <w:rFonts w:hint="eastAsia" w:ascii="宋体" w:hAnsi="宋体" w:eastAsia="宋体" w:cs="宋体"/>
          <w:b/>
          <w:color w:val="auto"/>
          <w:sz w:val="21"/>
          <w:szCs w:val="21"/>
          <w:highlight w:val="none"/>
        </w:rPr>
        <w:t xml:space="preserve"> </w:t>
      </w:r>
    </w:p>
    <w:p w14:paraId="2D6A88C9">
      <w:pPr>
        <w:pStyle w:val="11"/>
        <w:adjustRightInd w:val="0"/>
        <w:snapToGrid w:val="0"/>
        <w:spacing w:line="360" w:lineRule="auto"/>
        <w:ind w:firstLine="420" w:firstLineChars="200"/>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甲、乙双方根据</w:t>
      </w:r>
      <w:r>
        <w:rPr>
          <w:rFonts w:hint="eastAsia" w:hAnsi="宋体" w:cs="宋体"/>
          <w:color w:val="auto"/>
          <w:sz w:val="21"/>
          <w:szCs w:val="21"/>
          <w:highlight w:val="none"/>
          <w:u w:val="single"/>
          <w:lang w:eastAsia="zh-CN"/>
        </w:rPr>
        <w:t>职工疗休养协议服务单位招标项目</w:t>
      </w:r>
      <w:r>
        <w:rPr>
          <w:rFonts w:hint="eastAsia" w:ascii="宋体" w:hAnsi="宋体" w:eastAsia="宋体" w:cs="宋体"/>
          <w:color w:val="auto"/>
          <w:sz w:val="21"/>
          <w:szCs w:val="21"/>
          <w:highlight w:val="none"/>
          <w:u w:val="single"/>
        </w:rPr>
        <w:t>公开招标</w:t>
      </w:r>
      <w:r>
        <w:rPr>
          <w:rFonts w:hint="eastAsia" w:ascii="宋体" w:hAnsi="宋体" w:eastAsia="宋体" w:cs="宋体"/>
          <w:color w:val="auto"/>
          <w:sz w:val="21"/>
          <w:szCs w:val="21"/>
          <w:highlight w:val="none"/>
        </w:rPr>
        <w:t>的结果，签署本合同。</w:t>
      </w:r>
    </w:p>
    <w:p w14:paraId="3AB4D8EC">
      <w:pPr>
        <w:pStyle w:val="11"/>
        <w:keepNext w:val="0"/>
        <w:keepLines w:val="0"/>
        <w:pageBreakBefore w:val="0"/>
        <w:widowControl w:val="0"/>
        <w:kinsoku/>
        <w:wordWrap/>
        <w:overflowPunct/>
        <w:topLinePunct w:val="0"/>
        <w:bidi w:val="0"/>
        <w:adjustRightInd w:val="0"/>
        <w:snapToGrid w:val="0"/>
        <w:spacing w:line="360" w:lineRule="auto"/>
        <w:outlineLvl w:val="9"/>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lang w:val="en-US" w:eastAsia="zh-CN"/>
        </w:rPr>
        <w:t>第一条：</w:t>
      </w:r>
      <w:r>
        <w:rPr>
          <w:rFonts w:hint="eastAsia" w:asciiTheme="minorEastAsia" w:hAnsiTheme="minorEastAsia" w:eastAsiaTheme="minorEastAsia" w:cstheme="minorEastAsia"/>
          <w:b/>
          <w:color w:val="auto"/>
          <w:sz w:val="21"/>
          <w:szCs w:val="21"/>
          <w:highlight w:val="none"/>
        </w:rPr>
        <w:t>服务内容</w:t>
      </w:r>
    </w:p>
    <w:p w14:paraId="48DCDE93">
      <w:pPr>
        <w:pStyle w:val="11"/>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详见本项目招标文件</w:t>
      </w:r>
      <w:r>
        <w:rPr>
          <w:rFonts w:hint="eastAsia" w:asciiTheme="minorEastAsia" w:hAnsiTheme="minorEastAsia" w:eastAsiaTheme="minorEastAsia" w:cstheme="minorEastAsia"/>
          <w:bCs/>
          <w:color w:val="auto"/>
          <w:sz w:val="21"/>
          <w:szCs w:val="21"/>
          <w:highlight w:val="none"/>
        </w:rPr>
        <w:t>第</w:t>
      </w:r>
      <w:r>
        <w:rPr>
          <w:rFonts w:hint="eastAsia" w:asciiTheme="minorEastAsia" w:hAnsiTheme="minorEastAsia" w:eastAsiaTheme="minorEastAsia" w:cstheme="minorEastAsia"/>
          <w:bCs/>
          <w:color w:val="auto"/>
          <w:sz w:val="21"/>
          <w:szCs w:val="21"/>
          <w:highlight w:val="none"/>
          <w:lang w:val="en-US" w:eastAsia="zh-CN"/>
        </w:rPr>
        <w:t>四</w:t>
      </w:r>
      <w:r>
        <w:rPr>
          <w:rFonts w:hint="eastAsia" w:asciiTheme="minorEastAsia" w:hAnsiTheme="minorEastAsia" w:eastAsiaTheme="minorEastAsia" w:cstheme="minorEastAsia"/>
          <w:bCs/>
          <w:color w:val="auto"/>
          <w:sz w:val="21"/>
          <w:szCs w:val="21"/>
          <w:highlight w:val="none"/>
        </w:rPr>
        <w:t>部分《</w:t>
      </w:r>
      <w:r>
        <w:rPr>
          <w:rFonts w:hint="eastAsia" w:asciiTheme="minorEastAsia" w:hAnsiTheme="minorEastAsia" w:eastAsiaTheme="minorEastAsia" w:cstheme="minorEastAsia"/>
          <w:color w:val="auto"/>
          <w:sz w:val="21"/>
          <w:szCs w:val="21"/>
          <w:highlight w:val="none"/>
          <w:lang w:val="en-US" w:eastAsia="zh-CN"/>
        </w:rPr>
        <w:t>公开招标需求</w:t>
      </w:r>
      <w:r>
        <w:rPr>
          <w:rFonts w:hint="eastAsia" w:asciiTheme="minorEastAsia" w:hAnsiTheme="minorEastAsia" w:eastAsiaTheme="minorEastAsia" w:cstheme="minorEastAsia"/>
          <w:color w:val="auto"/>
          <w:sz w:val="21"/>
          <w:szCs w:val="21"/>
          <w:highlight w:val="none"/>
        </w:rPr>
        <w:t>》。</w:t>
      </w:r>
    </w:p>
    <w:p w14:paraId="529F1AA7">
      <w:pPr>
        <w:keepNext w:val="0"/>
        <w:keepLines w:val="0"/>
        <w:pageBreakBefore w:val="0"/>
        <w:widowControl w:val="0"/>
        <w:kinsoku/>
        <w:wordWrap/>
        <w:overflowPunct/>
        <w:topLinePunct w:val="0"/>
        <w:bidi w:val="0"/>
        <w:snapToGrid w:val="0"/>
        <w:spacing w:line="360" w:lineRule="auto"/>
        <w:outlineLvl w:val="9"/>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第二条：合同金额</w:t>
      </w:r>
    </w:p>
    <w:p w14:paraId="0EB1D12E">
      <w:pPr>
        <w:keepNext w:val="0"/>
        <w:keepLines w:val="0"/>
        <w:pageBreakBefore w:val="0"/>
        <w:widowControl w:val="0"/>
        <w:kinsoku/>
        <w:wordWrap/>
        <w:overflowPunct/>
        <w:topLinePunct w:val="0"/>
        <w:bidi w:val="0"/>
        <w:spacing w:line="360" w:lineRule="auto"/>
        <w:ind w:firstLine="420" w:firstLineChars="200"/>
        <w:outlineLvl w:val="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Cs w:val="21"/>
          <w:highlight w:val="none"/>
        </w:rPr>
        <w:t>本合同金额为(大写)</w:t>
      </w:r>
      <w:r>
        <w:rPr>
          <w:rFonts w:hint="eastAsia" w:asciiTheme="minorEastAsia" w:hAnsiTheme="minorEastAsia" w:eastAsiaTheme="minorEastAsia" w:cstheme="minorEastAsia"/>
          <w:color w:val="auto"/>
          <w:szCs w:val="21"/>
          <w:highlight w:val="none"/>
          <w:lang w:eastAsia="zh-CN"/>
        </w:rPr>
        <w:t>：</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元 (￥</w:t>
      </w:r>
      <w:r>
        <w:rPr>
          <w:rFonts w:hint="eastAsia" w:asciiTheme="minorEastAsia" w:hAnsiTheme="minorEastAsia" w:eastAsiaTheme="minorEastAsia" w:cstheme="minorEastAsia"/>
          <w:color w:val="auto"/>
          <w:szCs w:val="21"/>
          <w:highlight w:val="none"/>
          <w:lang w:eastAsia="zh-CN"/>
        </w:rPr>
        <w:t>：</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元) 人民币。</w:t>
      </w:r>
    </w:p>
    <w:tbl>
      <w:tblPr>
        <w:tblStyle w:val="21"/>
        <w:tblW w:w="71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86"/>
        <w:gridCol w:w="976"/>
        <w:gridCol w:w="770"/>
        <w:gridCol w:w="3007"/>
        <w:gridCol w:w="1464"/>
      </w:tblGrid>
      <w:tr w14:paraId="5552E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2" w:hRule="atLeast"/>
          <w:jc w:val="center"/>
        </w:trPr>
        <w:tc>
          <w:tcPr>
            <w:tcW w:w="886" w:type="dxa"/>
            <w:shd w:val="clear" w:color="auto" w:fill="auto"/>
            <w:noWrap/>
            <w:vAlign w:val="center"/>
          </w:tcPr>
          <w:p w14:paraId="2DBA6D66">
            <w:pPr>
              <w:spacing w:line="240" w:lineRule="auto"/>
              <w:rPr>
                <w:rFonts w:hint="eastAsia" w:asciiTheme="minorEastAsia" w:hAnsiTheme="minorEastAsia" w:eastAsiaTheme="minorEastAsia" w:cstheme="minorEastAsia"/>
                <w:i w:val="0"/>
                <w:iCs w:val="0"/>
                <w:color w:val="auto"/>
                <w:sz w:val="21"/>
                <w:szCs w:val="21"/>
                <w:highlight w:val="none"/>
                <w:u w:val="none"/>
              </w:rPr>
            </w:pPr>
          </w:p>
        </w:tc>
        <w:tc>
          <w:tcPr>
            <w:tcW w:w="976" w:type="dxa"/>
            <w:shd w:val="clear" w:color="auto" w:fill="auto"/>
            <w:vAlign w:val="center"/>
          </w:tcPr>
          <w:p w14:paraId="2798EA11">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区域</w:t>
            </w:r>
          </w:p>
        </w:tc>
        <w:tc>
          <w:tcPr>
            <w:tcW w:w="770" w:type="dxa"/>
            <w:shd w:val="clear" w:color="auto" w:fill="auto"/>
            <w:vAlign w:val="center"/>
          </w:tcPr>
          <w:p w14:paraId="5C3DE784">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序号</w:t>
            </w:r>
          </w:p>
        </w:tc>
        <w:tc>
          <w:tcPr>
            <w:tcW w:w="3007" w:type="dxa"/>
            <w:shd w:val="clear" w:color="auto" w:fill="auto"/>
            <w:vAlign w:val="center"/>
          </w:tcPr>
          <w:p w14:paraId="2654DA1C">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线路名</w:t>
            </w:r>
          </w:p>
        </w:tc>
        <w:tc>
          <w:tcPr>
            <w:tcW w:w="1464" w:type="dxa"/>
            <w:shd w:val="clear" w:color="auto" w:fill="auto"/>
            <w:vAlign w:val="center"/>
          </w:tcPr>
          <w:p w14:paraId="56DA24B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cstheme="minorEastAsia"/>
                <w:b/>
                <w:bCs/>
                <w:i w:val="0"/>
                <w:iCs w:val="0"/>
                <w:color w:val="auto"/>
                <w:kern w:val="0"/>
                <w:sz w:val="21"/>
                <w:szCs w:val="21"/>
                <w:highlight w:val="none"/>
                <w:u w:val="none"/>
                <w:lang w:val="en-US" w:eastAsia="zh-CN" w:bidi="ar"/>
              </w:rPr>
              <w:t>单价</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（元/人）</w:t>
            </w:r>
          </w:p>
        </w:tc>
      </w:tr>
      <w:tr w14:paraId="01CD9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restart"/>
            <w:shd w:val="clear" w:color="auto" w:fill="auto"/>
            <w:noWrap/>
            <w:vAlign w:val="center"/>
          </w:tcPr>
          <w:p w14:paraId="632F976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标段一</w:t>
            </w:r>
          </w:p>
        </w:tc>
        <w:tc>
          <w:tcPr>
            <w:tcW w:w="976" w:type="dxa"/>
            <w:vMerge w:val="restart"/>
            <w:shd w:val="clear" w:color="auto" w:fill="auto"/>
            <w:vAlign w:val="center"/>
          </w:tcPr>
          <w:p w14:paraId="700F18B4">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省外推荐线路</w:t>
            </w:r>
          </w:p>
        </w:tc>
        <w:tc>
          <w:tcPr>
            <w:tcW w:w="770" w:type="dxa"/>
            <w:shd w:val="clear" w:color="auto" w:fill="auto"/>
            <w:noWrap/>
            <w:vAlign w:val="center"/>
          </w:tcPr>
          <w:p w14:paraId="1E7218FE">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07" w:type="dxa"/>
            <w:shd w:val="clear" w:color="auto" w:fill="auto"/>
            <w:vAlign w:val="center"/>
          </w:tcPr>
          <w:p w14:paraId="12445742">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奇幻吉林6天游</w:t>
            </w:r>
          </w:p>
        </w:tc>
        <w:tc>
          <w:tcPr>
            <w:tcW w:w="1464" w:type="dxa"/>
            <w:shd w:val="clear" w:color="auto" w:fill="auto"/>
            <w:noWrap/>
            <w:vAlign w:val="center"/>
          </w:tcPr>
          <w:p w14:paraId="375C81C9">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24A39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3AEC3CD1">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19BDA2F4">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0A9141A0">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07" w:type="dxa"/>
            <w:shd w:val="clear" w:color="auto" w:fill="auto"/>
            <w:vAlign w:val="center"/>
          </w:tcPr>
          <w:p w14:paraId="435527E1">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新疆那拉提独库双飞7日+1日</w:t>
            </w:r>
          </w:p>
        </w:tc>
        <w:tc>
          <w:tcPr>
            <w:tcW w:w="1464" w:type="dxa"/>
            <w:shd w:val="clear" w:color="auto" w:fill="auto"/>
            <w:noWrap/>
            <w:vAlign w:val="center"/>
          </w:tcPr>
          <w:p w14:paraId="1EA586B3">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74895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5468703D">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79896732">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5F8A3D17">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07" w:type="dxa"/>
            <w:shd w:val="clear" w:color="auto" w:fill="auto"/>
            <w:vAlign w:val="center"/>
          </w:tcPr>
          <w:p w14:paraId="0F0989BB">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西宁茫崖6日游</w:t>
            </w:r>
          </w:p>
        </w:tc>
        <w:tc>
          <w:tcPr>
            <w:tcW w:w="1464" w:type="dxa"/>
            <w:shd w:val="clear" w:color="auto" w:fill="auto"/>
            <w:noWrap/>
            <w:vAlign w:val="center"/>
          </w:tcPr>
          <w:p w14:paraId="6540EF1E">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58AFB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79" w:hRule="atLeast"/>
          <w:jc w:val="center"/>
        </w:trPr>
        <w:tc>
          <w:tcPr>
            <w:tcW w:w="886" w:type="dxa"/>
            <w:vMerge w:val="continue"/>
            <w:shd w:val="clear" w:color="auto" w:fill="auto"/>
            <w:noWrap/>
            <w:vAlign w:val="center"/>
          </w:tcPr>
          <w:p w14:paraId="4904B5F4">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505DC857">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01A601C6">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007" w:type="dxa"/>
            <w:shd w:val="clear" w:color="auto" w:fill="auto"/>
            <w:vAlign w:val="center"/>
          </w:tcPr>
          <w:p w14:paraId="18B5F74F">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泉州3日游</w:t>
            </w:r>
          </w:p>
        </w:tc>
        <w:tc>
          <w:tcPr>
            <w:tcW w:w="1464" w:type="dxa"/>
            <w:shd w:val="clear" w:color="auto" w:fill="auto"/>
            <w:noWrap/>
            <w:vAlign w:val="center"/>
          </w:tcPr>
          <w:p w14:paraId="69256AEF">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5CE53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33" w:hRule="atLeast"/>
          <w:jc w:val="center"/>
        </w:trPr>
        <w:tc>
          <w:tcPr>
            <w:tcW w:w="886" w:type="dxa"/>
            <w:vMerge w:val="continue"/>
            <w:shd w:val="clear" w:color="auto" w:fill="auto"/>
            <w:noWrap/>
            <w:vAlign w:val="center"/>
          </w:tcPr>
          <w:p w14:paraId="0F70A8A3">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7C6559D1">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07D6ECD9">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5</w:t>
            </w:r>
          </w:p>
        </w:tc>
        <w:tc>
          <w:tcPr>
            <w:tcW w:w="3007" w:type="dxa"/>
            <w:shd w:val="clear" w:color="auto" w:fill="auto"/>
            <w:vAlign w:val="center"/>
          </w:tcPr>
          <w:p w14:paraId="3F7ACDA5">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南京3日游</w:t>
            </w:r>
          </w:p>
        </w:tc>
        <w:tc>
          <w:tcPr>
            <w:tcW w:w="1464" w:type="dxa"/>
            <w:shd w:val="clear" w:color="auto" w:fill="auto"/>
            <w:noWrap/>
            <w:vAlign w:val="center"/>
          </w:tcPr>
          <w:p w14:paraId="76F8862A">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670BA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8" w:hRule="atLeast"/>
          <w:jc w:val="center"/>
        </w:trPr>
        <w:tc>
          <w:tcPr>
            <w:tcW w:w="886" w:type="dxa"/>
            <w:vMerge w:val="continue"/>
            <w:shd w:val="clear" w:color="auto" w:fill="auto"/>
            <w:noWrap/>
            <w:vAlign w:val="center"/>
          </w:tcPr>
          <w:p w14:paraId="2CCD0A33">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7BBE318B">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340F5417">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6</w:t>
            </w:r>
          </w:p>
        </w:tc>
        <w:tc>
          <w:tcPr>
            <w:tcW w:w="3007" w:type="dxa"/>
            <w:shd w:val="clear" w:color="auto" w:fill="auto"/>
            <w:vAlign w:val="center"/>
          </w:tcPr>
          <w:p w14:paraId="41973F1C">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厦门鼓浪屿、环岛路、南普陀、胡里山炮台纯玩三日游</w:t>
            </w:r>
          </w:p>
        </w:tc>
        <w:tc>
          <w:tcPr>
            <w:tcW w:w="1464" w:type="dxa"/>
            <w:shd w:val="clear" w:color="auto" w:fill="auto"/>
            <w:noWrap/>
            <w:vAlign w:val="center"/>
          </w:tcPr>
          <w:p w14:paraId="40B584A5">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021BC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198C2082">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restart"/>
            <w:shd w:val="clear" w:color="auto" w:fill="auto"/>
            <w:vAlign w:val="center"/>
          </w:tcPr>
          <w:p w14:paraId="38253325">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省内推荐线路</w:t>
            </w:r>
          </w:p>
        </w:tc>
        <w:tc>
          <w:tcPr>
            <w:tcW w:w="770" w:type="dxa"/>
            <w:shd w:val="clear" w:color="auto" w:fill="auto"/>
            <w:noWrap/>
            <w:vAlign w:val="center"/>
          </w:tcPr>
          <w:p w14:paraId="0116E872">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07" w:type="dxa"/>
            <w:shd w:val="clear" w:color="auto" w:fill="auto"/>
            <w:vAlign w:val="center"/>
          </w:tcPr>
          <w:p w14:paraId="034FB274">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舟山4日游</w:t>
            </w:r>
          </w:p>
        </w:tc>
        <w:tc>
          <w:tcPr>
            <w:tcW w:w="1464" w:type="dxa"/>
            <w:shd w:val="clear" w:color="auto" w:fill="auto"/>
            <w:noWrap/>
            <w:vAlign w:val="center"/>
          </w:tcPr>
          <w:p w14:paraId="079C49D7">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22D94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32E13B4C">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2BF574CC">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01A771C4">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07" w:type="dxa"/>
            <w:shd w:val="clear" w:color="auto" w:fill="auto"/>
            <w:vAlign w:val="center"/>
          </w:tcPr>
          <w:p w14:paraId="40536E4C">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安吉龙之梦休闲4日游</w:t>
            </w:r>
          </w:p>
        </w:tc>
        <w:tc>
          <w:tcPr>
            <w:tcW w:w="1464" w:type="dxa"/>
            <w:shd w:val="clear" w:color="auto" w:fill="auto"/>
            <w:noWrap/>
            <w:vAlign w:val="center"/>
          </w:tcPr>
          <w:p w14:paraId="0215CD35">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7D7D9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69DB7F1A">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4DD606EE">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7AE1501A">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07" w:type="dxa"/>
            <w:shd w:val="clear" w:color="auto" w:fill="auto"/>
            <w:vAlign w:val="center"/>
          </w:tcPr>
          <w:p w14:paraId="146496C3">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衢州江山4日游</w:t>
            </w:r>
          </w:p>
        </w:tc>
        <w:tc>
          <w:tcPr>
            <w:tcW w:w="1464" w:type="dxa"/>
            <w:shd w:val="clear" w:color="auto" w:fill="auto"/>
            <w:noWrap/>
            <w:vAlign w:val="center"/>
          </w:tcPr>
          <w:p w14:paraId="433E1B65">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11D0D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4C1D283D">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69298638">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5A0D760B">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007" w:type="dxa"/>
            <w:shd w:val="clear" w:color="auto" w:fill="auto"/>
            <w:vAlign w:val="center"/>
          </w:tcPr>
          <w:p w14:paraId="429439A4">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丽水4日游</w:t>
            </w:r>
          </w:p>
        </w:tc>
        <w:tc>
          <w:tcPr>
            <w:tcW w:w="1464" w:type="dxa"/>
            <w:shd w:val="clear" w:color="auto" w:fill="auto"/>
            <w:noWrap/>
            <w:vAlign w:val="center"/>
          </w:tcPr>
          <w:p w14:paraId="41F70771">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57C3F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65F2EE06">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restart"/>
            <w:shd w:val="clear" w:color="auto" w:fill="auto"/>
            <w:vAlign w:val="center"/>
          </w:tcPr>
          <w:p w14:paraId="4C690F5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台州市内推荐线路</w:t>
            </w:r>
          </w:p>
        </w:tc>
        <w:tc>
          <w:tcPr>
            <w:tcW w:w="770" w:type="dxa"/>
            <w:shd w:val="clear" w:color="auto" w:fill="auto"/>
            <w:noWrap/>
            <w:vAlign w:val="center"/>
          </w:tcPr>
          <w:p w14:paraId="6084409E">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07" w:type="dxa"/>
            <w:shd w:val="clear" w:color="auto" w:fill="auto"/>
            <w:vAlign w:val="center"/>
          </w:tcPr>
          <w:p w14:paraId="083DB63C">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大陈岛3日游</w:t>
            </w:r>
          </w:p>
        </w:tc>
        <w:tc>
          <w:tcPr>
            <w:tcW w:w="1464" w:type="dxa"/>
            <w:shd w:val="clear" w:color="auto" w:fill="auto"/>
            <w:noWrap/>
            <w:vAlign w:val="center"/>
          </w:tcPr>
          <w:p w14:paraId="4A46D89C">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600F9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8" w:hRule="atLeast"/>
          <w:jc w:val="center"/>
        </w:trPr>
        <w:tc>
          <w:tcPr>
            <w:tcW w:w="886" w:type="dxa"/>
            <w:vMerge w:val="continue"/>
            <w:shd w:val="clear" w:color="auto" w:fill="auto"/>
            <w:noWrap/>
            <w:vAlign w:val="center"/>
          </w:tcPr>
          <w:p w14:paraId="473588C8">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49468F91">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6A600169">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07" w:type="dxa"/>
            <w:shd w:val="clear" w:color="auto" w:fill="auto"/>
            <w:vAlign w:val="center"/>
          </w:tcPr>
          <w:p w14:paraId="23698662">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仙居绿道、神仙居、临海紫阳街 3 日游</w:t>
            </w:r>
          </w:p>
        </w:tc>
        <w:tc>
          <w:tcPr>
            <w:tcW w:w="1464" w:type="dxa"/>
            <w:shd w:val="clear" w:color="auto" w:fill="auto"/>
            <w:noWrap/>
            <w:vAlign w:val="center"/>
          </w:tcPr>
          <w:p w14:paraId="3F30A591">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11312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8" w:hRule="atLeast"/>
          <w:jc w:val="center"/>
        </w:trPr>
        <w:tc>
          <w:tcPr>
            <w:tcW w:w="886" w:type="dxa"/>
            <w:vMerge w:val="continue"/>
            <w:shd w:val="clear" w:color="auto" w:fill="auto"/>
            <w:noWrap/>
            <w:vAlign w:val="center"/>
          </w:tcPr>
          <w:p w14:paraId="393D6D91">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512473D2">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42D3D7BA">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07" w:type="dxa"/>
            <w:shd w:val="clear" w:color="auto" w:fill="auto"/>
            <w:vAlign w:val="center"/>
          </w:tcPr>
          <w:p w14:paraId="4397CE67">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天台牧云谷、天台山大瀑布 国清寺3 日游</w:t>
            </w:r>
          </w:p>
        </w:tc>
        <w:tc>
          <w:tcPr>
            <w:tcW w:w="1464" w:type="dxa"/>
            <w:shd w:val="clear" w:color="auto" w:fill="auto"/>
            <w:noWrap/>
            <w:vAlign w:val="center"/>
          </w:tcPr>
          <w:p w14:paraId="4ABEEE46">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051EA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3" w:hRule="atLeast"/>
          <w:jc w:val="center"/>
        </w:trPr>
        <w:tc>
          <w:tcPr>
            <w:tcW w:w="886" w:type="dxa"/>
            <w:vMerge w:val="continue"/>
            <w:shd w:val="clear" w:color="auto" w:fill="auto"/>
            <w:noWrap/>
            <w:vAlign w:val="center"/>
          </w:tcPr>
          <w:p w14:paraId="68480F6F">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78BBC33E">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3127359A">
            <w:pPr>
              <w:keepNext w:val="0"/>
              <w:keepLines w:val="0"/>
              <w:widowControl/>
              <w:suppressLineNumbers w:val="0"/>
              <w:spacing w:line="240" w:lineRule="auto"/>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007" w:type="dxa"/>
            <w:shd w:val="clear" w:color="auto" w:fill="auto"/>
            <w:vAlign w:val="center"/>
          </w:tcPr>
          <w:p w14:paraId="4AE3B6C1">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路桥白天鹅叙宴3日游</w:t>
            </w:r>
          </w:p>
        </w:tc>
        <w:tc>
          <w:tcPr>
            <w:tcW w:w="1464" w:type="dxa"/>
            <w:shd w:val="clear" w:color="auto" w:fill="auto"/>
            <w:noWrap/>
            <w:vAlign w:val="center"/>
          </w:tcPr>
          <w:p w14:paraId="2AFBDC71">
            <w:pPr>
              <w:jc w:val="center"/>
              <w:rPr>
                <w:rFonts w:hint="eastAsia" w:ascii="宋体" w:hAnsi="宋体" w:eastAsia="宋体" w:cs="宋体"/>
                <w:i w:val="0"/>
                <w:iCs w:val="0"/>
                <w:color w:val="auto"/>
                <w:kern w:val="2"/>
                <w:sz w:val="21"/>
                <w:szCs w:val="21"/>
                <w:highlight w:val="none"/>
                <w:u w:val="none"/>
                <w:lang w:val="en-US" w:eastAsia="zh-CN" w:bidi="ar-SA"/>
              </w:rPr>
            </w:pPr>
          </w:p>
        </w:tc>
      </w:tr>
    </w:tbl>
    <w:p w14:paraId="5AFD1178">
      <w:pPr>
        <w:rPr>
          <w:color w:val="auto"/>
          <w:highlight w:val="none"/>
        </w:rPr>
      </w:pPr>
    </w:p>
    <w:tbl>
      <w:tblPr>
        <w:tblStyle w:val="21"/>
        <w:tblW w:w="70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86"/>
        <w:gridCol w:w="976"/>
        <w:gridCol w:w="770"/>
        <w:gridCol w:w="3007"/>
        <w:gridCol w:w="1377"/>
      </w:tblGrid>
      <w:tr w14:paraId="5E28E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7" w:hRule="atLeast"/>
          <w:jc w:val="center"/>
        </w:trPr>
        <w:tc>
          <w:tcPr>
            <w:tcW w:w="886" w:type="dxa"/>
            <w:shd w:val="clear" w:color="auto" w:fill="auto"/>
            <w:noWrap/>
            <w:vAlign w:val="center"/>
          </w:tcPr>
          <w:p w14:paraId="787FBA4A">
            <w:pPr>
              <w:spacing w:line="240" w:lineRule="auto"/>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p>
        </w:tc>
        <w:tc>
          <w:tcPr>
            <w:tcW w:w="976" w:type="dxa"/>
            <w:shd w:val="clear" w:color="auto" w:fill="auto"/>
            <w:vAlign w:val="center"/>
          </w:tcPr>
          <w:p w14:paraId="11DE2003">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区域</w:t>
            </w:r>
          </w:p>
        </w:tc>
        <w:tc>
          <w:tcPr>
            <w:tcW w:w="770" w:type="dxa"/>
            <w:shd w:val="clear" w:color="auto" w:fill="auto"/>
            <w:noWrap/>
            <w:vAlign w:val="center"/>
          </w:tcPr>
          <w:p w14:paraId="5A41E2BA">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序号</w:t>
            </w:r>
          </w:p>
        </w:tc>
        <w:tc>
          <w:tcPr>
            <w:tcW w:w="3007" w:type="dxa"/>
            <w:shd w:val="clear" w:color="auto" w:fill="auto"/>
            <w:vAlign w:val="center"/>
          </w:tcPr>
          <w:p w14:paraId="2A339EC9">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线路名</w:t>
            </w:r>
          </w:p>
        </w:tc>
        <w:tc>
          <w:tcPr>
            <w:tcW w:w="1377" w:type="dxa"/>
            <w:shd w:val="clear" w:color="auto" w:fill="auto"/>
            <w:noWrap/>
            <w:vAlign w:val="center"/>
          </w:tcPr>
          <w:p w14:paraId="4211A03D">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Theme="minorEastAsia" w:hAnsiTheme="minorEastAsia" w:cstheme="minorEastAsia"/>
                <w:b/>
                <w:bCs/>
                <w:i w:val="0"/>
                <w:iCs w:val="0"/>
                <w:color w:val="auto"/>
                <w:kern w:val="0"/>
                <w:sz w:val="21"/>
                <w:szCs w:val="21"/>
                <w:highlight w:val="none"/>
                <w:u w:val="none"/>
                <w:lang w:val="en-US" w:eastAsia="zh-CN" w:bidi="ar"/>
              </w:rPr>
              <w:t>单价</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（元/人）</w:t>
            </w:r>
          </w:p>
        </w:tc>
      </w:tr>
      <w:tr w14:paraId="4977D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49" w:hRule="atLeast"/>
          <w:jc w:val="center"/>
        </w:trPr>
        <w:tc>
          <w:tcPr>
            <w:tcW w:w="886" w:type="dxa"/>
            <w:vMerge w:val="restart"/>
            <w:shd w:val="clear" w:color="auto" w:fill="auto"/>
            <w:noWrap/>
            <w:vAlign w:val="center"/>
          </w:tcPr>
          <w:p w14:paraId="0D80CA63">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标段二</w:t>
            </w:r>
          </w:p>
        </w:tc>
        <w:tc>
          <w:tcPr>
            <w:tcW w:w="976" w:type="dxa"/>
            <w:vMerge w:val="restart"/>
            <w:shd w:val="clear" w:color="auto" w:fill="auto"/>
            <w:vAlign w:val="center"/>
          </w:tcPr>
          <w:p w14:paraId="22EF745C">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省外推荐线路</w:t>
            </w:r>
          </w:p>
        </w:tc>
        <w:tc>
          <w:tcPr>
            <w:tcW w:w="770" w:type="dxa"/>
            <w:shd w:val="clear" w:color="auto" w:fill="auto"/>
            <w:noWrap/>
            <w:vAlign w:val="center"/>
          </w:tcPr>
          <w:p w14:paraId="1079987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07" w:type="dxa"/>
            <w:shd w:val="clear" w:color="auto" w:fill="auto"/>
            <w:vAlign w:val="center"/>
          </w:tcPr>
          <w:p w14:paraId="49C52B3A">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天空之城(成都稻城亚丁）三飞 8 日</w:t>
            </w:r>
          </w:p>
        </w:tc>
        <w:tc>
          <w:tcPr>
            <w:tcW w:w="1377" w:type="dxa"/>
            <w:shd w:val="clear" w:color="auto" w:fill="auto"/>
            <w:noWrap/>
            <w:vAlign w:val="center"/>
          </w:tcPr>
          <w:p w14:paraId="0F91544D">
            <w:pPr>
              <w:jc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26A44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60" w:hRule="atLeast"/>
          <w:jc w:val="center"/>
        </w:trPr>
        <w:tc>
          <w:tcPr>
            <w:tcW w:w="886" w:type="dxa"/>
            <w:vMerge w:val="continue"/>
            <w:shd w:val="clear" w:color="auto" w:fill="auto"/>
            <w:noWrap/>
            <w:vAlign w:val="center"/>
          </w:tcPr>
          <w:p w14:paraId="216693D5">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05A5180F">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605FA5B5">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07" w:type="dxa"/>
            <w:shd w:val="clear" w:color="auto" w:fill="auto"/>
            <w:vAlign w:val="center"/>
          </w:tcPr>
          <w:p w14:paraId="464137BE">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北疆9日</w:t>
            </w:r>
          </w:p>
        </w:tc>
        <w:tc>
          <w:tcPr>
            <w:tcW w:w="1377" w:type="dxa"/>
            <w:shd w:val="clear" w:color="auto" w:fill="auto"/>
            <w:noWrap/>
            <w:vAlign w:val="center"/>
          </w:tcPr>
          <w:p w14:paraId="030A9E0D">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6775E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6E015A56">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64032413">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0C1DDA7E">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07" w:type="dxa"/>
            <w:shd w:val="clear" w:color="auto" w:fill="auto"/>
            <w:vAlign w:val="center"/>
          </w:tcPr>
          <w:p w14:paraId="04A7A61D">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重庆5日游</w:t>
            </w:r>
          </w:p>
        </w:tc>
        <w:tc>
          <w:tcPr>
            <w:tcW w:w="1377" w:type="dxa"/>
            <w:shd w:val="clear" w:color="auto" w:fill="auto"/>
            <w:noWrap/>
            <w:vAlign w:val="center"/>
          </w:tcPr>
          <w:p w14:paraId="1A342BD7">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4B8CB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7573F592">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2D6715D7">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6BCCDB2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007" w:type="dxa"/>
            <w:shd w:val="clear" w:color="auto" w:fill="auto"/>
            <w:vAlign w:val="center"/>
          </w:tcPr>
          <w:p w14:paraId="71814342">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成都、九寨、黄龙溪古镇、武侯祠双飞双高 5 日疗</w:t>
            </w:r>
          </w:p>
        </w:tc>
        <w:tc>
          <w:tcPr>
            <w:tcW w:w="1377" w:type="dxa"/>
            <w:shd w:val="clear" w:color="auto" w:fill="auto"/>
            <w:noWrap/>
            <w:vAlign w:val="center"/>
          </w:tcPr>
          <w:p w14:paraId="58A90778">
            <w:pPr>
              <w:jc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5A04E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35152B37">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0CEE8323">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0F9DF64E">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5</w:t>
            </w:r>
          </w:p>
        </w:tc>
        <w:tc>
          <w:tcPr>
            <w:tcW w:w="3007" w:type="dxa"/>
            <w:shd w:val="clear" w:color="auto" w:fill="auto"/>
            <w:vAlign w:val="center"/>
          </w:tcPr>
          <w:p w14:paraId="57344917">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福州、平潭岛度假3日游</w:t>
            </w:r>
          </w:p>
        </w:tc>
        <w:tc>
          <w:tcPr>
            <w:tcW w:w="1377" w:type="dxa"/>
            <w:shd w:val="clear" w:color="auto" w:fill="auto"/>
            <w:noWrap/>
            <w:vAlign w:val="center"/>
          </w:tcPr>
          <w:p w14:paraId="090824DE">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1BBCA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2CE08F56">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0AFF7087">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1DC4407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6</w:t>
            </w:r>
          </w:p>
        </w:tc>
        <w:tc>
          <w:tcPr>
            <w:tcW w:w="3007" w:type="dxa"/>
            <w:shd w:val="clear" w:color="auto" w:fill="auto"/>
            <w:vAlign w:val="center"/>
          </w:tcPr>
          <w:p w14:paraId="43F4E5B3">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黄山四日游</w:t>
            </w:r>
          </w:p>
        </w:tc>
        <w:tc>
          <w:tcPr>
            <w:tcW w:w="1377" w:type="dxa"/>
            <w:shd w:val="clear" w:color="auto" w:fill="auto"/>
            <w:noWrap/>
            <w:vAlign w:val="center"/>
          </w:tcPr>
          <w:p w14:paraId="6C91CF7B">
            <w:pPr>
              <w:jc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5A342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0DB08387">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restart"/>
            <w:shd w:val="clear" w:color="auto" w:fill="auto"/>
            <w:vAlign w:val="center"/>
          </w:tcPr>
          <w:p w14:paraId="1BDC7120">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省内推荐线路</w:t>
            </w:r>
          </w:p>
        </w:tc>
        <w:tc>
          <w:tcPr>
            <w:tcW w:w="770" w:type="dxa"/>
            <w:shd w:val="clear" w:color="auto" w:fill="auto"/>
            <w:noWrap/>
            <w:vAlign w:val="center"/>
          </w:tcPr>
          <w:p w14:paraId="58F27BF8">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07" w:type="dxa"/>
            <w:shd w:val="clear" w:color="auto" w:fill="auto"/>
            <w:vAlign w:val="center"/>
          </w:tcPr>
          <w:p w14:paraId="2EEB790B">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临安4日游</w:t>
            </w:r>
          </w:p>
        </w:tc>
        <w:tc>
          <w:tcPr>
            <w:tcW w:w="1377" w:type="dxa"/>
            <w:shd w:val="clear" w:color="auto" w:fill="auto"/>
            <w:noWrap/>
            <w:vAlign w:val="center"/>
          </w:tcPr>
          <w:p w14:paraId="695BD46C">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3AECC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303BAE43">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0AB56E42">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5B89E5EF">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07" w:type="dxa"/>
            <w:shd w:val="clear" w:color="auto" w:fill="auto"/>
            <w:vAlign w:val="center"/>
          </w:tcPr>
          <w:p w14:paraId="0975EB42">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浦江休闲之旅5日游</w:t>
            </w:r>
          </w:p>
        </w:tc>
        <w:tc>
          <w:tcPr>
            <w:tcW w:w="1377" w:type="dxa"/>
            <w:shd w:val="clear" w:color="auto" w:fill="auto"/>
            <w:noWrap/>
            <w:vAlign w:val="center"/>
          </w:tcPr>
          <w:p w14:paraId="7A85E45F">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6A545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075F06AD">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211F8899">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4EF0A023">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07" w:type="dxa"/>
            <w:shd w:val="clear" w:color="auto" w:fill="auto"/>
            <w:vAlign w:val="center"/>
          </w:tcPr>
          <w:p w14:paraId="63BB06E3">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千岛湖慢生活4日游</w:t>
            </w:r>
          </w:p>
        </w:tc>
        <w:tc>
          <w:tcPr>
            <w:tcW w:w="1377" w:type="dxa"/>
            <w:shd w:val="clear" w:color="auto" w:fill="auto"/>
            <w:noWrap/>
            <w:vAlign w:val="center"/>
          </w:tcPr>
          <w:p w14:paraId="6E624E69">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1F497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54939EAC">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0C2FF85B">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4834EED2">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007" w:type="dxa"/>
            <w:shd w:val="clear" w:color="auto" w:fill="auto"/>
            <w:vAlign w:val="center"/>
          </w:tcPr>
          <w:p w14:paraId="5515E6E8">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宁波雪窦山应梦里四日游</w:t>
            </w:r>
          </w:p>
        </w:tc>
        <w:tc>
          <w:tcPr>
            <w:tcW w:w="1377" w:type="dxa"/>
            <w:shd w:val="clear" w:color="auto" w:fill="auto"/>
            <w:noWrap/>
            <w:vAlign w:val="center"/>
          </w:tcPr>
          <w:p w14:paraId="5B23A5D7">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4D5E2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86" w:type="dxa"/>
            <w:vMerge w:val="continue"/>
            <w:shd w:val="clear" w:color="auto" w:fill="auto"/>
            <w:noWrap/>
            <w:vAlign w:val="center"/>
          </w:tcPr>
          <w:p w14:paraId="4D69009A">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restart"/>
            <w:shd w:val="clear" w:color="auto" w:fill="auto"/>
            <w:vAlign w:val="center"/>
          </w:tcPr>
          <w:p w14:paraId="03C8A283">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台州市内推荐线路</w:t>
            </w:r>
          </w:p>
        </w:tc>
        <w:tc>
          <w:tcPr>
            <w:tcW w:w="770" w:type="dxa"/>
            <w:shd w:val="clear" w:color="auto" w:fill="auto"/>
            <w:noWrap/>
            <w:vAlign w:val="center"/>
          </w:tcPr>
          <w:p w14:paraId="4754B1F3">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07" w:type="dxa"/>
            <w:shd w:val="clear" w:color="auto" w:fill="auto"/>
            <w:vAlign w:val="center"/>
          </w:tcPr>
          <w:p w14:paraId="2603083A">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临海 桃渚古城、江南长城、江南大峡谷 3 日游</w:t>
            </w:r>
          </w:p>
        </w:tc>
        <w:tc>
          <w:tcPr>
            <w:tcW w:w="1377" w:type="dxa"/>
            <w:shd w:val="clear" w:color="auto" w:fill="auto"/>
            <w:noWrap/>
            <w:vAlign w:val="center"/>
          </w:tcPr>
          <w:p w14:paraId="178023DD">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2C260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886" w:type="dxa"/>
            <w:vMerge w:val="continue"/>
            <w:shd w:val="clear" w:color="auto" w:fill="auto"/>
            <w:noWrap/>
            <w:vAlign w:val="center"/>
          </w:tcPr>
          <w:p w14:paraId="69F05EBD">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153E4462">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681750B0">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07" w:type="dxa"/>
            <w:shd w:val="clear" w:color="auto" w:fill="auto"/>
            <w:vAlign w:val="center"/>
          </w:tcPr>
          <w:p w14:paraId="55E5573E">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温岭 3 日游</w:t>
            </w:r>
          </w:p>
        </w:tc>
        <w:tc>
          <w:tcPr>
            <w:tcW w:w="1377" w:type="dxa"/>
            <w:shd w:val="clear" w:color="auto" w:fill="auto"/>
            <w:noWrap/>
            <w:vAlign w:val="center"/>
          </w:tcPr>
          <w:p w14:paraId="7312EA17">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41F75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jc w:val="center"/>
        </w:trPr>
        <w:tc>
          <w:tcPr>
            <w:tcW w:w="886" w:type="dxa"/>
            <w:vMerge w:val="continue"/>
            <w:shd w:val="clear" w:color="auto" w:fill="auto"/>
            <w:noWrap/>
            <w:vAlign w:val="center"/>
          </w:tcPr>
          <w:p w14:paraId="53C0CD7A">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376E856E">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6B5BF850">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07" w:type="dxa"/>
            <w:shd w:val="clear" w:color="auto" w:fill="auto"/>
            <w:vAlign w:val="center"/>
          </w:tcPr>
          <w:p w14:paraId="11E90ECC">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sz w:val="21"/>
                <w:szCs w:val="21"/>
                <w:highlight w:val="none"/>
                <w:u w:val="none"/>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天台山大瀑布、天台雪乐园、天台寒山多彩田园研学基地3日游</w:t>
            </w:r>
          </w:p>
        </w:tc>
        <w:tc>
          <w:tcPr>
            <w:tcW w:w="1377" w:type="dxa"/>
            <w:shd w:val="clear" w:color="auto" w:fill="auto"/>
            <w:noWrap/>
            <w:vAlign w:val="center"/>
          </w:tcPr>
          <w:p w14:paraId="7DF2DC75">
            <w:pPr>
              <w:jc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5B116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15" w:hRule="atLeast"/>
          <w:jc w:val="center"/>
        </w:trPr>
        <w:tc>
          <w:tcPr>
            <w:tcW w:w="886" w:type="dxa"/>
            <w:vMerge w:val="continue"/>
            <w:shd w:val="clear" w:color="auto" w:fill="auto"/>
            <w:noWrap/>
            <w:vAlign w:val="center"/>
          </w:tcPr>
          <w:p w14:paraId="033DAB42">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976" w:type="dxa"/>
            <w:vMerge w:val="continue"/>
            <w:shd w:val="clear" w:color="auto" w:fill="auto"/>
            <w:vAlign w:val="center"/>
          </w:tcPr>
          <w:p w14:paraId="36233E55">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70" w:type="dxa"/>
            <w:shd w:val="clear" w:color="auto" w:fill="auto"/>
            <w:noWrap/>
            <w:vAlign w:val="center"/>
          </w:tcPr>
          <w:p w14:paraId="7A4173E9">
            <w:pPr>
              <w:keepNext w:val="0"/>
              <w:keepLines w:val="0"/>
              <w:widowControl/>
              <w:suppressLineNumbers w:val="0"/>
              <w:spacing w:line="240" w:lineRule="auto"/>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007" w:type="dxa"/>
            <w:shd w:val="clear" w:color="auto" w:fill="auto"/>
            <w:vAlign w:val="center"/>
          </w:tcPr>
          <w:p w14:paraId="5AB86622">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路桥飞龙山庄叙宴3日游</w:t>
            </w:r>
          </w:p>
        </w:tc>
        <w:tc>
          <w:tcPr>
            <w:tcW w:w="1377" w:type="dxa"/>
            <w:shd w:val="clear" w:color="auto" w:fill="auto"/>
            <w:noWrap/>
            <w:vAlign w:val="center"/>
          </w:tcPr>
          <w:p w14:paraId="3778EE4E">
            <w:pPr>
              <w:jc w:val="center"/>
              <w:rPr>
                <w:rFonts w:hint="eastAsia" w:ascii="宋体" w:hAnsi="宋体" w:eastAsia="宋体" w:cs="宋体"/>
                <w:i w:val="0"/>
                <w:iCs w:val="0"/>
                <w:color w:val="auto"/>
                <w:kern w:val="2"/>
                <w:sz w:val="21"/>
                <w:szCs w:val="21"/>
                <w:highlight w:val="none"/>
                <w:u w:val="none"/>
                <w:lang w:val="en-US" w:eastAsia="zh-CN" w:bidi="ar-SA"/>
              </w:rPr>
            </w:pPr>
          </w:p>
        </w:tc>
      </w:tr>
    </w:tbl>
    <w:p w14:paraId="6A7919D5">
      <w:pPr>
        <w:keepNext w:val="0"/>
        <w:keepLines w:val="0"/>
        <w:pageBreakBefore w:val="0"/>
        <w:widowControl w:val="0"/>
        <w:kinsoku/>
        <w:wordWrap/>
        <w:overflowPunct/>
        <w:topLinePunct w:val="0"/>
        <w:bidi w:val="0"/>
        <w:spacing w:line="360" w:lineRule="auto"/>
        <w:outlineLvl w:val="9"/>
        <w:rPr>
          <w:rFonts w:hint="eastAsia" w:asciiTheme="minorEastAsia" w:hAnsiTheme="minorEastAsia" w:eastAsiaTheme="minorEastAsia" w:cstheme="minorEastAsia"/>
          <w:b/>
          <w:color w:val="auto"/>
          <w:szCs w:val="21"/>
          <w:highlight w:val="none"/>
        </w:rPr>
      </w:pPr>
    </w:p>
    <w:p w14:paraId="2A7AC709">
      <w:pPr>
        <w:keepNext w:val="0"/>
        <w:keepLines w:val="0"/>
        <w:pageBreakBefore w:val="0"/>
        <w:widowControl w:val="0"/>
        <w:kinsoku/>
        <w:wordWrap/>
        <w:overflowPunct/>
        <w:topLinePunct w:val="0"/>
        <w:bidi w:val="0"/>
        <w:spacing w:line="360" w:lineRule="auto"/>
        <w:outlineLvl w:val="9"/>
        <w:rPr>
          <w:rFonts w:hint="eastAsia" w:asciiTheme="minorEastAsia" w:hAnsiTheme="minorEastAsia" w:eastAsiaTheme="minorEastAsia" w:cstheme="minorEastAsia"/>
          <w:b/>
          <w:color w:val="auto"/>
          <w:szCs w:val="21"/>
          <w:highlight w:val="none"/>
          <w:lang w:eastAsia="zh-CN"/>
        </w:rPr>
      </w:pPr>
      <w:r>
        <w:rPr>
          <w:rFonts w:hint="eastAsia" w:asciiTheme="minorEastAsia" w:hAnsiTheme="minorEastAsia" w:eastAsiaTheme="minorEastAsia" w:cstheme="minorEastAsia"/>
          <w:b/>
          <w:color w:val="auto"/>
          <w:szCs w:val="21"/>
          <w:highlight w:val="none"/>
        </w:rPr>
        <w:t>第三条：</w:t>
      </w:r>
      <w:r>
        <w:rPr>
          <w:rFonts w:hint="eastAsia" w:asciiTheme="minorEastAsia" w:hAnsiTheme="minorEastAsia" w:eastAsiaTheme="minorEastAsia" w:cstheme="minorEastAsia"/>
          <w:b/>
          <w:color w:val="auto"/>
          <w:szCs w:val="21"/>
          <w:highlight w:val="none"/>
          <w:lang w:val="en-US" w:eastAsia="zh-CN"/>
        </w:rPr>
        <w:t>服务期</w:t>
      </w:r>
    </w:p>
    <w:p w14:paraId="2837C0DA">
      <w:pPr>
        <w:keepNext w:val="0"/>
        <w:keepLines w:val="0"/>
        <w:pageBreakBefore w:val="0"/>
        <w:widowControl w:val="0"/>
        <w:numPr>
          <w:ilvl w:val="0"/>
          <w:numId w:val="0"/>
        </w:numPr>
        <w:kinsoku/>
        <w:wordWrap/>
        <w:overflowPunct/>
        <w:topLinePunct w:val="0"/>
        <w:bidi w:val="0"/>
        <w:spacing w:line="360" w:lineRule="auto"/>
        <w:ind w:firstLine="420" w:firstLineChars="200"/>
        <w:outlineLvl w:val="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服务期：</w:t>
      </w:r>
      <w:r>
        <w:rPr>
          <w:rFonts w:hint="eastAsia" w:asciiTheme="minorEastAsia" w:hAnsiTheme="minorEastAsia" w:eastAsiaTheme="minorEastAsia" w:cstheme="minorEastAsia"/>
          <w:b w:val="0"/>
          <w:bCs/>
          <w:color w:val="auto"/>
          <w:sz w:val="21"/>
          <w:szCs w:val="21"/>
          <w:highlight w:val="none"/>
          <w:lang w:val="en-US" w:eastAsia="zh-CN"/>
        </w:rPr>
        <w:t>合同签订之日起至2025年12月31日止，按采购方要求做好疗休养服务。</w:t>
      </w:r>
    </w:p>
    <w:p w14:paraId="7E784743">
      <w:pPr>
        <w:keepNext w:val="0"/>
        <w:keepLines w:val="0"/>
        <w:pageBreakBefore w:val="0"/>
        <w:widowControl w:val="0"/>
        <w:kinsoku/>
        <w:wordWrap/>
        <w:overflowPunct/>
        <w:topLinePunct w:val="0"/>
        <w:autoSpaceDE w:val="0"/>
        <w:autoSpaceDN w:val="0"/>
        <w:bidi w:val="0"/>
        <w:spacing w:line="360" w:lineRule="auto"/>
        <w:textAlignment w:val="bottom"/>
        <w:outlineLvl w:val="9"/>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第四条：付款方式</w:t>
      </w:r>
    </w:p>
    <w:p w14:paraId="0730019B">
      <w:pPr>
        <w:keepNext w:val="0"/>
        <w:keepLines w:val="0"/>
        <w:pageBreakBefore w:val="0"/>
        <w:widowControl/>
        <w:kinsoku/>
        <w:wordWrap/>
        <w:overflowPunct/>
        <w:topLinePunct w:val="0"/>
        <w:bidi w:val="0"/>
        <w:snapToGrid/>
        <w:spacing w:line="360" w:lineRule="auto"/>
        <w:ind w:left="0" w:firstLine="420" w:firstLineChars="20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1、合同生效以及具备实施条件后7个工作日内支付合同金额的40%作为预付款。</w:t>
      </w:r>
    </w:p>
    <w:p w14:paraId="026B70D0">
      <w:pPr>
        <w:keepNext w:val="0"/>
        <w:keepLines w:val="0"/>
        <w:pageBreakBefore w:val="0"/>
        <w:widowControl/>
        <w:kinsoku/>
        <w:wordWrap/>
        <w:overflowPunct/>
        <w:topLinePunct w:val="0"/>
        <w:bidi w:val="0"/>
        <w:snapToGrid/>
        <w:spacing w:line="360" w:lineRule="auto"/>
        <w:ind w:left="0" w:firstLine="420" w:firstLineChars="200"/>
        <w:jc w:val="left"/>
        <w:textAlignment w:val="auto"/>
        <w:rPr>
          <w:rFonts w:hint="eastAsia" w:ascii="宋体" w:hAnsi="宋体" w:eastAsia="宋体" w:cs="宋体"/>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2、每次活动前由甲方提供职工名单，结算时</w:t>
      </w:r>
      <w:r>
        <w:rPr>
          <w:rFonts w:hint="eastAsia" w:asciiTheme="minorEastAsia" w:hAnsiTheme="minorEastAsia" w:eastAsiaTheme="minorEastAsia" w:cstheme="minorEastAsia"/>
          <w:color w:val="auto"/>
          <w:sz w:val="21"/>
          <w:szCs w:val="21"/>
          <w:highlight w:val="none"/>
          <w:u w:val="none"/>
          <w:lang w:val="en-US" w:eastAsia="zh-CN"/>
        </w:rPr>
        <w:t>乙方须提供旅游景点合影或行程中照片等，</w:t>
      </w:r>
      <w:r>
        <w:rPr>
          <w:rFonts w:hint="eastAsia" w:asciiTheme="minorEastAsia" w:hAnsiTheme="minorEastAsia" w:eastAsiaTheme="minorEastAsia" w:cstheme="minorEastAsia"/>
          <w:color w:val="auto"/>
          <w:sz w:val="21"/>
          <w:szCs w:val="21"/>
          <w:highlight w:val="none"/>
          <w:lang w:val="en-US" w:eastAsia="zh-CN"/>
        </w:rPr>
        <w:t>由职工所属单位一次性付清（中标单价×实际出行人数）；</w:t>
      </w:r>
      <w:r>
        <w:rPr>
          <w:rFonts w:hint="eastAsia" w:asciiTheme="minorEastAsia" w:hAnsiTheme="minorEastAsia" w:eastAsiaTheme="minorEastAsia" w:cstheme="minorEastAsia"/>
          <w:color w:val="auto"/>
          <w:sz w:val="21"/>
          <w:szCs w:val="21"/>
          <w:highlight w:val="none"/>
          <w:u w:val="none"/>
          <w:lang w:val="en-US" w:eastAsia="zh-CN"/>
        </w:rPr>
        <w:t>先从预付款中扣除相应金额，待预付款扣完后不足部分按实结算。</w:t>
      </w:r>
      <w:r>
        <w:rPr>
          <w:rFonts w:hint="eastAsia" w:asciiTheme="minorEastAsia" w:hAnsiTheme="minorEastAsia" w:eastAsiaTheme="minorEastAsia" w:cstheme="minorEastAsia"/>
          <w:color w:val="auto"/>
          <w:sz w:val="21"/>
          <w:szCs w:val="21"/>
          <w:highlight w:val="none"/>
          <w:lang w:val="en-US" w:eastAsia="zh-CN"/>
        </w:rPr>
        <w:t>无论是</w:t>
      </w:r>
      <w:r>
        <w:rPr>
          <w:rFonts w:hint="eastAsia" w:asciiTheme="minorEastAsia" w:hAnsiTheme="minorEastAsia" w:eastAsiaTheme="minorEastAsia" w:cstheme="minorEastAsia"/>
          <w:color w:val="auto"/>
          <w:sz w:val="21"/>
          <w:szCs w:val="21"/>
          <w:highlight w:val="none"/>
          <w:u w:val="none"/>
          <w:lang w:val="en-US" w:eastAsia="zh-CN"/>
        </w:rPr>
        <w:t>否发生情形变动，中标单价不做调整。</w:t>
      </w:r>
    </w:p>
    <w:p w14:paraId="469AFBB3">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3、甲方按中标单价进行结算，其余部分由出行人自行与乙方结算。</w:t>
      </w:r>
    </w:p>
    <w:p w14:paraId="6A3FA57B">
      <w:pPr>
        <w:keepNext w:val="0"/>
        <w:keepLines w:val="0"/>
        <w:pageBreakBefore w:val="0"/>
        <w:widowControl w:val="0"/>
        <w:kinsoku/>
        <w:wordWrap/>
        <w:overflowPunct/>
        <w:topLinePunct w:val="0"/>
        <w:bidi w:val="0"/>
        <w:adjustRightInd w:val="0"/>
        <w:snapToGrid w:val="0"/>
        <w:spacing w:line="360" w:lineRule="auto"/>
        <w:outlineLvl w:val="9"/>
        <w:rPr>
          <w:rFonts w:hint="eastAsia" w:asciiTheme="minorEastAsia" w:hAnsiTheme="minorEastAsia" w:eastAsiaTheme="minorEastAsia" w:cstheme="minorEastAsia"/>
          <w:b/>
          <w:color w:val="auto"/>
          <w:szCs w:val="21"/>
          <w:highlight w:val="none"/>
          <w:lang w:val="en-US" w:eastAsia="zh-CN"/>
        </w:rPr>
      </w:pPr>
      <w:r>
        <w:rPr>
          <w:rFonts w:hint="eastAsia" w:asciiTheme="minorEastAsia" w:hAnsiTheme="minorEastAsia" w:eastAsiaTheme="minorEastAsia" w:cstheme="minorEastAsia"/>
          <w:b/>
          <w:color w:val="auto"/>
          <w:szCs w:val="21"/>
          <w:highlight w:val="none"/>
          <w:lang w:val="en-US" w:eastAsia="zh-CN"/>
        </w:rPr>
        <w:t>第五条：甲方责任</w:t>
      </w:r>
    </w:p>
    <w:p w14:paraId="47ED9F38">
      <w:pPr>
        <w:keepNext w:val="0"/>
        <w:keepLines w:val="0"/>
        <w:pageBreakBefore w:val="0"/>
        <w:kinsoku/>
        <w:wordWrap/>
        <w:overflowPunct/>
        <w:topLinePunct w:val="0"/>
        <w:autoSpaceDE/>
        <w:autoSpaceDN/>
        <w:bidi w:val="0"/>
        <w:adjustRightInd/>
        <w:spacing w:line="360" w:lineRule="auto"/>
        <w:ind w:right="0" w:rightChars="0" w:firstLine="420" w:firstLineChars="200"/>
        <w:textAlignment w:val="auto"/>
        <w:outlineLvl w:val="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eastAsia="zh-CN"/>
        </w:rPr>
        <w:t>出行前须将出行职工名单、出行日期等情况告知乙方以方便乙方安排行程。</w:t>
      </w:r>
    </w:p>
    <w:p w14:paraId="27430F30">
      <w:pPr>
        <w:keepNext w:val="0"/>
        <w:keepLines w:val="0"/>
        <w:pageBreakBefore w:val="0"/>
        <w:widowControl w:val="0"/>
        <w:kinsoku/>
        <w:wordWrap/>
        <w:overflowPunct/>
        <w:topLinePunct w:val="0"/>
        <w:bidi w:val="0"/>
        <w:adjustRightInd w:val="0"/>
        <w:snapToGrid w:val="0"/>
        <w:spacing w:line="360" w:lineRule="auto"/>
        <w:outlineLvl w:val="9"/>
        <w:rPr>
          <w:rFonts w:hint="eastAsia" w:asciiTheme="minorEastAsia" w:hAnsiTheme="minorEastAsia" w:eastAsiaTheme="minorEastAsia" w:cstheme="minorEastAsia"/>
          <w:b/>
          <w:color w:val="auto"/>
          <w:szCs w:val="21"/>
          <w:highlight w:val="none"/>
          <w:lang w:val="en-US" w:eastAsia="zh-CN"/>
        </w:rPr>
      </w:pPr>
      <w:r>
        <w:rPr>
          <w:rFonts w:hint="eastAsia" w:asciiTheme="minorEastAsia" w:hAnsiTheme="minorEastAsia" w:eastAsiaTheme="minorEastAsia" w:cstheme="minorEastAsia"/>
          <w:b/>
          <w:color w:val="auto"/>
          <w:szCs w:val="21"/>
          <w:highlight w:val="none"/>
          <w:lang w:val="en-US" w:eastAsia="zh-CN"/>
        </w:rPr>
        <w:t>第六条：乙方责任</w:t>
      </w:r>
    </w:p>
    <w:p w14:paraId="3CE2CE2B">
      <w:pPr>
        <w:keepNext w:val="0"/>
        <w:keepLines w:val="0"/>
        <w:pageBreakBefore w:val="0"/>
        <w:widowControl w:val="0"/>
        <w:kinsoku/>
        <w:wordWrap/>
        <w:overflowPunct/>
        <w:topLinePunct w:val="0"/>
        <w:autoSpaceDE/>
        <w:autoSpaceDN/>
        <w:bidi w:val="0"/>
        <w:adjustRightInd/>
        <w:snapToGrid/>
        <w:spacing w:line="360" w:lineRule="auto"/>
        <w:ind w:right="0" w:rightChars="0" w:firstLine="420" w:firstLineChars="200"/>
        <w:textAlignment w:val="auto"/>
        <w:outlineLvl w:val="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在每次确定旅游服务时间后，根据本次旅游的目的地、旅游人员及</w:t>
      </w:r>
      <w:r>
        <w:rPr>
          <w:rFonts w:hint="eastAsia" w:asciiTheme="minorEastAsia" w:hAnsiTheme="minorEastAsia" w:eastAsiaTheme="minorEastAsia" w:cstheme="minorEastAsia"/>
          <w:color w:val="auto"/>
          <w:sz w:val="21"/>
          <w:szCs w:val="21"/>
          <w:highlight w:val="none"/>
          <w:lang w:eastAsia="zh-CN"/>
        </w:rPr>
        <w:t>甲方</w:t>
      </w:r>
      <w:r>
        <w:rPr>
          <w:rFonts w:hint="eastAsia" w:asciiTheme="minorEastAsia" w:hAnsiTheme="minorEastAsia" w:eastAsiaTheme="minorEastAsia" w:cstheme="minorEastAsia"/>
          <w:color w:val="auto"/>
          <w:sz w:val="21"/>
          <w:szCs w:val="21"/>
          <w:highlight w:val="none"/>
        </w:rPr>
        <w:t>要求制定路线规划（包括食、宿、行、门票景点等详细信息）上报采购人审核通过方可成行。</w:t>
      </w:r>
      <w:r>
        <w:rPr>
          <w:rFonts w:hint="eastAsia" w:asciiTheme="minorEastAsia" w:hAnsiTheme="minorEastAsia" w:eastAsiaTheme="minorEastAsia" w:cstheme="minorEastAsia"/>
          <w:b w:val="0"/>
          <w:bCs w:val="0"/>
          <w:color w:val="auto"/>
          <w:sz w:val="21"/>
          <w:szCs w:val="21"/>
          <w:highlight w:val="none"/>
          <w:u w:val="none"/>
          <w:lang w:eastAsia="zh-CN"/>
        </w:rPr>
        <w:t>如该路线愿意出行的职工不足</w:t>
      </w:r>
      <w:r>
        <w:rPr>
          <w:rFonts w:hint="eastAsia" w:asciiTheme="minorEastAsia" w:hAnsiTheme="minorEastAsia" w:eastAsiaTheme="minorEastAsia" w:cstheme="minorEastAsia"/>
          <w:b w:val="0"/>
          <w:bCs w:val="0"/>
          <w:color w:val="auto"/>
          <w:sz w:val="21"/>
          <w:szCs w:val="21"/>
          <w:highlight w:val="none"/>
          <w:u w:val="none"/>
          <w:lang w:val="en-US" w:eastAsia="zh-CN"/>
        </w:rPr>
        <w:t>10人时，供应商须提供新的路线方案至愿意出行职工人数足够10人以上才能出行，否则采购人有权取消该路线的出行。</w:t>
      </w:r>
    </w:p>
    <w:p w14:paraId="1FA3A514">
      <w:pPr>
        <w:keepNext w:val="0"/>
        <w:keepLines w:val="0"/>
        <w:pageBreakBefore w:val="0"/>
        <w:widowControl w:val="0"/>
        <w:kinsoku/>
        <w:wordWrap/>
        <w:overflowPunct/>
        <w:topLinePunct w:val="0"/>
        <w:bidi w:val="0"/>
        <w:adjustRightInd w:val="0"/>
        <w:snapToGrid w:val="0"/>
        <w:spacing w:line="360" w:lineRule="auto"/>
        <w:outlineLvl w:val="9"/>
        <w:rPr>
          <w:rFonts w:hint="eastAsia" w:asciiTheme="minorEastAsia" w:hAnsiTheme="minorEastAsia" w:eastAsiaTheme="minorEastAsia" w:cstheme="minorEastAsia"/>
          <w:b/>
          <w:color w:val="auto"/>
          <w:szCs w:val="21"/>
          <w:highlight w:val="none"/>
          <w:lang w:val="en-US" w:eastAsia="zh-CN"/>
        </w:rPr>
      </w:pPr>
      <w:r>
        <w:rPr>
          <w:rFonts w:hint="eastAsia" w:asciiTheme="minorEastAsia" w:hAnsiTheme="minorEastAsia" w:eastAsiaTheme="minorEastAsia" w:cstheme="minorEastAsia"/>
          <w:b/>
          <w:color w:val="auto"/>
          <w:szCs w:val="21"/>
          <w:highlight w:val="none"/>
          <w:lang w:val="en-US" w:eastAsia="zh-CN"/>
        </w:rPr>
        <w:t>第七条：转包或分包</w:t>
      </w:r>
    </w:p>
    <w:p w14:paraId="0E8A508F">
      <w:pPr>
        <w:keepNext w:val="0"/>
        <w:keepLines w:val="0"/>
        <w:pageBreakBefore w:val="0"/>
        <w:widowControl w:val="0"/>
        <w:kinsoku/>
        <w:wordWrap/>
        <w:overflowPunct/>
        <w:topLinePunct w:val="0"/>
        <w:autoSpaceDE/>
        <w:autoSpaceDN/>
        <w:bidi w:val="0"/>
        <w:adjustRightInd/>
        <w:snapToGrid/>
        <w:spacing w:line="360" w:lineRule="auto"/>
        <w:ind w:right="0" w:rightChars="0" w:firstLine="420" w:firstLineChars="200"/>
        <w:textAlignment w:val="auto"/>
        <w:outlineLvl w:val="9"/>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1、本合同范围的服务，应由乙方直接供应，不得转让他人供应；</w:t>
      </w:r>
      <w:r>
        <w:rPr>
          <w:rFonts w:hint="eastAsia" w:ascii="宋体" w:hAnsi="宋体" w:eastAsia="宋体" w:cs="宋体"/>
          <w:color w:val="auto"/>
          <w:sz w:val="21"/>
          <w:szCs w:val="21"/>
          <w:highlight w:val="none"/>
        </w:rPr>
        <w:t xml:space="preserve">签订合同后项目不得转包，如发现转包，视为违反约定罚款 5 万元并终止合同。 </w:t>
      </w:r>
    </w:p>
    <w:p w14:paraId="45586ED2">
      <w:pPr>
        <w:keepNext w:val="0"/>
        <w:keepLines w:val="0"/>
        <w:pageBreakBefore w:val="0"/>
        <w:widowControl w:val="0"/>
        <w:kinsoku/>
        <w:wordWrap/>
        <w:overflowPunct/>
        <w:topLinePunct w:val="0"/>
        <w:autoSpaceDE/>
        <w:autoSpaceDN/>
        <w:bidi w:val="0"/>
        <w:adjustRightInd/>
        <w:snapToGrid/>
        <w:spacing w:line="360" w:lineRule="auto"/>
        <w:ind w:right="0" w:rightChars="0" w:firstLine="420" w:firstLineChars="200"/>
        <w:textAlignment w:val="auto"/>
        <w:outlineLvl w:val="9"/>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2、除非得到甲方的书面同意，乙方不得将本合同范围的服务全部或部分分包给他人供应；</w:t>
      </w:r>
    </w:p>
    <w:p w14:paraId="61B5E478">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3、如有转让和未经甲方同意的分包行为，甲方有权解除合同并追究乙方的违约责任。</w:t>
      </w:r>
    </w:p>
    <w:p w14:paraId="66BA95DD">
      <w:pPr>
        <w:pStyle w:val="9"/>
        <w:keepNext w:val="0"/>
        <w:keepLines w:val="0"/>
        <w:pageBreakBefore w:val="0"/>
        <w:kinsoku/>
        <w:wordWrap/>
        <w:overflowPunct/>
        <w:topLinePunct w:val="0"/>
        <w:bidi w:val="0"/>
        <w:adjustRightInd w:val="0"/>
        <w:snapToGrid w:val="0"/>
        <w:spacing w:after="0" w:line="360" w:lineRule="auto"/>
        <w:ind w:left="0" w:leftChars="0"/>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
          <w:bCs/>
          <w:snapToGrid w:val="0"/>
          <w:color w:val="auto"/>
          <w:szCs w:val="21"/>
          <w:highlight w:val="none"/>
          <w:lang w:val="en-US" w:eastAsia="zh-CN"/>
        </w:rPr>
        <w:t>第</w:t>
      </w:r>
      <w:r>
        <w:rPr>
          <w:rFonts w:hint="eastAsia" w:asciiTheme="minorEastAsia" w:hAnsiTheme="minorEastAsia" w:eastAsiaTheme="minorEastAsia" w:cstheme="minorEastAsia"/>
          <w:b/>
          <w:bCs/>
          <w:snapToGrid w:val="0"/>
          <w:color w:val="auto"/>
          <w:szCs w:val="21"/>
          <w:highlight w:val="none"/>
        </w:rPr>
        <w:t>八</w:t>
      </w:r>
      <w:r>
        <w:rPr>
          <w:rFonts w:hint="eastAsia" w:asciiTheme="minorEastAsia" w:hAnsiTheme="minorEastAsia" w:eastAsiaTheme="minorEastAsia" w:cstheme="minorEastAsia"/>
          <w:b/>
          <w:bCs/>
          <w:snapToGrid w:val="0"/>
          <w:color w:val="auto"/>
          <w:szCs w:val="21"/>
          <w:highlight w:val="none"/>
          <w:lang w:val="en-US" w:eastAsia="zh-CN"/>
        </w:rPr>
        <w:t>条：</w:t>
      </w:r>
      <w:r>
        <w:rPr>
          <w:rFonts w:hint="eastAsia" w:asciiTheme="minorEastAsia" w:hAnsiTheme="minorEastAsia" w:eastAsiaTheme="minorEastAsia" w:cstheme="minorEastAsia"/>
          <w:b/>
          <w:color w:val="auto"/>
          <w:highlight w:val="none"/>
        </w:rPr>
        <w:t>税费</w:t>
      </w:r>
    </w:p>
    <w:p w14:paraId="6DDA0B1D">
      <w:pPr>
        <w:keepNext w:val="0"/>
        <w:keepLines w:val="0"/>
        <w:pageBreakBefore w:val="0"/>
        <w:kinsoku/>
        <w:wordWrap/>
        <w:overflowPunct/>
        <w:topLinePunct w:val="0"/>
        <w:bidi w:val="0"/>
        <w:adjustRightInd w:val="0"/>
        <w:snapToGrid w:val="0"/>
        <w:spacing w:line="360" w:lineRule="auto"/>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    本合同执行中相关的一切税费均由乙方负担。</w:t>
      </w:r>
    </w:p>
    <w:p w14:paraId="698DA87C">
      <w:pPr>
        <w:pStyle w:val="9"/>
        <w:keepNext w:val="0"/>
        <w:keepLines w:val="0"/>
        <w:pageBreakBefore w:val="0"/>
        <w:kinsoku/>
        <w:wordWrap/>
        <w:overflowPunct/>
        <w:topLinePunct w:val="0"/>
        <w:bidi w:val="0"/>
        <w:adjustRightInd w:val="0"/>
        <w:snapToGrid w:val="0"/>
        <w:spacing w:after="0" w:line="360" w:lineRule="auto"/>
        <w:ind w:left="0" w:leftChars="0"/>
        <w:outlineLvl w:val="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lang w:val="en-US" w:eastAsia="zh-CN"/>
        </w:rPr>
        <w:t>第</w:t>
      </w:r>
      <w:r>
        <w:rPr>
          <w:rFonts w:hint="eastAsia" w:asciiTheme="minorEastAsia" w:hAnsiTheme="minorEastAsia" w:eastAsiaTheme="minorEastAsia" w:cstheme="minorEastAsia"/>
          <w:b/>
          <w:color w:val="auto"/>
          <w:highlight w:val="none"/>
        </w:rPr>
        <w:t>九</w:t>
      </w:r>
      <w:r>
        <w:rPr>
          <w:rFonts w:hint="eastAsia" w:asciiTheme="minorEastAsia" w:hAnsiTheme="minorEastAsia" w:eastAsiaTheme="minorEastAsia" w:cstheme="minorEastAsia"/>
          <w:b/>
          <w:color w:val="auto"/>
          <w:highlight w:val="none"/>
          <w:lang w:val="en-US" w:eastAsia="zh-CN"/>
        </w:rPr>
        <w:t>条：</w:t>
      </w:r>
      <w:r>
        <w:rPr>
          <w:rFonts w:hint="eastAsia" w:asciiTheme="minorEastAsia" w:hAnsiTheme="minorEastAsia" w:eastAsiaTheme="minorEastAsia" w:cstheme="minorEastAsia"/>
          <w:b/>
          <w:color w:val="auto"/>
          <w:highlight w:val="none"/>
        </w:rPr>
        <w:t>违约责任</w:t>
      </w:r>
    </w:p>
    <w:p w14:paraId="2D458268">
      <w:pPr>
        <w:pStyle w:val="9"/>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20" w:firstLineChars="200"/>
        <w:textAlignment w:val="auto"/>
        <w:outlineLvl w:val="9"/>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1、甲方无正当理由拒收接受服务的，甲方向乙方支付合同款项百分之五作为违约金。</w:t>
      </w:r>
    </w:p>
    <w:p w14:paraId="60E75C78">
      <w:pPr>
        <w:pStyle w:val="9"/>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20" w:firstLineChars="200"/>
        <w:textAlignment w:val="auto"/>
        <w:outlineLvl w:val="9"/>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2、甲方无故逾期验收和办理款项支付手续的，甲方应按逾期付款总额向乙方支付每日万分之五违约金。</w:t>
      </w:r>
    </w:p>
    <w:p w14:paraId="50D7D45D">
      <w:pPr>
        <w:pStyle w:val="11"/>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3、乙方逾期提供服务的，乙方应按逾期天数向甲方支付每日万分之五违约金。逾期超过约定日期10个工作日的，甲方可解除本合同。乙方因逾期或因其他违约行为导致甲方解除合同的，乙方应向甲方支付合同款项百分之五的违约金，如造成甲方损失超过违约金的，超出部分由乙方继续承担赔偿责任。 </w:t>
      </w:r>
    </w:p>
    <w:p w14:paraId="2261B9C2">
      <w:pPr>
        <w:pStyle w:val="7"/>
        <w:keepNext w:val="0"/>
        <w:keepLines w:val="0"/>
        <w:pageBreakBefore w:val="0"/>
        <w:kinsoku/>
        <w:wordWrap/>
        <w:overflowPunct/>
        <w:topLinePunct w:val="0"/>
        <w:bidi w:val="0"/>
        <w:snapToGrid/>
        <w:spacing w:after="0" w:line="360" w:lineRule="auto"/>
        <w:ind w:left="0" w:firstLine="420" w:firstLineChars="200"/>
        <w:jc w:val="left"/>
        <w:textAlignment w:val="auto"/>
        <w:rPr>
          <w:rFonts w:hint="eastAsia" w:ascii="宋体" w:hAnsi="宋体" w:eastAsia="宋体" w:cs="宋体"/>
          <w:color w:val="auto"/>
          <w:sz w:val="21"/>
          <w:szCs w:val="21"/>
          <w:highlight w:val="none"/>
        </w:rPr>
      </w:pPr>
      <w:r>
        <w:rPr>
          <w:rFonts w:hint="eastAsia" w:asciiTheme="minorEastAsia" w:hAnsiTheme="minorEastAsia" w:eastAsiaTheme="minorEastAsia" w:cstheme="minorEastAsia"/>
          <w:color w:val="auto"/>
          <w:highlight w:val="none"/>
        </w:rPr>
        <w:t>4、</w:t>
      </w:r>
      <w:r>
        <w:rPr>
          <w:rFonts w:hint="eastAsia" w:ascii="宋体" w:hAnsi="宋体" w:eastAsia="宋体" w:cs="宋体"/>
          <w:color w:val="auto"/>
          <w:sz w:val="21"/>
          <w:szCs w:val="21"/>
          <w:highlight w:val="none"/>
        </w:rPr>
        <w:t>签订合同后，任何一方违约均应赔偿给对方造成的经济损失，并支付对方违约金</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万元。任何一方未经协商或通知对方而擅自单方终止合同的，应赔偿对方违约金</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万元，以补偿对方的损失。</w:t>
      </w:r>
    </w:p>
    <w:p w14:paraId="6296A61F">
      <w:pPr>
        <w:pStyle w:val="11"/>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Theme="minorEastAsia" w:hAnsiTheme="minorEastAsia" w:eastAsiaTheme="minorEastAsia" w:cstheme="minorEastAsia"/>
          <w:color w:val="auto"/>
          <w:highlight w:val="none"/>
          <w:lang w:eastAsia="zh-CN"/>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w:t>
      </w:r>
      <w:r>
        <w:rPr>
          <w:rFonts w:hint="eastAsia" w:asciiTheme="minorEastAsia" w:hAnsiTheme="minorEastAsia" w:eastAsiaTheme="minorEastAsia" w:cstheme="minorEastAsia"/>
          <w:color w:val="auto"/>
          <w:highlight w:val="none"/>
        </w:rPr>
        <w:t>若发生纠纷，由违约方赔偿守约方因纠纷所支付的费用（包括但不限于律师费、差旅费、诉讼费、保全费、鉴定费、评估费等）</w:t>
      </w:r>
      <w:r>
        <w:rPr>
          <w:rFonts w:hint="eastAsia" w:asciiTheme="minorEastAsia" w:hAnsiTheme="minorEastAsia" w:eastAsiaTheme="minorEastAsia" w:cstheme="minorEastAsia"/>
          <w:color w:val="auto"/>
          <w:highlight w:val="none"/>
          <w:lang w:eastAsia="zh-CN"/>
        </w:rPr>
        <w:t>。</w:t>
      </w:r>
    </w:p>
    <w:p w14:paraId="20F6539B">
      <w:pPr>
        <w:pStyle w:val="11"/>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Theme="minorEastAsia" w:hAnsiTheme="minorEastAsia" w:eastAsiaTheme="minorEastAsia" w:cstheme="minorEastAsia"/>
          <w:b/>
          <w:bCs/>
          <w:snapToGrid w:val="0"/>
          <w:color w:val="auto"/>
          <w:szCs w:val="21"/>
          <w:highlight w:val="none"/>
        </w:rPr>
      </w:pPr>
      <w:r>
        <w:rPr>
          <w:rFonts w:hint="eastAsia" w:asciiTheme="minorEastAsia" w:hAnsiTheme="minorEastAsia" w:eastAsiaTheme="minorEastAsia" w:cstheme="minorEastAsia"/>
          <w:b/>
          <w:bCs/>
          <w:snapToGrid w:val="0"/>
          <w:color w:val="auto"/>
          <w:szCs w:val="21"/>
          <w:highlight w:val="none"/>
          <w:lang w:val="en-US" w:eastAsia="zh-CN"/>
        </w:rPr>
        <w:t>第</w:t>
      </w:r>
      <w:r>
        <w:rPr>
          <w:rFonts w:hint="eastAsia" w:asciiTheme="minorEastAsia" w:hAnsiTheme="minorEastAsia" w:eastAsiaTheme="minorEastAsia" w:cstheme="minorEastAsia"/>
          <w:b/>
          <w:bCs/>
          <w:snapToGrid w:val="0"/>
          <w:color w:val="auto"/>
          <w:szCs w:val="21"/>
          <w:highlight w:val="none"/>
        </w:rPr>
        <w:t>十</w:t>
      </w:r>
      <w:r>
        <w:rPr>
          <w:rFonts w:hint="eastAsia" w:asciiTheme="minorEastAsia" w:hAnsiTheme="minorEastAsia" w:eastAsiaTheme="minorEastAsia" w:cstheme="minorEastAsia"/>
          <w:b/>
          <w:bCs/>
          <w:snapToGrid w:val="0"/>
          <w:color w:val="auto"/>
          <w:szCs w:val="21"/>
          <w:highlight w:val="none"/>
          <w:lang w:val="en-US" w:eastAsia="zh-CN"/>
        </w:rPr>
        <w:t>条：</w:t>
      </w:r>
      <w:r>
        <w:rPr>
          <w:rFonts w:hint="eastAsia" w:asciiTheme="minorEastAsia" w:hAnsiTheme="minorEastAsia" w:eastAsiaTheme="minorEastAsia" w:cstheme="minorEastAsia"/>
          <w:b/>
          <w:bCs/>
          <w:snapToGrid w:val="0"/>
          <w:color w:val="auto"/>
          <w:szCs w:val="21"/>
          <w:highlight w:val="none"/>
        </w:rPr>
        <w:t>不可抗力事件处理</w:t>
      </w:r>
    </w:p>
    <w:p w14:paraId="3E569ACC">
      <w:pPr>
        <w:pStyle w:val="11"/>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baseline"/>
        <w:outlineLvl w:val="9"/>
        <w:rPr>
          <w:rFonts w:hint="eastAsia" w:asciiTheme="minorEastAsia" w:hAnsiTheme="minorEastAsia" w:eastAsiaTheme="minorEastAsia" w:cstheme="minorEastAsia"/>
          <w:snapToGrid w:val="0"/>
          <w:color w:val="auto"/>
          <w:szCs w:val="21"/>
          <w:highlight w:val="none"/>
        </w:rPr>
      </w:pPr>
      <w:r>
        <w:rPr>
          <w:rFonts w:hint="eastAsia" w:asciiTheme="minorEastAsia" w:hAnsiTheme="minorEastAsia" w:eastAsiaTheme="minorEastAsia" w:cstheme="minorEastAsia"/>
          <w:snapToGrid w:val="0"/>
          <w:color w:val="auto"/>
          <w:szCs w:val="21"/>
          <w:highlight w:val="none"/>
        </w:rPr>
        <w:t>1、在合同有效期内，任何一方因不可抗力事件导致不能履行合同，则合同履行期可延长，其延长期与不可抗力影响期相同。</w:t>
      </w:r>
    </w:p>
    <w:p w14:paraId="6A8D4776">
      <w:pPr>
        <w:pStyle w:val="11"/>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baseline"/>
        <w:outlineLvl w:val="9"/>
        <w:rPr>
          <w:rFonts w:hint="eastAsia" w:asciiTheme="minorEastAsia" w:hAnsiTheme="minorEastAsia" w:eastAsiaTheme="minorEastAsia" w:cstheme="minorEastAsia"/>
          <w:snapToGrid w:val="0"/>
          <w:color w:val="auto"/>
          <w:szCs w:val="21"/>
          <w:highlight w:val="none"/>
        </w:rPr>
      </w:pPr>
      <w:r>
        <w:rPr>
          <w:rFonts w:hint="eastAsia" w:asciiTheme="minorEastAsia" w:hAnsiTheme="minorEastAsia" w:eastAsiaTheme="minorEastAsia" w:cstheme="minorEastAsia"/>
          <w:snapToGrid w:val="0"/>
          <w:color w:val="auto"/>
          <w:szCs w:val="21"/>
          <w:highlight w:val="none"/>
        </w:rPr>
        <w:t>2、不可抗力事件发生后，应立即通知对方，并寄送有关权威机构出具的证明。</w:t>
      </w:r>
    </w:p>
    <w:p w14:paraId="3DFD131A">
      <w:pPr>
        <w:pStyle w:val="11"/>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baseline"/>
        <w:outlineLvl w:val="9"/>
        <w:rPr>
          <w:rFonts w:hint="eastAsia" w:asciiTheme="minorEastAsia" w:hAnsiTheme="minorEastAsia" w:eastAsiaTheme="minorEastAsia" w:cstheme="minorEastAsia"/>
          <w:snapToGrid w:val="0"/>
          <w:color w:val="auto"/>
          <w:szCs w:val="21"/>
          <w:highlight w:val="none"/>
        </w:rPr>
      </w:pPr>
      <w:r>
        <w:rPr>
          <w:rFonts w:hint="eastAsia" w:asciiTheme="minorEastAsia" w:hAnsiTheme="minorEastAsia" w:eastAsiaTheme="minorEastAsia" w:cstheme="minorEastAsia"/>
          <w:snapToGrid w:val="0"/>
          <w:color w:val="auto"/>
          <w:szCs w:val="21"/>
          <w:highlight w:val="none"/>
        </w:rPr>
        <w:t>3、不可抗力事件延续120天以上，双方应通过友好协商，确定是否继续履行合同。</w:t>
      </w:r>
    </w:p>
    <w:p w14:paraId="0CF86A0C">
      <w:pPr>
        <w:pStyle w:val="11"/>
        <w:keepNext w:val="0"/>
        <w:keepLines w:val="0"/>
        <w:pageBreakBefore w:val="0"/>
        <w:widowControl w:val="0"/>
        <w:kinsoku/>
        <w:wordWrap/>
        <w:overflowPunct/>
        <w:topLinePunct w:val="0"/>
        <w:autoSpaceDE/>
        <w:autoSpaceDN/>
        <w:bidi w:val="0"/>
        <w:adjustRightInd/>
        <w:snapToGrid w:val="0"/>
        <w:spacing w:line="360" w:lineRule="auto"/>
        <w:textAlignment w:val="baseline"/>
        <w:outlineLvl w:val="9"/>
        <w:rPr>
          <w:rFonts w:hint="eastAsia" w:asciiTheme="minorEastAsia" w:hAnsiTheme="minorEastAsia" w:eastAsiaTheme="minorEastAsia" w:cstheme="minorEastAsia"/>
          <w:b/>
          <w:bCs/>
          <w:snapToGrid w:val="0"/>
          <w:color w:val="auto"/>
          <w:szCs w:val="21"/>
          <w:highlight w:val="none"/>
        </w:rPr>
      </w:pPr>
      <w:r>
        <w:rPr>
          <w:rFonts w:hint="eastAsia" w:asciiTheme="minorEastAsia" w:hAnsiTheme="minorEastAsia" w:eastAsiaTheme="minorEastAsia" w:cstheme="minorEastAsia"/>
          <w:b/>
          <w:bCs/>
          <w:snapToGrid w:val="0"/>
          <w:color w:val="auto"/>
          <w:szCs w:val="21"/>
          <w:highlight w:val="none"/>
          <w:lang w:val="en-US" w:eastAsia="zh-CN"/>
        </w:rPr>
        <w:t>第</w:t>
      </w:r>
      <w:r>
        <w:rPr>
          <w:rFonts w:hint="eastAsia" w:asciiTheme="minorEastAsia" w:hAnsiTheme="minorEastAsia" w:eastAsiaTheme="minorEastAsia" w:cstheme="minorEastAsia"/>
          <w:b/>
          <w:bCs/>
          <w:snapToGrid w:val="0"/>
          <w:color w:val="auto"/>
          <w:szCs w:val="21"/>
          <w:highlight w:val="none"/>
        </w:rPr>
        <w:t>十一</w:t>
      </w:r>
      <w:r>
        <w:rPr>
          <w:rFonts w:hint="eastAsia" w:asciiTheme="minorEastAsia" w:hAnsiTheme="minorEastAsia" w:eastAsiaTheme="minorEastAsia" w:cstheme="minorEastAsia"/>
          <w:b/>
          <w:bCs/>
          <w:snapToGrid w:val="0"/>
          <w:color w:val="auto"/>
          <w:szCs w:val="21"/>
          <w:highlight w:val="none"/>
          <w:lang w:val="en-US" w:eastAsia="zh-CN"/>
        </w:rPr>
        <w:t>条：</w:t>
      </w:r>
      <w:r>
        <w:rPr>
          <w:rFonts w:hint="eastAsia" w:asciiTheme="minorEastAsia" w:hAnsiTheme="minorEastAsia" w:eastAsiaTheme="minorEastAsia" w:cstheme="minorEastAsia"/>
          <w:b/>
          <w:bCs/>
          <w:snapToGrid w:val="0"/>
          <w:color w:val="auto"/>
          <w:szCs w:val="21"/>
          <w:highlight w:val="none"/>
        </w:rPr>
        <w:t>诉讼</w:t>
      </w:r>
    </w:p>
    <w:p w14:paraId="19B364E4">
      <w:pPr>
        <w:pStyle w:val="11"/>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baseline"/>
        <w:outlineLvl w:val="9"/>
        <w:rPr>
          <w:rFonts w:hint="eastAsia" w:asciiTheme="minorEastAsia" w:hAnsiTheme="minorEastAsia" w:eastAsiaTheme="minorEastAsia" w:cstheme="minorEastAsia"/>
          <w:snapToGrid w:val="0"/>
          <w:color w:val="auto"/>
          <w:szCs w:val="21"/>
          <w:highlight w:val="none"/>
        </w:rPr>
      </w:pPr>
      <w:r>
        <w:rPr>
          <w:rFonts w:hint="eastAsia" w:asciiTheme="minorEastAsia" w:hAnsiTheme="minorEastAsia" w:eastAsiaTheme="minorEastAsia" w:cstheme="minorEastAsia"/>
          <w:snapToGrid w:val="0"/>
          <w:color w:val="auto"/>
          <w:szCs w:val="21"/>
          <w:highlight w:val="none"/>
        </w:rPr>
        <w:t>双方在执行合同中所发生的一切争议，应通过协商解决。如协商不成，</w:t>
      </w:r>
      <w:r>
        <w:rPr>
          <w:rFonts w:hint="eastAsia" w:asciiTheme="minorEastAsia" w:hAnsiTheme="minorEastAsia" w:eastAsiaTheme="minorEastAsia" w:cstheme="minorEastAsia"/>
          <w:color w:val="auto"/>
          <w:kern w:val="0"/>
          <w:szCs w:val="21"/>
          <w:highlight w:val="none"/>
        </w:rPr>
        <w:t>提交</w:t>
      </w:r>
      <w:r>
        <w:rPr>
          <w:rFonts w:hint="eastAsia" w:asciiTheme="minorEastAsia" w:hAnsiTheme="minorEastAsia" w:eastAsiaTheme="minorEastAsia" w:cstheme="minorEastAsia"/>
          <w:color w:val="auto"/>
          <w:szCs w:val="21"/>
          <w:highlight w:val="none"/>
          <w:u w:val="single"/>
        </w:rPr>
        <w:t>台州</w:t>
      </w:r>
      <w:r>
        <w:rPr>
          <w:rFonts w:hint="eastAsia" w:asciiTheme="minorEastAsia" w:hAnsiTheme="minorEastAsia" w:eastAsiaTheme="minorEastAsia" w:cstheme="minorEastAsia"/>
          <w:color w:val="auto"/>
          <w:kern w:val="0"/>
          <w:szCs w:val="21"/>
          <w:highlight w:val="none"/>
        </w:rPr>
        <w:t>仲裁委员会仲裁。</w:t>
      </w:r>
      <w:r>
        <w:rPr>
          <w:rFonts w:hint="eastAsia" w:asciiTheme="minorEastAsia" w:hAnsiTheme="minorEastAsia" w:eastAsiaTheme="minorEastAsia" w:cstheme="minorEastAsia"/>
          <w:snapToGrid w:val="0"/>
          <w:color w:val="auto"/>
          <w:szCs w:val="21"/>
          <w:highlight w:val="none"/>
        </w:rPr>
        <w:t xml:space="preserve"> </w:t>
      </w:r>
    </w:p>
    <w:p w14:paraId="0A6AF93E">
      <w:pPr>
        <w:pStyle w:val="11"/>
        <w:keepNext w:val="0"/>
        <w:keepLines w:val="0"/>
        <w:pageBreakBefore w:val="0"/>
        <w:widowControl w:val="0"/>
        <w:kinsoku/>
        <w:wordWrap/>
        <w:overflowPunct/>
        <w:topLinePunct w:val="0"/>
        <w:autoSpaceDE/>
        <w:autoSpaceDN/>
        <w:bidi w:val="0"/>
        <w:adjustRightInd/>
        <w:snapToGrid w:val="0"/>
        <w:spacing w:line="360" w:lineRule="auto"/>
        <w:textAlignment w:val="baseline"/>
        <w:outlineLvl w:val="9"/>
        <w:rPr>
          <w:rFonts w:hint="eastAsia" w:asciiTheme="minorEastAsia" w:hAnsiTheme="minorEastAsia" w:eastAsiaTheme="minorEastAsia" w:cstheme="minorEastAsia"/>
          <w:b/>
          <w:bCs/>
          <w:snapToGrid w:val="0"/>
          <w:color w:val="auto"/>
          <w:szCs w:val="21"/>
          <w:highlight w:val="none"/>
        </w:rPr>
      </w:pPr>
      <w:r>
        <w:rPr>
          <w:rFonts w:hint="eastAsia" w:asciiTheme="minorEastAsia" w:hAnsiTheme="minorEastAsia" w:eastAsiaTheme="minorEastAsia" w:cstheme="minorEastAsia"/>
          <w:b/>
          <w:bCs/>
          <w:snapToGrid w:val="0"/>
          <w:color w:val="auto"/>
          <w:szCs w:val="21"/>
          <w:highlight w:val="none"/>
          <w:lang w:val="en-US" w:eastAsia="zh-CN"/>
        </w:rPr>
        <w:t>第</w:t>
      </w:r>
      <w:r>
        <w:rPr>
          <w:rFonts w:hint="eastAsia" w:asciiTheme="minorEastAsia" w:hAnsiTheme="minorEastAsia" w:eastAsiaTheme="minorEastAsia" w:cstheme="minorEastAsia"/>
          <w:b/>
          <w:bCs/>
          <w:snapToGrid w:val="0"/>
          <w:color w:val="auto"/>
          <w:szCs w:val="21"/>
          <w:highlight w:val="none"/>
        </w:rPr>
        <w:t>十二</w:t>
      </w:r>
      <w:r>
        <w:rPr>
          <w:rFonts w:hint="eastAsia" w:asciiTheme="minorEastAsia" w:hAnsiTheme="minorEastAsia" w:eastAsiaTheme="minorEastAsia" w:cstheme="minorEastAsia"/>
          <w:b/>
          <w:bCs/>
          <w:snapToGrid w:val="0"/>
          <w:color w:val="auto"/>
          <w:szCs w:val="21"/>
          <w:highlight w:val="none"/>
          <w:lang w:val="en-US" w:eastAsia="zh-CN"/>
        </w:rPr>
        <w:t>条：</w:t>
      </w:r>
      <w:r>
        <w:rPr>
          <w:rFonts w:hint="eastAsia" w:asciiTheme="minorEastAsia" w:hAnsiTheme="minorEastAsia" w:eastAsiaTheme="minorEastAsia" w:cstheme="minorEastAsia"/>
          <w:b/>
          <w:bCs/>
          <w:snapToGrid w:val="0"/>
          <w:color w:val="auto"/>
          <w:szCs w:val="21"/>
          <w:highlight w:val="none"/>
        </w:rPr>
        <w:t>合同生效及其它</w:t>
      </w:r>
    </w:p>
    <w:p w14:paraId="1011C64C">
      <w:pPr>
        <w:pStyle w:val="11"/>
        <w:keepNext w:val="0"/>
        <w:keepLines w:val="0"/>
        <w:pageBreakBefore w:val="0"/>
        <w:kinsoku/>
        <w:wordWrap/>
        <w:overflowPunct/>
        <w:topLinePunct w:val="0"/>
        <w:autoSpaceDE/>
        <w:autoSpaceDN/>
        <w:bidi w:val="0"/>
        <w:adjustRightInd/>
        <w:snapToGrid w:val="0"/>
        <w:spacing w:line="360" w:lineRule="auto"/>
        <w:ind w:firstLine="420" w:firstLineChars="200"/>
        <w:textAlignment w:val="baseline"/>
        <w:outlineLvl w:val="9"/>
        <w:rPr>
          <w:rFonts w:hint="eastAsia" w:asciiTheme="minorEastAsia" w:hAnsiTheme="minorEastAsia" w:eastAsiaTheme="minorEastAsia" w:cstheme="minorEastAsia"/>
          <w:snapToGrid w:val="0"/>
          <w:color w:val="auto"/>
          <w:szCs w:val="21"/>
          <w:highlight w:val="none"/>
        </w:rPr>
      </w:pPr>
      <w:r>
        <w:rPr>
          <w:rFonts w:hint="eastAsia" w:asciiTheme="minorEastAsia" w:hAnsiTheme="minorEastAsia" w:eastAsiaTheme="minorEastAsia" w:cstheme="minorEastAsia"/>
          <w:snapToGrid w:val="0"/>
          <w:color w:val="auto"/>
          <w:szCs w:val="21"/>
          <w:highlight w:val="none"/>
        </w:rPr>
        <w:t>1、合同经双方法定代表人或授权代表签字并加盖单位公章后生效。</w:t>
      </w:r>
    </w:p>
    <w:p w14:paraId="7B0DBFAE">
      <w:pPr>
        <w:pStyle w:val="11"/>
        <w:keepNext w:val="0"/>
        <w:keepLines w:val="0"/>
        <w:pageBreakBefore w:val="0"/>
        <w:kinsoku/>
        <w:wordWrap/>
        <w:overflowPunct/>
        <w:topLinePunct w:val="0"/>
        <w:autoSpaceDE/>
        <w:autoSpaceDN/>
        <w:bidi w:val="0"/>
        <w:adjustRightInd/>
        <w:snapToGrid w:val="0"/>
        <w:spacing w:line="360" w:lineRule="auto"/>
        <w:ind w:firstLine="420" w:firstLineChars="200"/>
        <w:textAlignment w:val="baseline"/>
        <w:outlineLvl w:val="9"/>
        <w:rPr>
          <w:rFonts w:hint="eastAsia" w:asciiTheme="minorEastAsia" w:hAnsiTheme="minorEastAsia" w:eastAsiaTheme="minorEastAsia" w:cstheme="minorEastAsia"/>
          <w:snapToGrid w:val="0"/>
          <w:color w:val="auto"/>
          <w:szCs w:val="21"/>
          <w:highlight w:val="none"/>
        </w:rPr>
      </w:pPr>
      <w:r>
        <w:rPr>
          <w:rFonts w:hint="eastAsia" w:asciiTheme="minorEastAsia" w:hAnsiTheme="minorEastAsia" w:eastAsiaTheme="minorEastAsia" w:cstheme="minorEastAsia"/>
          <w:snapToGrid w:val="0"/>
          <w:color w:val="auto"/>
          <w:szCs w:val="21"/>
          <w:highlight w:val="none"/>
        </w:rPr>
        <w:t>2、合同执行中涉及采购资金和采购内容修改或补充的，须签书面补充协议方为生效，届时才作为主合同不可分割的一部分。</w:t>
      </w:r>
    </w:p>
    <w:p w14:paraId="7ED7D0CB">
      <w:pPr>
        <w:pStyle w:val="11"/>
        <w:keepNext w:val="0"/>
        <w:keepLines w:val="0"/>
        <w:pageBreakBefore w:val="0"/>
        <w:kinsoku/>
        <w:wordWrap/>
        <w:overflowPunct/>
        <w:topLinePunct w:val="0"/>
        <w:autoSpaceDE/>
        <w:autoSpaceDN/>
        <w:bidi w:val="0"/>
        <w:adjustRightInd/>
        <w:snapToGrid w:val="0"/>
        <w:spacing w:line="360" w:lineRule="auto"/>
        <w:ind w:firstLine="420" w:firstLineChars="200"/>
        <w:textAlignment w:val="baseline"/>
        <w:outlineLvl w:val="9"/>
        <w:rPr>
          <w:rFonts w:hint="eastAsia" w:asciiTheme="minorEastAsia" w:hAnsiTheme="minorEastAsia" w:eastAsiaTheme="minorEastAsia" w:cstheme="minorEastAsia"/>
          <w:snapToGrid w:val="0"/>
          <w:color w:val="auto"/>
          <w:szCs w:val="21"/>
          <w:highlight w:val="none"/>
        </w:rPr>
      </w:pPr>
      <w:r>
        <w:rPr>
          <w:rFonts w:hint="eastAsia" w:asciiTheme="minorEastAsia" w:hAnsiTheme="minorEastAsia" w:eastAsiaTheme="minorEastAsia" w:cstheme="minorEastAsia"/>
          <w:snapToGrid w:val="0"/>
          <w:color w:val="auto"/>
          <w:szCs w:val="21"/>
          <w:highlight w:val="none"/>
        </w:rPr>
        <w:t>3、本合同未尽事宜，遵照《</w:t>
      </w:r>
      <w:r>
        <w:rPr>
          <w:rFonts w:hint="eastAsia" w:asciiTheme="minorEastAsia" w:hAnsiTheme="minorEastAsia" w:eastAsiaTheme="minorEastAsia" w:cstheme="minorEastAsia"/>
          <w:snapToGrid w:val="0"/>
          <w:color w:val="auto"/>
          <w:szCs w:val="21"/>
          <w:highlight w:val="none"/>
          <w:lang w:val="en-US" w:eastAsia="zh-CN"/>
        </w:rPr>
        <w:t>民法典</w:t>
      </w:r>
      <w:r>
        <w:rPr>
          <w:rFonts w:hint="eastAsia" w:asciiTheme="minorEastAsia" w:hAnsiTheme="minorEastAsia" w:eastAsiaTheme="minorEastAsia" w:cstheme="minorEastAsia"/>
          <w:snapToGrid w:val="0"/>
          <w:color w:val="auto"/>
          <w:szCs w:val="21"/>
          <w:highlight w:val="none"/>
        </w:rPr>
        <w:t>》有关条文执行。</w:t>
      </w:r>
    </w:p>
    <w:p w14:paraId="3DB8F08D">
      <w:pPr>
        <w:keepNext w:val="0"/>
        <w:keepLines w:val="0"/>
        <w:pageBreakBefore w:val="0"/>
        <w:widowControl/>
        <w:kinsoku/>
        <w:wordWrap/>
        <w:overflowPunct/>
        <w:topLinePunct w:val="0"/>
        <w:autoSpaceDE/>
        <w:autoSpaceDN/>
        <w:bidi w:val="0"/>
        <w:adjustRightInd/>
        <w:spacing w:line="360" w:lineRule="auto"/>
        <w:ind w:firstLine="420" w:firstLineChars="200"/>
        <w:outlineLvl w:val="9"/>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w:t>
      </w:r>
      <w:r>
        <w:rPr>
          <w:rFonts w:hint="eastAsia" w:asciiTheme="minorEastAsia" w:hAnsiTheme="minorEastAsia" w:eastAsiaTheme="minorEastAsia" w:cstheme="minorEastAsia"/>
          <w:color w:val="auto"/>
          <w:spacing w:val="-6"/>
          <w:kern w:val="0"/>
          <w:szCs w:val="21"/>
          <w:highlight w:val="none"/>
        </w:rPr>
        <w:t>、本合同壹式陆份，甲、乙双方、招标代理公司各执贰份。本项目未尽事宜以招标文件、投标文件及澄清文件等为准。</w:t>
      </w:r>
    </w:p>
    <w:p w14:paraId="3BC17F77">
      <w:pPr>
        <w:keepNext w:val="0"/>
        <w:keepLines w:val="0"/>
        <w:pageBreakBefore w:val="0"/>
        <w:widowControl w:val="0"/>
        <w:tabs>
          <w:tab w:val="left" w:pos="4140"/>
        </w:tabs>
        <w:kinsoku/>
        <w:wordWrap/>
        <w:overflowPunct/>
        <w:topLinePunct w:val="0"/>
        <w:autoSpaceDE/>
        <w:autoSpaceDN/>
        <w:bidi w:val="0"/>
        <w:adjustRightInd/>
        <w:spacing w:line="360" w:lineRule="auto"/>
        <w:ind w:firstLine="420" w:firstLineChars="200"/>
        <w:outlineLvl w:val="9"/>
        <w:rPr>
          <w:rFonts w:hint="eastAsia"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kern w:val="0"/>
          <w:szCs w:val="21"/>
          <w:highlight w:val="none"/>
        </w:rPr>
        <w:t>5</w:t>
      </w:r>
      <w:r>
        <w:rPr>
          <w:rFonts w:hint="eastAsia" w:asciiTheme="minorEastAsia" w:hAnsiTheme="minorEastAsia" w:eastAsiaTheme="minorEastAsia" w:cstheme="minorEastAsia"/>
          <w:color w:val="auto"/>
          <w:spacing w:val="-6"/>
          <w:kern w:val="0"/>
          <w:szCs w:val="21"/>
          <w:highlight w:val="none"/>
        </w:rPr>
        <w:t>、与本合同有关标书及记录同本合同具有同等法律效果</w:t>
      </w:r>
      <w:r>
        <w:rPr>
          <w:rFonts w:hint="eastAsia" w:asciiTheme="minorEastAsia" w:hAnsiTheme="minorEastAsia" w:eastAsiaTheme="minorEastAsia" w:cstheme="minorEastAsia"/>
          <w:color w:val="auto"/>
          <w:spacing w:val="-6"/>
          <w:kern w:val="0"/>
          <w:szCs w:val="21"/>
          <w:highlight w:val="none"/>
          <w:lang w:eastAsia="zh-CN"/>
        </w:rPr>
        <w:t>。</w:t>
      </w:r>
    </w:p>
    <w:p w14:paraId="60EE93EA">
      <w:pPr>
        <w:keepNext w:val="0"/>
        <w:keepLines w:val="0"/>
        <w:pageBreakBefore w:val="0"/>
        <w:widowControl w:val="0"/>
        <w:tabs>
          <w:tab w:val="left" w:pos="4140"/>
        </w:tabs>
        <w:kinsoku/>
        <w:wordWrap/>
        <w:overflowPunct/>
        <w:topLinePunct w:val="0"/>
        <w:bidi w:val="0"/>
        <w:spacing w:line="360" w:lineRule="auto"/>
        <w:outlineLvl w:val="9"/>
        <w:rPr>
          <w:rFonts w:hint="eastAsia" w:asciiTheme="minorEastAsia" w:hAnsiTheme="minorEastAsia" w:eastAsiaTheme="minorEastAsia" w:cstheme="minorEastAsia"/>
          <w:color w:val="auto"/>
          <w:szCs w:val="21"/>
          <w:highlight w:val="none"/>
        </w:rPr>
      </w:pPr>
    </w:p>
    <w:p w14:paraId="6FE3A1EC">
      <w:pPr>
        <w:keepNext w:val="0"/>
        <w:keepLines w:val="0"/>
        <w:pageBreakBefore w:val="0"/>
        <w:widowControl w:val="0"/>
        <w:tabs>
          <w:tab w:val="left" w:pos="4140"/>
        </w:tabs>
        <w:kinsoku/>
        <w:wordWrap/>
        <w:overflowPunct/>
        <w:topLinePunct w:val="0"/>
        <w:bidi w:val="0"/>
        <w:spacing w:line="360" w:lineRule="auto"/>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甲     方（公章）：　　               乙     方（公章）：</w:t>
      </w:r>
    </w:p>
    <w:p w14:paraId="1B1A700C">
      <w:pPr>
        <w:keepNext w:val="0"/>
        <w:keepLines w:val="0"/>
        <w:pageBreakBefore w:val="0"/>
        <w:widowControl w:val="0"/>
        <w:kinsoku/>
        <w:wordWrap/>
        <w:overflowPunct/>
        <w:topLinePunct w:val="0"/>
        <w:bidi w:val="0"/>
        <w:spacing w:line="360" w:lineRule="auto"/>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法定代表人（签章）：　                法定代表人（签章）：</w:t>
      </w:r>
    </w:p>
    <w:p w14:paraId="4BC8922A">
      <w:pPr>
        <w:keepNext w:val="0"/>
        <w:keepLines w:val="0"/>
        <w:pageBreakBefore w:val="0"/>
        <w:widowControl w:val="0"/>
        <w:kinsoku/>
        <w:wordWrap/>
        <w:overflowPunct/>
        <w:topLinePunct w:val="0"/>
        <w:bidi w:val="0"/>
        <w:spacing w:line="360" w:lineRule="auto"/>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委托代理人（签章）：　　              委托代理人（签章）：</w:t>
      </w:r>
    </w:p>
    <w:p w14:paraId="5356712C">
      <w:pPr>
        <w:keepNext w:val="0"/>
        <w:keepLines w:val="0"/>
        <w:pageBreakBefore w:val="0"/>
        <w:widowControl w:val="0"/>
        <w:kinsoku/>
        <w:wordWrap/>
        <w:overflowPunct/>
        <w:topLinePunct w:val="0"/>
        <w:bidi w:val="0"/>
        <w:spacing w:line="360" w:lineRule="auto"/>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经办人（签章）：                      经办人（签章）：</w:t>
      </w:r>
    </w:p>
    <w:p w14:paraId="3EBAF039">
      <w:pPr>
        <w:keepNext w:val="0"/>
        <w:keepLines w:val="0"/>
        <w:pageBreakBefore w:val="0"/>
        <w:widowControl w:val="0"/>
        <w:kinsoku/>
        <w:wordWrap/>
        <w:overflowPunct/>
        <w:topLinePunct w:val="0"/>
        <w:bidi w:val="0"/>
        <w:spacing w:line="360" w:lineRule="auto"/>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电　  　话：                          电　  　话：</w:t>
      </w:r>
    </w:p>
    <w:p w14:paraId="465F082E">
      <w:pPr>
        <w:keepNext w:val="0"/>
        <w:keepLines w:val="0"/>
        <w:pageBreakBefore w:val="0"/>
        <w:widowControl w:val="0"/>
        <w:kinsoku/>
        <w:wordWrap/>
        <w:overflowPunct/>
        <w:topLinePunct w:val="0"/>
        <w:bidi w:val="0"/>
        <w:spacing w:line="360" w:lineRule="auto"/>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传　  　真：                          传　  　真：</w:t>
      </w:r>
    </w:p>
    <w:p w14:paraId="7B56F3B6">
      <w:pPr>
        <w:keepNext w:val="0"/>
        <w:keepLines w:val="0"/>
        <w:pageBreakBefore w:val="0"/>
        <w:widowControl w:val="0"/>
        <w:kinsoku/>
        <w:wordWrap/>
        <w:overflowPunct/>
        <w:topLinePunct w:val="0"/>
        <w:bidi w:val="0"/>
        <w:spacing w:line="360" w:lineRule="auto"/>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pacing w:val="-8"/>
          <w:szCs w:val="21"/>
          <w:highlight w:val="none"/>
        </w:rPr>
        <w:t>开 户 银 行</w:t>
      </w:r>
      <w:r>
        <w:rPr>
          <w:rFonts w:hint="eastAsia" w:asciiTheme="minorEastAsia" w:hAnsiTheme="minorEastAsia" w:eastAsiaTheme="minorEastAsia" w:cstheme="minorEastAsia"/>
          <w:color w:val="auto"/>
          <w:szCs w:val="21"/>
          <w:highlight w:val="none"/>
        </w:rPr>
        <w:t xml:space="preserve">：                          </w:t>
      </w:r>
      <w:r>
        <w:rPr>
          <w:rFonts w:hint="eastAsia" w:asciiTheme="minorEastAsia" w:hAnsiTheme="minorEastAsia" w:eastAsiaTheme="minorEastAsia" w:cstheme="minorEastAsia"/>
          <w:color w:val="auto"/>
          <w:spacing w:val="-8"/>
          <w:szCs w:val="21"/>
          <w:highlight w:val="none"/>
        </w:rPr>
        <w:t>开 户 银 行</w:t>
      </w:r>
      <w:r>
        <w:rPr>
          <w:rFonts w:hint="eastAsia" w:asciiTheme="minorEastAsia" w:hAnsiTheme="minorEastAsia" w:eastAsiaTheme="minorEastAsia" w:cstheme="minorEastAsia"/>
          <w:color w:val="auto"/>
          <w:szCs w:val="21"/>
          <w:highlight w:val="none"/>
        </w:rPr>
        <w:t xml:space="preserve">： </w:t>
      </w:r>
    </w:p>
    <w:p w14:paraId="4C8051AF">
      <w:pPr>
        <w:keepNext w:val="0"/>
        <w:keepLines w:val="0"/>
        <w:pageBreakBefore w:val="0"/>
        <w:widowControl w:val="0"/>
        <w:tabs>
          <w:tab w:val="left" w:pos="4140"/>
          <w:tab w:val="left" w:pos="4320"/>
        </w:tabs>
        <w:kinsoku/>
        <w:wordWrap/>
        <w:overflowPunct/>
        <w:topLinePunct w:val="0"/>
        <w:bidi w:val="0"/>
        <w:spacing w:line="360" w:lineRule="auto"/>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账　  　号：                          账　  　号：</w:t>
      </w:r>
    </w:p>
    <w:p w14:paraId="4D6E5A51">
      <w:pPr>
        <w:keepNext w:val="0"/>
        <w:keepLines w:val="0"/>
        <w:pageBreakBefore w:val="0"/>
        <w:widowControl w:val="0"/>
        <w:tabs>
          <w:tab w:val="left" w:pos="4140"/>
          <w:tab w:val="left" w:pos="4320"/>
        </w:tabs>
        <w:kinsoku/>
        <w:wordWrap/>
        <w:overflowPunct/>
        <w:topLinePunct w:val="0"/>
        <w:bidi w:val="0"/>
        <w:spacing w:line="360" w:lineRule="auto"/>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日      期：                          日      期：</w:t>
      </w:r>
    </w:p>
    <w:p w14:paraId="16E8E15A">
      <w:pPr>
        <w:keepNext w:val="0"/>
        <w:keepLines w:val="0"/>
        <w:pageBreakBefore w:val="0"/>
        <w:widowControl w:val="0"/>
        <w:kinsoku/>
        <w:wordWrap/>
        <w:overflowPunct/>
        <w:topLinePunct w:val="0"/>
        <w:bidi w:val="0"/>
        <w:spacing w:line="480" w:lineRule="exact"/>
        <w:jc w:val="center"/>
        <w:outlineLvl w:val="9"/>
        <w:rPr>
          <w:rFonts w:hint="eastAsia" w:asciiTheme="minorEastAsia" w:hAnsiTheme="minorEastAsia" w:eastAsiaTheme="minorEastAsia" w:cstheme="minorEastAsia"/>
          <w:color w:val="auto"/>
          <w:szCs w:val="21"/>
          <w:highlight w:val="none"/>
        </w:rPr>
      </w:pPr>
    </w:p>
    <w:p w14:paraId="53903CAD">
      <w:pPr>
        <w:keepNext w:val="0"/>
        <w:keepLines w:val="0"/>
        <w:pageBreakBefore w:val="0"/>
        <w:widowControl w:val="0"/>
        <w:kinsoku/>
        <w:wordWrap/>
        <w:overflowPunct/>
        <w:topLinePunct w:val="0"/>
        <w:bidi w:val="0"/>
        <w:spacing w:line="480" w:lineRule="exact"/>
        <w:ind w:firstLine="105" w:firstLineChars="50"/>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合同见证章：</w:t>
      </w:r>
    </w:p>
    <w:p w14:paraId="41FFCD78">
      <w:pPr>
        <w:keepNext w:val="0"/>
        <w:keepLines w:val="0"/>
        <w:pageBreakBefore w:val="0"/>
        <w:widowControl w:val="0"/>
        <w:kinsoku/>
        <w:wordWrap/>
        <w:overflowPunct/>
        <w:topLinePunct w:val="0"/>
        <w:bidi w:val="0"/>
        <w:spacing w:line="480" w:lineRule="exact"/>
        <w:ind w:firstLine="105" w:firstLineChars="50"/>
        <w:outlineLvl w:val="9"/>
        <w:rPr>
          <w:rFonts w:hint="eastAsia" w:asciiTheme="minorEastAsia" w:hAnsiTheme="minorEastAsia" w:eastAsiaTheme="minorEastAsia" w:cstheme="minorEastAsia"/>
          <w:color w:val="auto"/>
          <w:szCs w:val="21"/>
          <w:highlight w:val="none"/>
        </w:rPr>
      </w:pPr>
    </w:p>
    <w:p w14:paraId="758E1431">
      <w:pPr>
        <w:keepNext w:val="0"/>
        <w:keepLines w:val="0"/>
        <w:pageBreakBefore w:val="0"/>
        <w:widowControl w:val="0"/>
        <w:kinsoku/>
        <w:wordWrap/>
        <w:overflowPunct/>
        <w:topLinePunct w:val="0"/>
        <w:bidi w:val="0"/>
        <w:spacing w:line="480" w:lineRule="exact"/>
        <w:ind w:firstLine="3150" w:firstLineChars="1500"/>
        <w:jc w:val="both"/>
        <w:outlineLvl w:val="9"/>
        <w:rPr>
          <w:rFonts w:hint="eastAsia" w:asciiTheme="minorEastAsia" w:hAnsiTheme="minorEastAsia" w:eastAsiaTheme="minorEastAsia" w:cstheme="minorEastAsia"/>
          <w:color w:val="auto"/>
          <w:highlight w:val="none"/>
          <w:lang w:val="en-US" w:eastAsia="zh-CN"/>
        </w:rPr>
        <w:sectPr>
          <w:footnotePr>
            <w:numRestart w:val="eachPage"/>
          </w:footnotePr>
          <w:endnotePr>
            <w:numRestart w:val="eachSect"/>
          </w:endnotePr>
          <w:pgSz w:w="11907" w:h="16840"/>
          <w:pgMar w:top="1418" w:right="1418" w:bottom="1418" w:left="1588" w:header="851" w:footer="839" w:gutter="0"/>
          <w:pgNumType w:fmt="decimal"/>
          <w:cols w:space="720" w:num="1"/>
          <w:docGrid w:linePitch="435" w:charSpace="-6554"/>
        </w:sectPr>
      </w:pPr>
      <w:bookmarkStart w:id="1" w:name="_Toc136335612"/>
      <w:bookmarkStart w:id="2" w:name="_Toc100474481"/>
      <w:bookmarkStart w:id="3" w:name="_Toc107735837"/>
      <w:bookmarkStart w:id="4" w:name="_Toc103956894"/>
      <w:r>
        <w:rPr>
          <w:rFonts w:hint="eastAsia" w:asciiTheme="minorEastAsia" w:hAnsiTheme="minorEastAsia" w:eastAsiaTheme="minorEastAsia" w:cstheme="minorEastAsia"/>
          <w:color w:val="auto"/>
          <w:szCs w:val="21"/>
          <w:highlight w:val="none"/>
          <w:lang w:eastAsia="zh-CN"/>
        </w:rPr>
        <w:t>签订日期：</w:t>
      </w:r>
      <w:r>
        <w:rPr>
          <w:rFonts w:hint="eastAsia" w:asciiTheme="minorEastAsia" w:hAnsiTheme="minorEastAsia" w:eastAsiaTheme="minorEastAsia" w:cstheme="minorEastAsia"/>
          <w:color w:val="auto"/>
          <w:szCs w:val="21"/>
          <w:highlight w:val="none"/>
          <w:lang w:val="en-US" w:eastAsia="zh-CN"/>
        </w:rPr>
        <w:t xml:space="preserve">  年   月   日</w:t>
      </w:r>
    </w:p>
    <w:bookmarkEnd w:id="1"/>
    <w:bookmarkEnd w:id="2"/>
    <w:bookmarkEnd w:id="3"/>
    <w:bookmarkEnd w:id="4"/>
    <w:p w14:paraId="523F9CF4">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第六章 投标文件格式附件</w:t>
      </w:r>
    </w:p>
    <w:p w14:paraId="3947B7D3">
      <w:pPr>
        <w:spacing w:line="360" w:lineRule="auto"/>
        <w:outlineLvl w:val="9"/>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附件1</w:t>
      </w:r>
      <w:r>
        <w:rPr>
          <w:rFonts w:hint="eastAsia" w:ascii="宋体" w:hAnsi="宋体" w:eastAsia="宋体" w:cs="宋体"/>
          <w:color w:val="auto"/>
          <w:sz w:val="30"/>
          <w:szCs w:val="30"/>
          <w:highlight w:val="none"/>
        </w:rPr>
        <w:t xml:space="preserve">　　                </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 xml:space="preserve">  </w:t>
      </w:r>
      <w:r>
        <w:rPr>
          <w:rFonts w:hint="eastAsia" w:ascii="宋体" w:hAnsi="宋体" w:eastAsia="宋体" w:cs="宋体"/>
          <w:b/>
          <w:color w:val="auto"/>
          <w:sz w:val="28"/>
          <w:highlight w:val="none"/>
          <w:lang w:val="en-US" w:eastAsia="zh-CN"/>
        </w:rPr>
        <w:t xml:space="preserve"> </w:t>
      </w:r>
      <w:r>
        <w:rPr>
          <w:rFonts w:hint="eastAsia" w:ascii="宋体" w:hAnsi="宋体" w:eastAsia="宋体" w:cs="宋体"/>
          <w:b/>
          <w:color w:val="auto"/>
          <w:sz w:val="28"/>
          <w:highlight w:val="none"/>
          <w:u w:val="single"/>
        </w:rPr>
        <w:t xml:space="preserve">     </w:t>
      </w:r>
      <w:r>
        <w:rPr>
          <w:rFonts w:hint="eastAsia" w:ascii="宋体" w:hAnsi="宋体" w:eastAsia="宋体" w:cs="宋体"/>
          <w:bCs/>
          <w:color w:val="auto"/>
          <w:sz w:val="24"/>
          <w:highlight w:val="none"/>
        </w:rPr>
        <w:t>本</w:t>
      </w:r>
      <w:r>
        <w:rPr>
          <w:rFonts w:hint="eastAsia" w:ascii="宋体" w:hAnsi="宋体" w:eastAsia="宋体" w:cs="宋体"/>
          <w:color w:val="auto"/>
          <w:sz w:val="30"/>
          <w:szCs w:val="30"/>
          <w:highlight w:val="none"/>
        </w:rPr>
        <w:t xml:space="preserve">                       　</w:t>
      </w:r>
    </w:p>
    <w:p w14:paraId="55196C4A">
      <w:pPr>
        <w:numPr>
          <w:ilvl w:val="0"/>
          <w:numId w:val="0"/>
        </w:numPr>
        <w:spacing w:line="360" w:lineRule="auto"/>
        <w:jc w:val="both"/>
        <w:rPr>
          <w:rFonts w:hint="eastAsia" w:ascii="宋体" w:hAnsi="宋体" w:eastAsia="宋体" w:cs="宋体"/>
          <w:b/>
          <w:color w:val="auto"/>
          <w:sz w:val="30"/>
          <w:szCs w:val="30"/>
          <w:highlight w:val="none"/>
        </w:rPr>
      </w:pPr>
    </w:p>
    <w:p w14:paraId="56957270">
      <w:pPr>
        <w:spacing w:line="360" w:lineRule="auto"/>
        <w:ind w:right="-110"/>
        <w:jc w:val="center"/>
        <w:rPr>
          <w:rFonts w:hint="eastAsia" w:ascii="宋体" w:hAnsi="宋体" w:eastAsia="宋体" w:cs="宋体"/>
          <w:color w:val="auto"/>
          <w:spacing w:val="40"/>
          <w:sz w:val="52"/>
          <w:szCs w:val="52"/>
          <w:highlight w:val="none"/>
        </w:rPr>
      </w:pPr>
      <w:r>
        <w:rPr>
          <w:rFonts w:hint="eastAsia" w:ascii="宋体" w:hAnsi="宋体" w:eastAsia="宋体" w:cs="宋体"/>
          <w:color w:val="auto"/>
          <w:spacing w:val="40"/>
          <w:sz w:val="52"/>
          <w:szCs w:val="52"/>
          <w:highlight w:val="none"/>
        </w:rPr>
        <w:t>项目名称</w:t>
      </w:r>
    </w:p>
    <w:p w14:paraId="59AAD96D">
      <w:pPr>
        <w:spacing w:beforeLines="100" w:line="360" w:lineRule="auto"/>
        <w:ind w:right="-108"/>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项目编号：（标段）</w:t>
      </w:r>
    </w:p>
    <w:p w14:paraId="5C1007B4">
      <w:pPr>
        <w:autoSpaceDE w:val="0"/>
        <w:autoSpaceDN w:val="0"/>
        <w:adjustRightInd w:val="0"/>
        <w:spacing w:line="360" w:lineRule="auto"/>
        <w:jc w:val="center"/>
        <w:rPr>
          <w:rFonts w:hint="eastAsia" w:ascii="宋体" w:hAnsi="宋体" w:eastAsia="宋体" w:cs="宋体"/>
          <w:color w:val="auto"/>
          <w:sz w:val="84"/>
          <w:szCs w:val="84"/>
          <w:highlight w:val="none"/>
          <w:lang w:val="zh-CN"/>
        </w:rPr>
      </w:pPr>
    </w:p>
    <w:p w14:paraId="0978CB1E">
      <w:pPr>
        <w:autoSpaceDE w:val="0"/>
        <w:autoSpaceDN w:val="0"/>
        <w:adjustRightInd w:val="0"/>
        <w:spacing w:line="360" w:lineRule="auto"/>
        <w:jc w:val="center"/>
        <w:rPr>
          <w:rFonts w:hint="eastAsia" w:ascii="宋体" w:hAnsi="宋体" w:eastAsia="宋体" w:cs="宋体"/>
          <w:color w:val="auto"/>
          <w:sz w:val="84"/>
          <w:szCs w:val="84"/>
          <w:highlight w:val="none"/>
          <w:lang w:val="zh-CN"/>
        </w:rPr>
      </w:pPr>
      <w:r>
        <w:rPr>
          <w:rFonts w:hint="eastAsia" w:ascii="宋体" w:hAnsi="宋体" w:eastAsia="宋体" w:cs="宋体"/>
          <w:color w:val="auto"/>
          <w:sz w:val="84"/>
          <w:szCs w:val="84"/>
          <w:highlight w:val="none"/>
          <w:lang w:val="zh-CN"/>
        </w:rPr>
        <w:t>投</w:t>
      </w:r>
    </w:p>
    <w:p w14:paraId="1EF0A298">
      <w:pPr>
        <w:autoSpaceDE w:val="0"/>
        <w:autoSpaceDN w:val="0"/>
        <w:adjustRightInd w:val="0"/>
        <w:spacing w:line="360" w:lineRule="auto"/>
        <w:jc w:val="center"/>
        <w:rPr>
          <w:rFonts w:hint="eastAsia" w:ascii="宋体" w:hAnsi="宋体" w:eastAsia="宋体" w:cs="宋体"/>
          <w:color w:val="auto"/>
          <w:sz w:val="84"/>
          <w:szCs w:val="84"/>
          <w:highlight w:val="none"/>
          <w:lang w:val="zh-CN"/>
        </w:rPr>
      </w:pPr>
      <w:r>
        <w:rPr>
          <w:rFonts w:hint="eastAsia" w:ascii="宋体" w:hAnsi="宋体" w:eastAsia="宋体" w:cs="宋体"/>
          <w:color w:val="auto"/>
          <w:sz w:val="84"/>
          <w:szCs w:val="84"/>
          <w:highlight w:val="none"/>
          <w:lang w:val="zh-CN"/>
        </w:rPr>
        <w:t>标</w:t>
      </w:r>
    </w:p>
    <w:p w14:paraId="7357FC09">
      <w:pPr>
        <w:autoSpaceDE w:val="0"/>
        <w:autoSpaceDN w:val="0"/>
        <w:adjustRightInd w:val="0"/>
        <w:spacing w:line="360" w:lineRule="auto"/>
        <w:jc w:val="center"/>
        <w:rPr>
          <w:rFonts w:hint="eastAsia" w:ascii="宋体" w:hAnsi="宋体" w:eastAsia="宋体" w:cs="宋体"/>
          <w:color w:val="auto"/>
          <w:sz w:val="84"/>
          <w:szCs w:val="84"/>
          <w:highlight w:val="none"/>
        </w:rPr>
      </w:pPr>
      <w:r>
        <w:rPr>
          <w:rFonts w:hint="eastAsia" w:ascii="宋体" w:hAnsi="宋体" w:eastAsia="宋体" w:cs="宋体"/>
          <w:color w:val="auto"/>
          <w:sz w:val="84"/>
          <w:szCs w:val="84"/>
          <w:highlight w:val="none"/>
          <w:lang w:val="zh-CN"/>
        </w:rPr>
        <w:t>文</w:t>
      </w:r>
    </w:p>
    <w:p w14:paraId="4ABCC7EF">
      <w:pPr>
        <w:spacing w:after="100" w:afterAutospacing="1" w:line="360" w:lineRule="auto"/>
        <w:ind w:right="-108"/>
        <w:jc w:val="center"/>
        <w:rPr>
          <w:rFonts w:hint="eastAsia" w:ascii="宋体" w:hAnsi="宋体" w:eastAsia="宋体" w:cs="宋体"/>
          <w:color w:val="auto"/>
          <w:sz w:val="84"/>
          <w:szCs w:val="84"/>
          <w:highlight w:val="none"/>
          <w:lang w:val="zh-CN"/>
        </w:rPr>
      </w:pPr>
      <w:r>
        <w:rPr>
          <w:rFonts w:hint="eastAsia" w:ascii="宋体" w:hAnsi="宋体" w:eastAsia="宋体" w:cs="宋体"/>
          <w:color w:val="auto"/>
          <w:sz w:val="84"/>
          <w:szCs w:val="84"/>
          <w:highlight w:val="none"/>
          <w:lang w:val="zh-CN"/>
        </w:rPr>
        <w:t>件</w:t>
      </w:r>
    </w:p>
    <w:p w14:paraId="1822A62F">
      <w:pPr>
        <w:spacing w:after="100" w:afterAutospacing="1" w:line="360" w:lineRule="auto"/>
        <w:ind w:right="-108"/>
        <w:jc w:val="center"/>
        <w:rPr>
          <w:rFonts w:hint="eastAsia" w:ascii="宋体" w:hAnsi="宋体" w:eastAsia="宋体" w:cs="宋体"/>
          <w:b/>
          <w:color w:val="auto"/>
          <w:spacing w:val="40"/>
          <w:sz w:val="28"/>
          <w:szCs w:val="28"/>
          <w:highlight w:val="none"/>
        </w:rPr>
      </w:pPr>
      <w:r>
        <w:rPr>
          <w:rFonts w:hint="eastAsia" w:ascii="宋体" w:hAnsi="宋体" w:eastAsia="宋体" w:cs="宋体"/>
          <w:color w:val="auto"/>
          <w:sz w:val="28"/>
          <w:szCs w:val="28"/>
          <w:highlight w:val="none"/>
          <w:lang w:val="zh-CN"/>
        </w:rPr>
        <w:t>（</w:t>
      </w:r>
      <w:r>
        <w:rPr>
          <w:rFonts w:hint="eastAsia" w:ascii="宋体" w:hAnsi="宋体" w:eastAsia="宋体" w:cs="宋体"/>
          <w:b/>
          <w:color w:val="auto"/>
          <w:spacing w:val="40"/>
          <w:sz w:val="28"/>
          <w:szCs w:val="28"/>
          <w:highlight w:val="none"/>
        </w:rPr>
        <w:t>资格证明文件）</w:t>
      </w:r>
    </w:p>
    <w:p w14:paraId="721895BC">
      <w:pPr>
        <w:pStyle w:val="49"/>
        <w:rPr>
          <w:rFonts w:hint="eastAsia" w:ascii="宋体" w:hAnsi="宋体" w:eastAsia="宋体" w:cs="宋体"/>
          <w:color w:val="auto"/>
          <w:highlight w:val="none"/>
        </w:rPr>
      </w:pPr>
    </w:p>
    <w:p w14:paraId="52E3E602">
      <w:pPr>
        <w:spacing w:line="360" w:lineRule="auto"/>
        <w:ind w:right="532" w:firstLine="720" w:firstLineChars="2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投标人全称（公章）：</w:t>
      </w:r>
    </w:p>
    <w:p w14:paraId="36A67DF7">
      <w:pPr>
        <w:spacing w:line="360" w:lineRule="auto"/>
        <w:ind w:right="532" w:firstLine="720" w:firstLineChars="2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地址：</w:t>
      </w:r>
    </w:p>
    <w:p w14:paraId="391E150A">
      <w:pPr>
        <w:spacing w:line="360" w:lineRule="auto"/>
        <w:ind w:right="532" w:firstLine="720" w:firstLineChars="200"/>
        <w:rPr>
          <w:rFonts w:hint="eastAsia" w:ascii="宋体" w:hAnsi="宋体" w:eastAsia="宋体" w:cs="宋体"/>
          <w:b/>
          <w:color w:val="auto"/>
          <w:sz w:val="36"/>
          <w:szCs w:val="36"/>
          <w:highlight w:val="none"/>
        </w:rPr>
      </w:pPr>
      <w:r>
        <w:rPr>
          <w:rFonts w:hint="eastAsia" w:ascii="宋体" w:hAnsi="宋体" w:eastAsia="宋体" w:cs="宋体"/>
          <w:color w:val="auto"/>
          <w:sz w:val="36"/>
          <w:szCs w:val="36"/>
          <w:highlight w:val="none"/>
        </w:rPr>
        <w:t>时间：</w:t>
      </w:r>
    </w:p>
    <w:p w14:paraId="354D520C">
      <w:pPr>
        <w:keepNext w:val="0"/>
        <w:keepLines w:val="0"/>
        <w:pageBreakBefore w:val="0"/>
        <w:widowControl w:val="0"/>
        <w:kinsoku/>
        <w:wordWrap/>
        <w:overflowPunct/>
        <w:topLinePunct w:val="0"/>
        <w:autoSpaceDE/>
        <w:autoSpaceDN/>
        <w:bidi w:val="0"/>
        <w:adjustRightInd/>
        <w:snapToGrid w:val="0"/>
        <w:spacing w:before="50" w:after="50" w:line="360" w:lineRule="auto"/>
        <w:jc w:val="center"/>
        <w:textAlignment w:val="auto"/>
        <w:outlineLvl w:val="1"/>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资格证明文件目录</w:t>
      </w:r>
    </w:p>
    <w:p w14:paraId="4892AF04">
      <w:pPr>
        <w:snapToGrid w:val="0"/>
        <w:spacing w:before="50" w:after="50" w:line="360" w:lineRule="auto"/>
        <w:jc w:val="center"/>
        <w:rPr>
          <w:rFonts w:hint="eastAsia" w:ascii="宋体" w:hAnsi="宋体" w:eastAsia="宋体" w:cs="宋体"/>
          <w:b/>
          <w:bCs/>
          <w:color w:val="auto"/>
          <w:sz w:val="32"/>
          <w:szCs w:val="32"/>
          <w:highlight w:val="none"/>
        </w:rPr>
      </w:pPr>
    </w:p>
    <w:p w14:paraId="729D051A">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bCs/>
          <w:color w:val="auto"/>
          <w:sz w:val="24"/>
          <w:highlight w:val="none"/>
        </w:rPr>
        <w:t>1、投标声明书</w:t>
      </w:r>
      <w:r>
        <w:rPr>
          <w:rFonts w:hint="eastAsia" w:ascii="宋体" w:hAnsi="宋体" w:eastAsia="宋体" w:cs="宋体"/>
          <w:color w:val="auto"/>
          <w:sz w:val="24"/>
          <w:highlight w:val="none"/>
        </w:rPr>
        <w:t>（附件2）</w:t>
      </w:r>
    </w:p>
    <w:p w14:paraId="57D85BD7">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2、授权委托书（附件3）</w:t>
      </w:r>
    </w:p>
    <w:p w14:paraId="44F8949C">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3、法人或者其他组织的营业执照等证明文件，法定代表人和授权代表的身份证明</w:t>
      </w:r>
    </w:p>
    <w:p w14:paraId="5B92E51F">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kern w:val="0"/>
          <w:sz w:val="24"/>
          <w:highlight w:val="none"/>
        </w:rPr>
        <w:t>4、</w:t>
      </w:r>
      <w:r>
        <w:rPr>
          <w:rFonts w:hint="eastAsia" w:ascii="宋体" w:hAnsi="宋体" w:eastAsia="宋体" w:cs="宋体"/>
          <w:color w:val="auto"/>
          <w:kern w:val="0"/>
          <w:sz w:val="24"/>
          <w:szCs w:val="24"/>
          <w:highlight w:val="none"/>
          <w:lang w:val="en-US" w:eastAsia="zh-CN"/>
        </w:rPr>
        <w:t>须提供中小企业声明函等政府优惠政策适用证明材料（附件</w:t>
      </w: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en-US" w:eastAsia="zh-CN"/>
        </w:rPr>
        <w:t>）</w:t>
      </w:r>
    </w:p>
    <w:p w14:paraId="416F20F2">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
          <w:color w:val="auto"/>
          <w:sz w:val="28"/>
          <w:highlight w:val="none"/>
          <w:lang w:eastAsia="zh-CN"/>
        </w:rPr>
        <w:sectPr>
          <w:headerReference r:id="rId5" w:type="default"/>
          <w:footerReference r:id="rId6" w:type="default"/>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须提供旅行社业务经营许可证（扫描件加盖投标人公章）</w:t>
      </w:r>
    </w:p>
    <w:p w14:paraId="476FF100">
      <w:pPr>
        <w:spacing w:line="360" w:lineRule="auto"/>
        <w:outlineLvl w:val="9"/>
        <w:rPr>
          <w:rFonts w:hint="eastAsia" w:ascii="宋体" w:hAnsi="宋体" w:eastAsia="宋体" w:cs="宋体"/>
          <w:b/>
          <w:color w:val="auto"/>
          <w:sz w:val="28"/>
          <w:highlight w:val="none"/>
        </w:rPr>
      </w:pPr>
      <w:r>
        <w:rPr>
          <w:rFonts w:hint="eastAsia" w:ascii="宋体" w:hAnsi="宋体" w:eastAsia="宋体" w:cs="宋体"/>
          <w:b/>
          <w:color w:val="auto"/>
          <w:sz w:val="28"/>
          <w:highlight w:val="none"/>
        </w:rPr>
        <w:t>附件2</w:t>
      </w:r>
    </w:p>
    <w:p w14:paraId="3B6F0288">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投标声明书</w:t>
      </w:r>
    </w:p>
    <w:p w14:paraId="5BAA4C4B">
      <w:pPr>
        <w:spacing w:line="360" w:lineRule="auto"/>
        <w:rPr>
          <w:rFonts w:hint="eastAsia" w:ascii="宋体" w:hAnsi="宋体" w:eastAsia="宋体" w:cs="宋体"/>
          <w:color w:val="auto"/>
          <w:sz w:val="21"/>
          <w:szCs w:val="21"/>
          <w:highlight w:val="none"/>
          <w:u w:val="single"/>
        </w:rPr>
      </w:pPr>
      <w:r>
        <w:rPr>
          <w:rFonts w:hint="eastAsia" w:ascii="宋体" w:hAnsi="宋体" w:cs="宋体"/>
          <w:color w:val="auto"/>
          <w:sz w:val="21"/>
          <w:szCs w:val="21"/>
          <w:highlight w:val="none"/>
          <w:u w:val="single"/>
          <w:lang w:eastAsia="zh-CN"/>
        </w:rPr>
        <w:t>台州市路桥区中医院医疗服务共同体</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eastAsia="zh-CN"/>
        </w:rPr>
        <w:t>台州永安工程咨询有限公司</w:t>
      </w:r>
      <w:r>
        <w:rPr>
          <w:rFonts w:hint="eastAsia" w:ascii="宋体" w:hAnsi="宋体" w:eastAsia="宋体" w:cs="宋体"/>
          <w:color w:val="auto"/>
          <w:sz w:val="21"/>
          <w:szCs w:val="21"/>
          <w:highlight w:val="none"/>
          <w:u w:val="single"/>
        </w:rPr>
        <w:t>：</w:t>
      </w:r>
    </w:p>
    <w:p w14:paraId="5666B61E">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投标人名称 </w:t>
      </w:r>
      <w:r>
        <w:rPr>
          <w:rFonts w:hint="eastAsia" w:ascii="宋体" w:hAnsi="宋体" w:eastAsia="宋体" w:cs="宋体"/>
          <w:color w:val="auto"/>
          <w:sz w:val="21"/>
          <w:szCs w:val="21"/>
          <w:highlight w:val="none"/>
        </w:rPr>
        <w:t>）系中华人民共和国合法企业，经营地址。</w:t>
      </w:r>
    </w:p>
    <w:p w14:paraId="7DA193E3">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w:t>
      </w:r>
      <w:r>
        <w:rPr>
          <w:rFonts w:hint="eastAsia" w:ascii="宋体" w:hAnsi="宋体" w:eastAsia="宋体" w:cs="宋体"/>
          <w:color w:val="auto"/>
          <w:sz w:val="21"/>
          <w:szCs w:val="21"/>
          <w:highlight w:val="none"/>
          <w:u w:val="single"/>
        </w:rPr>
        <w:t xml:space="preserve"> 姓名 </w:t>
      </w:r>
      <w:r>
        <w:rPr>
          <w:rFonts w:hint="eastAsia" w:ascii="宋体" w:hAnsi="宋体" w:eastAsia="宋体" w:cs="宋体"/>
          <w:color w:val="auto"/>
          <w:sz w:val="21"/>
          <w:szCs w:val="21"/>
          <w:highlight w:val="none"/>
        </w:rPr>
        <w:t>）系（</w:t>
      </w:r>
      <w:r>
        <w:rPr>
          <w:rFonts w:hint="eastAsia" w:ascii="宋体" w:hAnsi="宋体" w:eastAsia="宋体" w:cs="宋体"/>
          <w:color w:val="auto"/>
          <w:sz w:val="21"/>
          <w:szCs w:val="21"/>
          <w:highlight w:val="none"/>
          <w:u w:val="single"/>
        </w:rPr>
        <w:t xml:space="preserve"> 投标人名称 </w:t>
      </w:r>
      <w:r>
        <w:rPr>
          <w:rFonts w:hint="eastAsia" w:ascii="宋体" w:hAnsi="宋体" w:eastAsia="宋体" w:cs="宋体"/>
          <w:color w:val="auto"/>
          <w:sz w:val="21"/>
          <w:szCs w:val="21"/>
          <w:highlight w:val="none"/>
        </w:rPr>
        <w:t>）的法定代表人，我公司自愿参加贵方组织的</w:t>
      </w:r>
      <w:r>
        <w:rPr>
          <w:rFonts w:hint="eastAsia" w:ascii="宋体" w:hAnsi="宋体" w:cs="宋体"/>
          <w:color w:val="auto"/>
          <w:sz w:val="21"/>
          <w:szCs w:val="21"/>
          <w:highlight w:val="none"/>
          <w:u w:val="single"/>
          <w:lang w:eastAsia="zh-CN"/>
        </w:rPr>
        <w:t>职工疗休养协议服务单位招标项目</w:t>
      </w:r>
      <w:r>
        <w:rPr>
          <w:rFonts w:hint="eastAsia" w:ascii="宋体" w:hAnsi="宋体" w:eastAsia="宋体" w:cs="宋体"/>
          <w:color w:val="auto"/>
          <w:sz w:val="21"/>
          <w:szCs w:val="21"/>
          <w:highlight w:val="none"/>
        </w:rPr>
        <w:t>（编号为</w:t>
      </w:r>
      <w:r>
        <w:rPr>
          <w:rFonts w:hint="eastAsia" w:ascii="宋体" w:hAnsi="宋体" w:cs="宋体"/>
          <w:color w:val="auto"/>
          <w:sz w:val="21"/>
          <w:szCs w:val="21"/>
          <w:highlight w:val="none"/>
          <w:u w:val="single"/>
          <w:lang w:val="en-US" w:eastAsia="zh-CN"/>
        </w:rPr>
        <w:t>tzya2025-lq24</w:t>
      </w:r>
      <w:r>
        <w:rPr>
          <w:rFonts w:hint="eastAsia" w:ascii="宋体" w:hAnsi="宋体" w:eastAsia="宋体" w:cs="宋体"/>
          <w:color w:val="auto"/>
          <w:sz w:val="21"/>
          <w:szCs w:val="21"/>
          <w:highlight w:val="none"/>
        </w:rPr>
        <w:t>）的投标，为此，我公司就本次投标有关事项郑重声明如下：</w:t>
      </w:r>
    </w:p>
    <w:p w14:paraId="1F10C33A">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 我公司声明截止投标时间前三年内：在经营活动中没有重大违法记录（重大违法记录是指供应商因违法经营受到刑事处罚或者责令停产停业、吊销许可证或者执照、较大数额罚款等行政处罚）。</w:t>
      </w:r>
    </w:p>
    <w:p w14:paraId="741AF57F">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 我公司在参与投标前已详细审查了招标文件和所有相关资料，我方完全明白并认为此招标文件没有倾向性，也没有存在排斥潜在投标人的内容，我方同意招标文件的相关条款，放弃对招标文件提出误解和质疑的一切权利。</w:t>
      </w:r>
    </w:p>
    <w:p w14:paraId="7C10FCBE">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 我公司不是采购人的附属机构；在获知本项目采购信息后，与采购人聘请的为此项目提供咨询服务的公司及其附属机构没有任何联系。</w:t>
      </w:r>
    </w:p>
    <w:p w14:paraId="5D91D25C">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 我公司保证，采购人在中华人民共和国境内使用我公司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3B9CCAF4">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 我公司严格履行采购合同，不降低合同约定的产品质量和服务，不擅自变更、中止、终止合同，或拒绝履行合同义务；</w:t>
      </w:r>
    </w:p>
    <w:p w14:paraId="014CAD8E">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 我公司承诺（若代理服务费由中标单位支付）：如在本项目中标，我公司在中标公告发布之日起5个工作日内按采购文件约定支付代理服务费。</w:t>
      </w:r>
    </w:p>
    <w:p w14:paraId="1D5AECD8">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 以上事项如有虚假或隐瞒，我公司愿意承担一切后果，并不再寻求任何旨在减轻或免除法律责任的辩解</w:t>
      </w:r>
      <w:r>
        <w:rPr>
          <w:rFonts w:hint="eastAsia" w:ascii="宋体" w:hAnsi="宋体" w:eastAsia="宋体" w:cs="宋体"/>
          <w:color w:val="auto"/>
          <w:sz w:val="21"/>
          <w:szCs w:val="21"/>
          <w:highlight w:val="none"/>
        </w:rPr>
        <w:t>。</w:t>
      </w:r>
    </w:p>
    <w:p w14:paraId="3E67E192">
      <w:pPr>
        <w:spacing w:line="360" w:lineRule="auto"/>
        <w:ind w:firstLine="3360" w:firstLineChars="16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投标人名称(公章)：</w:t>
      </w:r>
    </w:p>
    <w:p w14:paraId="506CC37C">
      <w:pPr>
        <w:spacing w:line="360" w:lineRule="auto"/>
        <w:ind w:firstLine="840" w:firstLineChars="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法定代表人或授权委托代理人</w:t>
      </w:r>
      <w:r>
        <w:rPr>
          <w:rFonts w:hint="eastAsia" w:ascii="宋体" w:hAnsi="宋体" w:eastAsia="宋体" w:cs="宋体"/>
          <w:color w:val="auto"/>
          <w:sz w:val="21"/>
          <w:szCs w:val="21"/>
          <w:highlight w:val="none"/>
          <w:lang w:eastAsia="zh-CN"/>
        </w:rPr>
        <w:t>（签字或盖章）</w:t>
      </w:r>
      <w:r>
        <w:rPr>
          <w:rFonts w:hint="eastAsia" w:ascii="宋体" w:hAnsi="宋体" w:eastAsia="宋体" w:cs="宋体"/>
          <w:color w:val="auto"/>
          <w:sz w:val="21"/>
          <w:szCs w:val="21"/>
          <w:highlight w:val="none"/>
          <w:lang w:val="zh-CN"/>
        </w:rPr>
        <w:t>：</w:t>
      </w:r>
    </w:p>
    <w:p w14:paraId="2A5491ED">
      <w:pPr>
        <w:spacing w:line="360" w:lineRule="auto"/>
        <w:ind w:firstLine="3360" w:firstLineChars="1600"/>
        <w:jc w:val="both"/>
        <w:rPr>
          <w:rFonts w:hint="eastAsia" w:ascii="宋体" w:hAnsi="宋体" w:eastAsia="宋体" w:cs="宋体"/>
          <w:b/>
          <w:color w:val="auto"/>
          <w:sz w:val="28"/>
          <w:highlight w:val="none"/>
        </w:rPr>
      </w:pPr>
      <w:r>
        <w:rPr>
          <w:rFonts w:hint="eastAsia" w:ascii="宋体" w:hAnsi="宋体" w:eastAsia="宋体" w:cs="宋体"/>
          <w:color w:val="auto"/>
          <w:sz w:val="21"/>
          <w:szCs w:val="21"/>
          <w:highlight w:val="none"/>
          <w:lang w:val="zh-CN"/>
        </w:rPr>
        <w:t>日期：</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日</w:t>
      </w:r>
    </w:p>
    <w:p w14:paraId="5BE1B55C">
      <w:pPr>
        <w:adjustRightInd w:val="0"/>
        <w:snapToGrid w:val="0"/>
        <w:spacing w:line="360" w:lineRule="auto"/>
        <w:ind w:right="480"/>
        <w:outlineLvl w:val="9"/>
        <w:rPr>
          <w:rFonts w:hint="eastAsia" w:ascii="宋体" w:hAnsi="宋体" w:eastAsia="宋体" w:cs="宋体"/>
          <w:b/>
          <w:color w:val="auto"/>
          <w:sz w:val="28"/>
          <w:highlight w:val="none"/>
        </w:rPr>
      </w:pPr>
    </w:p>
    <w:p w14:paraId="5A78EFCE">
      <w:pPr>
        <w:adjustRightInd w:val="0"/>
        <w:snapToGrid w:val="0"/>
        <w:spacing w:line="360" w:lineRule="auto"/>
        <w:ind w:right="480"/>
        <w:outlineLvl w:val="9"/>
        <w:rPr>
          <w:rFonts w:hint="eastAsia" w:ascii="宋体" w:hAnsi="宋体" w:eastAsia="宋体" w:cs="宋体"/>
          <w:b/>
          <w:color w:val="auto"/>
          <w:sz w:val="30"/>
          <w:szCs w:val="30"/>
          <w:highlight w:val="none"/>
        </w:rPr>
      </w:pPr>
      <w:r>
        <w:rPr>
          <w:rFonts w:hint="eastAsia" w:ascii="宋体" w:hAnsi="宋体" w:eastAsia="宋体" w:cs="宋体"/>
          <w:b/>
          <w:color w:val="auto"/>
          <w:sz w:val="28"/>
          <w:highlight w:val="none"/>
        </w:rPr>
        <w:t>附件3</w:t>
      </w:r>
    </w:p>
    <w:p w14:paraId="4C2758C2">
      <w:pPr>
        <w:spacing w:line="360" w:lineRule="auto"/>
        <w:ind w:firstLine="321" w:firstLineChars="100"/>
        <w:jc w:val="center"/>
        <w:rPr>
          <w:rFonts w:hint="eastAsia" w:ascii="宋体" w:hAnsi="宋体" w:eastAsia="宋体" w:cs="宋体"/>
          <w:b/>
          <w:color w:val="auto"/>
          <w:sz w:val="32"/>
          <w:szCs w:val="32"/>
          <w:highlight w:val="none"/>
          <w:u w:val="single"/>
        </w:rPr>
      </w:pPr>
      <w:r>
        <w:rPr>
          <w:rFonts w:hint="eastAsia" w:ascii="宋体" w:hAnsi="宋体" w:eastAsia="宋体" w:cs="宋体"/>
          <w:b/>
          <w:color w:val="auto"/>
          <w:sz w:val="32"/>
          <w:szCs w:val="32"/>
          <w:highlight w:val="none"/>
        </w:rPr>
        <w:t>授权委托书</w:t>
      </w:r>
    </w:p>
    <w:p w14:paraId="765423F4">
      <w:pPr>
        <w:pStyle w:val="11"/>
        <w:spacing w:line="360" w:lineRule="auto"/>
        <w:ind w:left="240" w:hanging="210" w:hangingChars="100"/>
        <w:rPr>
          <w:rFonts w:hint="eastAsia" w:ascii="宋体" w:hAnsi="宋体" w:eastAsia="宋体" w:cs="宋体"/>
          <w:color w:val="auto"/>
          <w:kern w:val="0"/>
          <w:sz w:val="21"/>
          <w:szCs w:val="21"/>
          <w:highlight w:val="none"/>
        </w:rPr>
      </w:pPr>
      <w:r>
        <w:rPr>
          <w:rFonts w:hint="eastAsia" w:hAnsi="宋体" w:cs="宋体"/>
          <w:color w:val="auto"/>
          <w:sz w:val="21"/>
          <w:szCs w:val="21"/>
          <w:highlight w:val="none"/>
          <w:u w:val="single"/>
          <w:lang w:eastAsia="zh-CN"/>
        </w:rPr>
        <w:t>台州市路桥区中医院医疗服务共同体</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eastAsia="zh-CN"/>
        </w:rPr>
        <w:t>台州永安工程咨询有限公司</w:t>
      </w:r>
      <w:r>
        <w:rPr>
          <w:rFonts w:hint="eastAsia" w:ascii="宋体" w:hAnsi="宋体" w:eastAsia="宋体" w:cs="宋体"/>
          <w:color w:val="auto"/>
          <w:kern w:val="0"/>
          <w:sz w:val="21"/>
          <w:szCs w:val="21"/>
          <w:highlight w:val="none"/>
        </w:rPr>
        <w:t>：</w:t>
      </w:r>
    </w:p>
    <w:p w14:paraId="3FC1035D">
      <w:pPr>
        <w:pStyle w:val="11"/>
        <w:spacing w:line="360" w:lineRule="auto"/>
        <w:ind w:left="240" w:hanging="210" w:hanging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（投标人全称）</w:t>
      </w:r>
      <w:r>
        <w:rPr>
          <w:rFonts w:hint="eastAsia" w:ascii="宋体" w:hAnsi="宋体" w:eastAsia="宋体" w:cs="宋体"/>
          <w:color w:val="auto"/>
          <w:sz w:val="21"/>
          <w:szCs w:val="21"/>
          <w:highlight w:val="none"/>
        </w:rPr>
        <w:t>法定代表人（或营业执照中单位负责人）</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u w:val="single"/>
        </w:rPr>
        <w:t>（法定代表人或营业执照中单位负责人姓名）</w:t>
      </w:r>
      <w:r>
        <w:rPr>
          <w:rFonts w:hint="eastAsia" w:ascii="宋体" w:hAnsi="宋体" w:eastAsia="宋体" w:cs="宋体"/>
          <w:color w:val="auto"/>
          <w:sz w:val="21"/>
          <w:szCs w:val="21"/>
          <w:highlight w:val="none"/>
        </w:rPr>
        <w:t>授权</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eastAsia="zh-CN"/>
        </w:rPr>
        <w:t>授权委托代理人</w:t>
      </w:r>
      <w:r>
        <w:rPr>
          <w:rFonts w:hint="eastAsia" w:ascii="宋体" w:hAnsi="宋体" w:eastAsia="宋体" w:cs="宋体"/>
          <w:color w:val="auto"/>
          <w:sz w:val="21"/>
          <w:szCs w:val="21"/>
          <w:highlight w:val="none"/>
          <w:u w:val="single"/>
        </w:rPr>
        <w:t>姓名）</w:t>
      </w:r>
      <w:r>
        <w:rPr>
          <w:rFonts w:hint="eastAsia" w:ascii="宋体" w:hAnsi="宋体" w:eastAsia="宋体" w:cs="宋体"/>
          <w:color w:val="auto"/>
          <w:sz w:val="21"/>
          <w:szCs w:val="21"/>
          <w:highlight w:val="none"/>
        </w:rPr>
        <w:t>为</w:t>
      </w:r>
      <w:r>
        <w:rPr>
          <w:rFonts w:hint="eastAsia" w:ascii="宋体" w:hAnsi="宋体" w:eastAsia="宋体" w:cs="宋体"/>
          <w:color w:val="auto"/>
          <w:sz w:val="21"/>
          <w:szCs w:val="21"/>
          <w:highlight w:val="none"/>
          <w:lang w:eastAsia="zh-CN"/>
        </w:rPr>
        <w:t>授权委托代理人</w:t>
      </w:r>
      <w:r>
        <w:rPr>
          <w:rFonts w:hint="eastAsia" w:ascii="宋体" w:hAnsi="宋体" w:eastAsia="宋体" w:cs="宋体"/>
          <w:color w:val="auto"/>
          <w:sz w:val="21"/>
          <w:szCs w:val="21"/>
          <w:highlight w:val="none"/>
        </w:rPr>
        <w:t>，参加贵单位组织的</w:t>
      </w:r>
      <w:r>
        <w:rPr>
          <w:rFonts w:hint="eastAsia" w:hAnsi="宋体" w:cs="宋体"/>
          <w:color w:val="auto"/>
          <w:kern w:val="0"/>
          <w:sz w:val="21"/>
          <w:szCs w:val="21"/>
          <w:highlight w:val="none"/>
          <w:u w:val="single"/>
          <w:lang w:eastAsia="zh-CN"/>
        </w:rPr>
        <w:t>职工疗休养协议服务单位招标项目</w:t>
      </w:r>
      <w:r>
        <w:rPr>
          <w:rFonts w:hint="eastAsia" w:ascii="宋体" w:hAnsi="宋体" w:eastAsia="宋体" w:cs="宋体"/>
          <w:color w:val="auto"/>
          <w:sz w:val="21"/>
          <w:szCs w:val="21"/>
          <w:highlight w:val="none"/>
        </w:rPr>
        <w:t>的采购活动，并代表我方全权办理针对上述项目的投标、开标、评标、签约等具体事务和签署相关文件。我方对</w:t>
      </w:r>
      <w:r>
        <w:rPr>
          <w:rFonts w:hint="eastAsia" w:ascii="宋体" w:hAnsi="宋体" w:eastAsia="宋体" w:cs="宋体"/>
          <w:color w:val="auto"/>
          <w:sz w:val="21"/>
          <w:szCs w:val="21"/>
          <w:highlight w:val="none"/>
          <w:lang w:eastAsia="zh-CN"/>
        </w:rPr>
        <w:t>授权委托代理人</w:t>
      </w:r>
      <w:r>
        <w:rPr>
          <w:rFonts w:hint="eastAsia" w:ascii="宋体" w:hAnsi="宋体" w:eastAsia="宋体" w:cs="宋体"/>
          <w:color w:val="auto"/>
          <w:sz w:val="21"/>
          <w:szCs w:val="21"/>
          <w:highlight w:val="none"/>
        </w:rPr>
        <w:t>的签字事项负全部责任。</w:t>
      </w:r>
    </w:p>
    <w:p w14:paraId="1EC2D15B">
      <w:pPr>
        <w:pStyle w:val="11"/>
        <w:spacing w:line="360" w:lineRule="auto"/>
        <w:ind w:left="139" w:leftChars="66"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在撤销授权的书面通知以前，本授权书一直有效。</w:t>
      </w:r>
      <w:r>
        <w:rPr>
          <w:rFonts w:hint="eastAsia" w:ascii="宋体" w:hAnsi="宋体" w:eastAsia="宋体" w:cs="宋体"/>
          <w:color w:val="auto"/>
          <w:sz w:val="21"/>
          <w:szCs w:val="21"/>
          <w:highlight w:val="none"/>
          <w:lang w:eastAsia="zh-CN"/>
        </w:rPr>
        <w:t>授权委托代理人</w:t>
      </w:r>
      <w:r>
        <w:rPr>
          <w:rFonts w:hint="eastAsia" w:ascii="宋体" w:hAnsi="宋体" w:eastAsia="宋体" w:cs="宋体"/>
          <w:color w:val="auto"/>
          <w:sz w:val="21"/>
          <w:szCs w:val="21"/>
          <w:highlight w:val="none"/>
        </w:rPr>
        <w:t>在授权委托书有效期内签署的所有文件不因授权的撤销而失效。</w:t>
      </w:r>
    </w:p>
    <w:p w14:paraId="0DDAF8B7">
      <w:pPr>
        <w:pStyle w:val="11"/>
        <w:spacing w:line="360" w:lineRule="auto"/>
        <w:ind w:left="139" w:leftChars="66"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授权委托代理人</w:t>
      </w:r>
      <w:r>
        <w:rPr>
          <w:rFonts w:hint="eastAsia" w:ascii="宋体" w:hAnsi="宋体" w:eastAsia="宋体" w:cs="宋体"/>
          <w:color w:val="auto"/>
          <w:sz w:val="21"/>
          <w:szCs w:val="21"/>
          <w:highlight w:val="none"/>
        </w:rPr>
        <w:t>无转委托权，特此委托。</w:t>
      </w:r>
    </w:p>
    <w:p w14:paraId="6231BBFA">
      <w:pPr>
        <w:spacing w:line="360" w:lineRule="auto"/>
        <w:rPr>
          <w:rFonts w:hint="eastAsia" w:ascii="宋体" w:hAnsi="宋体" w:eastAsia="宋体" w:cs="宋体"/>
          <w:color w:val="auto"/>
          <w:sz w:val="21"/>
          <w:szCs w:val="21"/>
          <w:highlight w:val="none"/>
        </w:rPr>
      </w:pPr>
    </w:p>
    <w:p w14:paraId="48A2C5CA">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法定代表人签字或盖章：</w:t>
      </w:r>
    </w:p>
    <w:p w14:paraId="18624B5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投标人全称（公章）：</w:t>
      </w:r>
    </w:p>
    <w:p w14:paraId="2A8CB3E2">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p>
    <w:p w14:paraId="092BF626">
      <w:pPr>
        <w:spacing w:line="360" w:lineRule="auto"/>
        <w:rPr>
          <w:rFonts w:hint="eastAsia" w:ascii="宋体" w:hAnsi="宋体" w:eastAsia="宋体" w:cs="宋体"/>
          <w:color w:val="auto"/>
          <w:sz w:val="24"/>
          <w:highlight w:val="none"/>
        </w:rPr>
      </w:pPr>
    </w:p>
    <w:p w14:paraId="3BDCAF93">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w:t>
      </w:r>
    </w:p>
    <w:tbl>
      <w:tblPr>
        <w:tblStyle w:val="21"/>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2089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52625668">
            <w:pPr>
              <w:spacing w:line="360" w:lineRule="auto"/>
              <w:rPr>
                <w:rFonts w:hint="eastAsia" w:ascii="宋体" w:hAnsi="宋体" w:eastAsia="宋体" w:cs="宋体"/>
                <w:b/>
                <w:color w:val="auto"/>
                <w:sz w:val="24"/>
                <w:highlight w:val="none"/>
              </w:rPr>
            </w:pPr>
          </w:p>
          <w:p w14:paraId="5F5F9C05">
            <w:pPr>
              <w:spacing w:line="360" w:lineRule="auto"/>
              <w:ind w:firstLine="361" w:firstLineChars="15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法定代表身份证</w:t>
            </w:r>
            <w:r>
              <w:rPr>
                <w:rFonts w:hint="eastAsia" w:ascii="宋体" w:hAnsi="宋体" w:cs="宋体"/>
                <w:b/>
                <w:color w:val="auto"/>
                <w:sz w:val="24"/>
                <w:highlight w:val="none"/>
                <w:lang w:val="en-US" w:eastAsia="zh-CN"/>
              </w:rPr>
              <w:t>正、反面</w:t>
            </w:r>
            <w:r>
              <w:rPr>
                <w:rFonts w:hint="eastAsia" w:ascii="宋体" w:hAnsi="宋体" w:eastAsia="宋体" w:cs="宋体"/>
                <w:b/>
                <w:color w:val="auto"/>
                <w:sz w:val="24"/>
                <w:highlight w:val="none"/>
              </w:rPr>
              <w:t>复印件</w:t>
            </w:r>
            <w:r>
              <w:rPr>
                <w:rFonts w:hint="eastAsia" w:ascii="宋体" w:hAnsi="宋体" w:cs="宋体"/>
                <w:b/>
                <w:color w:val="auto"/>
                <w:sz w:val="24"/>
                <w:highlight w:val="none"/>
                <w:lang w:val="en-US" w:eastAsia="zh-CN"/>
              </w:rPr>
              <w:t>粘贴</w:t>
            </w:r>
            <w:r>
              <w:rPr>
                <w:rFonts w:hint="eastAsia" w:ascii="宋体" w:hAnsi="宋体" w:eastAsia="宋体" w:cs="宋体"/>
                <w:b/>
                <w:color w:val="auto"/>
                <w:sz w:val="24"/>
                <w:highlight w:val="none"/>
              </w:rPr>
              <w:t>处</w:t>
            </w:r>
          </w:p>
        </w:tc>
      </w:tr>
    </w:tbl>
    <w:p w14:paraId="1016642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法定代表人姓名：</w:t>
      </w:r>
    </w:p>
    <w:p w14:paraId="6DE98DE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p>
    <w:p w14:paraId="743A826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p>
    <w:p w14:paraId="3333A195">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详细通讯地址：</w:t>
      </w:r>
    </w:p>
    <w:p w14:paraId="0AFC107F">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p>
    <w:p w14:paraId="3F8A0F19">
      <w:pPr>
        <w:spacing w:line="360" w:lineRule="auto"/>
        <w:rPr>
          <w:rFonts w:hint="eastAsia" w:ascii="宋体" w:hAnsi="宋体" w:eastAsia="宋体" w:cs="宋体"/>
          <w:b/>
          <w:color w:val="auto"/>
          <w:sz w:val="21"/>
          <w:szCs w:val="21"/>
          <w:highlight w:val="none"/>
        </w:rPr>
      </w:pPr>
    </w:p>
    <w:tbl>
      <w:tblPr>
        <w:tblStyle w:val="21"/>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7997E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6F2EDBDA">
            <w:pPr>
              <w:spacing w:line="360" w:lineRule="auto"/>
              <w:rPr>
                <w:rFonts w:hint="eastAsia" w:ascii="宋体" w:hAnsi="宋体" w:eastAsia="宋体" w:cs="宋体"/>
                <w:b/>
                <w:color w:val="auto"/>
                <w:sz w:val="21"/>
                <w:szCs w:val="21"/>
                <w:highlight w:val="none"/>
              </w:rPr>
            </w:pPr>
          </w:p>
          <w:p w14:paraId="3990A536">
            <w:pPr>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4"/>
                <w:highlight w:val="none"/>
                <w:lang w:eastAsia="zh-CN"/>
              </w:rPr>
              <w:t>授权委托代理人</w:t>
            </w:r>
            <w:r>
              <w:rPr>
                <w:rFonts w:hint="eastAsia" w:ascii="宋体" w:hAnsi="宋体" w:eastAsia="宋体" w:cs="宋体"/>
                <w:b/>
                <w:color w:val="auto"/>
                <w:sz w:val="24"/>
                <w:highlight w:val="none"/>
              </w:rPr>
              <w:t>身份证</w:t>
            </w:r>
            <w:r>
              <w:rPr>
                <w:rFonts w:hint="eastAsia" w:ascii="宋体" w:hAnsi="宋体" w:eastAsia="宋体" w:cs="宋体"/>
                <w:b/>
                <w:color w:val="auto"/>
                <w:sz w:val="24"/>
                <w:highlight w:val="none"/>
                <w:lang w:val="en-US" w:eastAsia="zh-CN"/>
              </w:rPr>
              <w:t>正、反面</w:t>
            </w:r>
            <w:r>
              <w:rPr>
                <w:rFonts w:hint="eastAsia" w:ascii="宋体" w:hAnsi="宋体" w:eastAsia="宋体" w:cs="宋体"/>
                <w:b/>
                <w:color w:val="auto"/>
                <w:sz w:val="24"/>
                <w:highlight w:val="none"/>
              </w:rPr>
              <w:t>复印件</w:t>
            </w:r>
            <w:r>
              <w:rPr>
                <w:rFonts w:hint="eastAsia" w:ascii="宋体" w:hAnsi="宋体" w:cs="宋体"/>
                <w:b/>
                <w:color w:val="auto"/>
                <w:sz w:val="24"/>
                <w:highlight w:val="none"/>
                <w:lang w:val="en-US" w:eastAsia="zh-CN"/>
              </w:rPr>
              <w:t>粘贴</w:t>
            </w:r>
            <w:r>
              <w:rPr>
                <w:rFonts w:hint="eastAsia" w:ascii="宋体" w:hAnsi="宋体" w:eastAsia="宋体" w:cs="宋体"/>
                <w:b/>
                <w:color w:val="auto"/>
                <w:sz w:val="24"/>
                <w:highlight w:val="none"/>
              </w:rPr>
              <w:t>处</w:t>
            </w:r>
          </w:p>
        </w:tc>
      </w:tr>
    </w:tbl>
    <w:p w14:paraId="5BD1815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授权委托代理人</w:t>
      </w:r>
      <w:r>
        <w:rPr>
          <w:rFonts w:hint="eastAsia" w:ascii="宋体" w:hAnsi="宋体" w:eastAsia="宋体" w:cs="宋体"/>
          <w:color w:val="auto"/>
          <w:sz w:val="21"/>
          <w:szCs w:val="21"/>
          <w:highlight w:val="none"/>
        </w:rPr>
        <w:t>姓名：</w:t>
      </w:r>
    </w:p>
    <w:p w14:paraId="2A4C3DD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职务：</w:t>
      </w:r>
    </w:p>
    <w:p w14:paraId="016ACBF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p>
    <w:p w14:paraId="2D0C0BDB">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p>
    <w:p w14:paraId="176EDAC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详细通讯地址：</w:t>
      </w:r>
    </w:p>
    <w:p w14:paraId="706E27D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p>
    <w:p w14:paraId="46184001">
      <w:pPr>
        <w:pStyle w:val="52"/>
        <w:widowControl w:val="0"/>
        <w:snapToGrid w:val="0"/>
        <w:spacing w:line="360" w:lineRule="auto"/>
        <w:jc w:val="center"/>
        <w:rPr>
          <w:rFonts w:hint="eastAsia" w:ascii="宋体" w:hAnsi="宋体" w:eastAsia="宋体" w:cs="宋体"/>
          <w:b/>
          <w:color w:val="auto"/>
          <w:kern w:val="2"/>
          <w:sz w:val="32"/>
          <w:szCs w:val="32"/>
          <w:highlight w:val="none"/>
          <w:lang w:val="en-US" w:eastAsia="zh-CN" w:bidi="ar-SA"/>
        </w:rPr>
        <w:sectPr>
          <w:pgSz w:w="11906" w:h="16838"/>
          <w:pgMar w:top="1440" w:right="1800" w:bottom="1440" w:left="1800" w:header="851" w:footer="992" w:gutter="0"/>
          <w:pgNumType w:fmt="decimal"/>
          <w:cols w:space="425" w:num="1"/>
          <w:docGrid w:type="lines" w:linePitch="312" w:charSpace="0"/>
        </w:sectPr>
      </w:pPr>
    </w:p>
    <w:p w14:paraId="3CAAD7DB">
      <w:pPr>
        <w:spacing w:line="400" w:lineRule="exact"/>
        <w:outlineLvl w:val="9"/>
        <w:rPr>
          <w:rFonts w:hint="eastAsia" w:ascii="宋体" w:hAnsi="宋体" w:eastAsia="宋体" w:cs="宋体"/>
          <w:b/>
          <w:color w:val="auto"/>
          <w:sz w:val="28"/>
          <w:highlight w:val="none"/>
          <w:lang w:val="en-US" w:eastAsia="zh-CN"/>
        </w:rPr>
      </w:pPr>
      <w:r>
        <w:rPr>
          <w:rFonts w:hint="eastAsia" w:ascii="宋体" w:hAnsi="宋体" w:eastAsia="宋体" w:cs="宋体"/>
          <w:b/>
          <w:color w:val="auto"/>
          <w:sz w:val="28"/>
          <w:highlight w:val="none"/>
        </w:rPr>
        <w:t>附件</w:t>
      </w:r>
      <w:r>
        <w:rPr>
          <w:rFonts w:hint="eastAsia" w:ascii="宋体" w:hAnsi="宋体" w:cs="宋体"/>
          <w:b/>
          <w:color w:val="auto"/>
          <w:sz w:val="28"/>
          <w:highlight w:val="none"/>
          <w:lang w:val="en-US" w:eastAsia="zh-CN"/>
        </w:rPr>
        <w:t>4</w:t>
      </w:r>
    </w:p>
    <w:p w14:paraId="407381EA">
      <w:pPr>
        <w:snapToGrid w:val="0"/>
        <w:spacing w:beforeLines="50" w:after="50" w:line="360" w:lineRule="auto"/>
        <w:jc w:val="center"/>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中小企业声明函</w:t>
      </w:r>
    </w:p>
    <w:p w14:paraId="7B0F9AD4">
      <w:pPr>
        <w:pStyle w:val="7"/>
        <w:spacing w:before="5"/>
        <w:rPr>
          <w:rFonts w:hint="eastAsia" w:ascii="宋体" w:hAnsi="宋体" w:eastAsia="宋体" w:cs="宋体"/>
          <w:b/>
          <w:color w:val="auto"/>
          <w:sz w:val="18"/>
          <w:szCs w:val="18"/>
          <w:highlight w:val="none"/>
        </w:rPr>
      </w:pPr>
    </w:p>
    <w:p w14:paraId="1C5F3477">
      <w:pPr>
        <w:pStyle w:val="7"/>
        <w:autoSpaceDE w:val="0"/>
        <w:autoSpaceDN w:val="0"/>
        <w:adjustRightInd/>
        <w:spacing w:line="360" w:lineRule="auto"/>
        <w:ind w:right="-54" w:firstLine="420" w:firstLineChars="200"/>
        <w:jc w:val="both"/>
        <w:textAlignment w:val="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本公司（联合体）郑重声明，根据《政府采购促进中小企业发展管理办法》（财库﹝2020﹞46号）的规定，本公司（联合体）参加</w:t>
      </w:r>
      <w:r>
        <w:rPr>
          <w:rFonts w:hint="eastAsia" w:ascii="宋体" w:hAnsi="宋体" w:eastAsia="宋体" w:cs="宋体"/>
          <w:i w:val="0"/>
          <w:iCs/>
          <w:color w:val="auto"/>
          <w:sz w:val="21"/>
          <w:szCs w:val="21"/>
          <w:highlight w:val="none"/>
          <w:u w:val="single"/>
        </w:rPr>
        <w:t>（单位名称）</w:t>
      </w:r>
      <w:r>
        <w:rPr>
          <w:rFonts w:hint="eastAsia" w:ascii="宋体" w:hAnsi="宋体" w:eastAsia="宋体" w:cs="宋体"/>
          <w:color w:val="auto"/>
          <w:sz w:val="21"/>
          <w:szCs w:val="21"/>
          <w:highlight w:val="none"/>
        </w:rPr>
        <w:t>的</w:t>
      </w:r>
      <w:r>
        <w:rPr>
          <w:rFonts w:hint="eastAsia" w:ascii="宋体" w:hAnsi="宋体" w:eastAsia="宋体" w:cs="宋体"/>
          <w:i w:val="0"/>
          <w:iCs/>
          <w:color w:val="auto"/>
          <w:sz w:val="21"/>
          <w:szCs w:val="21"/>
          <w:highlight w:val="none"/>
          <w:u w:val="single"/>
        </w:rPr>
        <w:t>（项目名称）</w:t>
      </w:r>
      <w:r>
        <w:rPr>
          <w:rFonts w:hint="eastAsia" w:ascii="宋体" w:hAnsi="宋体" w:eastAsia="宋体" w:cs="宋体"/>
          <w:color w:val="auto"/>
          <w:sz w:val="21"/>
          <w:szCs w:val="21"/>
          <w:highlight w:val="none"/>
        </w:rPr>
        <w:t>采购活动，</w:t>
      </w:r>
      <w:r>
        <w:rPr>
          <w:rFonts w:hint="eastAsia" w:ascii="宋体" w:hAnsi="宋体" w:eastAsia="宋体" w:cs="宋体"/>
          <w:color w:val="auto"/>
          <w:kern w:val="2"/>
          <w:sz w:val="21"/>
          <w:szCs w:val="21"/>
          <w:highlight w:val="none"/>
          <w:lang w:val="zh-CN" w:eastAsia="zh-CN" w:bidi="ar-SA"/>
        </w:rPr>
        <w:t>服务全部由符合政策要求的中小企业承接。相关企业（含联合体中的中小企业、签订分包意向协议的中小企业）的具体情况如下：</w:t>
      </w:r>
    </w:p>
    <w:p w14:paraId="0D099591">
      <w:pPr>
        <w:pStyle w:val="7"/>
        <w:autoSpaceDE w:val="0"/>
        <w:autoSpaceDN w:val="0"/>
        <w:adjustRightInd/>
        <w:spacing w:line="360" w:lineRule="auto"/>
        <w:ind w:right="-54" w:firstLine="402" w:firstLineChars="200"/>
        <w:jc w:val="both"/>
        <w:textAlignment w:val="auto"/>
        <w:rPr>
          <w:rFonts w:hint="eastAsia" w:ascii="宋体" w:hAnsi="宋体" w:eastAsia="宋体" w:cs="宋体"/>
          <w:i w:val="0"/>
          <w:iCs/>
          <w:color w:val="auto"/>
          <w:w w:val="99"/>
          <w:sz w:val="21"/>
          <w:szCs w:val="21"/>
          <w:highlight w:val="none"/>
        </w:rPr>
      </w:pPr>
      <w:r>
        <w:rPr>
          <w:rFonts w:hint="eastAsia" w:ascii="宋体" w:hAnsi="宋体" w:eastAsia="宋体" w:cs="宋体"/>
          <w:iCs/>
          <w:color w:val="auto"/>
          <w:w w:val="96"/>
          <w:sz w:val="21"/>
          <w:szCs w:val="21"/>
          <w:highlight w:val="none"/>
          <w:lang w:val="en-US" w:eastAsia="zh-CN"/>
        </w:rPr>
        <w:t>一</w:t>
      </w:r>
      <w:r>
        <w:rPr>
          <w:rFonts w:hint="eastAsia" w:ascii="宋体" w:hAnsi="宋体" w:eastAsia="宋体" w:cs="宋体"/>
          <w:iCs/>
          <w:color w:val="auto"/>
          <w:w w:val="96"/>
          <w:sz w:val="21"/>
          <w:szCs w:val="21"/>
          <w:highlight w:val="none"/>
          <w:lang w:eastAsia="zh-CN"/>
        </w:rPr>
        <w:t>、</w:t>
      </w:r>
      <w:r>
        <w:rPr>
          <w:rFonts w:hint="eastAsia" w:ascii="宋体" w:hAnsi="宋体" w:eastAsia="宋体" w:cs="宋体"/>
          <w:i w:val="0"/>
          <w:iCs/>
          <w:color w:val="auto"/>
          <w:w w:val="96"/>
          <w:sz w:val="21"/>
          <w:szCs w:val="21"/>
          <w:highlight w:val="none"/>
          <w:u w:val="single"/>
        </w:rPr>
        <w:t>（标的名称）</w:t>
      </w:r>
      <w:r>
        <w:rPr>
          <w:rFonts w:hint="eastAsia" w:ascii="宋体" w:hAnsi="宋体" w:eastAsia="宋体" w:cs="宋体"/>
          <w:color w:val="auto"/>
          <w:w w:val="99"/>
          <w:sz w:val="21"/>
          <w:szCs w:val="21"/>
          <w:highlight w:val="none"/>
        </w:rPr>
        <w:t>，属于</w:t>
      </w:r>
      <w:r>
        <w:rPr>
          <w:rFonts w:hint="eastAsia" w:ascii="宋体" w:hAnsi="宋体" w:eastAsia="宋体" w:cs="宋体"/>
          <w:i w:val="0"/>
          <w:iCs/>
          <w:color w:val="auto"/>
          <w:w w:val="96"/>
          <w:sz w:val="21"/>
          <w:szCs w:val="21"/>
          <w:highlight w:val="none"/>
        </w:rPr>
        <w:t>（</w:t>
      </w:r>
      <w:r>
        <w:rPr>
          <w:rFonts w:hint="eastAsia" w:ascii="宋体" w:hAnsi="宋体" w:eastAsia="宋体" w:cs="宋体"/>
          <w:i w:val="0"/>
          <w:iCs/>
          <w:color w:val="auto"/>
          <w:w w:val="96"/>
          <w:sz w:val="21"/>
          <w:szCs w:val="21"/>
          <w:highlight w:val="none"/>
          <w:u w:val="single"/>
        </w:rPr>
        <w:t>采购文件中明确的所属行业）</w:t>
      </w:r>
      <w:r>
        <w:rPr>
          <w:rFonts w:hint="eastAsia" w:ascii="宋体" w:hAnsi="宋体" w:eastAsia="宋体" w:cs="宋体"/>
          <w:color w:val="auto"/>
          <w:w w:val="99"/>
          <w:sz w:val="21"/>
          <w:szCs w:val="21"/>
          <w:highlight w:val="none"/>
        </w:rPr>
        <w:t>；承建（承接）企业为</w:t>
      </w:r>
      <w:r>
        <w:rPr>
          <w:rFonts w:hint="eastAsia" w:ascii="宋体" w:hAnsi="宋体" w:eastAsia="宋体" w:cs="宋体"/>
          <w:i w:val="0"/>
          <w:iCs/>
          <w:color w:val="auto"/>
          <w:w w:val="96"/>
          <w:sz w:val="21"/>
          <w:szCs w:val="21"/>
          <w:highlight w:val="none"/>
          <w:u w:val="single"/>
        </w:rPr>
        <w:t>（企业名称）</w:t>
      </w:r>
      <w:r>
        <w:rPr>
          <w:rFonts w:hint="eastAsia" w:ascii="宋体" w:hAnsi="宋体" w:eastAsia="宋体" w:cs="宋体"/>
          <w:color w:val="auto"/>
          <w:w w:val="99"/>
          <w:sz w:val="21"/>
          <w:szCs w:val="21"/>
          <w:highlight w:val="none"/>
        </w:rPr>
        <w:t>，从业人员</w:t>
      </w:r>
      <w:r>
        <w:rPr>
          <w:rFonts w:hint="eastAsia" w:ascii="宋体" w:hAnsi="宋体" w:eastAsia="宋体" w:cs="宋体"/>
          <w:color w:val="auto"/>
          <w:w w:val="99"/>
          <w:sz w:val="21"/>
          <w:szCs w:val="21"/>
          <w:highlight w:val="none"/>
          <w:u w:val="single"/>
        </w:rPr>
        <w:t xml:space="preserve">  </w:t>
      </w:r>
      <w:r>
        <w:rPr>
          <w:rFonts w:hint="eastAsia" w:ascii="宋体" w:hAnsi="宋体" w:eastAsia="宋体" w:cs="宋体"/>
          <w:color w:val="auto"/>
          <w:w w:val="99"/>
          <w:sz w:val="21"/>
          <w:szCs w:val="21"/>
          <w:highlight w:val="none"/>
        </w:rPr>
        <w:t>人，营业</w:t>
      </w:r>
      <w:r>
        <w:rPr>
          <w:rFonts w:hint="eastAsia" w:ascii="宋体" w:hAnsi="宋体" w:eastAsia="宋体" w:cs="宋体"/>
          <w:color w:val="auto"/>
          <w:sz w:val="21"/>
          <w:szCs w:val="21"/>
          <w:highlight w:val="none"/>
        </w:rPr>
        <w:t>收入为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万元，资产总额为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rPr>
        <w:t>万元</w:t>
      </w:r>
      <w:r>
        <w:rPr>
          <w:rFonts w:hint="eastAsia" w:ascii="宋体" w:hAnsi="宋体" w:eastAsia="宋体" w:cs="宋体"/>
          <w:color w:val="auto"/>
          <w:sz w:val="21"/>
          <w:szCs w:val="21"/>
          <w:highlight w:val="none"/>
          <w:vertAlign w:val="superscript"/>
        </w:rPr>
        <w:t>1</w:t>
      </w:r>
      <w:r>
        <w:rPr>
          <w:rFonts w:hint="eastAsia" w:ascii="宋体" w:hAnsi="宋体" w:eastAsia="宋体" w:cs="宋体"/>
          <w:color w:val="auto"/>
          <w:sz w:val="21"/>
          <w:szCs w:val="21"/>
          <w:highlight w:val="none"/>
        </w:rPr>
        <w:t>，属于</w:t>
      </w:r>
      <w:r>
        <w:rPr>
          <w:rFonts w:hint="eastAsia" w:ascii="宋体" w:hAnsi="宋体" w:eastAsia="宋体" w:cs="宋体"/>
          <w:i w:val="0"/>
          <w:iCs/>
          <w:color w:val="auto"/>
          <w:sz w:val="21"/>
          <w:szCs w:val="21"/>
          <w:highlight w:val="none"/>
          <w:u w:val="single"/>
        </w:rPr>
        <w:t>（中型企业、</w:t>
      </w:r>
      <w:r>
        <w:rPr>
          <w:rFonts w:hint="eastAsia" w:ascii="宋体" w:hAnsi="宋体" w:eastAsia="宋体" w:cs="宋体"/>
          <w:i w:val="0"/>
          <w:iCs/>
          <w:color w:val="auto"/>
          <w:w w:val="96"/>
          <w:sz w:val="21"/>
          <w:szCs w:val="21"/>
          <w:highlight w:val="none"/>
          <w:u w:val="single"/>
        </w:rPr>
        <w:t>小型企业、微型企业）</w:t>
      </w:r>
      <w:r>
        <w:rPr>
          <w:rFonts w:hint="eastAsia" w:ascii="宋体" w:hAnsi="宋体" w:eastAsia="宋体" w:cs="宋体"/>
          <w:i w:val="0"/>
          <w:iCs/>
          <w:color w:val="auto"/>
          <w:w w:val="99"/>
          <w:sz w:val="21"/>
          <w:szCs w:val="21"/>
          <w:highlight w:val="none"/>
        </w:rPr>
        <w:t>；</w:t>
      </w:r>
    </w:p>
    <w:p w14:paraId="77538B84">
      <w:pPr>
        <w:pStyle w:val="7"/>
        <w:autoSpaceDE w:val="0"/>
        <w:autoSpaceDN w:val="0"/>
        <w:adjustRightInd/>
        <w:spacing w:line="360" w:lineRule="auto"/>
        <w:ind w:right="-54" w:firstLine="402" w:firstLineChars="200"/>
        <w:jc w:val="both"/>
        <w:textAlignment w:val="auto"/>
        <w:rPr>
          <w:rFonts w:hint="eastAsia" w:ascii="宋体" w:hAnsi="宋体" w:eastAsia="宋体" w:cs="宋体"/>
          <w:i w:val="0"/>
          <w:iCs/>
          <w:color w:val="auto"/>
          <w:w w:val="99"/>
          <w:sz w:val="21"/>
          <w:szCs w:val="21"/>
          <w:highlight w:val="none"/>
        </w:rPr>
      </w:pPr>
      <w:r>
        <w:rPr>
          <w:rFonts w:hint="eastAsia" w:ascii="宋体" w:hAnsi="宋体" w:eastAsia="宋体" w:cs="宋体"/>
          <w:iCs/>
          <w:color w:val="auto"/>
          <w:w w:val="96"/>
          <w:sz w:val="21"/>
          <w:szCs w:val="21"/>
          <w:highlight w:val="none"/>
          <w:lang w:val="en-US" w:eastAsia="zh-CN"/>
        </w:rPr>
        <w:t>二</w:t>
      </w:r>
      <w:r>
        <w:rPr>
          <w:rFonts w:hint="eastAsia" w:ascii="宋体" w:hAnsi="宋体" w:eastAsia="宋体" w:cs="宋体"/>
          <w:iCs/>
          <w:color w:val="auto"/>
          <w:w w:val="96"/>
          <w:sz w:val="21"/>
          <w:szCs w:val="21"/>
          <w:highlight w:val="none"/>
          <w:lang w:eastAsia="zh-CN"/>
        </w:rPr>
        <w:t>、</w:t>
      </w:r>
      <w:r>
        <w:rPr>
          <w:rFonts w:hint="eastAsia" w:ascii="宋体" w:hAnsi="宋体" w:eastAsia="宋体" w:cs="宋体"/>
          <w:i w:val="0"/>
          <w:iCs/>
          <w:color w:val="auto"/>
          <w:w w:val="96"/>
          <w:sz w:val="21"/>
          <w:szCs w:val="21"/>
          <w:highlight w:val="none"/>
          <w:u w:val="single"/>
        </w:rPr>
        <w:t>（标的名称）</w:t>
      </w:r>
      <w:r>
        <w:rPr>
          <w:rFonts w:hint="eastAsia" w:ascii="宋体" w:hAnsi="宋体" w:eastAsia="宋体" w:cs="宋体"/>
          <w:color w:val="auto"/>
          <w:w w:val="99"/>
          <w:sz w:val="21"/>
          <w:szCs w:val="21"/>
          <w:highlight w:val="none"/>
        </w:rPr>
        <w:t>，属于</w:t>
      </w:r>
      <w:r>
        <w:rPr>
          <w:rFonts w:hint="eastAsia" w:ascii="宋体" w:hAnsi="宋体" w:eastAsia="宋体" w:cs="宋体"/>
          <w:i w:val="0"/>
          <w:iCs/>
          <w:color w:val="auto"/>
          <w:w w:val="96"/>
          <w:sz w:val="21"/>
          <w:szCs w:val="21"/>
          <w:highlight w:val="none"/>
        </w:rPr>
        <w:t>（</w:t>
      </w:r>
      <w:r>
        <w:rPr>
          <w:rFonts w:hint="eastAsia" w:ascii="宋体" w:hAnsi="宋体" w:eastAsia="宋体" w:cs="宋体"/>
          <w:i w:val="0"/>
          <w:iCs/>
          <w:color w:val="auto"/>
          <w:w w:val="96"/>
          <w:sz w:val="21"/>
          <w:szCs w:val="21"/>
          <w:highlight w:val="none"/>
          <w:u w:val="single"/>
        </w:rPr>
        <w:t>采购文件中明确的所属行业）</w:t>
      </w:r>
      <w:r>
        <w:rPr>
          <w:rFonts w:hint="eastAsia" w:ascii="宋体" w:hAnsi="宋体" w:eastAsia="宋体" w:cs="宋体"/>
          <w:color w:val="auto"/>
          <w:w w:val="99"/>
          <w:sz w:val="21"/>
          <w:szCs w:val="21"/>
          <w:highlight w:val="none"/>
        </w:rPr>
        <w:t>；承建（承接）企业为</w:t>
      </w:r>
      <w:r>
        <w:rPr>
          <w:rFonts w:hint="eastAsia" w:ascii="宋体" w:hAnsi="宋体" w:eastAsia="宋体" w:cs="宋体"/>
          <w:i w:val="0"/>
          <w:iCs/>
          <w:color w:val="auto"/>
          <w:w w:val="96"/>
          <w:sz w:val="21"/>
          <w:szCs w:val="21"/>
          <w:highlight w:val="none"/>
          <w:u w:val="single"/>
        </w:rPr>
        <w:t>（企业名称）</w:t>
      </w:r>
      <w:r>
        <w:rPr>
          <w:rFonts w:hint="eastAsia" w:ascii="宋体" w:hAnsi="宋体" w:eastAsia="宋体" w:cs="宋体"/>
          <w:color w:val="auto"/>
          <w:w w:val="99"/>
          <w:sz w:val="21"/>
          <w:szCs w:val="21"/>
          <w:highlight w:val="none"/>
        </w:rPr>
        <w:t>，从业人员</w:t>
      </w:r>
      <w:r>
        <w:rPr>
          <w:rFonts w:hint="eastAsia" w:ascii="宋体" w:hAnsi="宋体" w:eastAsia="宋体" w:cs="宋体"/>
          <w:color w:val="auto"/>
          <w:w w:val="99"/>
          <w:sz w:val="21"/>
          <w:szCs w:val="21"/>
          <w:highlight w:val="none"/>
          <w:u w:val="single"/>
        </w:rPr>
        <w:t xml:space="preserve">  </w:t>
      </w:r>
      <w:r>
        <w:rPr>
          <w:rFonts w:hint="eastAsia" w:ascii="宋体" w:hAnsi="宋体" w:eastAsia="宋体" w:cs="宋体"/>
          <w:color w:val="auto"/>
          <w:w w:val="99"/>
          <w:sz w:val="21"/>
          <w:szCs w:val="21"/>
          <w:highlight w:val="none"/>
        </w:rPr>
        <w:t>人，营业</w:t>
      </w:r>
      <w:r>
        <w:rPr>
          <w:rFonts w:hint="eastAsia" w:ascii="宋体" w:hAnsi="宋体" w:eastAsia="宋体" w:cs="宋体"/>
          <w:color w:val="auto"/>
          <w:sz w:val="21"/>
          <w:szCs w:val="21"/>
          <w:highlight w:val="none"/>
        </w:rPr>
        <w:t>收入为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万元，资产总额为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万元，属于</w:t>
      </w:r>
      <w:r>
        <w:rPr>
          <w:rFonts w:hint="eastAsia" w:ascii="宋体" w:hAnsi="宋体" w:eastAsia="宋体" w:cs="宋体"/>
          <w:i w:val="0"/>
          <w:iCs/>
          <w:color w:val="auto"/>
          <w:sz w:val="21"/>
          <w:szCs w:val="21"/>
          <w:highlight w:val="none"/>
          <w:u w:val="single"/>
        </w:rPr>
        <w:t>（中型企业、</w:t>
      </w:r>
      <w:r>
        <w:rPr>
          <w:rFonts w:hint="eastAsia" w:ascii="宋体" w:hAnsi="宋体" w:eastAsia="宋体" w:cs="宋体"/>
          <w:i w:val="0"/>
          <w:iCs/>
          <w:color w:val="auto"/>
          <w:w w:val="96"/>
          <w:sz w:val="21"/>
          <w:szCs w:val="21"/>
          <w:highlight w:val="none"/>
          <w:u w:val="single"/>
        </w:rPr>
        <w:t>小型企业、微型企业）</w:t>
      </w:r>
      <w:r>
        <w:rPr>
          <w:rFonts w:hint="eastAsia" w:ascii="宋体" w:hAnsi="宋体" w:eastAsia="宋体" w:cs="宋体"/>
          <w:i w:val="0"/>
          <w:iCs/>
          <w:color w:val="auto"/>
          <w:w w:val="99"/>
          <w:sz w:val="21"/>
          <w:szCs w:val="21"/>
          <w:highlight w:val="none"/>
        </w:rPr>
        <w:t>；</w:t>
      </w:r>
    </w:p>
    <w:p w14:paraId="312F1765">
      <w:pPr>
        <w:pStyle w:val="7"/>
        <w:autoSpaceDE w:val="0"/>
        <w:autoSpaceDN w:val="0"/>
        <w:adjustRightInd/>
        <w:spacing w:line="360" w:lineRule="auto"/>
        <w:ind w:right="-54"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p w14:paraId="4FF37C78">
      <w:pPr>
        <w:pStyle w:val="7"/>
        <w:autoSpaceDE w:val="0"/>
        <w:autoSpaceDN w:val="0"/>
        <w:adjustRightInd/>
        <w:spacing w:line="360" w:lineRule="auto"/>
        <w:ind w:right="-54"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以上企业，不属于大企业的分支机构，不存在控股股东为大企业的情形，也不存在与大企业的负责人为同一人的情形。</w:t>
      </w:r>
    </w:p>
    <w:p w14:paraId="3A607785">
      <w:pPr>
        <w:pStyle w:val="7"/>
        <w:autoSpaceDE w:val="0"/>
        <w:autoSpaceDN w:val="0"/>
        <w:adjustRightInd/>
        <w:spacing w:line="360" w:lineRule="auto"/>
        <w:ind w:right="-54"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本企业对上述声明内容的真实性负责。如有虚假，将依法承担相应责任。</w:t>
      </w:r>
    </w:p>
    <w:p w14:paraId="61EB582A">
      <w:pPr>
        <w:pStyle w:val="7"/>
        <w:autoSpaceDE w:val="0"/>
        <w:autoSpaceDN w:val="0"/>
        <w:adjustRightInd/>
        <w:spacing w:before="29" w:line="360" w:lineRule="auto"/>
        <w:ind w:left="4060" w:right="-54"/>
        <w:textAlignment w:val="auto"/>
        <w:rPr>
          <w:rFonts w:hint="eastAsia" w:ascii="宋体" w:hAnsi="宋体" w:eastAsia="宋体" w:cs="宋体"/>
          <w:color w:val="auto"/>
          <w:w w:val="99"/>
          <w:sz w:val="21"/>
          <w:szCs w:val="21"/>
          <w:highlight w:val="none"/>
        </w:rPr>
      </w:pPr>
    </w:p>
    <w:p w14:paraId="6E8311D8">
      <w:pPr>
        <w:pStyle w:val="7"/>
        <w:autoSpaceDE w:val="0"/>
        <w:autoSpaceDN w:val="0"/>
        <w:adjustRightInd/>
        <w:spacing w:before="29" w:line="360" w:lineRule="auto"/>
        <w:ind w:left="4060" w:right="-54"/>
        <w:textAlignment w:val="auto"/>
        <w:rPr>
          <w:rFonts w:hint="eastAsia" w:ascii="宋体" w:hAnsi="宋体" w:eastAsia="宋体" w:cs="宋体"/>
          <w:color w:val="auto"/>
          <w:w w:val="99"/>
          <w:sz w:val="21"/>
          <w:szCs w:val="21"/>
          <w:highlight w:val="none"/>
        </w:rPr>
      </w:pPr>
    </w:p>
    <w:p w14:paraId="721710E5">
      <w:pPr>
        <w:pStyle w:val="7"/>
        <w:autoSpaceDE w:val="0"/>
        <w:autoSpaceDN w:val="0"/>
        <w:adjustRightInd/>
        <w:spacing w:before="29" w:line="360" w:lineRule="auto"/>
        <w:ind w:right="-54" w:firstLine="3990" w:firstLineChars="19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企业名称（盖章）：</w:t>
      </w:r>
    </w:p>
    <w:p w14:paraId="558AA9CA">
      <w:pPr>
        <w:pStyle w:val="7"/>
        <w:autoSpaceDE w:val="0"/>
        <w:autoSpaceDN w:val="0"/>
        <w:adjustRightInd/>
        <w:spacing w:before="29" w:line="360" w:lineRule="auto"/>
        <w:ind w:right="-54" w:firstLine="3990" w:firstLineChars="1900"/>
        <w:textAlignment w:val="auto"/>
        <w:rPr>
          <w:rFonts w:hint="eastAsia" w:ascii="宋体" w:hAnsi="宋体" w:eastAsia="宋体" w:cs="宋体"/>
          <w:color w:val="auto"/>
          <w:kern w:val="0"/>
          <w:szCs w:val="21"/>
          <w:highlight w:val="none"/>
        </w:rPr>
      </w:pPr>
      <w:r>
        <w:rPr>
          <w:rFonts w:hint="eastAsia" w:ascii="宋体" w:hAnsi="宋体" w:eastAsia="宋体" w:cs="宋体"/>
          <w:color w:val="auto"/>
          <w:sz w:val="21"/>
          <w:szCs w:val="21"/>
          <w:highlight w:val="none"/>
        </w:rPr>
        <w:t>日期：</w:t>
      </w:r>
    </w:p>
    <w:p w14:paraId="17F867FD">
      <w:pPr>
        <w:pStyle w:val="11"/>
        <w:spacing w:line="360" w:lineRule="auto"/>
        <w:rPr>
          <w:rFonts w:hint="eastAsia" w:ascii="宋体" w:hAnsi="宋体" w:eastAsia="宋体" w:cs="宋体"/>
          <w:b/>
          <w:color w:val="auto"/>
          <w:highlight w:val="none"/>
        </w:rPr>
      </w:pPr>
      <w:r>
        <w:rPr>
          <w:rFonts w:hint="eastAsia" w:ascii="宋体" w:hAnsi="宋体" w:eastAsia="宋体" w:cs="宋体"/>
          <w:color w:val="auto"/>
          <w:szCs w:val="21"/>
          <w:highlight w:val="none"/>
        </w:rPr>
        <w:t>注：1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从业人员、营业收入、资产总额填报上一年度数据，无上一年度数据的新成立企业可不填报。</w:t>
      </w:r>
    </w:p>
    <w:p w14:paraId="08CB36E8">
      <w:pPr>
        <w:pStyle w:val="47"/>
        <w:numPr>
          <w:ilvl w:val="0"/>
          <w:numId w:val="0"/>
        </w:numPr>
        <w:spacing w:line="360" w:lineRule="auto"/>
        <w:ind w:left="403" w:leftChars="0"/>
        <w:jc w:val="both"/>
        <w:rPr>
          <w:rFonts w:hint="eastAsia" w:ascii="宋体" w:hAnsi="宋体" w:eastAsia="宋体" w:cs="宋体"/>
          <w:color w:val="auto"/>
          <w:spacing w:val="20"/>
          <w:kern w:val="0"/>
          <w:szCs w:val="21"/>
          <w:highlight w:val="none"/>
        </w:rPr>
      </w:pPr>
      <w:r>
        <w:rPr>
          <w:rFonts w:hint="eastAsia" w:ascii="宋体" w:hAnsi="宋体" w:eastAsia="宋体" w:cs="宋体"/>
          <w:color w:val="auto"/>
          <w:kern w:val="2"/>
          <w:sz w:val="21"/>
          <w:szCs w:val="21"/>
          <w:highlight w:val="none"/>
          <w:lang w:val="en-US" w:eastAsia="zh-CN" w:bidi="ar-SA"/>
        </w:rPr>
        <w:t>2、</w:t>
      </w:r>
      <w:r>
        <w:rPr>
          <w:rFonts w:hint="eastAsia" w:ascii="宋体" w:hAnsi="宋体" w:eastAsia="宋体" w:cs="宋体"/>
          <w:color w:val="auto"/>
          <w:spacing w:val="20"/>
          <w:kern w:val="0"/>
          <w:szCs w:val="21"/>
          <w:highlight w:val="none"/>
        </w:rPr>
        <w:t>投标人按各自参加投标的对应标包分别编制、分别成册、分别提交。</w:t>
      </w:r>
    </w:p>
    <w:p w14:paraId="1B05E114">
      <w:pPr>
        <w:pStyle w:val="11"/>
        <w:spacing w:line="360" w:lineRule="auto"/>
        <w:jc w:val="center"/>
        <w:outlineLvl w:val="9"/>
        <w:rPr>
          <w:rFonts w:hint="eastAsia" w:ascii="宋体" w:hAnsi="宋体" w:eastAsia="宋体" w:cs="宋体"/>
          <w:b/>
          <w:color w:val="auto"/>
          <w:sz w:val="32"/>
          <w:szCs w:val="32"/>
          <w:highlight w:val="none"/>
          <w:lang w:val="en-GB"/>
        </w:rPr>
      </w:pPr>
    </w:p>
    <w:p w14:paraId="4BB16F56">
      <w:pPr>
        <w:pStyle w:val="11"/>
        <w:spacing w:line="360" w:lineRule="auto"/>
        <w:jc w:val="center"/>
        <w:outlineLvl w:val="9"/>
        <w:rPr>
          <w:rFonts w:hint="eastAsia" w:ascii="宋体" w:hAnsi="宋体" w:eastAsia="宋体" w:cs="宋体"/>
          <w:b/>
          <w:color w:val="auto"/>
          <w:sz w:val="32"/>
          <w:szCs w:val="32"/>
          <w:highlight w:val="none"/>
          <w:lang w:val="en-GB"/>
        </w:rPr>
      </w:pPr>
    </w:p>
    <w:p w14:paraId="49ADBE6D">
      <w:pPr>
        <w:pStyle w:val="11"/>
        <w:spacing w:line="360" w:lineRule="auto"/>
        <w:jc w:val="center"/>
        <w:outlineLvl w:val="9"/>
        <w:rPr>
          <w:rFonts w:hint="eastAsia" w:ascii="宋体" w:hAnsi="宋体" w:eastAsia="宋体" w:cs="宋体"/>
          <w:b/>
          <w:color w:val="auto"/>
          <w:sz w:val="32"/>
          <w:szCs w:val="32"/>
          <w:highlight w:val="none"/>
          <w:lang w:val="en-GB"/>
        </w:rPr>
      </w:pPr>
      <w:r>
        <w:rPr>
          <w:rFonts w:hint="eastAsia" w:ascii="宋体" w:hAnsi="宋体" w:eastAsia="宋体" w:cs="宋体"/>
          <w:b/>
          <w:color w:val="auto"/>
          <w:sz w:val="32"/>
          <w:szCs w:val="32"/>
          <w:highlight w:val="none"/>
          <w:lang w:val="en-GB"/>
        </w:rPr>
        <w:t>残疾人福利性单位声明函</w:t>
      </w:r>
    </w:p>
    <w:p w14:paraId="3C7D5649">
      <w:pPr>
        <w:spacing w:line="360" w:lineRule="auto"/>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本单位郑重声明，根据《财政部民政部中国残疾人联合会关于促进残疾人就业政府采购政策的通知》（财库〔2017〕 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5A38A540">
      <w:pPr>
        <w:spacing w:line="360" w:lineRule="auto"/>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本单位对上述声明的真实性负责。如有虚假，将依法承担相应责任。</w:t>
      </w:r>
    </w:p>
    <w:p w14:paraId="7D4CAB80">
      <w:pPr>
        <w:tabs>
          <w:tab w:val="left" w:pos="4860"/>
        </w:tabs>
        <w:spacing w:line="360" w:lineRule="auto"/>
        <w:ind w:right="1560" w:firstLine="444" w:firstLineChars="200"/>
        <w:jc w:val="center"/>
        <w:rPr>
          <w:rFonts w:hint="eastAsia" w:ascii="宋体" w:hAnsi="宋体" w:eastAsia="宋体" w:cs="宋体"/>
          <w:color w:val="auto"/>
          <w:spacing w:val="6"/>
          <w:sz w:val="21"/>
          <w:szCs w:val="21"/>
          <w:highlight w:val="none"/>
        </w:rPr>
      </w:pPr>
    </w:p>
    <w:p w14:paraId="244149BE">
      <w:pPr>
        <w:tabs>
          <w:tab w:val="left" w:pos="4860"/>
        </w:tabs>
        <w:spacing w:line="360" w:lineRule="auto"/>
        <w:ind w:right="1560" w:firstLine="444" w:firstLineChars="200"/>
        <w:jc w:val="center"/>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单位名称（盖章）：</w:t>
      </w:r>
    </w:p>
    <w:p w14:paraId="609404B1">
      <w:pPr>
        <w:tabs>
          <w:tab w:val="left" w:pos="4860"/>
        </w:tabs>
        <w:spacing w:line="360" w:lineRule="auto"/>
        <w:ind w:right="1560" w:firstLine="1890" w:firstLineChars="9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法定代表人</w:t>
      </w:r>
      <w:r>
        <w:rPr>
          <w:rFonts w:hint="eastAsia" w:ascii="宋体" w:hAnsi="宋体" w:eastAsia="宋体" w:cs="宋体"/>
          <w:color w:val="auto"/>
          <w:sz w:val="21"/>
          <w:szCs w:val="21"/>
          <w:highlight w:val="none"/>
          <w:lang w:eastAsia="zh-CN"/>
        </w:rPr>
        <w:t>（签字或盖章）</w:t>
      </w:r>
      <w:r>
        <w:rPr>
          <w:rFonts w:hint="eastAsia" w:ascii="宋体" w:hAnsi="宋体" w:eastAsia="宋体" w:cs="宋体"/>
          <w:color w:val="auto"/>
          <w:kern w:val="2"/>
          <w:sz w:val="21"/>
          <w:szCs w:val="21"/>
          <w:highlight w:val="none"/>
          <w:lang w:val="en-US" w:eastAsia="zh-CN" w:bidi="ar-SA"/>
        </w:rPr>
        <w:t>：</w:t>
      </w:r>
    </w:p>
    <w:p w14:paraId="2173F73C">
      <w:pPr>
        <w:tabs>
          <w:tab w:val="left" w:pos="4860"/>
        </w:tabs>
        <w:spacing w:line="360" w:lineRule="auto"/>
        <w:ind w:right="1560" w:firstLine="444" w:firstLineChars="200"/>
        <w:jc w:val="center"/>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日期：</w:t>
      </w:r>
    </w:p>
    <w:p w14:paraId="47704EE8">
      <w:pPr>
        <w:pStyle w:val="47"/>
        <w:spacing w:line="360" w:lineRule="auto"/>
        <w:rPr>
          <w:rFonts w:hint="eastAsia" w:ascii="宋体" w:hAnsi="宋体" w:eastAsia="宋体" w:cs="宋体"/>
          <w:b/>
          <w:color w:val="auto"/>
          <w:sz w:val="28"/>
          <w:szCs w:val="28"/>
          <w:highlight w:val="none"/>
        </w:rPr>
      </w:pPr>
    </w:p>
    <w:p w14:paraId="23B11885">
      <w:pPr>
        <w:pStyle w:val="47"/>
        <w:spacing w:line="360" w:lineRule="auto"/>
        <w:rPr>
          <w:rFonts w:hint="eastAsia" w:ascii="宋体" w:hAnsi="宋体" w:eastAsia="宋体" w:cs="宋体"/>
          <w:b/>
          <w:color w:val="auto"/>
          <w:sz w:val="28"/>
          <w:szCs w:val="28"/>
          <w:highlight w:val="none"/>
        </w:rPr>
      </w:pPr>
    </w:p>
    <w:p w14:paraId="21177F72">
      <w:pPr>
        <w:pStyle w:val="47"/>
        <w:spacing w:line="360" w:lineRule="auto"/>
        <w:rPr>
          <w:rFonts w:hint="eastAsia" w:ascii="宋体" w:hAnsi="宋体" w:eastAsia="宋体" w:cs="宋体"/>
          <w:b/>
          <w:color w:val="auto"/>
          <w:sz w:val="28"/>
          <w:szCs w:val="28"/>
          <w:highlight w:val="none"/>
        </w:rPr>
      </w:pPr>
    </w:p>
    <w:p w14:paraId="2131F873">
      <w:pPr>
        <w:pStyle w:val="47"/>
        <w:spacing w:line="360" w:lineRule="auto"/>
        <w:rPr>
          <w:rFonts w:hint="eastAsia" w:ascii="宋体" w:hAnsi="宋体" w:eastAsia="宋体" w:cs="宋体"/>
          <w:b/>
          <w:color w:val="auto"/>
          <w:sz w:val="28"/>
          <w:szCs w:val="28"/>
          <w:highlight w:val="none"/>
        </w:rPr>
      </w:pPr>
    </w:p>
    <w:p w14:paraId="17D28319">
      <w:pPr>
        <w:pStyle w:val="47"/>
        <w:spacing w:line="360" w:lineRule="auto"/>
        <w:rPr>
          <w:rFonts w:hint="eastAsia" w:ascii="宋体" w:hAnsi="宋体" w:eastAsia="宋体" w:cs="宋体"/>
          <w:b/>
          <w:color w:val="auto"/>
          <w:sz w:val="28"/>
          <w:szCs w:val="28"/>
          <w:highlight w:val="none"/>
        </w:rPr>
      </w:pPr>
    </w:p>
    <w:p w14:paraId="6DA1DA2C">
      <w:pPr>
        <w:pStyle w:val="47"/>
        <w:spacing w:line="360" w:lineRule="auto"/>
        <w:rPr>
          <w:rFonts w:hint="eastAsia" w:ascii="宋体" w:hAnsi="宋体" w:eastAsia="宋体" w:cs="宋体"/>
          <w:b/>
          <w:color w:val="auto"/>
          <w:sz w:val="28"/>
          <w:szCs w:val="28"/>
          <w:highlight w:val="none"/>
        </w:rPr>
      </w:pPr>
    </w:p>
    <w:p w14:paraId="3E5A8E70">
      <w:pPr>
        <w:pStyle w:val="47"/>
        <w:spacing w:line="360" w:lineRule="auto"/>
        <w:rPr>
          <w:rFonts w:hint="eastAsia" w:ascii="宋体" w:hAnsi="宋体" w:eastAsia="宋体" w:cs="宋体"/>
          <w:b/>
          <w:color w:val="auto"/>
          <w:sz w:val="28"/>
          <w:szCs w:val="28"/>
          <w:highlight w:val="none"/>
        </w:rPr>
      </w:pPr>
    </w:p>
    <w:p w14:paraId="40A304A4">
      <w:pPr>
        <w:pStyle w:val="47"/>
        <w:spacing w:line="360" w:lineRule="auto"/>
        <w:rPr>
          <w:rFonts w:hint="eastAsia" w:ascii="宋体" w:hAnsi="宋体" w:eastAsia="宋体" w:cs="宋体"/>
          <w:b/>
          <w:color w:val="auto"/>
          <w:sz w:val="28"/>
          <w:szCs w:val="28"/>
          <w:highlight w:val="none"/>
        </w:rPr>
      </w:pPr>
    </w:p>
    <w:p w14:paraId="266432AE">
      <w:pPr>
        <w:pStyle w:val="47"/>
        <w:spacing w:line="360" w:lineRule="auto"/>
        <w:rPr>
          <w:rFonts w:hint="eastAsia" w:ascii="宋体" w:hAnsi="宋体" w:eastAsia="宋体" w:cs="宋体"/>
          <w:b/>
          <w:color w:val="auto"/>
          <w:sz w:val="28"/>
          <w:szCs w:val="28"/>
          <w:highlight w:val="none"/>
        </w:rPr>
      </w:pPr>
    </w:p>
    <w:p w14:paraId="311F0E83">
      <w:pPr>
        <w:pStyle w:val="47"/>
        <w:spacing w:line="360" w:lineRule="auto"/>
        <w:rPr>
          <w:rFonts w:hint="eastAsia" w:ascii="宋体" w:hAnsi="宋体" w:eastAsia="宋体" w:cs="宋体"/>
          <w:b/>
          <w:color w:val="auto"/>
          <w:sz w:val="28"/>
          <w:szCs w:val="28"/>
          <w:highlight w:val="none"/>
        </w:rPr>
      </w:pPr>
    </w:p>
    <w:p w14:paraId="4446D5ED">
      <w:pPr>
        <w:pStyle w:val="7"/>
        <w:jc w:val="both"/>
        <w:rPr>
          <w:rFonts w:hint="eastAsia" w:ascii="宋体" w:hAnsi="宋体" w:eastAsia="宋体" w:cs="宋体"/>
          <w:color w:val="auto"/>
          <w:highlight w:val="none"/>
        </w:rPr>
      </w:pPr>
    </w:p>
    <w:p w14:paraId="01FBF414">
      <w:pPr>
        <w:pStyle w:val="52"/>
        <w:widowControl w:val="0"/>
        <w:snapToGrid w:val="0"/>
        <w:spacing w:line="360" w:lineRule="auto"/>
        <w:jc w:val="center"/>
        <w:rPr>
          <w:rFonts w:hint="eastAsia" w:ascii="宋体" w:hAnsi="宋体" w:eastAsia="宋体" w:cs="宋体"/>
          <w:b/>
          <w:color w:val="auto"/>
          <w:kern w:val="2"/>
          <w:sz w:val="32"/>
          <w:szCs w:val="32"/>
          <w:highlight w:val="none"/>
          <w:lang w:val="en-US" w:eastAsia="zh-CN" w:bidi="ar-SA"/>
        </w:rPr>
        <w:sectPr>
          <w:pgSz w:w="11906" w:h="16838"/>
          <w:pgMar w:top="1440" w:right="1800" w:bottom="1440" w:left="1800" w:header="851" w:footer="992" w:gutter="0"/>
          <w:pgNumType w:fmt="decimal"/>
          <w:cols w:space="425" w:num="1"/>
          <w:docGrid w:type="lines" w:linePitch="312" w:charSpace="0"/>
        </w:sectPr>
      </w:pPr>
    </w:p>
    <w:p w14:paraId="762C99F1">
      <w:pPr>
        <w:pStyle w:val="52"/>
        <w:widowControl w:val="0"/>
        <w:snapToGrid w:val="0"/>
        <w:spacing w:line="360" w:lineRule="auto"/>
        <w:jc w:val="center"/>
        <w:rPr>
          <w:rFonts w:hint="eastAsia" w:ascii="宋体" w:hAnsi="宋体" w:eastAsia="宋体" w:cs="宋体"/>
          <w:b/>
          <w:color w:val="auto"/>
          <w:kern w:val="2"/>
          <w:sz w:val="32"/>
          <w:szCs w:val="32"/>
          <w:highlight w:val="none"/>
          <w:lang w:val="en-US" w:eastAsia="zh-CN" w:bidi="ar-SA"/>
        </w:rPr>
      </w:pPr>
      <w:r>
        <w:rPr>
          <w:rFonts w:hint="eastAsia" w:ascii="宋体" w:hAnsi="宋体" w:eastAsia="宋体" w:cs="宋体"/>
          <w:b/>
          <w:color w:val="auto"/>
          <w:kern w:val="2"/>
          <w:sz w:val="32"/>
          <w:szCs w:val="32"/>
          <w:highlight w:val="none"/>
          <w:lang w:val="en-US" w:eastAsia="zh-CN" w:bidi="ar-SA"/>
        </w:rPr>
        <w:t>政府采购活动现场确认声明书</w:t>
      </w:r>
    </w:p>
    <w:p w14:paraId="6BC2E222">
      <w:pPr>
        <w:pStyle w:val="52"/>
        <w:widowControl w:val="0"/>
        <w:snapToGrid w:val="0"/>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kern w:val="0"/>
          <w:sz w:val="21"/>
          <w:szCs w:val="21"/>
          <w:highlight w:val="none"/>
          <w:u w:val="single"/>
        </w:rPr>
        <w:t>台州永安工程咨询有限公司</w:t>
      </w:r>
      <w:r>
        <w:rPr>
          <w:rFonts w:hint="eastAsia" w:ascii="宋体" w:hAnsi="宋体" w:eastAsia="宋体" w:cs="宋体"/>
          <w:color w:val="auto"/>
          <w:kern w:val="0"/>
          <w:sz w:val="21"/>
          <w:szCs w:val="21"/>
          <w:highlight w:val="none"/>
        </w:rPr>
        <w:t>：</w:t>
      </w:r>
    </w:p>
    <w:p w14:paraId="022D5541">
      <w:pPr>
        <w:pStyle w:val="52"/>
        <w:widowControl w:val="0"/>
        <w:snapToGrid w:val="0"/>
        <w:spacing w:line="360" w:lineRule="auto"/>
        <w:ind w:firstLine="444" w:firstLineChars="200"/>
        <w:jc w:val="left"/>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本人经由</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（供应商全称）</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pacing w:val="6"/>
          <w:sz w:val="21"/>
          <w:szCs w:val="21"/>
          <w:highlight w:val="none"/>
        </w:rPr>
        <w:t>负责人</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val="en-US" w:eastAsia="zh-CN"/>
        </w:rPr>
        <w:t>法定代表人</w:t>
      </w:r>
      <w:r>
        <w:rPr>
          <w:rFonts w:hint="eastAsia" w:ascii="宋体" w:hAnsi="宋体" w:eastAsia="宋体" w:cs="宋体"/>
          <w:color w:val="auto"/>
          <w:sz w:val="21"/>
          <w:szCs w:val="21"/>
          <w:highlight w:val="none"/>
          <w:u w:val="single"/>
        </w:rPr>
        <w:t>姓名）</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eastAsia="zh-CN"/>
        </w:rPr>
        <w:t>合</w:t>
      </w:r>
      <w:r>
        <w:rPr>
          <w:rFonts w:hint="eastAsia" w:ascii="宋体" w:hAnsi="宋体" w:eastAsia="宋体" w:cs="宋体"/>
          <w:color w:val="auto"/>
          <w:spacing w:val="6"/>
          <w:sz w:val="21"/>
          <w:szCs w:val="21"/>
          <w:highlight w:val="none"/>
        </w:rPr>
        <w:t>法授权参加</w:t>
      </w:r>
      <w:r>
        <w:rPr>
          <w:rFonts w:hint="eastAsia" w:hAnsi="宋体" w:cs="宋体"/>
          <w:color w:val="auto"/>
          <w:kern w:val="0"/>
          <w:sz w:val="21"/>
          <w:szCs w:val="21"/>
          <w:highlight w:val="none"/>
          <w:u w:val="single"/>
          <w:lang w:eastAsia="zh-CN"/>
        </w:rPr>
        <w:t>职工疗休养协议服务单位招标项目</w:t>
      </w:r>
      <w:r>
        <w:rPr>
          <w:rFonts w:hint="eastAsia" w:ascii="宋体" w:hAnsi="宋体" w:eastAsia="宋体" w:cs="宋体"/>
          <w:color w:val="auto"/>
          <w:spacing w:val="6"/>
          <w:sz w:val="21"/>
          <w:szCs w:val="21"/>
          <w:highlight w:val="none"/>
        </w:rPr>
        <w:t>（编号：</w:t>
      </w:r>
      <w:r>
        <w:rPr>
          <w:rFonts w:hint="eastAsia" w:hAnsi="宋体" w:cs="宋体"/>
          <w:color w:val="auto"/>
          <w:sz w:val="21"/>
          <w:szCs w:val="21"/>
          <w:highlight w:val="none"/>
          <w:u w:val="single"/>
          <w:lang w:val="en-US" w:eastAsia="zh-CN"/>
        </w:rPr>
        <w:t>tzya2025-lq24</w:t>
      </w:r>
      <w:r>
        <w:rPr>
          <w:rFonts w:hint="eastAsia" w:ascii="宋体" w:hAnsi="宋体" w:eastAsia="宋体" w:cs="宋体"/>
          <w:color w:val="auto"/>
          <w:spacing w:val="6"/>
          <w:sz w:val="21"/>
          <w:szCs w:val="21"/>
          <w:highlight w:val="none"/>
        </w:rPr>
        <w:t xml:space="preserve">）政府采购活动，经与本单位法人代表（负责人）联系确认，现就有关公平竞争事项郑重声明如下： </w:t>
      </w:r>
    </w:p>
    <w:p w14:paraId="36E9614E">
      <w:pPr>
        <w:pStyle w:val="49"/>
        <w:widowControl/>
        <w:tabs>
          <w:tab w:val="left" w:pos="630"/>
        </w:tabs>
        <w:snapToGrid w:val="0"/>
        <w:spacing w:line="360" w:lineRule="auto"/>
        <w:ind w:left="21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一、本单位与采购人之间 </w:t>
      </w:r>
      <w:r>
        <w:rPr>
          <w:rFonts w:hint="eastAsia" w:ascii="宋体" w:hAnsi="宋体" w:eastAsia="宋体" w:cs="宋体"/>
          <w:color w:val="auto"/>
          <w:sz w:val="21"/>
          <w:szCs w:val="21"/>
          <w:highlight w:val="none"/>
        </w:rPr>
        <w:sym w:font="Wingdings" w:char="00FE"/>
      </w:r>
      <w:r>
        <w:rPr>
          <w:rFonts w:hint="eastAsia" w:ascii="宋体" w:hAnsi="宋体" w:eastAsia="宋体" w:cs="宋体"/>
          <w:color w:val="auto"/>
          <w:kern w:val="0"/>
          <w:sz w:val="21"/>
          <w:szCs w:val="21"/>
          <w:highlight w:val="none"/>
        </w:rPr>
        <w:t>不存在利害关系 □存在下列利害关系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3308E514">
      <w:pPr>
        <w:pStyle w:val="49"/>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A.投资关系    B.行政隶属关系    C.业务指导关系</w:t>
      </w:r>
    </w:p>
    <w:p w14:paraId="6ED11E35">
      <w:pPr>
        <w:pStyle w:val="49"/>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D.其他可能</w:t>
      </w:r>
      <w:r>
        <w:rPr>
          <w:rFonts w:hint="eastAsia" w:ascii="宋体" w:hAnsi="宋体" w:eastAsia="宋体" w:cs="宋体"/>
          <w:color w:val="auto"/>
          <w:sz w:val="21"/>
          <w:szCs w:val="21"/>
          <w:highlight w:val="none"/>
        </w:rPr>
        <w:t>影响采购公正的</w:t>
      </w:r>
      <w:r>
        <w:rPr>
          <w:rFonts w:hint="eastAsia" w:ascii="宋体" w:hAnsi="宋体" w:eastAsia="宋体" w:cs="宋体"/>
          <w:color w:val="auto"/>
          <w:kern w:val="0"/>
          <w:sz w:val="21"/>
          <w:szCs w:val="21"/>
          <w:highlight w:val="none"/>
        </w:rPr>
        <w:t>利害关系</w:t>
      </w:r>
      <w:r>
        <w:rPr>
          <w:rFonts w:hint="eastAsia" w:ascii="宋体" w:hAnsi="宋体" w:eastAsia="宋体" w:cs="宋体"/>
          <w:color w:val="auto"/>
          <w:kern w:val="0"/>
          <w:sz w:val="21"/>
          <w:szCs w:val="21"/>
          <w:highlight w:val="none"/>
          <w:u w:val="single"/>
        </w:rPr>
        <w:t xml:space="preserve">（如有，请如实说明）                 </w:t>
      </w:r>
      <w:r>
        <w:rPr>
          <w:rFonts w:hint="eastAsia" w:ascii="宋体" w:hAnsi="宋体" w:eastAsia="宋体" w:cs="宋体"/>
          <w:color w:val="auto"/>
          <w:kern w:val="0"/>
          <w:sz w:val="21"/>
          <w:szCs w:val="21"/>
          <w:highlight w:val="none"/>
        </w:rPr>
        <w:t>。</w:t>
      </w:r>
    </w:p>
    <w:p w14:paraId="5EE84461">
      <w:pPr>
        <w:pStyle w:val="49"/>
        <w:keepNext w:val="0"/>
        <w:keepLines w:val="0"/>
        <w:pageBreakBefore w:val="0"/>
        <w:widowControl/>
        <w:kinsoku/>
        <w:wordWrap/>
        <w:overflowPunct/>
        <w:topLinePunct w:val="0"/>
        <w:autoSpaceDE/>
        <w:autoSpaceDN/>
        <w:bidi w:val="0"/>
        <w:snapToGrid w:val="0"/>
        <w:spacing w:line="360" w:lineRule="auto"/>
        <w:ind w:firstLine="222" w:firstLineChars="100"/>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spacing w:val="6"/>
          <w:sz w:val="21"/>
          <w:szCs w:val="21"/>
          <w:highlight w:val="none"/>
        </w:rPr>
        <w:t>二、</w:t>
      </w:r>
      <w:r>
        <w:rPr>
          <w:rFonts w:hint="eastAsia" w:ascii="宋体" w:hAnsi="宋体" w:eastAsia="宋体" w:cs="宋体"/>
          <w:color w:val="auto"/>
          <w:kern w:val="0"/>
          <w:sz w:val="21"/>
          <w:szCs w:val="21"/>
          <w:highlight w:val="none"/>
        </w:rPr>
        <w:t>现已清楚知道参加本项目采购活动的其他所有供应商名称，本单位</w:t>
      </w:r>
      <w:r>
        <w:rPr>
          <w:rFonts w:hint="eastAsia" w:ascii="宋体" w:hAnsi="宋体" w:eastAsia="宋体" w:cs="宋体"/>
          <w:color w:val="auto"/>
          <w:sz w:val="21"/>
          <w:szCs w:val="21"/>
          <w:highlight w:val="none"/>
        </w:rPr>
        <w:sym w:font="Wingdings" w:char="00FE"/>
      </w:r>
      <w:r>
        <w:rPr>
          <w:rFonts w:hint="eastAsia" w:ascii="宋体" w:hAnsi="宋体" w:eastAsia="宋体" w:cs="宋体"/>
          <w:color w:val="auto"/>
          <w:kern w:val="0"/>
          <w:sz w:val="21"/>
          <w:szCs w:val="21"/>
          <w:highlight w:val="none"/>
        </w:rPr>
        <w:t>与其他所有供应商之间均不存在利害关系 □与</w:t>
      </w:r>
      <w:r>
        <w:rPr>
          <w:rFonts w:hint="eastAsia" w:ascii="宋体" w:hAnsi="宋体" w:eastAsia="宋体" w:cs="宋体"/>
          <w:color w:val="auto"/>
          <w:kern w:val="0"/>
          <w:sz w:val="21"/>
          <w:szCs w:val="21"/>
          <w:highlight w:val="none"/>
          <w:u w:val="single"/>
        </w:rPr>
        <w:t xml:space="preserve">           （供应商名称）</w:t>
      </w:r>
      <w:r>
        <w:rPr>
          <w:rFonts w:hint="eastAsia" w:ascii="宋体" w:hAnsi="宋体" w:eastAsia="宋体" w:cs="宋体"/>
          <w:color w:val="auto"/>
          <w:kern w:val="0"/>
          <w:sz w:val="21"/>
          <w:szCs w:val="21"/>
          <w:highlight w:val="none"/>
        </w:rPr>
        <w:t>之间存在下列利害关系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34A48A1E">
      <w:pPr>
        <w:pStyle w:val="52"/>
        <w:keepNext w:val="0"/>
        <w:keepLines w:val="0"/>
        <w:pageBreakBefore w:val="0"/>
        <w:widowControl w:val="0"/>
        <w:kinsoku/>
        <w:wordWrap/>
        <w:overflowPunct/>
        <w:topLinePunct w:val="0"/>
        <w:autoSpaceDE/>
        <w:autoSpaceDN/>
        <w:bidi w:val="0"/>
        <w:snapToGrid w:val="0"/>
        <w:spacing w:line="360" w:lineRule="auto"/>
        <w:jc w:val="both"/>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A.法定代表人或负责人或实际控制人是同一人</w:t>
      </w:r>
    </w:p>
    <w:p w14:paraId="50248CD0">
      <w:pPr>
        <w:pStyle w:val="5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B.法定代表人或负责人或实际控制人是夫妻关系</w:t>
      </w:r>
    </w:p>
    <w:p w14:paraId="10822FEA">
      <w:pPr>
        <w:pStyle w:val="5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C.法定代表人或负责人或实际控制人是直系血亲关系</w:t>
      </w:r>
    </w:p>
    <w:p w14:paraId="07609569">
      <w:pPr>
        <w:pStyle w:val="5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D.法定代表人或负责人或实际控制人存在三代以内旁系血亲关系</w:t>
      </w:r>
    </w:p>
    <w:p w14:paraId="441613F0">
      <w:pPr>
        <w:pStyle w:val="5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E.法定代表人或负责人或实际控制人存在近姻亲关系</w:t>
      </w:r>
    </w:p>
    <w:p w14:paraId="178F09AE">
      <w:pPr>
        <w:pStyle w:val="5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F.法定代表人或负责人或实际控制人存在股份控制或实际控制关系</w:t>
      </w:r>
    </w:p>
    <w:p w14:paraId="1788CDDA">
      <w:pPr>
        <w:pStyle w:val="5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G.存在共同直接或间接投资设立子公司、联营企业和合营企业情况</w:t>
      </w:r>
    </w:p>
    <w:p w14:paraId="2C18BF9D">
      <w:pPr>
        <w:pStyle w:val="5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  H.存在分级代理或代销关系、同一生产制造商关系、</w:t>
      </w:r>
      <w:r>
        <w:rPr>
          <w:rFonts w:hint="eastAsia" w:ascii="宋体" w:hAnsi="宋体" w:eastAsia="宋体" w:cs="宋体"/>
          <w:color w:val="auto"/>
          <w:sz w:val="21"/>
          <w:szCs w:val="21"/>
          <w:highlight w:val="none"/>
        </w:rPr>
        <w:t>管理关系、重要业务（占主营业务收入50%以上）或重要财务往来关系（如融资）等其他实质性控制关系</w:t>
      </w:r>
    </w:p>
    <w:p w14:paraId="4844216A">
      <w:pPr>
        <w:pStyle w:val="5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 xml:space="preserve">    I</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其他利害关系情况</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14:paraId="4E554D52">
      <w:pPr>
        <w:pStyle w:val="49"/>
        <w:keepNext w:val="0"/>
        <w:keepLines w:val="0"/>
        <w:pageBreakBefore w:val="0"/>
        <w:widowControl/>
        <w:kinsoku/>
        <w:wordWrap/>
        <w:overflowPunct/>
        <w:topLinePunct w:val="0"/>
        <w:autoSpaceDE/>
        <w:autoSpaceDN/>
        <w:bidi w:val="0"/>
        <w:adjustRightInd w:val="0"/>
        <w:snapToGrid w:val="0"/>
        <w:spacing w:line="360" w:lineRule="auto"/>
        <w:ind w:left="210"/>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三、现已清楚知道并</w:t>
      </w:r>
      <w:r>
        <w:rPr>
          <w:rFonts w:hint="eastAsia" w:ascii="宋体" w:hAnsi="宋体" w:eastAsia="宋体" w:cs="宋体"/>
          <w:color w:val="auto"/>
          <w:kern w:val="0"/>
          <w:sz w:val="21"/>
          <w:szCs w:val="21"/>
          <w:highlight w:val="none"/>
        </w:rPr>
        <w:t>严格遵守政府采购法律法规和现场纪律。</w:t>
      </w:r>
    </w:p>
    <w:p w14:paraId="7F6EF2FB">
      <w:pPr>
        <w:pStyle w:val="49"/>
        <w:keepNext w:val="0"/>
        <w:keepLines w:val="0"/>
        <w:pageBreakBefore w:val="0"/>
        <w:widowControl/>
        <w:kinsoku/>
        <w:wordWrap/>
        <w:overflowPunct/>
        <w:topLinePunct w:val="0"/>
        <w:autoSpaceDE/>
        <w:autoSpaceDN/>
        <w:bidi w:val="0"/>
        <w:adjustRightInd w:val="0"/>
        <w:snapToGrid w:val="0"/>
        <w:spacing w:line="360" w:lineRule="auto"/>
        <w:ind w:left="360"/>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四、我发现</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b/>
          <w:bCs/>
          <w:color w:val="auto"/>
          <w:kern w:val="0"/>
          <w:sz w:val="21"/>
          <w:szCs w:val="21"/>
          <w:highlight w:val="none"/>
          <w:u w:val="single"/>
        </w:rPr>
        <w:t xml:space="preserve"> </w:t>
      </w:r>
      <w:r>
        <w:rPr>
          <w:rFonts w:hint="eastAsia" w:ascii="宋体" w:hAnsi="宋体" w:eastAsia="宋体" w:cs="宋体"/>
          <w:b/>
          <w:bCs/>
          <w:color w:val="auto"/>
          <w:kern w:val="0"/>
          <w:sz w:val="21"/>
          <w:szCs w:val="21"/>
          <w:highlight w:val="none"/>
          <w:u w:val="single"/>
          <w:lang w:val="en-US" w:eastAsia="zh-CN"/>
        </w:rPr>
        <w:t>/</w:t>
      </w:r>
      <w:r>
        <w:rPr>
          <w:rFonts w:hint="eastAsia" w:ascii="宋体" w:hAnsi="宋体" w:eastAsia="宋体" w:cs="宋体"/>
          <w:b/>
          <w:bCs/>
          <w:color w:val="auto"/>
          <w:kern w:val="0"/>
          <w:sz w:val="21"/>
          <w:szCs w:val="21"/>
          <w:highlight w:val="none"/>
          <w:u w:val="single"/>
        </w:rPr>
        <w:t xml:space="preserve"> </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供应商之间存在或可能存在上述第二条第</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b/>
          <w:bCs/>
          <w:color w:val="auto"/>
          <w:kern w:val="0"/>
          <w:sz w:val="21"/>
          <w:szCs w:val="21"/>
          <w:highlight w:val="none"/>
          <w:u w:val="single"/>
        </w:rPr>
        <w:t xml:space="preserve"> </w:t>
      </w:r>
      <w:r>
        <w:rPr>
          <w:rFonts w:hint="eastAsia" w:ascii="宋体" w:hAnsi="宋体" w:eastAsia="宋体" w:cs="宋体"/>
          <w:b/>
          <w:bCs/>
          <w:color w:val="auto"/>
          <w:kern w:val="0"/>
          <w:sz w:val="21"/>
          <w:szCs w:val="21"/>
          <w:highlight w:val="none"/>
          <w:u w:val="single"/>
          <w:lang w:val="en-US" w:eastAsia="zh-CN"/>
        </w:rPr>
        <w:t>/</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项利害关系。</w:t>
      </w:r>
    </w:p>
    <w:p w14:paraId="75E23895">
      <w:pPr>
        <w:pStyle w:val="49"/>
        <w:keepNext w:val="0"/>
        <w:keepLines w:val="0"/>
        <w:pageBreakBefore w:val="0"/>
        <w:widowControl/>
        <w:kinsoku/>
        <w:wordWrap/>
        <w:overflowPunct/>
        <w:topLinePunct w:val="0"/>
        <w:autoSpaceDE/>
        <w:autoSpaceDN/>
        <w:bidi w:val="0"/>
        <w:adjustRightInd w:val="0"/>
        <w:snapToGrid w:val="0"/>
        <w:spacing w:line="360" w:lineRule="auto"/>
        <w:ind w:left="210"/>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五、本单位若有违反诚信投标、采购法律法规等行为，愿意按照招标文件规定接受投标担保的处理。如已中标，自动放弃中标资格；给招标人造成损失的，依法承担赔偿责任。</w:t>
      </w:r>
    </w:p>
    <w:p w14:paraId="4DE78985">
      <w:pPr>
        <w:pStyle w:val="52"/>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both"/>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（供应商代表</w:t>
      </w:r>
      <w:r>
        <w:rPr>
          <w:rFonts w:hint="eastAsia" w:ascii="宋体" w:hAnsi="宋体" w:eastAsia="宋体" w:cs="宋体"/>
          <w:color w:val="auto"/>
          <w:sz w:val="21"/>
          <w:szCs w:val="21"/>
          <w:highlight w:val="none"/>
          <w:lang w:eastAsia="zh-CN"/>
        </w:rPr>
        <w:t>签字或盖章</w:t>
      </w:r>
      <w:r>
        <w:rPr>
          <w:rFonts w:hint="eastAsia" w:ascii="宋体" w:hAnsi="宋体" w:eastAsia="宋体" w:cs="宋体"/>
          <w:color w:val="auto"/>
          <w:sz w:val="21"/>
          <w:szCs w:val="21"/>
          <w:highlight w:val="none"/>
        </w:rPr>
        <w:t>）</w:t>
      </w:r>
    </w:p>
    <w:p w14:paraId="5F3D3290">
      <w:pPr>
        <w:pStyle w:val="52"/>
        <w:keepNext w:val="0"/>
        <w:keepLines w:val="0"/>
        <w:pageBreakBefore w:val="0"/>
        <w:widowControl w:val="0"/>
        <w:kinsoku/>
        <w:wordWrap/>
        <w:overflowPunct/>
        <w:topLinePunct w:val="0"/>
        <w:autoSpaceDE/>
        <w:autoSpaceDN/>
        <w:bidi w:val="0"/>
        <w:snapToGrid w:val="0"/>
        <w:spacing w:line="360" w:lineRule="auto"/>
        <w:ind w:firstLine="420" w:firstLineChars="200"/>
        <w:jc w:val="both"/>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eastAsia="zh-CN"/>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日</w:t>
      </w:r>
    </w:p>
    <w:p w14:paraId="7EBF0F72">
      <w:pPr>
        <w:keepNext w:val="0"/>
        <w:keepLines w:val="0"/>
        <w:pageBreakBefore w:val="0"/>
        <w:kinsoku/>
        <w:wordWrap/>
        <w:overflowPunct/>
        <w:topLinePunct w:val="0"/>
        <w:autoSpaceDE/>
        <w:autoSpaceDN/>
        <w:bidi w:val="0"/>
        <w:spacing w:line="360" w:lineRule="auto"/>
        <w:ind w:right="-110"/>
        <w:jc w:val="both"/>
        <w:textAlignment w:val="auto"/>
        <w:outlineLvl w:val="9"/>
        <w:rPr>
          <w:rFonts w:hint="eastAsia" w:ascii="宋体" w:hAnsi="宋体" w:eastAsia="宋体" w:cs="宋体"/>
          <w:b/>
          <w:color w:val="auto"/>
          <w:sz w:val="28"/>
          <w:highlight w:val="none"/>
        </w:rPr>
      </w:pPr>
    </w:p>
    <w:p w14:paraId="15EECFDD">
      <w:pPr>
        <w:spacing w:line="360" w:lineRule="auto"/>
        <w:ind w:right="-110"/>
        <w:jc w:val="both"/>
        <w:outlineLvl w:val="9"/>
        <w:rPr>
          <w:rFonts w:hint="eastAsia" w:ascii="宋体" w:hAnsi="宋体" w:eastAsia="宋体" w:cs="宋体"/>
          <w:b/>
          <w:color w:val="auto"/>
          <w:sz w:val="28"/>
          <w:highlight w:val="none"/>
        </w:rPr>
      </w:pPr>
    </w:p>
    <w:p w14:paraId="31BB4180">
      <w:pPr>
        <w:spacing w:line="360" w:lineRule="auto"/>
        <w:ind w:right="-110"/>
        <w:jc w:val="both"/>
        <w:outlineLvl w:val="9"/>
        <w:rPr>
          <w:rFonts w:hint="eastAsia" w:ascii="宋体" w:hAnsi="宋体" w:eastAsia="宋体" w:cs="宋体"/>
          <w:b/>
          <w:color w:val="auto"/>
          <w:sz w:val="28"/>
          <w:highlight w:val="none"/>
        </w:rPr>
      </w:pPr>
    </w:p>
    <w:p w14:paraId="156B431B">
      <w:pPr>
        <w:spacing w:line="360" w:lineRule="auto"/>
        <w:ind w:right="-110"/>
        <w:jc w:val="both"/>
        <w:outlineLvl w:val="9"/>
        <w:rPr>
          <w:rFonts w:hint="eastAsia" w:ascii="宋体" w:hAnsi="宋体" w:eastAsia="宋体" w:cs="宋体"/>
          <w:b/>
          <w:color w:val="auto"/>
          <w:sz w:val="28"/>
          <w:highlight w:val="none"/>
        </w:rPr>
      </w:pPr>
    </w:p>
    <w:p w14:paraId="54CCEB0A">
      <w:pPr>
        <w:spacing w:line="360" w:lineRule="auto"/>
        <w:ind w:right="-110"/>
        <w:jc w:val="both"/>
        <w:outlineLvl w:val="9"/>
        <w:rPr>
          <w:rFonts w:hint="eastAsia" w:ascii="宋体" w:hAnsi="宋体" w:eastAsia="宋体" w:cs="宋体"/>
          <w:b/>
          <w:color w:val="auto"/>
          <w:sz w:val="28"/>
          <w:highlight w:val="none"/>
          <w:lang w:val="en-US" w:eastAsia="zh-CN"/>
        </w:rPr>
      </w:pPr>
      <w:r>
        <w:rPr>
          <w:rFonts w:hint="eastAsia" w:ascii="宋体" w:hAnsi="宋体" w:eastAsia="宋体" w:cs="宋体"/>
          <w:b/>
          <w:color w:val="auto"/>
          <w:sz w:val="28"/>
          <w:highlight w:val="none"/>
        </w:rPr>
        <w:t>附件</w:t>
      </w:r>
      <w:r>
        <w:rPr>
          <w:rFonts w:hint="eastAsia" w:ascii="宋体" w:hAnsi="宋体" w:cs="宋体"/>
          <w:b/>
          <w:color w:val="auto"/>
          <w:sz w:val="28"/>
          <w:highlight w:val="none"/>
          <w:lang w:val="en-US" w:eastAsia="zh-CN"/>
        </w:rPr>
        <w:t>5</w:t>
      </w:r>
      <w:r>
        <w:rPr>
          <w:rFonts w:hint="eastAsia" w:ascii="宋体" w:hAnsi="宋体" w:eastAsia="宋体" w:cs="宋体"/>
          <w:b/>
          <w:color w:val="auto"/>
          <w:sz w:val="28"/>
          <w:highlight w:val="none"/>
          <w:lang w:val="en-US" w:eastAsia="zh-CN"/>
        </w:rPr>
        <w:t xml:space="preserve">                                               </w:t>
      </w:r>
      <w:r>
        <w:rPr>
          <w:rFonts w:hint="eastAsia" w:ascii="宋体" w:hAnsi="宋体" w:eastAsia="宋体" w:cs="宋体"/>
          <w:b/>
          <w:color w:val="auto"/>
          <w:sz w:val="28"/>
          <w:highlight w:val="none"/>
          <w:u w:val="single"/>
        </w:rPr>
        <w:t xml:space="preserve">     </w:t>
      </w:r>
      <w:r>
        <w:rPr>
          <w:rFonts w:hint="eastAsia" w:ascii="宋体" w:hAnsi="宋体" w:eastAsia="宋体" w:cs="宋体"/>
          <w:bCs/>
          <w:color w:val="auto"/>
          <w:sz w:val="24"/>
          <w:highlight w:val="none"/>
        </w:rPr>
        <w:t>本</w:t>
      </w:r>
    </w:p>
    <w:p w14:paraId="63652408">
      <w:pPr>
        <w:spacing w:line="360" w:lineRule="auto"/>
        <w:ind w:right="-110"/>
        <w:jc w:val="center"/>
        <w:rPr>
          <w:rFonts w:hint="eastAsia" w:ascii="宋体" w:hAnsi="宋体" w:eastAsia="宋体" w:cs="宋体"/>
          <w:color w:val="auto"/>
          <w:spacing w:val="40"/>
          <w:sz w:val="52"/>
          <w:szCs w:val="52"/>
          <w:highlight w:val="none"/>
        </w:rPr>
      </w:pPr>
      <w:r>
        <w:rPr>
          <w:rFonts w:hint="eastAsia" w:ascii="宋体" w:hAnsi="宋体" w:eastAsia="宋体" w:cs="宋体"/>
          <w:color w:val="auto"/>
          <w:spacing w:val="40"/>
          <w:sz w:val="52"/>
          <w:szCs w:val="52"/>
          <w:highlight w:val="none"/>
        </w:rPr>
        <w:t>项目名称</w:t>
      </w:r>
    </w:p>
    <w:p w14:paraId="4737D254">
      <w:pPr>
        <w:spacing w:beforeLines="100" w:line="360" w:lineRule="auto"/>
        <w:ind w:right="-108"/>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项目编号：（标段）</w:t>
      </w:r>
    </w:p>
    <w:p w14:paraId="109861AC">
      <w:pPr>
        <w:autoSpaceDE w:val="0"/>
        <w:autoSpaceDN w:val="0"/>
        <w:adjustRightInd w:val="0"/>
        <w:spacing w:line="360" w:lineRule="auto"/>
        <w:jc w:val="center"/>
        <w:rPr>
          <w:rFonts w:hint="eastAsia" w:ascii="宋体" w:hAnsi="宋体" w:eastAsia="宋体" w:cs="宋体"/>
          <w:color w:val="auto"/>
          <w:sz w:val="84"/>
          <w:szCs w:val="84"/>
          <w:highlight w:val="none"/>
          <w:lang w:val="zh-CN"/>
        </w:rPr>
      </w:pPr>
    </w:p>
    <w:p w14:paraId="60D44A3B">
      <w:pPr>
        <w:autoSpaceDE w:val="0"/>
        <w:autoSpaceDN w:val="0"/>
        <w:adjustRightInd w:val="0"/>
        <w:spacing w:line="360" w:lineRule="auto"/>
        <w:jc w:val="center"/>
        <w:rPr>
          <w:rFonts w:hint="eastAsia" w:ascii="宋体" w:hAnsi="宋体" w:eastAsia="宋体" w:cs="宋体"/>
          <w:color w:val="auto"/>
          <w:sz w:val="84"/>
          <w:szCs w:val="84"/>
          <w:highlight w:val="none"/>
          <w:lang w:val="zh-CN"/>
        </w:rPr>
      </w:pPr>
      <w:r>
        <w:rPr>
          <w:rFonts w:hint="eastAsia" w:ascii="宋体" w:hAnsi="宋体" w:eastAsia="宋体" w:cs="宋体"/>
          <w:color w:val="auto"/>
          <w:sz w:val="84"/>
          <w:szCs w:val="84"/>
          <w:highlight w:val="none"/>
          <w:lang w:val="zh-CN"/>
        </w:rPr>
        <w:t>投</w:t>
      </w:r>
    </w:p>
    <w:p w14:paraId="6ADD8D17">
      <w:pPr>
        <w:autoSpaceDE w:val="0"/>
        <w:autoSpaceDN w:val="0"/>
        <w:adjustRightInd w:val="0"/>
        <w:spacing w:line="360" w:lineRule="auto"/>
        <w:jc w:val="center"/>
        <w:rPr>
          <w:rFonts w:hint="eastAsia" w:ascii="宋体" w:hAnsi="宋体" w:eastAsia="宋体" w:cs="宋体"/>
          <w:color w:val="auto"/>
          <w:sz w:val="84"/>
          <w:szCs w:val="84"/>
          <w:highlight w:val="none"/>
          <w:lang w:val="zh-CN"/>
        </w:rPr>
      </w:pPr>
      <w:r>
        <w:rPr>
          <w:rFonts w:hint="eastAsia" w:ascii="宋体" w:hAnsi="宋体" w:eastAsia="宋体" w:cs="宋体"/>
          <w:color w:val="auto"/>
          <w:sz w:val="84"/>
          <w:szCs w:val="84"/>
          <w:highlight w:val="none"/>
          <w:lang w:val="zh-CN"/>
        </w:rPr>
        <w:t>标</w:t>
      </w:r>
    </w:p>
    <w:p w14:paraId="0EEA4F91">
      <w:pPr>
        <w:autoSpaceDE w:val="0"/>
        <w:autoSpaceDN w:val="0"/>
        <w:adjustRightInd w:val="0"/>
        <w:spacing w:line="360" w:lineRule="auto"/>
        <w:jc w:val="center"/>
        <w:rPr>
          <w:rFonts w:hint="eastAsia" w:ascii="宋体" w:hAnsi="宋体" w:eastAsia="宋体" w:cs="宋体"/>
          <w:color w:val="auto"/>
          <w:sz w:val="84"/>
          <w:szCs w:val="84"/>
          <w:highlight w:val="none"/>
        </w:rPr>
      </w:pPr>
      <w:r>
        <w:rPr>
          <w:rFonts w:hint="eastAsia" w:ascii="宋体" w:hAnsi="宋体" w:eastAsia="宋体" w:cs="宋体"/>
          <w:color w:val="auto"/>
          <w:sz w:val="84"/>
          <w:szCs w:val="84"/>
          <w:highlight w:val="none"/>
          <w:lang w:val="zh-CN"/>
        </w:rPr>
        <w:t>文</w:t>
      </w:r>
    </w:p>
    <w:p w14:paraId="0187DEF5">
      <w:pPr>
        <w:spacing w:after="100" w:afterAutospacing="1" w:line="360" w:lineRule="auto"/>
        <w:ind w:right="-108"/>
        <w:jc w:val="center"/>
        <w:rPr>
          <w:rFonts w:hint="eastAsia" w:ascii="宋体" w:hAnsi="宋体" w:eastAsia="宋体" w:cs="宋体"/>
          <w:color w:val="auto"/>
          <w:sz w:val="84"/>
          <w:szCs w:val="84"/>
          <w:highlight w:val="none"/>
          <w:lang w:val="zh-CN"/>
        </w:rPr>
      </w:pPr>
      <w:r>
        <w:rPr>
          <w:rFonts w:hint="eastAsia" w:ascii="宋体" w:hAnsi="宋体" w:eastAsia="宋体" w:cs="宋体"/>
          <w:color w:val="auto"/>
          <w:sz w:val="84"/>
          <w:szCs w:val="84"/>
          <w:highlight w:val="none"/>
          <w:lang w:val="zh-CN"/>
        </w:rPr>
        <w:t>件</w:t>
      </w:r>
    </w:p>
    <w:p w14:paraId="35B75B5C">
      <w:pPr>
        <w:spacing w:after="100" w:afterAutospacing="1" w:line="360" w:lineRule="auto"/>
        <w:ind w:right="-108"/>
        <w:jc w:val="center"/>
        <w:rPr>
          <w:rFonts w:hint="eastAsia" w:ascii="宋体" w:hAnsi="宋体" w:eastAsia="宋体" w:cs="宋体"/>
          <w:b/>
          <w:color w:val="auto"/>
          <w:spacing w:val="40"/>
          <w:sz w:val="28"/>
          <w:szCs w:val="28"/>
          <w:highlight w:val="none"/>
        </w:rPr>
      </w:pPr>
      <w:r>
        <w:rPr>
          <w:rFonts w:hint="eastAsia" w:ascii="宋体" w:hAnsi="宋体" w:eastAsia="宋体" w:cs="宋体"/>
          <w:color w:val="auto"/>
          <w:sz w:val="28"/>
          <w:szCs w:val="28"/>
          <w:highlight w:val="none"/>
          <w:lang w:val="zh-CN"/>
        </w:rPr>
        <w:t>（</w:t>
      </w:r>
      <w:r>
        <w:rPr>
          <w:rFonts w:hint="eastAsia" w:ascii="宋体" w:hAnsi="宋体" w:eastAsia="宋体" w:cs="宋体"/>
          <w:bCs/>
          <w:color w:val="auto"/>
          <w:sz w:val="24"/>
          <w:highlight w:val="none"/>
          <w:lang w:val="zh-CN"/>
        </w:rPr>
        <w:t>商务与技术文件</w:t>
      </w:r>
      <w:r>
        <w:rPr>
          <w:rFonts w:hint="eastAsia" w:ascii="宋体" w:hAnsi="宋体" w:eastAsia="宋体" w:cs="宋体"/>
          <w:b/>
          <w:color w:val="auto"/>
          <w:spacing w:val="40"/>
          <w:sz w:val="28"/>
          <w:szCs w:val="28"/>
          <w:highlight w:val="none"/>
        </w:rPr>
        <w:t>）</w:t>
      </w:r>
    </w:p>
    <w:p w14:paraId="71CE9F56">
      <w:pPr>
        <w:spacing w:line="360" w:lineRule="auto"/>
        <w:ind w:right="532" w:firstLine="720" w:firstLineChars="2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投标人全称（公章）：</w:t>
      </w:r>
    </w:p>
    <w:p w14:paraId="5803599B">
      <w:pPr>
        <w:spacing w:line="360" w:lineRule="auto"/>
        <w:ind w:right="532" w:firstLine="720" w:firstLineChars="2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地    址：</w:t>
      </w:r>
    </w:p>
    <w:p w14:paraId="554AFA4E">
      <w:pPr>
        <w:spacing w:line="360" w:lineRule="auto"/>
        <w:ind w:right="532" w:firstLine="720" w:firstLineChars="2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时    间：</w:t>
      </w:r>
    </w:p>
    <w:p w14:paraId="6FA10550">
      <w:pPr>
        <w:spacing w:line="360" w:lineRule="auto"/>
        <w:ind w:right="532" w:firstLine="720" w:firstLineChars="200"/>
        <w:rPr>
          <w:rFonts w:hint="eastAsia" w:ascii="宋体" w:hAnsi="宋体" w:eastAsia="宋体" w:cs="宋体"/>
          <w:color w:val="auto"/>
          <w:sz w:val="36"/>
          <w:szCs w:val="36"/>
          <w:highlight w:val="none"/>
        </w:rPr>
      </w:pPr>
    </w:p>
    <w:p w14:paraId="3265CE21">
      <w:pPr>
        <w:snapToGrid w:val="0"/>
        <w:spacing w:before="50" w:after="50" w:line="360" w:lineRule="auto"/>
        <w:jc w:val="center"/>
        <w:rPr>
          <w:rFonts w:hint="eastAsia" w:ascii="宋体" w:hAnsi="宋体" w:eastAsia="宋体" w:cs="宋体"/>
          <w:b/>
          <w:bCs/>
          <w:color w:val="auto"/>
          <w:sz w:val="32"/>
          <w:szCs w:val="32"/>
          <w:highlight w:val="none"/>
          <w:lang w:val="zh-CN"/>
        </w:rPr>
      </w:pPr>
    </w:p>
    <w:p w14:paraId="4D2D9645">
      <w:pPr>
        <w:snapToGrid w:val="0"/>
        <w:spacing w:before="50" w:after="50" w:line="360" w:lineRule="auto"/>
        <w:jc w:val="both"/>
        <w:rPr>
          <w:rFonts w:hint="eastAsia" w:ascii="宋体" w:hAnsi="宋体" w:eastAsia="宋体" w:cs="宋体"/>
          <w:b/>
          <w:bCs/>
          <w:color w:val="auto"/>
          <w:sz w:val="32"/>
          <w:szCs w:val="32"/>
          <w:highlight w:val="none"/>
          <w:lang w:val="zh-CN"/>
        </w:rPr>
      </w:pPr>
    </w:p>
    <w:p w14:paraId="7F6A6550">
      <w:pPr>
        <w:keepNext w:val="0"/>
        <w:keepLines w:val="0"/>
        <w:pageBreakBefore w:val="0"/>
        <w:widowControl w:val="0"/>
        <w:kinsoku/>
        <w:wordWrap/>
        <w:overflowPunct/>
        <w:topLinePunct w:val="0"/>
        <w:autoSpaceDE/>
        <w:autoSpaceDN/>
        <w:bidi w:val="0"/>
        <w:adjustRightInd/>
        <w:snapToGrid w:val="0"/>
        <w:spacing w:before="50" w:after="50" w:line="360" w:lineRule="auto"/>
        <w:jc w:val="center"/>
        <w:textAlignment w:val="auto"/>
        <w:outlineLvl w:val="1"/>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val="zh-CN"/>
        </w:rPr>
        <w:t>商务与技术文件</w:t>
      </w:r>
      <w:r>
        <w:rPr>
          <w:rFonts w:hint="eastAsia" w:ascii="宋体" w:hAnsi="宋体" w:eastAsia="宋体" w:cs="宋体"/>
          <w:b/>
          <w:bCs/>
          <w:color w:val="auto"/>
          <w:sz w:val="32"/>
          <w:szCs w:val="32"/>
          <w:highlight w:val="none"/>
        </w:rPr>
        <w:t>目录</w:t>
      </w:r>
    </w:p>
    <w:p w14:paraId="238C8D45">
      <w:pPr>
        <w:keepNext w:val="0"/>
        <w:keepLines w:val="0"/>
        <w:pageBreakBefore w:val="0"/>
        <w:kinsoku/>
        <w:wordWrap/>
        <w:overflowPunct/>
        <w:topLinePunct w:val="0"/>
        <w:bidi w:val="0"/>
        <w:snapToGrid w:val="0"/>
        <w:spacing w:line="360" w:lineRule="auto"/>
        <w:ind w:firstLine="482" w:firstLineChars="200"/>
        <w:outlineLvl w:val="9"/>
        <w:rPr>
          <w:rFonts w:hint="eastAsia" w:ascii="宋体" w:hAnsi="宋体" w:eastAsia="宋体" w:cs="宋体"/>
          <w:b/>
          <w:bCs/>
          <w:color w:val="auto"/>
          <w:sz w:val="24"/>
          <w:highlight w:val="none"/>
        </w:rPr>
      </w:pPr>
    </w:p>
    <w:p w14:paraId="7A1E4806">
      <w:pPr>
        <w:keepNext w:val="0"/>
        <w:keepLines w:val="0"/>
        <w:pageBreakBefore w:val="0"/>
        <w:numPr>
          <w:ilvl w:val="0"/>
          <w:numId w:val="11"/>
        </w:numPr>
        <w:kinsoku/>
        <w:wordWrap/>
        <w:overflowPunct/>
        <w:topLinePunct w:val="0"/>
        <w:bidi w:val="0"/>
        <w:snapToGrid w:val="0"/>
        <w:spacing w:line="360" w:lineRule="auto"/>
        <w:ind w:firstLine="422" w:firstLineChars="200"/>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评标索引</w:t>
      </w:r>
    </w:p>
    <w:p w14:paraId="28D4585D">
      <w:pPr>
        <w:pStyle w:val="7"/>
        <w:keepNext w:val="0"/>
        <w:keepLines w:val="0"/>
        <w:pageBreakBefore w:val="0"/>
        <w:kinsoku/>
        <w:wordWrap/>
        <w:overflowPunct/>
        <w:topLinePunct w:val="0"/>
        <w:bidi w:val="0"/>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rPr>
        <w:t xml:space="preserve">      评标索引：自评表（附件</w:t>
      </w:r>
      <w:r>
        <w:rPr>
          <w:rFonts w:hint="eastAsia" w:ascii="宋体" w:hAnsi="宋体" w:cs="宋体"/>
          <w:color w:val="auto"/>
          <w:highlight w:val="none"/>
          <w:lang w:val="en-US" w:eastAsia="zh-CN"/>
        </w:rPr>
        <w:t>6</w:t>
      </w:r>
      <w:r>
        <w:rPr>
          <w:rFonts w:hint="eastAsia" w:ascii="宋体" w:hAnsi="宋体" w:eastAsia="宋体" w:cs="宋体"/>
          <w:color w:val="auto"/>
          <w:highlight w:val="none"/>
        </w:rPr>
        <w:t>）</w:t>
      </w:r>
      <w:r>
        <w:rPr>
          <w:rFonts w:hint="eastAsia" w:ascii="宋体" w:hAnsi="宋体" w:cs="宋体"/>
          <w:color w:val="auto"/>
          <w:highlight w:val="none"/>
          <w:lang w:eastAsia="zh-CN"/>
        </w:rPr>
        <w:t>（</w:t>
      </w:r>
      <w:r>
        <w:rPr>
          <w:rFonts w:hint="eastAsia" w:ascii="宋体" w:hAnsi="宋体" w:cs="宋体"/>
          <w:color w:val="auto"/>
          <w:highlight w:val="none"/>
          <w:lang w:val="en-US" w:eastAsia="zh-CN"/>
        </w:rPr>
        <w:t>按标段填写</w:t>
      </w:r>
      <w:r>
        <w:rPr>
          <w:rFonts w:hint="eastAsia" w:ascii="宋体" w:hAnsi="宋体" w:cs="宋体"/>
          <w:color w:val="auto"/>
          <w:highlight w:val="none"/>
          <w:lang w:eastAsia="zh-CN"/>
        </w:rPr>
        <w:t>）</w:t>
      </w:r>
    </w:p>
    <w:p w14:paraId="4737AFC6">
      <w:pPr>
        <w:keepNext w:val="0"/>
        <w:keepLines w:val="0"/>
        <w:pageBreakBefore w:val="0"/>
        <w:kinsoku/>
        <w:wordWrap/>
        <w:overflowPunct/>
        <w:topLinePunct w:val="0"/>
        <w:bidi w:val="0"/>
        <w:snapToGrid w:val="0"/>
        <w:spacing w:line="360" w:lineRule="auto"/>
        <w:ind w:firstLine="422" w:firstLineChars="200"/>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val="en-US" w:eastAsia="zh-CN"/>
        </w:rPr>
        <w:t>二</w:t>
      </w:r>
      <w:r>
        <w:rPr>
          <w:rFonts w:hint="eastAsia" w:ascii="宋体" w:hAnsi="宋体" w:eastAsia="宋体" w:cs="宋体"/>
          <w:b/>
          <w:bCs/>
          <w:color w:val="auto"/>
          <w:szCs w:val="21"/>
          <w:highlight w:val="none"/>
        </w:rPr>
        <w:t>、 技术方案描述部分</w:t>
      </w:r>
    </w:p>
    <w:p w14:paraId="712209AB">
      <w:pPr>
        <w:keepNext w:val="0"/>
        <w:keepLines w:val="0"/>
        <w:pageBreakBefore w:val="0"/>
        <w:kinsoku/>
        <w:wordWrap/>
        <w:overflowPunct/>
        <w:topLinePunct w:val="0"/>
        <w:bidi w:val="0"/>
        <w:snapToGrid w:val="0"/>
        <w:spacing w:line="360" w:lineRule="auto"/>
        <w:ind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1、投标人情况介绍（附件</w:t>
      </w:r>
      <w:r>
        <w:rPr>
          <w:rFonts w:hint="eastAsia" w:ascii="宋体" w:hAnsi="宋体" w:cs="宋体"/>
          <w:color w:val="auto"/>
          <w:szCs w:val="21"/>
          <w:highlight w:val="none"/>
          <w:lang w:val="en-US" w:eastAsia="zh-CN"/>
        </w:rPr>
        <w:t>7</w:t>
      </w:r>
      <w:r>
        <w:rPr>
          <w:rFonts w:hint="eastAsia" w:ascii="宋体" w:hAnsi="宋体" w:eastAsia="宋体" w:cs="宋体"/>
          <w:color w:val="auto"/>
          <w:szCs w:val="21"/>
          <w:highlight w:val="none"/>
        </w:rPr>
        <w:t>）；</w:t>
      </w:r>
    </w:p>
    <w:p w14:paraId="604756FC">
      <w:pPr>
        <w:keepNext w:val="0"/>
        <w:keepLines w:val="0"/>
        <w:pageBreakBefore w:val="0"/>
        <w:kinsoku/>
        <w:wordWrap/>
        <w:overflowPunct/>
        <w:topLinePunct w:val="0"/>
        <w:bidi w:val="0"/>
        <w:snapToGrid w:val="0"/>
        <w:spacing w:line="360" w:lineRule="auto"/>
        <w:ind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2、项目需求的理解与分析；</w:t>
      </w:r>
    </w:p>
    <w:p w14:paraId="307CDE92">
      <w:pPr>
        <w:keepNext w:val="0"/>
        <w:keepLines w:val="0"/>
        <w:pageBreakBefore w:val="0"/>
        <w:kinsoku/>
        <w:wordWrap/>
        <w:overflowPunct/>
        <w:topLinePunct w:val="0"/>
        <w:bidi w:val="0"/>
        <w:snapToGrid w:val="0"/>
        <w:spacing w:line="360" w:lineRule="auto"/>
        <w:ind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3、项目组织实施方案； </w:t>
      </w:r>
      <w:r>
        <w:rPr>
          <w:rFonts w:hint="eastAsia" w:ascii="宋体" w:hAnsi="宋体" w:cs="宋体"/>
          <w:color w:val="auto"/>
          <w:highlight w:val="none"/>
          <w:lang w:eastAsia="zh-CN"/>
        </w:rPr>
        <w:t>（</w:t>
      </w:r>
      <w:r>
        <w:rPr>
          <w:rFonts w:hint="eastAsia" w:ascii="宋体" w:hAnsi="宋体" w:cs="宋体"/>
          <w:color w:val="auto"/>
          <w:highlight w:val="none"/>
          <w:lang w:val="en-US" w:eastAsia="zh-CN"/>
        </w:rPr>
        <w:t>按标段填写</w:t>
      </w:r>
      <w:r>
        <w:rPr>
          <w:rFonts w:hint="eastAsia" w:ascii="宋体" w:hAnsi="宋体" w:cs="宋体"/>
          <w:color w:val="auto"/>
          <w:highlight w:val="none"/>
          <w:lang w:eastAsia="zh-CN"/>
        </w:rPr>
        <w:t>）</w:t>
      </w:r>
    </w:p>
    <w:p w14:paraId="39B7D2F1">
      <w:pPr>
        <w:keepNext w:val="0"/>
        <w:keepLines w:val="0"/>
        <w:pageBreakBefore w:val="0"/>
        <w:kinsoku/>
        <w:wordWrap/>
        <w:overflowPunct/>
        <w:topLinePunct w:val="0"/>
        <w:bidi w:val="0"/>
        <w:snapToGrid w:val="0"/>
        <w:spacing w:line="360" w:lineRule="auto"/>
        <w:ind w:firstLine="411" w:firstLineChars="196"/>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4、项目实施人员一览表（附件</w:t>
      </w:r>
      <w:r>
        <w:rPr>
          <w:rFonts w:hint="eastAsia" w:ascii="宋体" w:hAnsi="宋体" w:cs="宋体"/>
          <w:color w:val="auto"/>
          <w:szCs w:val="21"/>
          <w:highlight w:val="none"/>
          <w:lang w:val="en-US" w:eastAsia="zh-CN"/>
        </w:rPr>
        <w:t>8</w:t>
      </w:r>
      <w:r>
        <w:rPr>
          <w:rFonts w:hint="eastAsia" w:ascii="宋体" w:hAnsi="宋体" w:eastAsia="宋体" w:cs="宋体"/>
          <w:color w:val="auto"/>
          <w:szCs w:val="21"/>
          <w:highlight w:val="none"/>
        </w:rPr>
        <w:t>）；</w:t>
      </w:r>
      <w:r>
        <w:rPr>
          <w:rFonts w:hint="eastAsia" w:ascii="宋体" w:hAnsi="宋体" w:cs="宋体"/>
          <w:color w:val="auto"/>
          <w:highlight w:val="none"/>
          <w:lang w:eastAsia="zh-CN"/>
        </w:rPr>
        <w:t>（</w:t>
      </w:r>
      <w:r>
        <w:rPr>
          <w:rFonts w:hint="eastAsia" w:ascii="宋体" w:hAnsi="宋体" w:cs="宋体"/>
          <w:color w:val="auto"/>
          <w:highlight w:val="none"/>
          <w:lang w:val="en-US" w:eastAsia="zh-CN"/>
        </w:rPr>
        <w:t>按标段填写</w:t>
      </w:r>
      <w:r>
        <w:rPr>
          <w:rFonts w:hint="eastAsia" w:ascii="宋体" w:hAnsi="宋体" w:cs="宋体"/>
          <w:color w:val="auto"/>
          <w:highlight w:val="none"/>
          <w:lang w:eastAsia="zh-CN"/>
        </w:rPr>
        <w:t>）</w:t>
      </w:r>
    </w:p>
    <w:p w14:paraId="1EDA64B6">
      <w:pPr>
        <w:keepNext w:val="0"/>
        <w:keepLines w:val="0"/>
        <w:pageBreakBefore w:val="0"/>
        <w:kinsoku/>
        <w:wordWrap/>
        <w:overflowPunct/>
        <w:topLinePunct w:val="0"/>
        <w:bidi w:val="0"/>
        <w:snapToGrid w:val="0"/>
        <w:spacing w:line="360" w:lineRule="auto"/>
        <w:ind w:firstLine="411" w:firstLineChars="196"/>
        <w:outlineLvl w:val="9"/>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5、项目负责人资格情况表(附件</w:t>
      </w:r>
      <w:r>
        <w:rPr>
          <w:rFonts w:hint="eastAsia" w:ascii="宋体" w:hAnsi="宋体" w:cs="宋体"/>
          <w:color w:val="auto"/>
          <w:szCs w:val="21"/>
          <w:highlight w:val="none"/>
          <w:lang w:val="en-US" w:eastAsia="zh-CN"/>
        </w:rPr>
        <w:t>9</w:t>
      </w:r>
      <w:r>
        <w:rPr>
          <w:rFonts w:hint="eastAsia" w:ascii="宋体" w:hAnsi="宋体" w:eastAsia="宋体" w:cs="宋体"/>
          <w:color w:val="auto"/>
          <w:szCs w:val="21"/>
          <w:highlight w:val="none"/>
        </w:rPr>
        <w:t>)</w:t>
      </w:r>
      <w:r>
        <w:rPr>
          <w:rFonts w:hint="eastAsia" w:ascii="宋体" w:hAnsi="宋体" w:cs="宋体"/>
          <w:color w:val="auto"/>
          <w:szCs w:val="21"/>
          <w:highlight w:val="none"/>
          <w:lang w:eastAsia="zh-CN"/>
        </w:rPr>
        <w:t>；</w:t>
      </w:r>
      <w:r>
        <w:rPr>
          <w:rFonts w:hint="eastAsia" w:ascii="宋体" w:hAnsi="宋体" w:cs="宋体"/>
          <w:color w:val="auto"/>
          <w:highlight w:val="none"/>
          <w:lang w:eastAsia="zh-CN"/>
        </w:rPr>
        <w:t>（</w:t>
      </w:r>
      <w:r>
        <w:rPr>
          <w:rFonts w:hint="eastAsia" w:ascii="宋体" w:hAnsi="宋体" w:cs="宋体"/>
          <w:color w:val="auto"/>
          <w:highlight w:val="none"/>
          <w:lang w:val="en-US" w:eastAsia="zh-CN"/>
        </w:rPr>
        <w:t>按标段填写</w:t>
      </w:r>
      <w:r>
        <w:rPr>
          <w:rFonts w:hint="eastAsia" w:ascii="宋体" w:hAnsi="宋体" w:cs="宋体"/>
          <w:color w:val="auto"/>
          <w:highlight w:val="none"/>
          <w:lang w:eastAsia="zh-CN"/>
        </w:rPr>
        <w:t>）</w:t>
      </w:r>
    </w:p>
    <w:p w14:paraId="6D035364">
      <w:pPr>
        <w:keepNext w:val="0"/>
        <w:keepLines w:val="0"/>
        <w:pageBreakBefore w:val="0"/>
        <w:kinsoku/>
        <w:wordWrap/>
        <w:overflowPunct/>
        <w:topLinePunct w:val="0"/>
        <w:bidi w:val="0"/>
        <w:snapToGrid w:val="0"/>
        <w:spacing w:line="360" w:lineRule="auto"/>
        <w:ind w:firstLine="422" w:firstLineChars="200"/>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val="en-US" w:eastAsia="zh-CN"/>
        </w:rPr>
        <w:t>三</w:t>
      </w:r>
      <w:r>
        <w:rPr>
          <w:rFonts w:hint="eastAsia" w:ascii="宋体" w:hAnsi="宋体" w:eastAsia="宋体" w:cs="宋体"/>
          <w:b/>
          <w:bCs/>
          <w:color w:val="auto"/>
          <w:szCs w:val="21"/>
          <w:highlight w:val="none"/>
        </w:rPr>
        <w:t>、投标描述部分</w:t>
      </w:r>
    </w:p>
    <w:p w14:paraId="7298A612">
      <w:pPr>
        <w:keepNext w:val="0"/>
        <w:keepLines w:val="0"/>
        <w:pageBreakBefore w:val="0"/>
        <w:kinsoku/>
        <w:wordWrap/>
        <w:overflowPunct/>
        <w:topLinePunct w:val="0"/>
        <w:bidi w:val="0"/>
        <w:snapToGrid w:val="0"/>
        <w:spacing w:line="360" w:lineRule="auto"/>
        <w:ind w:firstLine="411" w:firstLineChars="196"/>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1、投标描述及相关资料；</w:t>
      </w:r>
    </w:p>
    <w:p w14:paraId="7F346867">
      <w:pPr>
        <w:keepNext w:val="0"/>
        <w:keepLines w:val="0"/>
        <w:pageBreakBefore w:val="0"/>
        <w:kinsoku/>
        <w:wordWrap/>
        <w:overflowPunct/>
        <w:topLinePunct w:val="0"/>
        <w:bidi w:val="0"/>
        <w:snapToGrid w:val="0"/>
        <w:spacing w:line="360" w:lineRule="auto"/>
        <w:ind w:firstLine="411" w:firstLineChars="196"/>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2、技术需求响应表（附件</w:t>
      </w:r>
      <w:r>
        <w:rPr>
          <w:rFonts w:hint="eastAsia" w:ascii="宋体" w:hAnsi="宋体" w:cs="宋体"/>
          <w:color w:val="auto"/>
          <w:szCs w:val="21"/>
          <w:highlight w:val="none"/>
          <w:lang w:val="en-US" w:eastAsia="zh-CN"/>
        </w:rPr>
        <w:t>10</w:t>
      </w:r>
      <w:r>
        <w:rPr>
          <w:rFonts w:hint="eastAsia" w:ascii="宋体" w:hAnsi="宋体" w:eastAsia="宋体" w:cs="宋体"/>
          <w:color w:val="auto"/>
          <w:szCs w:val="21"/>
          <w:highlight w:val="none"/>
        </w:rPr>
        <w:t>）；</w:t>
      </w:r>
    </w:p>
    <w:p w14:paraId="1F45544A">
      <w:pPr>
        <w:keepNext w:val="0"/>
        <w:keepLines w:val="0"/>
        <w:pageBreakBefore w:val="0"/>
        <w:kinsoku/>
        <w:wordWrap/>
        <w:overflowPunct/>
        <w:topLinePunct w:val="0"/>
        <w:bidi w:val="0"/>
        <w:snapToGrid w:val="0"/>
        <w:spacing w:line="360" w:lineRule="auto"/>
        <w:ind w:firstLine="411" w:firstLineChars="196"/>
        <w:outlineLvl w:val="9"/>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3、</w:t>
      </w:r>
      <w:r>
        <w:rPr>
          <w:rFonts w:hint="eastAsia" w:ascii="宋体" w:hAnsi="宋体" w:cs="宋体"/>
          <w:color w:val="auto"/>
          <w:szCs w:val="21"/>
          <w:highlight w:val="none"/>
          <w:lang w:val="en-US" w:eastAsia="zh-CN"/>
        </w:rPr>
        <w:t>路线情况表（附件11）；</w:t>
      </w:r>
      <w:r>
        <w:rPr>
          <w:rFonts w:hint="eastAsia" w:ascii="宋体" w:hAnsi="宋体" w:cs="宋体"/>
          <w:color w:val="auto"/>
          <w:highlight w:val="none"/>
          <w:lang w:eastAsia="zh-CN"/>
        </w:rPr>
        <w:t>（</w:t>
      </w:r>
      <w:r>
        <w:rPr>
          <w:rFonts w:hint="eastAsia" w:ascii="宋体" w:hAnsi="宋体" w:cs="宋体"/>
          <w:color w:val="auto"/>
          <w:highlight w:val="none"/>
          <w:lang w:val="en-US" w:eastAsia="zh-CN"/>
        </w:rPr>
        <w:t>按标段填写</w:t>
      </w:r>
      <w:r>
        <w:rPr>
          <w:rFonts w:hint="eastAsia" w:ascii="宋体" w:hAnsi="宋体" w:cs="宋体"/>
          <w:color w:val="auto"/>
          <w:highlight w:val="none"/>
          <w:lang w:eastAsia="zh-CN"/>
        </w:rPr>
        <w:t>）</w:t>
      </w:r>
    </w:p>
    <w:p w14:paraId="4EAA0C58">
      <w:pPr>
        <w:keepNext w:val="0"/>
        <w:keepLines w:val="0"/>
        <w:pageBreakBefore w:val="0"/>
        <w:kinsoku/>
        <w:wordWrap/>
        <w:overflowPunct/>
        <w:topLinePunct w:val="0"/>
        <w:bidi w:val="0"/>
        <w:snapToGrid w:val="0"/>
        <w:spacing w:line="360" w:lineRule="auto"/>
        <w:ind w:firstLine="411" w:firstLineChars="196"/>
        <w:outlineLvl w:val="9"/>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rPr>
        <w:t>投标人需要说明的其他内容；（包括可能影响投标人技术性能评分项的各类证明材料）</w:t>
      </w:r>
    </w:p>
    <w:p w14:paraId="23A21D6A">
      <w:pPr>
        <w:keepNext w:val="0"/>
        <w:keepLines w:val="0"/>
        <w:pageBreakBefore w:val="0"/>
        <w:kinsoku/>
        <w:wordWrap/>
        <w:overflowPunct/>
        <w:topLinePunct w:val="0"/>
        <w:bidi w:val="0"/>
        <w:snapToGrid w:val="0"/>
        <w:spacing w:line="360" w:lineRule="auto"/>
        <w:ind w:firstLine="413" w:firstLineChars="196"/>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val="en-US" w:eastAsia="zh-CN"/>
        </w:rPr>
        <w:t>四</w:t>
      </w:r>
      <w:r>
        <w:rPr>
          <w:rFonts w:hint="eastAsia" w:ascii="宋体" w:hAnsi="宋体" w:eastAsia="宋体" w:cs="宋体"/>
          <w:b/>
          <w:bCs/>
          <w:color w:val="auto"/>
          <w:szCs w:val="21"/>
          <w:highlight w:val="none"/>
        </w:rPr>
        <w:t>、商务响应部分</w:t>
      </w:r>
    </w:p>
    <w:p w14:paraId="2CFD4365">
      <w:pPr>
        <w:keepNext w:val="0"/>
        <w:keepLines w:val="0"/>
        <w:pageBreakBefore w:val="0"/>
        <w:kinsoku/>
        <w:wordWrap/>
        <w:overflowPunct/>
        <w:topLinePunct w:val="0"/>
        <w:bidi w:val="0"/>
        <w:snapToGrid w:val="0"/>
        <w:spacing w:line="360" w:lineRule="auto"/>
        <w:ind w:firstLine="411" w:firstLineChars="196"/>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1、投标人的企业证书一览表（附件1</w:t>
      </w: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rPr>
        <w:t>）；</w:t>
      </w:r>
    </w:p>
    <w:p w14:paraId="73B58480">
      <w:pPr>
        <w:keepNext w:val="0"/>
        <w:keepLines w:val="0"/>
        <w:pageBreakBefore w:val="0"/>
        <w:kinsoku/>
        <w:wordWrap/>
        <w:overflowPunct/>
        <w:topLinePunct w:val="0"/>
        <w:bidi w:val="0"/>
        <w:snapToGrid w:val="0"/>
        <w:spacing w:line="360" w:lineRule="auto"/>
        <w:ind w:firstLine="411" w:firstLineChars="196"/>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2、类似项目的成功案例（附件1</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rPr>
        <w:t>）</w:t>
      </w:r>
    </w:p>
    <w:p w14:paraId="3404A30E">
      <w:pPr>
        <w:keepNext w:val="0"/>
        <w:keepLines w:val="0"/>
        <w:pageBreakBefore w:val="0"/>
        <w:kinsoku/>
        <w:wordWrap/>
        <w:overflowPunct/>
        <w:topLinePunct w:val="0"/>
        <w:bidi w:val="0"/>
        <w:snapToGrid w:val="0"/>
        <w:spacing w:line="360" w:lineRule="auto"/>
        <w:ind w:firstLine="411" w:firstLineChars="196"/>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3、资信及商务需求响应表（附件1</w:t>
      </w: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rPr>
        <w:t>）；</w:t>
      </w:r>
    </w:p>
    <w:p w14:paraId="56AC5B4D">
      <w:pPr>
        <w:keepNext w:val="0"/>
        <w:keepLines w:val="0"/>
        <w:pageBreakBefore w:val="0"/>
        <w:kinsoku/>
        <w:wordWrap/>
        <w:overflowPunct/>
        <w:topLinePunct w:val="0"/>
        <w:bidi w:val="0"/>
        <w:snapToGrid w:val="0"/>
        <w:spacing w:line="360" w:lineRule="auto"/>
        <w:ind w:firstLine="411" w:firstLineChars="196"/>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4、售后服务情况表（</w:t>
      </w:r>
      <w:r>
        <w:rPr>
          <w:rFonts w:hint="eastAsia" w:ascii="宋体" w:hAnsi="宋体" w:cs="宋体"/>
          <w:color w:val="auto"/>
          <w:szCs w:val="21"/>
          <w:highlight w:val="none"/>
          <w:lang w:val="en-US" w:eastAsia="zh-CN"/>
        </w:rPr>
        <w:t>可视情况选填</w:t>
      </w:r>
      <w:r>
        <w:rPr>
          <w:rFonts w:hint="eastAsia" w:ascii="宋体" w:hAnsi="宋体" w:eastAsia="宋体" w:cs="宋体"/>
          <w:color w:val="auto"/>
          <w:szCs w:val="21"/>
          <w:highlight w:val="none"/>
        </w:rPr>
        <w:t>附件1</w:t>
      </w: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rPr>
        <w:t>）；</w:t>
      </w:r>
    </w:p>
    <w:p w14:paraId="190D8F76">
      <w:pPr>
        <w:keepNext w:val="0"/>
        <w:keepLines w:val="0"/>
        <w:pageBreakBefore w:val="0"/>
        <w:kinsoku/>
        <w:wordWrap/>
        <w:overflowPunct/>
        <w:topLinePunct w:val="0"/>
        <w:bidi w:val="0"/>
        <w:snapToGrid w:val="0"/>
        <w:spacing w:line="360" w:lineRule="auto"/>
        <w:ind w:firstLine="411" w:firstLineChars="196"/>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5、投标人需要说明的其他内容。（包括可能影响投标人企业实力及信誉评分项以及售后服务评分项的各类证明材料）</w:t>
      </w:r>
    </w:p>
    <w:p w14:paraId="104426A4">
      <w:pPr>
        <w:rPr>
          <w:rFonts w:hint="eastAsia" w:ascii="宋体" w:hAnsi="宋体" w:eastAsia="宋体" w:cs="宋体"/>
          <w:b/>
          <w:bCs/>
          <w:color w:val="auto"/>
          <w:sz w:val="32"/>
          <w:szCs w:val="32"/>
          <w:highlight w:val="none"/>
          <w:lang w:val="zh-CN"/>
        </w:rPr>
      </w:pPr>
      <w:r>
        <w:rPr>
          <w:rFonts w:hint="eastAsia" w:ascii="宋体" w:hAnsi="宋体" w:eastAsia="宋体" w:cs="宋体"/>
          <w:b/>
          <w:bCs/>
          <w:color w:val="auto"/>
          <w:sz w:val="32"/>
          <w:szCs w:val="32"/>
          <w:highlight w:val="none"/>
          <w:lang w:val="zh-CN"/>
        </w:rPr>
        <w:br w:type="page"/>
      </w:r>
    </w:p>
    <w:p w14:paraId="17438B3C">
      <w:pPr>
        <w:pStyle w:val="37"/>
        <w:shd w:val="clear" w:color="auto" w:fill="FFFFFF"/>
        <w:spacing w:before="0" w:beforeAutospacing="0" w:after="0" w:afterAutospacing="0" w:line="240" w:lineRule="auto"/>
        <w:outlineLvl w:val="9"/>
        <w:rPr>
          <w:rFonts w:hint="eastAsia" w:ascii="宋体" w:hAnsi="宋体" w:eastAsia="宋体" w:cs="宋体"/>
          <w:b/>
          <w:color w:val="auto"/>
          <w:sz w:val="28"/>
          <w:highlight w:val="none"/>
          <w:lang w:val="en-US" w:eastAsia="zh-CN"/>
        </w:rPr>
      </w:pPr>
      <w:r>
        <w:rPr>
          <w:rFonts w:hint="eastAsia" w:ascii="宋体" w:hAnsi="宋体" w:eastAsia="宋体" w:cs="宋体"/>
          <w:b/>
          <w:color w:val="auto"/>
          <w:sz w:val="28"/>
          <w:highlight w:val="none"/>
        </w:rPr>
        <w:t>附件</w:t>
      </w:r>
      <w:r>
        <w:rPr>
          <w:rFonts w:hint="eastAsia" w:cs="宋体"/>
          <w:b/>
          <w:color w:val="auto"/>
          <w:sz w:val="28"/>
          <w:highlight w:val="none"/>
          <w:lang w:val="en-US" w:eastAsia="zh-CN"/>
        </w:rPr>
        <w:t>6</w:t>
      </w:r>
    </w:p>
    <w:p w14:paraId="49B6215A">
      <w:pPr>
        <w:spacing w:line="360" w:lineRule="auto"/>
        <w:jc w:val="left"/>
        <w:rPr>
          <w:rFonts w:hint="eastAsia" w:ascii="宋体" w:hAnsi="宋体" w:eastAsia="宋体" w:cs="宋体"/>
          <w:color w:val="auto"/>
          <w:sz w:val="21"/>
          <w:szCs w:val="21"/>
          <w:highlight w:val="none"/>
          <w:lang w:val="zh-CN"/>
        </w:rPr>
      </w:pPr>
      <w:r>
        <w:rPr>
          <w:rFonts w:hint="eastAsia" w:ascii="宋体" w:hAnsi="宋体" w:eastAsia="宋体" w:cs="宋体"/>
          <w:b/>
          <w:color w:val="auto"/>
          <w:szCs w:val="21"/>
          <w:highlight w:val="none"/>
          <w:lang w:val="en-US" w:eastAsia="zh-CN"/>
        </w:rPr>
        <w:t>标段一：</w:t>
      </w:r>
      <w:r>
        <w:rPr>
          <w:rFonts w:hint="eastAsia" w:ascii="宋体" w:hAnsi="宋体" w:cs="宋体"/>
          <w:b/>
          <w:color w:val="auto"/>
          <w:szCs w:val="21"/>
          <w:highlight w:val="none"/>
          <w:lang w:val="en-US" w:eastAsia="zh-CN"/>
        </w:rPr>
        <w:t xml:space="preserve">                 </w:t>
      </w:r>
      <w:r>
        <w:rPr>
          <w:rFonts w:hint="eastAsia" w:ascii="宋体" w:hAnsi="宋体" w:eastAsia="宋体" w:cs="宋体"/>
          <w:b/>
          <w:color w:val="auto"/>
          <w:szCs w:val="21"/>
          <w:highlight w:val="none"/>
          <w:lang w:val="en-US" w:eastAsia="zh-CN"/>
        </w:rPr>
        <w:t>评标索引：自评表</w:t>
      </w:r>
    </w:p>
    <w:tbl>
      <w:tblPr>
        <w:tblStyle w:val="21"/>
        <w:tblW w:w="104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1122"/>
        <w:gridCol w:w="6148"/>
        <w:gridCol w:w="702"/>
        <w:gridCol w:w="702"/>
        <w:gridCol w:w="702"/>
      </w:tblGrid>
      <w:tr w14:paraId="42F77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52" w:hRule="atLeast"/>
          <w:jc w:val="center"/>
        </w:trPr>
        <w:tc>
          <w:tcPr>
            <w:tcW w:w="2182" w:type="dxa"/>
            <w:gridSpan w:val="2"/>
            <w:noWrap w:val="0"/>
            <w:vAlign w:val="center"/>
          </w:tcPr>
          <w:p w14:paraId="036BCEEA">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评标因素</w:t>
            </w:r>
          </w:p>
        </w:tc>
        <w:tc>
          <w:tcPr>
            <w:tcW w:w="6148" w:type="dxa"/>
            <w:noWrap w:val="0"/>
            <w:vAlign w:val="center"/>
          </w:tcPr>
          <w:p w14:paraId="4F2AF33D">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评分标准</w:t>
            </w:r>
          </w:p>
        </w:tc>
        <w:tc>
          <w:tcPr>
            <w:tcW w:w="702" w:type="dxa"/>
            <w:noWrap w:val="0"/>
            <w:vAlign w:val="center"/>
          </w:tcPr>
          <w:p w14:paraId="4CC40B85">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分值</w:t>
            </w:r>
          </w:p>
        </w:tc>
        <w:tc>
          <w:tcPr>
            <w:tcW w:w="702" w:type="dxa"/>
            <w:noWrap w:val="0"/>
            <w:vAlign w:val="center"/>
          </w:tcPr>
          <w:p w14:paraId="0375DC2B">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对应页码</w:t>
            </w:r>
          </w:p>
        </w:tc>
        <w:tc>
          <w:tcPr>
            <w:tcW w:w="702" w:type="dxa"/>
            <w:noWrap w:val="0"/>
            <w:vAlign w:val="center"/>
          </w:tcPr>
          <w:p w14:paraId="67B0CEE8">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自评分</w:t>
            </w:r>
          </w:p>
        </w:tc>
      </w:tr>
      <w:tr w14:paraId="632FE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jc w:val="center"/>
        </w:trPr>
        <w:tc>
          <w:tcPr>
            <w:tcW w:w="1060" w:type="dxa"/>
            <w:vMerge w:val="restart"/>
            <w:noWrap w:val="0"/>
            <w:vAlign w:val="center"/>
          </w:tcPr>
          <w:p w14:paraId="4DC2F291">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商务分</w:t>
            </w:r>
          </w:p>
          <w:p w14:paraId="4F8C557B">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（9分）</w:t>
            </w:r>
          </w:p>
        </w:tc>
        <w:tc>
          <w:tcPr>
            <w:tcW w:w="1122" w:type="dxa"/>
            <w:noWrap w:val="0"/>
            <w:vAlign w:val="center"/>
          </w:tcPr>
          <w:p w14:paraId="0FAE3FAF">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团队人员</w:t>
            </w:r>
          </w:p>
        </w:tc>
        <w:tc>
          <w:tcPr>
            <w:tcW w:w="6148" w:type="dxa"/>
            <w:noWrap w:val="0"/>
            <w:vAlign w:val="center"/>
          </w:tcPr>
          <w:p w14:paraId="708E203D">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拟派本项目的工作人员：每提供一本导游资质证书得2分，本项最高得8分。</w:t>
            </w:r>
          </w:p>
          <w:p w14:paraId="6A1524C2">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color w:val="auto"/>
                <w:kern w:val="2"/>
                <w:sz w:val="21"/>
                <w:szCs w:val="21"/>
                <w:highlight w:val="none"/>
                <w:lang w:val="en-US" w:eastAsia="zh-CN" w:bidi="ar-SA"/>
              </w:rPr>
              <w:t>须</w:t>
            </w:r>
            <w:r>
              <w:rPr>
                <w:rFonts w:hint="eastAsia" w:asciiTheme="minorEastAsia" w:hAnsiTheme="minorEastAsia" w:eastAsiaTheme="minorEastAsia" w:cstheme="minorEastAsia"/>
                <w:b/>
                <w:bCs/>
                <w:color w:val="auto"/>
                <w:sz w:val="21"/>
                <w:szCs w:val="21"/>
                <w:highlight w:val="none"/>
                <w:lang w:val="en-US" w:eastAsia="zh-CN"/>
              </w:rPr>
              <w:t>提供相应证书扫描件</w:t>
            </w:r>
            <w:r>
              <w:rPr>
                <w:rFonts w:hint="eastAsia" w:asciiTheme="minorEastAsia" w:hAnsiTheme="minorEastAsia" w:eastAsiaTheme="minorEastAsia" w:cstheme="minorEastAsia"/>
                <w:b/>
                <w:bCs/>
                <w:color w:val="auto"/>
                <w:sz w:val="21"/>
                <w:szCs w:val="21"/>
                <w:highlight w:val="none"/>
              </w:rPr>
              <w:t>及</w:t>
            </w:r>
            <w:r>
              <w:rPr>
                <w:rFonts w:hint="eastAsia" w:asciiTheme="minorEastAsia" w:hAnsiTheme="minorEastAsia" w:eastAsiaTheme="minorEastAsia" w:cstheme="minorEastAsia"/>
                <w:b/>
                <w:bCs/>
                <w:color w:val="auto"/>
                <w:sz w:val="21"/>
                <w:szCs w:val="21"/>
                <w:highlight w:val="none"/>
                <w:lang w:val="en-US" w:eastAsia="zh-CN"/>
              </w:rPr>
              <w:t>投标人为其缴纳的2025年2月的</w:t>
            </w:r>
            <w:r>
              <w:rPr>
                <w:rFonts w:hint="eastAsia" w:asciiTheme="minorEastAsia" w:hAnsiTheme="minorEastAsia" w:eastAsiaTheme="minorEastAsia" w:cstheme="minorEastAsia"/>
                <w:b/>
                <w:bCs/>
                <w:color w:val="auto"/>
                <w:sz w:val="21"/>
                <w:szCs w:val="21"/>
                <w:highlight w:val="none"/>
              </w:rPr>
              <w:t>社保缴费证明</w:t>
            </w:r>
            <w:r>
              <w:rPr>
                <w:rFonts w:hint="eastAsia" w:asciiTheme="minorEastAsia" w:hAnsiTheme="minorEastAsia" w:eastAsiaTheme="minorEastAsia" w:cstheme="minorEastAsia"/>
                <w:b/>
                <w:bCs/>
                <w:color w:val="auto"/>
                <w:sz w:val="21"/>
                <w:szCs w:val="21"/>
                <w:highlight w:val="none"/>
                <w:lang w:val="en-US" w:eastAsia="zh-CN"/>
              </w:rPr>
              <w:t>并</w:t>
            </w:r>
            <w:r>
              <w:rPr>
                <w:rFonts w:hint="eastAsia" w:asciiTheme="minorEastAsia" w:hAnsiTheme="minorEastAsia" w:eastAsiaTheme="minorEastAsia" w:cstheme="minorEastAsia"/>
                <w:b/>
                <w:bCs/>
                <w:color w:val="auto"/>
                <w:sz w:val="21"/>
                <w:szCs w:val="21"/>
                <w:highlight w:val="none"/>
              </w:rPr>
              <w:t>加盖</w:t>
            </w:r>
            <w:r>
              <w:rPr>
                <w:rFonts w:hint="eastAsia" w:asciiTheme="minorEastAsia" w:hAnsiTheme="minorEastAsia" w:eastAsiaTheme="minorEastAsia" w:cstheme="minorEastAsia"/>
                <w:b/>
                <w:bCs/>
                <w:color w:val="auto"/>
                <w:sz w:val="21"/>
                <w:szCs w:val="21"/>
                <w:highlight w:val="none"/>
                <w:lang w:val="en-US" w:eastAsia="zh-CN"/>
              </w:rPr>
              <w:t>投标人</w:t>
            </w:r>
            <w:r>
              <w:rPr>
                <w:rFonts w:hint="eastAsia" w:asciiTheme="minorEastAsia" w:hAnsiTheme="minorEastAsia" w:eastAsiaTheme="minorEastAsia" w:cstheme="minorEastAsia"/>
                <w:b/>
                <w:bCs/>
                <w:color w:val="auto"/>
                <w:sz w:val="21"/>
                <w:szCs w:val="21"/>
                <w:highlight w:val="none"/>
              </w:rPr>
              <w:t>公章编入投标文件中，</w:t>
            </w:r>
            <w:r>
              <w:rPr>
                <w:rFonts w:hint="eastAsia" w:asciiTheme="minorEastAsia" w:hAnsiTheme="minorEastAsia" w:eastAsiaTheme="minorEastAsia" w:cstheme="minorEastAsia"/>
                <w:b/>
                <w:bCs/>
                <w:color w:val="auto"/>
                <w:sz w:val="21"/>
                <w:szCs w:val="21"/>
                <w:highlight w:val="none"/>
                <w:lang w:val="en-US" w:eastAsia="zh-CN"/>
              </w:rPr>
              <w:t>未提供或提供不全的</w:t>
            </w:r>
            <w:r>
              <w:rPr>
                <w:rFonts w:hint="eastAsia" w:asciiTheme="minorEastAsia" w:hAnsiTheme="minorEastAsia" w:eastAsiaTheme="minorEastAsia" w:cstheme="minorEastAsia"/>
                <w:b/>
                <w:bCs/>
                <w:color w:val="auto"/>
                <w:sz w:val="21"/>
                <w:szCs w:val="21"/>
                <w:highlight w:val="none"/>
              </w:rPr>
              <w:t>不得分</w:t>
            </w:r>
            <w:r>
              <w:rPr>
                <w:rFonts w:hint="eastAsia" w:asciiTheme="minorEastAsia" w:hAnsiTheme="minorEastAsia" w:eastAsiaTheme="minorEastAsia" w:cstheme="minorEastAsia"/>
                <w:b/>
                <w:bCs/>
                <w:color w:val="auto"/>
                <w:sz w:val="21"/>
                <w:szCs w:val="21"/>
                <w:highlight w:val="none"/>
                <w:lang w:val="en-US" w:eastAsia="zh-CN"/>
              </w:rPr>
              <w:t>）</w:t>
            </w:r>
          </w:p>
        </w:tc>
        <w:tc>
          <w:tcPr>
            <w:tcW w:w="702" w:type="dxa"/>
            <w:noWrap w:val="0"/>
            <w:vAlign w:val="center"/>
          </w:tcPr>
          <w:p w14:paraId="5E657DF6">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8</w:t>
            </w:r>
          </w:p>
        </w:tc>
        <w:tc>
          <w:tcPr>
            <w:tcW w:w="702" w:type="dxa"/>
            <w:noWrap w:val="0"/>
            <w:vAlign w:val="center"/>
          </w:tcPr>
          <w:p w14:paraId="246D5F97">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702" w:type="dxa"/>
            <w:noWrap w:val="0"/>
            <w:vAlign w:val="center"/>
          </w:tcPr>
          <w:p w14:paraId="76A584E7">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p>
        </w:tc>
      </w:tr>
      <w:tr w14:paraId="39783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4" w:hRule="atLeast"/>
          <w:jc w:val="center"/>
        </w:trPr>
        <w:tc>
          <w:tcPr>
            <w:tcW w:w="1060" w:type="dxa"/>
            <w:vMerge w:val="continue"/>
            <w:noWrap w:val="0"/>
            <w:vAlign w:val="center"/>
          </w:tcPr>
          <w:p w14:paraId="74219DEC">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4D75CFE0">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承接经验</w:t>
            </w:r>
          </w:p>
        </w:tc>
        <w:tc>
          <w:tcPr>
            <w:tcW w:w="6148" w:type="dxa"/>
            <w:noWrap w:val="0"/>
            <w:vAlign w:val="center"/>
          </w:tcPr>
          <w:p w14:paraId="214CB389">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投标人</w:t>
            </w:r>
            <w:r>
              <w:rPr>
                <w:rFonts w:hint="eastAsia" w:asciiTheme="minorEastAsia" w:hAnsiTheme="minorEastAsia" w:eastAsiaTheme="minorEastAsia" w:cstheme="minorEastAsia"/>
                <w:color w:val="auto"/>
                <w:sz w:val="21"/>
                <w:szCs w:val="21"/>
                <w:highlight w:val="none"/>
                <w:lang w:val="en-US" w:eastAsia="zh-CN"/>
              </w:rPr>
              <w:t>提供自2020年1月1日</w:t>
            </w:r>
            <w:r>
              <w:rPr>
                <w:rFonts w:hint="eastAsia" w:asciiTheme="minorEastAsia" w:hAnsiTheme="minorEastAsia" w:eastAsiaTheme="minorEastAsia" w:cstheme="minorEastAsia"/>
                <w:color w:val="auto"/>
                <w:sz w:val="21"/>
                <w:szCs w:val="21"/>
                <w:highlight w:val="none"/>
                <w:lang w:eastAsia="zh-CN"/>
              </w:rPr>
              <w:t>以来</w:t>
            </w:r>
            <w:r>
              <w:rPr>
                <w:rFonts w:hint="eastAsia" w:asciiTheme="minorEastAsia" w:hAnsiTheme="minorEastAsia" w:eastAsiaTheme="minorEastAsia" w:cstheme="minorEastAsia"/>
                <w:color w:val="auto"/>
                <w:sz w:val="21"/>
                <w:szCs w:val="21"/>
                <w:highlight w:val="none"/>
              </w:rPr>
              <w:t>（以合同签订时间为准）</w:t>
            </w:r>
            <w:r>
              <w:rPr>
                <w:rFonts w:hint="eastAsia" w:asciiTheme="minorEastAsia" w:hAnsiTheme="minorEastAsia" w:eastAsiaTheme="minorEastAsia" w:cstheme="minorEastAsia"/>
                <w:color w:val="auto"/>
                <w:sz w:val="21"/>
                <w:szCs w:val="21"/>
                <w:highlight w:val="none"/>
                <w:lang w:val="en-US" w:eastAsia="zh-CN"/>
              </w:rPr>
              <w:t>承接的</w:t>
            </w:r>
            <w:r>
              <w:rPr>
                <w:rFonts w:hint="eastAsia" w:asciiTheme="minorEastAsia" w:hAnsiTheme="minorEastAsia" w:eastAsiaTheme="minorEastAsia" w:cstheme="minorEastAsia"/>
                <w:color w:val="auto"/>
                <w:sz w:val="21"/>
                <w:szCs w:val="21"/>
                <w:highlight w:val="none"/>
                <w:lang w:eastAsia="zh-CN"/>
              </w:rPr>
              <w:t>类似项目</w:t>
            </w:r>
            <w:r>
              <w:rPr>
                <w:rFonts w:hint="eastAsia" w:asciiTheme="minorEastAsia" w:hAnsiTheme="minorEastAsia" w:eastAsiaTheme="minorEastAsia" w:cstheme="minorEastAsia"/>
                <w:color w:val="auto"/>
                <w:sz w:val="21"/>
                <w:szCs w:val="21"/>
                <w:highlight w:val="none"/>
                <w:lang w:val="en-US" w:eastAsia="zh-CN"/>
              </w:rPr>
              <w:t>业绩证明</w:t>
            </w:r>
            <w:r>
              <w:rPr>
                <w:rFonts w:hint="eastAsia" w:asciiTheme="minorEastAsia" w:hAnsiTheme="minorEastAsia" w:eastAsiaTheme="minorEastAsia" w:cstheme="minorEastAsia"/>
                <w:color w:val="auto"/>
                <w:sz w:val="21"/>
                <w:szCs w:val="21"/>
                <w:highlight w:val="none"/>
              </w:rPr>
              <w:t>，每提供1个得</w:t>
            </w:r>
            <w:r>
              <w:rPr>
                <w:rFonts w:hint="eastAsia" w:asciiTheme="minorEastAsia" w:hAnsiTheme="minorEastAsia" w:eastAsiaTheme="minorEastAsia" w:cstheme="minorEastAsia"/>
                <w:color w:val="auto"/>
                <w:sz w:val="21"/>
                <w:szCs w:val="21"/>
                <w:highlight w:val="none"/>
                <w:lang w:val="en-US" w:eastAsia="zh-CN"/>
              </w:rPr>
              <w:t>0.2</w:t>
            </w:r>
            <w:r>
              <w:rPr>
                <w:rFonts w:hint="eastAsia" w:asciiTheme="minorEastAsia" w:hAnsiTheme="minorEastAsia" w:eastAsiaTheme="minorEastAsia" w:cstheme="minorEastAsia"/>
                <w:color w:val="auto"/>
                <w:sz w:val="21"/>
                <w:szCs w:val="21"/>
                <w:highlight w:val="none"/>
              </w:rPr>
              <w:t>分，</w:t>
            </w:r>
            <w:r>
              <w:rPr>
                <w:rFonts w:hint="eastAsia" w:asciiTheme="minorEastAsia" w:hAnsiTheme="minorEastAsia" w:eastAsiaTheme="minorEastAsia" w:cstheme="minorEastAsia"/>
                <w:color w:val="auto"/>
                <w:sz w:val="21"/>
                <w:szCs w:val="21"/>
                <w:highlight w:val="none"/>
                <w:lang w:val="en-US" w:eastAsia="zh-CN"/>
              </w:rPr>
              <w:t>本项</w:t>
            </w:r>
            <w:r>
              <w:rPr>
                <w:rFonts w:hint="eastAsia" w:asciiTheme="minorEastAsia" w:hAnsiTheme="minorEastAsia" w:eastAsiaTheme="minorEastAsia" w:cstheme="minorEastAsia"/>
                <w:color w:val="auto"/>
                <w:sz w:val="21"/>
                <w:szCs w:val="21"/>
                <w:highlight w:val="none"/>
              </w:rPr>
              <w:t>最高得</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分。</w:t>
            </w:r>
          </w:p>
          <w:p w14:paraId="39165C36">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（须提供合同</w:t>
            </w:r>
            <w:r>
              <w:rPr>
                <w:rFonts w:hint="eastAsia" w:asciiTheme="minorEastAsia" w:hAnsiTheme="minorEastAsia" w:eastAsiaTheme="minorEastAsia" w:cstheme="minorEastAsia"/>
                <w:b/>
                <w:bCs/>
                <w:color w:val="auto"/>
                <w:kern w:val="2"/>
                <w:sz w:val="21"/>
                <w:szCs w:val="21"/>
                <w:highlight w:val="none"/>
                <w:lang w:val="en-US" w:eastAsia="zh-CN"/>
              </w:rPr>
              <w:t>扫描</w:t>
            </w:r>
            <w:r>
              <w:rPr>
                <w:rFonts w:hint="eastAsia" w:asciiTheme="minorEastAsia" w:hAnsiTheme="minorEastAsia" w:eastAsiaTheme="minorEastAsia" w:cstheme="minorEastAsia"/>
                <w:b/>
                <w:bCs/>
                <w:color w:val="auto"/>
                <w:kern w:val="2"/>
                <w:sz w:val="21"/>
                <w:szCs w:val="21"/>
                <w:highlight w:val="none"/>
                <w:lang w:eastAsia="zh-CN"/>
              </w:rPr>
              <w:t>件</w:t>
            </w:r>
            <w:r>
              <w:rPr>
                <w:rFonts w:hint="eastAsia" w:asciiTheme="minorEastAsia" w:hAnsiTheme="minorEastAsia" w:eastAsiaTheme="minorEastAsia" w:cstheme="minorEastAsia"/>
                <w:b/>
                <w:bCs/>
                <w:color w:val="auto"/>
                <w:sz w:val="21"/>
                <w:szCs w:val="21"/>
                <w:highlight w:val="none"/>
              </w:rPr>
              <w:t>加盖</w:t>
            </w:r>
            <w:r>
              <w:rPr>
                <w:rFonts w:hint="eastAsia" w:asciiTheme="minorEastAsia" w:hAnsiTheme="minorEastAsia" w:eastAsiaTheme="minorEastAsia" w:cstheme="minorEastAsia"/>
                <w:b/>
                <w:bCs/>
                <w:color w:val="auto"/>
                <w:sz w:val="21"/>
                <w:szCs w:val="21"/>
                <w:highlight w:val="none"/>
                <w:lang w:val="en-US" w:eastAsia="zh-CN"/>
              </w:rPr>
              <w:t>投标人</w:t>
            </w:r>
            <w:r>
              <w:rPr>
                <w:rFonts w:hint="eastAsia" w:asciiTheme="minorEastAsia" w:hAnsiTheme="minorEastAsia" w:eastAsiaTheme="minorEastAsia" w:cstheme="minorEastAsia"/>
                <w:b/>
                <w:bCs/>
                <w:color w:val="auto"/>
                <w:sz w:val="21"/>
                <w:szCs w:val="21"/>
                <w:highlight w:val="none"/>
              </w:rPr>
              <w:t>公章编入投标文件中，</w:t>
            </w:r>
            <w:r>
              <w:rPr>
                <w:rFonts w:hint="eastAsia" w:asciiTheme="minorEastAsia" w:hAnsiTheme="minorEastAsia" w:eastAsiaTheme="minorEastAsia" w:cstheme="minorEastAsia"/>
                <w:b/>
                <w:bCs/>
                <w:color w:val="auto"/>
                <w:sz w:val="21"/>
                <w:szCs w:val="21"/>
                <w:highlight w:val="none"/>
                <w:lang w:val="en-US" w:eastAsia="zh-CN"/>
              </w:rPr>
              <w:t>未提供的</w:t>
            </w:r>
            <w:r>
              <w:rPr>
                <w:rFonts w:hint="eastAsia" w:asciiTheme="minorEastAsia" w:hAnsiTheme="minorEastAsia" w:eastAsiaTheme="minorEastAsia" w:cstheme="minorEastAsia"/>
                <w:b/>
                <w:bCs/>
                <w:color w:val="auto"/>
                <w:sz w:val="21"/>
                <w:szCs w:val="21"/>
                <w:highlight w:val="none"/>
              </w:rPr>
              <w:t>不得分</w:t>
            </w:r>
            <w:r>
              <w:rPr>
                <w:rFonts w:hint="eastAsia" w:asciiTheme="minorEastAsia" w:hAnsiTheme="minorEastAsia" w:eastAsiaTheme="minorEastAsia" w:cstheme="minorEastAsia"/>
                <w:b/>
                <w:bCs/>
                <w:color w:val="auto"/>
                <w:kern w:val="2"/>
                <w:sz w:val="21"/>
                <w:szCs w:val="21"/>
                <w:highlight w:val="none"/>
                <w:lang w:val="en-US" w:eastAsia="zh-CN" w:bidi="ar-SA"/>
              </w:rPr>
              <w:t>）</w:t>
            </w:r>
          </w:p>
        </w:tc>
        <w:tc>
          <w:tcPr>
            <w:tcW w:w="702" w:type="dxa"/>
            <w:noWrap w:val="0"/>
            <w:vAlign w:val="center"/>
          </w:tcPr>
          <w:p w14:paraId="0DD561BD">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1</w:t>
            </w:r>
          </w:p>
        </w:tc>
        <w:tc>
          <w:tcPr>
            <w:tcW w:w="702" w:type="dxa"/>
            <w:noWrap w:val="0"/>
            <w:vAlign w:val="center"/>
          </w:tcPr>
          <w:p w14:paraId="76010F66">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702" w:type="dxa"/>
            <w:noWrap w:val="0"/>
            <w:vAlign w:val="center"/>
          </w:tcPr>
          <w:p w14:paraId="49EBD316">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p>
        </w:tc>
      </w:tr>
      <w:tr w14:paraId="524E7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2" w:hRule="atLeast"/>
          <w:jc w:val="center"/>
        </w:trPr>
        <w:tc>
          <w:tcPr>
            <w:tcW w:w="1060" w:type="dxa"/>
            <w:vMerge w:val="restart"/>
            <w:noWrap w:val="0"/>
            <w:vAlign w:val="center"/>
          </w:tcPr>
          <w:p w14:paraId="7439EC9C">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技术分</w:t>
            </w:r>
          </w:p>
          <w:p w14:paraId="587918A0">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（81分）</w:t>
            </w:r>
          </w:p>
        </w:tc>
        <w:tc>
          <w:tcPr>
            <w:tcW w:w="1122" w:type="dxa"/>
            <w:vMerge w:val="restart"/>
            <w:noWrap w:val="0"/>
            <w:vAlign w:val="center"/>
          </w:tcPr>
          <w:p w14:paraId="00BDE3C7">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noWrap w:val="0"/>
            <w:vAlign w:val="center"/>
          </w:tcPr>
          <w:p w14:paraId="4A410B72">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整体方案：</w:t>
            </w:r>
            <w:r>
              <w:rPr>
                <w:rFonts w:hint="eastAsia" w:asciiTheme="minorEastAsia" w:hAnsiTheme="minorEastAsia" w:eastAsiaTheme="minorEastAsia" w:cstheme="minorEastAsia"/>
                <w:color w:val="auto"/>
                <w:sz w:val="21"/>
                <w:szCs w:val="21"/>
                <w:highlight w:val="none"/>
                <w:lang w:val="en-US" w:eastAsia="zh-CN"/>
              </w:rPr>
              <w:t>根据投标人针对疗休养提供的整体服务方案，包括导游安排、景区门票观光车安排等内容进行打分。</w:t>
            </w:r>
          </w:p>
          <w:p w14:paraId="2C768E66">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方案全面完整，科学合理，总体出行路线安排明确，有针对性的得3.0-5.0分；</w:t>
            </w:r>
          </w:p>
          <w:p w14:paraId="0BF7F31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方案基本合理，出行路线安排粗略的得0.1-2.9分；</w:t>
            </w:r>
          </w:p>
          <w:p w14:paraId="60378C02">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4EA2670A">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c>
          <w:tcPr>
            <w:tcW w:w="702" w:type="dxa"/>
            <w:noWrap w:val="0"/>
            <w:vAlign w:val="center"/>
          </w:tcPr>
          <w:p w14:paraId="73A0C9CB">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3DE17ECE">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5ED54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1060" w:type="dxa"/>
            <w:vMerge w:val="continue"/>
            <w:noWrap w:val="0"/>
            <w:vAlign w:val="center"/>
          </w:tcPr>
          <w:p w14:paraId="6C254984">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vMerge w:val="continue"/>
            <w:noWrap w:val="0"/>
            <w:vAlign w:val="center"/>
          </w:tcPr>
          <w:p w14:paraId="4833B2DD">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6148" w:type="dxa"/>
            <w:noWrap w:val="0"/>
            <w:vAlign w:val="center"/>
          </w:tcPr>
          <w:p w14:paraId="0492E460">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食：</w:t>
            </w:r>
            <w:r>
              <w:rPr>
                <w:rFonts w:hint="eastAsia" w:asciiTheme="minorEastAsia" w:hAnsiTheme="minorEastAsia" w:eastAsiaTheme="minorEastAsia" w:cstheme="minorEastAsia"/>
                <w:color w:val="auto"/>
                <w:sz w:val="21"/>
                <w:szCs w:val="21"/>
                <w:highlight w:val="none"/>
                <w:lang w:val="en-US" w:eastAsia="zh-CN"/>
              </w:rPr>
              <w:t>根据旅游过程中各餐标准及荤素搭配等情况进行打分。</w:t>
            </w:r>
          </w:p>
          <w:p w14:paraId="4C98433A">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饮食荤素搭配均衡、营养丰富的得6.0-8.0分；</w:t>
            </w:r>
          </w:p>
          <w:p w14:paraId="4E9B19D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荤素搭配教均衡、品种较少的得3.0-5.9分；</w:t>
            </w:r>
          </w:p>
          <w:p w14:paraId="06B28917">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荤素不均衡的得0.1-2.9分；</w:t>
            </w:r>
          </w:p>
          <w:p w14:paraId="10F6AEE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020A5164">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c>
          <w:tcPr>
            <w:tcW w:w="702" w:type="dxa"/>
            <w:noWrap w:val="0"/>
            <w:vAlign w:val="center"/>
          </w:tcPr>
          <w:p w14:paraId="71A297F2">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22999F6B">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6350F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6" w:hRule="atLeast"/>
          <w:jc w:val="center"/>
        </w:trPr>
        <w:tc>
          <w:tcPr>
            <w:tcW w:w="1060" w:type="dxa"/>
            <w:vMerge w:val="continue"/>
            <w:noWrap w:val="0"/>
            <w:vAlign w:val="center"/>
          </w:tcPr>
          <w:p w14:paraId="51C657AE">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vMerge w:val="continue"/>
            <w:noWrap w:val="0"/>
            <w:vAlign w:val="center"/>
          </w:tcPr>
          <w:p w14:paraId="5AA8FA5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6148" w:type="dxa"/>
            <w:noWrap w:val="0"/>
            <w:vAlign w:val="center"/>
          </w:tcPr>
          <w:p w14:paraId="69C5A9B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宿：</w:t>
            </w:r>
            <w:r>
              <w:rPr>
                <w:rFonts w:hint="eastAsia" w:asciiTheme="minorEastAsia" w:hAnsiTheme="minorEastAsia" w:eastAsiaTheme="minorEastAsia" w:cstheme="minorEastAsia"/>
                <w:color w:val="auto"/>
                <w:sz w:val="21"/>
                <w:szCs w:val="21"/>
                <w:highlight w:val="none"/>
                <w:lang w:val="en-US" w:eastAsia="zh-CN"/>
              </w:rPr>
              <w:t>根据行程中住宿酒店所处地段、开业时间、星级等情况进行打分。</w:t>
            </w:r>
          </w:p>
          <w:p w14:paraId="68D35CC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住宿酒店所处地段佳、星级高、开业时间新的得6.0-8.0分；</w:t>
            </w:r>
          </w:p>
          <w:p w14:paraId="5CC63DC9">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地段较偏、星级一般、设施较旧的得3.0-5.9分；</w:t>
            </w:r>
          </w:p>
          <w:p w14:paraId="1B20970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地段偏僻、星级低的得0.1-2.9分；</w:t>
            </w:r>
          </w:p>
          <w:p w14:paraId="6FE988E3">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2C583FB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c>
          <w:tcPr>
            <w:tcW w:w="702" w:type="dxa"/>
            <w:noWrap w:val="0"/>
            <w:vAlign w:val="center"/>
          </w:tcPr>
          <w:p w14:paraId="5CF91ABE">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0E5D8C1D">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25513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6" w:hRule="atLeast"/>
          <w:jc w:val="center"/>
        </w:trPr>
        <w:tc>
          <w:tcPr>
            <w:tcW w:w="1060" w:type="dxa"/>
            <w:vMerge w:val="continue"/>
            <w:noWrap w:val="0"/>
            <w:vAlign w:val="center"/>
          </w:tcPr>
          <w:p w14:paraId="621DEE02">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vMerge w:val="continue"/>
            <w:noWrap w:val="0"/>
            <w:vAlign w:val="center"/>
          </w:tcPr>
          <w:p w14:paraId="1B1B66FB">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6148" w:type="dxa"/>
            <w:noWrap w:val="0"/>
            <w:vAlign w:val="center"/>
          </w:tcPr>
          <w:p w14:paraId="426E69CF">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行：</w:t>
            </w:r>
            <w:r>
              <w:rPr>
                <w:rFonts w:hint="eastAsia" w:asciiTheme="minorEastAsia" w:hAnsiTheme="minorEastAsia" w:eastAsiaTheme="minorEastAsia" w:cstheme="minorEastAsia"/>
                <w:color w:val="auto"/>
                <w:sz w:val="21"/>
                <w:szCs w:val="21"/>
                <w:highlight w:val="none"/>
                <w:lang w:eastAsia="zh-CN"/>
              </w:rPr>
              <w:t>根据接待大巴的详细情况</w:t>
            </w:r>
            <w:r>
              <w:rPr>
                <w:rFonts w:hint="eastAsia" w:asciiTheme="minorEastAsia" w:hAnsiTheme="minorEastAsia" w:eastAsiaTheme="minorEastAsia" w:cstheme="minorEastAsia"/>
                <w:color w:val="auto"/>
                <w:sz w:val="21"/>
                <w:szCs w:val="21"/>
                <w:highlight w:val="none"/>
                <w:lang w:val="en-US" w:eastAsia="zh-CN"/>
              </w:rPr>
              <w:t>进行打分。</w:t>
            </w:r>
          </w:p>
          <w:p w14:paraId="0529F956">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大巴车辆充足，车辆为近两年新车的得6.0-8.0分；</w:t>
            </w:r>
          </w:p>
          <w:p w14:paraId="2D5C7705">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大巴数量合适，车辆为近三年车辆的得3.0-5.9分；</w:t>
            </w:r>
          </w:p>
          <w:p w14:paraId="4C7CEC80">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大巴数量较少，车辆为近五年车辆的得0.1-2.9分；</w:t>
            </w:r>
          </w:p>
          <w:p w14:paraId="5E9E9F8B">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1FF75190">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c>
          <w:tcPr>
            <w:tcW w:w="702" w:type="dxa"/>
            <w:noWrap w:val="0"/>
            <w:vAlign w:val="center"/>
          </w:tcPr>
          <w:p w14:paraId="64EC68F2">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15F3A793">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48E66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6F71F7F7">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4683122A">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奇幻吉林6天游</w:t>
            </w:r>
            <w:r>
              <w:rPr>
                <w:rFonts w:hint="eastAsia" w:asciiTheme="minorEastAsia" w:hAnsiTheme="minorEastAsia" w:eastAsiaTheme="minorEastAsia" w:cstheme="minorEastAsia"/>
                <w:color w:val="auto"/>
                <w:sz w:val="21"/>
                <w:szCs w:val="21"/>
                <w:highlight w:val="none"/>
                <w:lang w:val="zh-CN"/>
              </w:rPr>
              <w:t>策划方案</w:t>
            </w:r>
          </w:p>
        </w:tc>
        <w:tc>
          <w:tcPr>
            <w:tcW w:w="6148" w:type="dxa"/>
            <w:noWrap w:val="0"/>
            <w:vAlign w:val="center"/>
          </w:tcPr>
          <w:p w14:paraId="1269C39B">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奇幻吉林6天游</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362DBE24">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方案全面完整，科学合理，总体出行路线安排明确，行程安排有针对性的得6.0-8.0分；</w:t>
            </w:r>
          </w:p>
          <w:p w14:paraId="76BEE649">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方案基本合理，出行路线安排粗略的得3.0-5.9分；</w:t>
            </w:r>
          </w:p>
          <w:p w14:paraId="22C58B90">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方案简单片面，出行路线安排不合理的得0.1-2.9分；</w:t>
            </w:r>
          </w:p>
          <w:p w14:paraId="66F97877">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3C63014D">
            <w:pPr>
              <w:keepNext w:val="0"/>
              <w:keepLines w:val="0"/>
              <w:pageBreakBefore w:val="0"/>
              <w:kinsoku/>
              <w:wordWrap/>
              <w:overflowPunct/>
              <w:topLinePunct w:val="0"/>
              <w:bidi w:val="0"/>
              <w:adjustRightInd w:val="0"/>
              <w:snapToGrid w:val="0"/>
              <w:spacing w:line="240" w:lineRule="auto"/>
              <w:ind w:firstLine="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c>
          <w:tcPr>
            <w:tcW w:w="702" w:type="dxa"/>
            <w:noWrap w:val="0"/>
            <w:vAlign w:val="center"/>
          </w:tcPr>
          <w:p w14:paraId="1270BF6E">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7F60C0F2">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3550D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60" w:type="dxa"/>
            <w:vMerge w:val="continue"/>
            <w:noWrap w:val="0"/>
            <w:vAlign w:val="center"/>
          </w:tcPr>
          <w:p w14:paraId="3FE8DB69">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3FFB285D">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新疆那拉提独库双飞 7日+1日</w:t>
            </w: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noWrap w:val="0"/>
            <w:vAlign w:val="center"/>
          </w:tcPr>
          <w:p w14:paraId="16C46B2A">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新疆那拉提独库双飞 7日+1日</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74060F86">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方案全面完整，科学合理，总体出行路线安排明确，行程安排有针对性的得6.0-8.0分；</w:t>
            </w:r>
          </w:p>
          <w:p w14:paraId="44B0D045">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方案基本合理，出行路线安排粗略的得3.0-5.9分；</w:t>
            </w:r>
          </w:p>
          <w:p w14:paraId="2407B61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方案简单片面，出行路线安排不合理的得0.1-2.9分；</w:t>
            </w:r>
          </w:p>
          <w:p w14:paraId="18EFEEB1">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109389C0">
            <w:pPr>
              <w:keepNext w:val="0"/>
              <w:keepLines w:val="0"/>
              <w:pageBreakBefore w:val="0"/>
              <w:kinsoku/>
              <w:wordWrap/>
              <w:overflowPunct/>
              <w:topLinePunct w:val="0"/>
              <w:bidi w:val="0"/>
              <w:adjustRightInd w:val="0"/>
              <w:snapToGrid w:val="0"/>
              <w:spacing w:line="240" w:lineRule="auto"/>
              <w:ind w:firstLine="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c>
          <w:tcPr>
            <w:tcW w:w="702" w:type="dxa"/>
            <w:noWrap w:val="0"/>
            <w:vAlign w:val="center"/>
          </w:tcPr>
          <w:p w14:paraId="3ED64015">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00D2EB98">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1F7C0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0B224436">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shd w:val="clear" w:color="auto" w:fill="auto"/>
            <w:noWrap w:val="0"/>
            <w:vAlign w:val="center"/>
          </w:tcPr>
          <w:p w14:paraId="132ED47E">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西宁茫崖6日游</w:t>
            </w: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shd w:val="clear" w:color="auto" w:fill="auto"/>
            <w:noWrap w:val="0"/>
            <w:vAlign w:val="center"/>
          </w:tcPr>
          <w:p w14:paraId="702F93F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西宁茫崖6日游</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2E427DC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方案全面完整，科学合理，总体出行路线安排明确，行程安排有针对性的得6.0-8.0分；</w:t>
            </w:r>
          </w:p>
          <w:p w14:paraId="0048652A">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方案基本合理，出行路线安排粗略的得3.0-5.9分；</w:t>
            </w:r>
          </w:p>
          <w:p w14:paraId="75B76B9B">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方案简单片面，出行路线安排不合理的得0.1-2.9分；</w:t>
            </w:r>
          </w:p>
          <w:p w14:paraId="0A611229">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kern w:val="2"/>
                <w:sz w:val="21"/>
                <w:szCs w:val="24"/>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shd w:val="clear" w:color="auto" w:fill="auto"/>
            <w:noWrap w:val="0"/>
            <w:vAlign w:val="center"/>
          </w:tcPr>
          <w:p w14:paraId="613AF1B4">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c>
          <w:tcPr>
            <w:tcW w:w="702" w:type="dxa"/>
            <w:shd w:val="clear" w:color="auto" w:fill="auto"/>
            <w:noWrap w:val="0"/>
            <w:vAlign w:val="center"/>
          </w:tcPr>
          <w:p w14:paraId="7B576DB8">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shd w:val="clear" w:color="auto" w:fill="auto"/>
            <w:noWrap w:val="0"/>
            <w:vAlign w:val="center"/>
          </w:tcPr>
          <w:p w14:paraId="014BBFCC">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74F45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0B3CF60B">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0FE5683A">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default"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特色方案</w:t>
            </w:r>
          </w:p>
        </w:tc>
        <w:tc>
          <w:tcPr>
            <w:tcW w:w="6148" w:type="dxa"/>
            <w:noWrap w:val="0"/>
            <w:vAlign w:val="center"/>
          </w:tcPr>
          <w:p w14:paraId="76DF19F4">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val="0"/>
                <w:bCs w:val="0"/>
                <w:color w:val="auto"/>
                <w:sz w:val="21"/>
                <w:szCs w:val="21"/>
                <w:highlight w:val="none"/>
                <w:lang w:val="en-US" w:eastAsia="zh-CN"/>
              </w:rPr>
              <w:t>台州市路桥区中医院医疗服务共同体</w:t>
            </w:r>
            <w:r>
              <w:rPr>
                <w:rFonts w:hint="eastAsia" w:asciiTheme="minorEastAsia" w:hAnsiTheme="minorEastAsia" w:eastAsiaTheme="minorEastAsia" w:cstheme="minorEastAsia"/>
                <w:color w:val="auto"/>
                <w:sz w:val="21"/>
                <w:szCs w:val="21"/>
                <w:highlight w:val="none"/>
                <w:lang w:val="en-US" w:eastAsia="zh-CN"/>
              </w:rPr>
              <w:t>疗休养提供的特色行程方案（特色行程方案须提供推荐线路以外的，省内省外各提供3条），根据方案导游、票务、行程安排、旅行过程中的食宿行等内容进行打分。</w:t>
            </w:r>
          </w:p>
          <w:p w14:paraId="37DE56A2">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方案全面完整，科学合理，总体出行路线安排明确，行程安排有针对性的得6.0-8.0分；</w:t>
            </w:r>
          </w:p>
          <w:p w14:paraId="043CFC05">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方案基本合理，出行路线安排粗略的得3.0-5.9分；</w:t>
            </w:r>
          </w:p>
          <w:p w14:paraId="5BEC05D8">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方案简单片面，出行路线安排不合理的得0.1-2.9分；</w:t>
            </w:r>
          </w:p>
          <w:p w14:paraId="71D48D25">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11F00869">
            <w:pPr>
              <w:keepNext w:val="0"/>
              <w:keepLines w:val="0"/>
              <w:pageBreakBefore w:val="0"/>
              <w:kinsoku/>
              <w:wordWrap/>
              <w:overflowPunct/>
              <w:topLinePunct w:val="0"/>
              <w:bidi w:val="0"/>
              <w:adjustRightInd w:val="0"/>
              <w:snapToGrid w:val="0"/>
              <w:spacing w:line="240" w:lineRule="auto"/>
              <w:ind w:firstLine="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c>
          <w:tcPr>
            <w:tcW w:w="702" w:type="dxa"/>
            <w:noWrap w:val="0"/>
            <w:vAlign w:val="center"/>
          </w:tcPr>
          <w:p w14:paraId="6B35E4D4">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6BC3078D">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0F0DD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60" w:type="dxa"/>
            <w:vMerge w:val="continue"/>
            <w:noWrap w:val="0"/>
            <w:vAlign w:val="center"/>
          </w:tcPr>
          <w:p w14:paraId="01707AEE">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4E7D2693">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服务质量保证</w:t>
            </w:r>
          </w:p>
        </w:tc>
        <w:tc>
          <w:tcPr>
            <w:tcW w:w="6148" w:type="dxa"/>
            <w:noWrap w:val="0"/>
            <w:vAlign w:val="center"/>
          </w:tcPr>
          <w:p w14:paraId="11B50389">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根据投标人</w:t>
            </w:r>
            <w:r>
              <w:rPr>
                <w:rFonts w:hint="eastAsia" w:asciiTheme="minorEastAsia" w:hAnsiTheme="minorEastAsia" w:eastAsiaTheme="minorEastAsia" w:cstheme="minorEastAsia"/>
                <w:color w:val="auto"/>
                <w:sz w:val="21"/>
                <w:szCs w:val="21"/>
                <w:highlight w:val="none"/>
              </w:rPr>
              <w:t>针对本项目制定的</w:t>
            </w:r>
            <w:r>
              <w:rPr>
                <w:rFonts w:hint="eastAsia" w:asciiTheme="minorEastAsia" w:hAnsiTheme="minorEastAsia" w:eastAsiaTheme="minorEastAsia" w:cstheme="minorEastAsia"/>
                <w:color w:val="auto"/>
                <w:sz w:val="21"/>
                <w:szCs w:val="21"/>
                <w:highlight w:val="none"/>
                <w:lang w:val="en-US" w:eastAsia="zh-CN"/>
              </w:rPr>
              <w:t>服务</w:t>
            </w:r>
            <w:r>
              <w:rPr>
                <w:rFonts w:hint="eastAsia" w:asciiTheme="minorEastAsia" w:hAnsiTheme="minorEastAsia" w:eastAsiaTheme="minorEastAsia" w:cstheme="minorEastAsia"/>
                <w:color w:val="auto"/>
                <w:sz w:val="21"/>
                <w:szCs w:val="21"/>
                <w:highlight w:val="none"/>
              </w:rPr>
              <w:t>质量保证措施</w:t>
            </w:r>
            <w:r>
              <w:rPr>
                <w:rFonts w:hint="eastAsia" w:asciiTheme="minorEastAsia" w:hAnsiTheme="minorEastAsia" w:eastAsiaTheme="minorEastAsia" w:cstheme="minorEastAsia"/>
                <w:color w:val="auto"/>
                <w:sz w:val="21"/>
                <w:szCs w:val="21"/>
                <w:highlight w:val="none"/>
                <w:lang w:eastAsia="zh-CN"/>
              </w:rPr>
              <w:t>进行打分。</w:t>
            </w:r>
          </w:p>
          <w:p w14:paraId="6C300CD6">
            <w:pPr>
              <w:keepNext w:val="0"/>
              <w:keepLines w:val="0"/>
              <w:pageBreakBefore w:val="0"/>
              <w:tabs>
                <w:tab w:val="left" w:pos="2061"/>
              </w:tabs>
              <w:kinsoku/>
              <w:wordWrap/>
              <w:overflowPunct/>
              <w:topLinePunct w:val="0"/>
              <w:bidi w:val="0"/>
              <w:spacing w:beforeAutospacing="0" w:afterAutospacing="0" w:line="240" w:lineRule="auto"/>
              <w:ind w:left="0" w:leftChars="0" w:right="0" w:rightChars="0" w:firstLine="0" w:firstLineChars="0"/>
              <w:jc w:val="left"/>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服务质量</w:t>
            </w:r>
            <w:r>
              <w:rPr>
                <w:rFonts w:hint="eastAsia" w:asciiTheme="minorEastAsia" w:hAnsiTheme="minorEastAsia" w:eastAsiaTheme="minorEastAsia" w:cstheme="minorEastAsia"/>
                <w:color w:val="auto"/>
                <w:kern w:val="2"/>
                <w:sz w:val="21"/>
                <w:szCs w:val="21"/>
                <w:highlight w:val="none"/>
                <w:lang w:val="en-US" w:eastAsia="zh-CN" w:bidi="ar-SA"/>
              </w:rPr>
              <w:t>保证</w:t>
            </w:r>
            <w:r>
              <w:rPr>
                <w:rFonts w:hint="eastAsia" w:ascii="宋体" w:hAnsi="宋体" w:eastAsia="宋体" w:cs="宋体"/>
                <w:color w:val="auto"/>
                <w:highlight w:val="none"/>
                <w:lang w:val="en-US" w:eastAsia="zh-CN"/>
              </w:rPr>
              <w:t>方案阐述全面，管理规范、</w:t>
            </w:r>
            <w:r>
              <w:rPr>
                <w:rFonts w:hint="eastAsia" w:ascii="宋体" w:hAnsi="宋体" w:eastAsia="宋体" w:cs="宋体"/>
                <w:b w:val="0"/>
                <w:bCs w:val="0"/>
                <w:color w:val="auto"/>
                <w:sz w:val="21"/>
                <w:szCs w:val="21"/>
                <w:highlight w:val="none"/>
                <w:lang w:val="en-US" w:eastAsia="zh-CN"/>
              </w:rPr>
              <w:t>管理组织构架、监督体系、</w:t>
            </w:r>
            <w:r>
              <w:rPr>
                <w:rFonts w:hint="eastAsia" w:ascii="宋体" w:hAnsi="宋体" w:eastAsia="宋体" w:cs="宋体"/>
                <w:color w:val="auto"/>
                <w:highlight w:val="none"/>
                <w:lang w:val="en-US" w:eastAsia="zh-CN"/>
              </w:rPr>
              <w:t>内控制度、质量管控</w:t>
            </w:r>
            <w:r>
              <w:rPr>
                <w:rFonts w:hint="eastAsia" w:ascii="宋体" w:hAnsi="宋体" w:eastAsia="宋体" w:cs="宋体"/>
                <w:color w:val="auto"/>
                <w:highlight w:val="none"/>
              </w:rPr>
              <w:t>措施</w:t>
            </w:r>
            <w:r>
              <w:rPr>
                <w:rFonts w:hint="eastAsia" w:ascii="宋体" w:hAnsi="宋体" w:eastAsia="宋体" w:cs="宋体"/>
                <w:color w:val="auto"/>
                <w:highlight w:val="none"/>
                <w:lang w:val="en-US" w:eastAsia="zh-CN"/>
              </w:rPr>
              <w:t>等阐述</w:t>
            </w:r>
            <w:r>
              <w:rPr>
                <w:rFonts w:hint="eastAsia" w:ascii="宋体" w:hAnsi="宋体" w:eastAsia="宋体" w:cs="宋体"/>
                <w:b w:val="0"/>
                <w:bCs w:val="0"/>
                <w:color w:val="auto"/>
                <w:sz w:val="21"/>
                <w:szCs w:val="21"/>
                <w:highlight w:val="none"/>
                <w:lang w:val="en-US" w:eastAsia="zh-CN"/>
              </w:rPr>
              <w:t>合理可行且</w:t>
            </w:r>
            <w:r>
              <w:rPr>
                <w:rFonts w:hint="eastAsia" w:ascii="宋体" w:hAnsi="宋体" w:eastAsia="宋体" w:cs="宋体"/>
                <w:color w:val="auto"/>
                <w:highlight w:val="none"/>
                <w:lang w:val="en-US" w:eastAsia="zh-CN"/>
              </w:rPr>
              <w:t>有针对性</w:t>
            </w:r>
            <w:r>
              <w:rPr>
                <w:rFonts w:hint="eastAsia" w:ascii="宋体" w:hAnsi="宋体" w:eastAsia="宋体" w:cs="宋体"/>
                <w:b w:val="0"/>
                <w:bCs w:val="0"/>
                <w:color w:val="auto"/>
                <w:sz w:val="21"/>
                <w:szCs w:val="21"/>
                <w:highlight w:val="none"/>
                <w:lang w:val="en-US" w:eastAsia="zh-CN"/>
              </w:rPr>
              <w:t>，人员安排、设备配置等均安排明确，能</w:t>
            </w:r>
            <w:r>
              <w:rPr>
                <w:rFonts w:hint="eastAsia" w:ascii="宋体" w:hAnsi="宋体" w:eastAsia="宋体" w:cs="宋体"/>
                <w:color w:val="auto"/>
                <w:highlight w:val="none"/>
                <w:lang w:val="en-US" w:eastAsia="zh-CN"/>
              </w:rPr>
              <w:t>有效保障项目服务质量的得</w:t>
            </w:r>
            <w:r>
              <w:rPr>
                <w:rFonts w:hint="eastAsia" w:ascii="宋体" w:hAnsi="宋体" w:cs="宋体"/>
                <w:color w:val="auto"/>
                <w:highlight w:val="none"/>
                <w:lang w:val="en-US" w:eastAsia="zh-CN"/>
              </w:rPr>
              <w:t>3.0-5.0</w:t>
            </w:r>
            <w:r>
              <w:rPr>
                <w:rFonts w:hint="eastAsia" w:ascii="宋体" w:hAnsi="宋体" w:eastAsia="宋体" w:cs="宋体"/>
                <w:color w:val="auto"/>
                <w:highlight w:val="none"/>
                <w:lang w:val="en-US" w:eastAsia="zh-CN"/>
              </w:rPr>
              <w:t>分</w:t>
            </w:r>
            <w:r>
              <w:rPr>
                <w:rFonts w:hint="eastAsia" w:ascii="宋体" w:hAnsi="宋体" w:eastAsia="宋体" w:cs="宋体"/>
                <w:color w:val="auto"/>
                <w:highlight w:val="none"/>
              </w:rPr>
              <w:t>；</w:t>
            </w:r>
          </w:p>
          <w:p w14:paraId="28D77081">
            <w:pPr>
              <w:keepNext w:val="0"/>
              <w:keepLines w:val="0"/>
              <w:pageBreakBefore w:val="0"/>
              <w:tabs>
                <w:tab w:val="left" w:pos="2061"/>
              </w:tabs>
              <w:kinsoku/>
              <w:wordWrap/>
              <w:overflowPunct/>
              <w:topLinePunct w:val="0"/>
              <w:bidi w:val="0"/>
              <w:spacing w:beforeAutospacing="0" w:afterAutospacing="0" w:line="240" w:lineRule="auto"/>
              <w:ind w:left="0" w:leftChars="0" w:right="0" w:rightChars="0" w:firstLine="0" w:firstLineChars="0"/>
              <w:jc w:val="lef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方案简单，人员、设备的配置有提及但安排不明确，考核要求制定不完善的得0.1-2.9分；</w:t>
            </w:r>
          </w:p>
          <w:p w14:paraId="5FDA9F3F">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highlight w:val="none"/>
                <w:lang w:val="en-US" w:eastAsia="zh-CN"/>
              </w:rPr>
              <w:t>未提及此项不得分。</w:t>
            </w:r>
          </w:p>
        </w:tc>
        <w:tc>
          <w:tcPr>
            <w:tcW w:w="702" w:type="dxa"/>
            <w:noWrap w:val="0"/>
            <w:vAlign w:val="center"/>
          </w:tcPr>
          <w:p w14:paraId="7BADF30A">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c>
          <w:tcPr>
            <w:tcW w:w="702" w:type="dxa"/>
            <w:noWrap w:val="0"/>
            <w:vAlign w:val="center"/>
          </w:tcPr>
          <w:p w14:paraId="1EFB3EFB">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0422BAB3">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5217C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jc w:val="center"/>
        </w:trPr>
        <w:tc>
          <w:tcPr>
            <w:tcW w:w="1060" w:type="dxa"/>
            <w:vMerge w:val="continue"/>
            <w:noWrap w:val="0"/>
            <w:vAlign w:val="center"/>
          </w:tcPr>
          <w:p w14:paraId="1DF19E2D">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2B922895">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服务承诺</w:t>
            </w:r>
          </w:p>
        </w:tc>
        <w:tc>
          <w:tcPr>
            <w:tcW w:w="6148" w:type="dxa"/>
            <w:noWrap w:val="0"/>
            <w:vAlign w:val="center"/>
          </w:tcPr>
          <w:p w14:paraId="2E784E8D">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投标人在当地有服务网点或承诺中标后在当地设立服务网点，且在12小时内（含12小时）响应的得5分。</w:t>
            </w:r>
          </w:p>
          <w:p w14:paraId="2645FCD5">
            <w:pPr>
              <w:keepNext w:val="0"/>
              <w:keepLines w:val="0"/>
              <w:pageBreakBefore w:val="0"/>
              <w:kinsoku/>
              <w:wordWrap/>
              <w:overflowPunct/>
              <w:topLinePunct w:val="0"/>
              <w:bidi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r>
              <w:rPr>
                <w:rFonts w:hint="eastAsia" w:asciiTheme="minorEastAsia" w:hAnsiTheme="minorEastAsia" w:eastAsiaTheme="minorEastAsia" w:cstheme="minorEastAsia"/>
                <w:b/>
                <w:bCs/>
                <w:color w:val="auto"/>
                <w:sz w:val="21"/>
                <w:szCs w:val="21"/>
                <w:highlight w:val="none"/>
                <w:lang w:val="en-US" w:eastAsia="zh-CN"/>
              </w:rPr>
              <w:t>（须提供已有服务网点证明材料扫描件或承诺函原件并加盖投标人公章编入投标文件中，未提供不得分）</w:t>
            </w:r>
          </w:p>
        </w:tc>
        <w:tc>
          <w:tcPr>
            <w:tcW w:w="702" w:type="dxa"/>
            <w:noWrap w:val="0"/>
            <w:vAlign w:val="center"/>
          </w:tcPr>
          <w:p w14:paraId="4B1CAD7B">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c>
          <w:tcPr>
            <w:tcW w:w="702" w:type="dxa"/>
            <w:noWrap w:val="0"/>
            <w:vAlign w:val="center"/>
          </w:tcPr>
          <w:p w14:paraId="6C52513D">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676258F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7AACE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18BBFFB1">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30FBD0BA">
            <w:pPr>
              <w:keepLines w:val="0"/>
              <w:pageBreakBefore w:val="0"/>
              <w:kinsoku/>
              <w:wordWrap/>
              <w:overflowPunct/>
              <w:topLinePunct w:val="0"/>
              <w:bidi w:val="0"/>
              <w:spacing w:beforeAutospacing="0" w:afterAutospacing="0" w:line="240" w:lineRule="auto"/>
              <w:ind w:left="0" w:left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宋体" w:hAnsi="宋体" w:eastAsia="宋体" w:cs="宋体"/>
                <w:color w:val="auto"/>
                <w:spacing w:val="-4"/>
                <w:szCs w:val="21"/>
                <w:highlight w:val="none"/>
                <w:lang w:val="en-US" w:eastAsia="zh-CN"/>
              </w:rPr>
              <w:t>应急预案</w:t>
            </w:r>
          </w:p>
        </w:tc>
        <w:tc>
          <w:tcPr>
            <w:tcW w:w="6148" w:type="dxa"/>
            <w:noWrap w:val="0"/>
            <w:vAlign w:val="center"/>
          </w:tcPr>
          <w:p w14:paraId="01D2E44D">
            <w:pPr>
              <w:keepNext w:val="0"/>
              <w:keepLines w:val="0"/>
              <w:pageBreakBefore w:val="0"/>
              <w:kinsoku/>
              <w:wordWrap/>
              <w:overflowPunct/>
              <w:topLinePunct w:val="0"/>
              <w:bidi w:val="0"/>
              <w:spacing w:beforeAutospacing="0" w:afterAutospacing="0" w:line="240" w:lineRule="auto"/>
              <w:ind w:left="0"/>
              <w:jc w:val="left"/>
              <w:textAlignment w:val="auto"/>
              <w:outlineLvl w:val="9"/>
              <w:rPr>
                <w:rFonts w:hint="eastAsia" w:ascii="宋体" w:hAnsi="宋体" w:eastAsia="宋体" w:cs="宋体"/>
                <w:color w:val="auto"/>
                <w:spacing w:val="-4"/>
                <w:szCs w:val="21"/>
                <w:highlight w:val="none"/>
                <w:lang w:val="en-US" w:eastAsia="zh-CN"/>
              </w:rPr>
            </w:pPr>
            <w:r>
              <w:rPr>
                <w:rFonts w:hint="eastAsia" w:ascii="宋体" w:hAnsi="宋体" w:eastAsia="宋体" w:cs="宋体"/>
                <w:color w:val="auto"/>
                <w:spacing w:val="-4"/>
                <w:szCs w:val="21"/>
                <w:highlight w:val="none"/>
                <w:lang w:val="en-US" w:eastAsia="zh-CN"/>
              </w:rPr>
              <w:t>根据投标人针对后续实际服务过程中可能遇到的紧急事件、异常处理等是否具有详细完善的应急响应制度、实施保障方案进行打分。</w:t>
            </w:r>
          </w:p>
          <w:p w14:paraId="1C9E7218">
            <w:pPr>
              <w:keepNext w:val="0"/>
              <w:keepLines w:val="0"/>
              <w:pageBreakBefore w:val="0"/>
              <w:kinsoku/>
              <w:wordWrap/>
              <w:overflowPunct/>
              <w:topLinePunct w:val="0"/>
              <w:bidi w:val="0"/>
              <w:spacing w:beforeAutospacing="0" w:afterAutospacing="0" w:line="240" w:lineRule="auto"/>
              <w:ind w:left="0"/>
              <w:jc w:val="left"/>
              <w:textAlignment w:val="auto"/>
              <w:outlineLvl w:val="9"/>
              <w:rPr>
                <w:rFonts w:hint="eastAsia" w:ascii="宋体" w:hAnsi="宋体" w:eastAsia="宋体" w:cs="宋体"/>
                <w:color w:val="auto"/>
                <w:spacing w:val="-4"/>
                <w:szCs w:val="21"/>
                <w:highlight w:val="none"/>
                <w:lang w:val="en-US" w:eastAsia="zh-CN"/>
              </w:rPr>
            </w:pPr>
            <w:r>
              <w:rPr>
                <w:rFonts w:hint="eastAsia" w:ascii="宋体" w:hAnsi="宋体" w:eastAsia="宋体" w:cs="宋体"/>
                <w:color w:val="auto"/>
                <w:spacing w:val="-4"/>
                <w:szCs w:val="21"/>
                <w:highlight w:val="none"/>
                <w:lang w:val="en-US" w:eastAsia="zh-CN"/>
              </w:rPr>
              <w:t>应急响应制度阐述完整详细，实施保障方案内容明确且具有针对性，提出的应急措施科学可行的得</w:t>
            </w:r>
            <w:r>
              <w:rPr>
                <w:rFonts w:hint="eastAsia" w:ascii="宋体" w:hAnsi="宋体" w:cs="宋体"/>
                <w:color w:val="auto"/>
                <w:spacing w:val="-4"/>
                <w:szCs w:val="21"/>
                <w:highlight w:val="none"/>
                <w:lang w:val="en-US" w:eastAsia="zh-CN"/>
              </w:rPr>
              <w:t>3.0-5.0分</w:t>
            </w:r>
            <w:r>
              <w:rPr>
                <w:rFonts w:hint="eastAsia" w:ascii="宋体" w:hAnsi="宋体" w:eastAsia="宋体" w:cs="宋体"/>
                <w:color w:val="auto"/>
                <w:spacing w:val="-4"/>
                <w:szCs w:val="21"/>
                <w:highlight w:val="none"/>
                <w:lang w:val="en-US" w:eastAsia="zh-CN"/>
              </w:rPr>
              <w:t>；</w:t>
            </w:r>
          </w:p>
          <w:p w14:paraId="5DB47ADA">
            <w:pPr>
              <w:keepNext w:val="0"/>
              <w:keepLines w:val="0"/>
              <w:pageBreakBefore w:val="0"/>
              <w:kinsoku/>
              <w:wordWrap/>
              <w:overflowPunct/>
              <w:topLinePunct w:val="0"/>
              <w:bidi w:val="0"/>
              <w:spacing w:beforeAutospacing="0" w:afterAutospacing="0" w:line="240" w:lineRule="auto"/>
              <w:ind w:left="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4"/>
                <w:szCs w:val="21"/>
                <w:highlight w:val="none"/>
                <w:lang w:val="en-US" w:eastAsia="zh-CN"/>
              </w:rPr>
              <w:t>应急响应方案简单，提出的应急措施</w:t>
            </w:r>
            <w:r>
              <w:rPr>
                <w:rFonts w:hint="eastAsia" w:ascii="宋体" w:hAnsi="宋体" w:eastAsia="宋体" w:cs="宋体"/>
                <w:color w:val="auto"/>
                <w:sz w:val="21"/>
                <w:szCs w:val="21"/>
                <w:highlight w:val="none"/>
                <w:lang w:val="en-US" w:eastAsia="zh-CN"/>
              </w:rPr>
              <w:t>缺乏针对性和有效性的得0.1-2.9分；</w:t>
            </w:r>
          </w:p>
          <w:p w14:paraId="101BE2A3">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未提及此项不得分。</w:t>
            </w:r>
          </w:p>
        </w:tc>
        <w:tc>
          <w:tcPr>
            <w:tcW w:w="702" w:type="dxa"/>
            <w:noWrap w:val="0"/>
            <w:vAlign w:val="center"/>
          </w:tcPr>
          <w:p w14:paraId="0517FF0A">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c>
          <w:tcPr>
            <w:tcW w:w="702" w:type="dxa"/>
            <w:noWrap w:val="0"/>
            <w:vAlign w:val="center"/>
          </w:tcPr>
          <w:p w14:paraId="76EA2771">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59175992">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1FBE4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jc w:val="center"/>
        </w:trPr>
        <w:tc>
          <w:tcPr>
            <w:tcW w:w="1060" w:type="dxa"/>
            <w:vMerge w:val="continue"/>
            <w:noWrap w:val="0"/>
            <w:vAlign w:val="center"/>
          </w:tcPr>
          <w:p w14:paraId="00C6865F">
            <w:pPr>
              <w:keepNext w:val="0"/>
              <w:keepLines w:val="0"/>
              <w:pageBreakBefore w:val="0"/>
              <w:widowControl/>
              <w:kinsoku/>
              <w:wordWrap/>
              <w:overflowPunct/>
              <w:topLinePunct w:val="0"/>
              <w:bidi w:val="0"/>
              <w:spacing w:line="240" w:lineRule="auto"/>
              <w:ind w:firstLine="0" w:firstLineChars="0"/>
              <w:jc w:val="center"/>
              <w:textAlignment w:val="auto"/>
              <w:rPr>
                <w:rFonts w:hint="eastAsia" w:asciiTheme="minorEastAsia" w:hAnsiTheme="minorEastAsia" w:eastAsiaTheme="minorEastAsia" w:cstheme="minorEastAsia"/>
                <w:color w:val="auto"/>
                <w:kern w:val="0"/>
                <w:sz w:val="21"/>
                <w:szCs w:val="21"/>
                <w:highlight w:val="none"/>
              </w:rPr>
            </w:pPr>
          </w:p>
        </w:tc>
        <w:tc>
          <w:tcPr>
            <w:tcW w:w="1122" w:type="dxa"/>
            <w:noWrap w:val="0"/>
            <w:vAlign w:val="center"/>
          </w:tcPr>
          <w:p w14:paraId="13F8D7C0">
            <w:pPr>
              <w:keepNext w:val="0"/>
              <w:keepLines w:val="0"/>
              <w:pageBreakBefore w:val="0"/>
              <w:widowControl/>
              <w:kinsoku/>
              <w:wordWrap/>
              <w:overflowPunct/>
              <w:topLinePunct w:val="0"/>
              <w:bidi w:val="0"/>
              <w:spacing w:line="240" w:lineRule="auto"/>
              <w:ind w:firstLine="0" w:firstLineChars="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合理化建议</w:t>
            </w:r>
          </w:p>
        </w:tc>
        <w:tc>
          <w:tcPr>
            <w:tcW w:w="6148" w:type="dxa"/>
            <w:noWrap w:val="0"/>
            <w:vAlign w:val="center"/>
          </w:tcPr>
          <w:p w14:paraId="6FB719DF">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根据投标人提供的合理化建议</w:t>
            </w:r>
            <w:r>
              <w:rPr>
                <w:rFonts w:hint="eastAsia" w:asciiTheme="minorEastAsia" w:hAnsiTheme="minorEastAsia" w:eastAsiaTheme="minorEastAsia" w:cstheme="minorEastAsia"/>
                <w:color w:val="auto"/>
                <w:sz w:val="21"/>
                <w:szCs w:val="21"/>
                <w:highlight w:val="none"/>
                <w:lang w:eastAsia="zh-CN"/>
              </w:rPr>
              <w:t>进行打分。</w:t>
            </w:r>
          </w:p>
          <w:p w14:paraId="47E3D4A1">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其他合理化建议科学、合理、可行的得</w:t>
            </w:r>
            <w:r>
              <w:rPr>
                <w:rFonts w:hint="eastAsia" w:asciiTheme="minorEastAsia" w:hAnsiTheme="minorEastAsia" w:eastAsiaTheme="minorEastAsia" w:cstheme="minorEastAsia"/>
                <w:color w:val="auto"/>
                <w:sz w:val="21"/>
                <w:szCs w:val="21"/>
                <w:highlight w:val="none"/>
                <w:lang w:val="en-US" w:eastAsia="zh-CN"/>
              </w:rPr>
              <w:t>3.0-5.0分；</w:t>
            </w:r>
          </w:p>
          <w:p w14:paraId="45E2B097">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其他合理化建议基本符合采购人需求的得</w:t>
            </w:r>
            <w:r>
              <w:rPr>
                <w:rFonts w:hint="eastAsia" w:asciiTheme="minorEastAsia" w:hAnsiTheme="minorEastAsia" w:eastAsiaTheme="minorEastAsia" w:cstheme="minorEastAsia"/>
                <w:color w:val="auto"/>
                <w:sz w:val="21"/>
                <w:szCs w:val="21"/>
                <w:highlight w:val="none"/>
                <w:lang w:val="en-US" w:eastAsia="zh-CN"/>
              </w:rPr>
              <w:t>0.1-2.9分；</w:t>
            </w:r>
          </w:p>
          <w:p w14:paraId="5CE9B0FE">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6D6139EE">
            <w:pPr>
              <w:keepNext w:val="0"/>
              <w:keepLines w:val="0"/>
              <w:pageBreakBefore w:val="0"/>
              <w:kinsoku/>
              <w:wordWrap/>
              <w:overflowPunct/>
              <w:topLinePunct w:val="0"/>
              <w:bidi w:val="0"/>
              <w:spacing w:line="240" w:lineRule="auto"/>
              <w:ind w:firstLine="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5</w:t>
            </w:r>
          </w:p>
        </w:tc>
        <w:tc>
          <w:tcPr>
            <w:tcW w:w="702" w:type="dxa"/>
            <w:noWrap w:val="0"/>
            <w:vAlign w:val="center"/>
          </w:tcPr>
          <w:p w14:paraId="3D24D145">
            <w:pPr>
              <w:keepNext w:val="0"/>
              <w:keepLines w:val="0"/>
              <w:pageBreakBefore w:val="0"/>
              <w:kinsoku/>
              <w:wordWrap/>
              <w:overflowPunct/>
              <w:topLinePunct w:val="0"/>
              <w:bidi w:val="0"/>
              <w:spacing w:line="240" w:lineRule="auto"/>
              <w:ind w:firstLine="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p>
        </w:tc>
        <w:tc>
          <w:tcPr>
            <w:tcW w:w="702" w:type="dxa"/>
            <w:noWrap w:val="0"/>
            <w:vAlign w:val="center"/>
          </w:tcPr>
          <w:p w14:paraId="51935E73">
            <w:pPr>
              <w:keepNext w:val="0"/>
              <w:keepLines w:val="0"/>
              <w:pageBreakBefore w:val="0"/>
              <w:kinsoku/>
              <w:wordWrap/>
              <w:overflowPunct/>
              <w:topLinePunct w:val="0"/>
              <w:bidi w:val="0"/>
              <w:spacing w:line="240" w:lineRule="auto"/>
              <w:ind w:firstLine="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p>
        </w:tc>
      </w:tr>
    </w:tbl>
    <w:p w14:paraId="0F8A432D">
      <w:pPr>
        <w:pStyle w:val="37"/>
        <w:shd w:val="clear" w:color="auto" w:fill="FFFFFF"/>
        <w:spacing w:before="0" w:beforeAutospacing="0" w:after="0" w:afterAutospacing="0" w:line="240" w:lineRule="auto"/>
        <w:jc w:val="both"/>
        <w:rPr>
          <w:rFonts w:hint="eastAsia" w:ascii="宋体" w:hAnsi="宋体" w:eastAsia="宋体" w:cs="宋体"/>
          <w:b/>
          <w:color w:val="auto"/>
          <w:sz w:val="32"/>
          <w:szCs w:val="32"/>
          <w:highlight w:val="none"/>
        </w:rPr>
      </w:pPr>
    </w:p>
    <w:p w14:paraId="4BABCF5B">
      <w:pPr>
        <w:spacing w:line="360" w:lineRule="auto"/>
        <w:jc w:val="left"/>
        <w:rPr>
          <w:rFonts w:hint="eastAsia" w:ascii="宋体" w:hAnsi="宋体" w:eastAsia="宋体" w:cs="宋体"/>
          <w:b/>
          <w:color w:val="auto"/>
          <w:szCs w:val="21"/>
          <w:highlight w:val="none"/>
          <w:lang w:val="en-US" w:eastAsia="zh-CN"/>
        </w:rPr>
      </w:pPr>
    </w:p>
    <w:p w14:paraId="6AF493B3">
      <w:pPr>
        <w:spacing w:line="360" w:lineRule="auto"/>
        <w:jc w:val="left"/>
        <w:rPr>
          <w:rFonts w:hint="eastAsia" w:ascii="宋体" w:hAnsi="宋体" w:eastAsia="宋体" w:cs="宋体"/>
          <w:color w:val="auto"/>
          <w:sz w:val="21"/>
          <w:szCs w:val="21"/>
          <w:highlight w:val="none"/>
          <w:lang w:val="zh-CN"/>
        </w:rPr>
      </w:pPr>
      <w:r>
        <w:rPr>
          <w:rFonts w:hint="eastAsia" w:ascii="宋体" w:hAnsi="宋体" w:eastAsia="宋体" w:cs="宋体"/>
          <w:b/>
          <w:color w:val="auto"/>
          <w:szCs w:val="21"/>
          <w:highlight w:val="none"/>
          <w:lang w:val="en-US" w:eastAsia="zh-CN"/>
        </w:rPr>
        <w:t>标段二：</w:t>
      </w:r>
      <w:r>
        <w:rPr>
          <w:rFonts w:hint="eastAsia" w:ascii="宋体" w:hAnsi="宋体" w:cs="宋体"/>
          <w:b/>
          <w:color w:val="auto"/>
          <w:szCs w:val="21"/>
          <w:highlight w:val="none"/>
          <w:lang w:val="en-US" w:eastAsia="zh-CN"/>
        </w:rPr>
        <w:t xml:space="preserve">                            </w:t>
      </w:r>
      <w:r>
        <w:rPr>
          <w:rFonts w:hint="eastAsia" w:ascii="宋体" w:hAnsi="宋体" w:eastAsia="宋体" w:cs="宋体"/>
          <w:b/>
          <w:color w:val="auto"/>
          <w:szCs w:val="21"/>
          <w:highlight w:val="none"/>
          <w:lang w:val="en-US" w:eastAsia="zh-CN"/>
        </w:rPr>
        <w:t>评标索引：自评表</w:t>
      </w:r>
    </w:p>
    <w:tbl>
      <w:tblPr>
        <w:tblStyle w:val="21"/>
        <w:tblW w:w="104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1122"/>
        <w:gridCol w:w="6148"/>
        <w:gridCol w:w="702"/>
        <w:gridCol w:w="702"/>
        <w:gridCol w:w="702"/>
      </w:tblGrid>
      <w:tr w14:paraId="3A15A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52" w:hRule="atLeast"/>
          <w:jc w:val="center"/>
        </w:trPr>
        <w:tc>
          <w:tcPr>
            <w:tcW w:w="2182" w:type="dxa"/>
            <w:gridSpan w:val="2"/>
            <w:noWrap w:val="0"/>
            <w:vAlign w:val="center"/>
          </w:tcPr>
          <w:p w14:paraId="3F19BB87">
            <w:pPr>
              <w:jc w:val="center"/>
              <w:rPr>
                <w:rFonts w:hint="eastAsia" w:asciiTheme="minorEastAsia" w:hAnsiTheme="minorEastAsia" w:eastAsiaTheme="minorEastAsia" w:cstheme="minorEastAsia"/>
                <w:b/>
                <w:bCs/>
                <w:color w:val="auto"/>
                <w:sz w:val="21"/>
                <w:szCs w:val="21"/>
                <w:highlight w:val="none"/>
              </w:rPr>
            </w:pPr>
            <w:r>
              <w:rPr>
                <w:rFonts w:hint="eastAsia" w:ascii="宋体" w:hAnsi="宋体" w:eastAsia="宋体" w:cs="宋体"/>
                <w:b/>
                <w:color w:val="auto"/>
                <w:sz w:val="36"/>
                <w:szCs w:val="36"/>
                <w:highlight w:val="none"/>
              </w:rPr>
              <w:br w:type="page"/>
            </w:r>
            <w:r>
              <w:rPr>
                <w:rFonts w:hint="eastAsia" w:asciiTheme="minorEastAsia" w:hAnsiTheme="minorEastAsia" w:eastAsiaTheme="minorEastAsia" w:cstheme="minorEastAsia"/>
                <w:b/>
                <w:bCs/>
                <w:color w:val="auto"/>
                <w:sz w:val="21"/>
                <w:szCs w:val="21"/>
                <w:highlight w:val="none"/>
              </w:rPr>
              <w:t>评标因素</w:t>
            </w:r>
          </w:p>
        </w:tc>
        <w:tc>
          <w:tcPr>
            <w:tcW w:w="6148" w:type="dxa"/>
            <w:noWrap w:val="0"/>
            <w:vAlign w:val="center"/>
          </w:tcPr>
          <w:p w14:paraId="3D4E9D1A">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评分标准</w:t>
            </w:r>
          </w:p>
        </w:tc>
        <w:tc>
          <w:tcPr>
            <w:tcW w:w="702" w:type="dxa"/>
            <w:noWrap w:val="0"/>
            <w:vAlign w:val="center"/>
          </w:tcPr>
          <w:p w14:paraId="7407301F">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分值</w:t>
            </w:r>
          </w:p>
        </w:tc>
        <w:tc>
          <w:tcPr>
            <w:tcW w:w="702" w:type="dxa"/>
            <w:noWrap w:val="0"/>
            <w:vAlign w:val="center"/>
          </w:tcPr>
          <w:p w14:paraId="3B60F906">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对应页码</w:t>
            </w:r>
          </w:p>
        </w:tc>
        <w:tc>
          <w:tcPr>
            <w:tcW w:w="702" w:type="dxa"/>
            <w:noWrap w:val="0"/>
            <w:vAlign w:val="center"/>
          </w:tcPr>
          <w:p w14:paraId="0B910BDB">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自评分</w:t>
            </w:r>
          </w:p>
        </w:tc>
      </w:tr>
      <w:tr w14:paraId="16432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jc w:val="center"/>
        </w:trPr>
        <w:tc>
          <w:tcPr>
            <w:tcW w:w="1060" w:type="dxa"/>
            <w:vMerge w:val="restart"/>
            <w:noWrap w:val="0"/>
            <w:vAlign w:val="center"/>
          </w:tcPr>
          <w:p w14:paraId="6F6EDCDB">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商务分</w:t>
            </w:r>
          </w:p>
          <w:p w14:paraId="22264729">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（9分）</w:t>
            </w:r>
          </w:p>
        </w:tc>
        <w:tc>
          <w:tcPr>
            <w:tcW w:w="1122" w:type="dxa"/>
            <w:noWrap w:val="0"/>
            <w:vAlign w:val="center"/>
          </w:tcPr>
          <w:p w14:paraId="36B3D8E0">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团队人员</w:t>
            </w:r>
          </w:p>
        </w:tc>
        <w:tc>
          <w:tcPr>
            <w:tcW w:w="6148" w:type="dxa"/>
            <w:noWrap w:val="0"/>
            <w:vAlign w:val="center"/>
          </w:tcPr>
          <w:p w14:paraId="0EBB456D">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拟派本项目的工作人员：每提供一本导游资质证书得2分，本项最高得8分。</w:t>
            </w:r>
          </w:p>
          <w:p w14:paraId="6EF80A07">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color w:val="auto"/>
                <w:kern w:val="2"/>
                <w:sz w:val="21"/>
                <w:szCs w:val="21"/>
                <w:highlight w:val="none"/>
                <w:lang w:val="en-US" w:eastAsia="zh-CN" w:bidi="ar-SA"/>
              </w:rPr>
              <w:t>须</w:t>
            </w:r>
            <w:r>
              <w:rPr>
                <w:rFonts w:hint="eastAsia" w:asciiTheme="minorEastAsia" w:hAnsiTheme="minorEastAsia" w:eastAsiaTheme="minorEastAsia" w:cstheme="minorEastAsia"/>
                <w:b/>
                <w:bCs/>
                <w:color w:val="auto"/>
                <w:sz w:val="21"/>
                <w:szCs w:val="21"/>
                <w:highlight w:val="none"/>
                <w:lang w:val="en-US" w:eastAsia="zh-CN"/>
              </w:rPr>
              <w:t>提供相应证书扫描件</w:t>
            </w:r>
            <w:r>
              <w:rPr>
                <w:rFonts w:hint="eastAsia" w:asciiTheme="minorEastAsia" w:hAnsiTheme="minorEastAsia" w:eastAsiaTheme="minorEastAsia" w:cstheme="minorEastAsia"/>
                <w:b/>
                <w:bCs/>
                <w:color w:val="auto"/>
                <w:sz w:val="21"/>
                <w:szCs w:val="21"/>
                <w:highlight w:val="none"/>
              </w:rPr>
              <w:t>及</w:t>
            </w:r>
            <w:r>
              <w:rPr>
                <w:rFonts w:hint="eastAsia" w:asciiTheme="minorEastAsia" w:hAnsiTheme="minorEastAsia" w:eastAsiaTheme="minorEastAsia" w:cstheme="minorEastAsia"/>
                <w:b/>
                <w:bCs/>
                <w:color w:val="auto"/>
                <w:sz w:val="21"/>
                <w:szCs w:val="21"/>
                <w:highlight w:val="none"/>
                <w:lang w:val="en-US" w:eastAsia="zh-CN"/>
              </w:rPr>
              <w:t>投标人为其缴纳的2025年2月的</w:t>
            </w:r>
            <w:r>
              <w:rPr>
                <w:rFonts w:hint="eastAsia" w:asciiTheme="minorEastAsia" w:hAnsiTheme="minorEastAsia" w:eastAsiaTheme="minorEastAsia" w:cstheme="minorEastAsia"/>
                <w:b/>
                <w:bCs/>
                <w:color w:val="auto"/>
                <w:sz w:val="21"/>
                <w:szCs w:val="21"/>
                <w:highlight w:val="none"/>
              </w:rPr>
              <w:t>社保缴费证明</w:t>
            </w:r>
            <w:r>
              <w:rPr>
                <w:rFonts w:hint="eastAsia" w:asciiTheme="minorEastAsia" w:hAnsiTheme="minorEastAsia" w:eastAsiaTheme="minorEastAsia" w:cstheme="minorEastAsia"/>
                <w:b/>
                <w:bCs/>
                <w:color w:val="auto"/>
                <w:sz w:val="21"/>
                <w:szCs w:val="21"/>
                <w:highlight w:val="none"/>
                <w:lang w:val="en-US" w:eastAsia="zh-CN"/>
              </w:rPr>
              <w:t>并</w:t>
            </w:r>
            <w:r>
              <w:rPr>
                <w:rFonts w:hint="eastAsia" w:asciiTheme="minorEastAsia" w:hAnsiTheme="minorEastAsia" w:eastAsiaTheme="minorEastAsia" w:cstheme="minorEastAsia"/>
                <w:b/>
                <w:bCs/>
                <w:color w:val="auto"/>
                <w:sz w:val="21"/>
                <w:szCs w:val="21"/>
                <w:highlight w:val="none"/>
              </w:rPr>
              <w:t>加盖</w:t>
            </w:r>
            <w:r>
              <w:rPr>
                <w:rFonts w:hint="eastAsia" w:asciiTheme="minorEastAsia" w:hAnsiTheme="minorEastAsia" w:eastAsiaTheme="minorEastAsia" w:cstheme="minorEastAsia"/>
                <w:b/>
                <w:bCs/>
                <w:color w:val="auto"/>
                <w:sz w:val="21"/>
                <w:szCs w:val="21"/>
                <w:highlight w:val="none"/>
                <w:lang w:val="en-US" w:eastAsia="zh-CN"/>
              </w:rPr>
              <w:t>投标人</w:t>
            </w:r>
            <w:r>
              <w:rPr>
                <w:rFonts w:hint="eastAsia" w:asciiTheme="minorEastAsia" w:hAnsiTheme="minorEastAsia" w:eastAsiaTheme="minorEastAsia" w:cstheme="minorEastAsia"/>
                <w:b/>
                <w:bCs/>
                <w:color w:val="auto"/>
                <w:sz w:val="21"/>
                <w:szCs w:val="21"/>
                <w:highlight w:val="none"/>
              </w:rPr>
              <w:t>公章编入投标文件中，</w:t>
            </w:r>
            <w:r>
              <w:rPr>
                <w:rFonts w:hint="eastAsia" w:asciiTheme="minorEastAsia" w:hAnsiTheme="minorEastAsia" w:eastAsiaTheme="minorEastAsia" w:cstheme="minorEastAsia"/>
                <w:b/>
                <w:bCs/>
                <w:color w:val="auto"/>
                <w:sz w:val="21"/>
                <w:szCs w:val="21"/>
                <w:highlight w:val="none"/>
                <w:lang w:val="en-US" w:eastAsia="zh-CN"/>
              </w:rPr>
              <w:t>未提供或提供不全的</w:t>
            </w:r>
            <w:r>
              <w:rPr>
                <w:rFonts w:hint="eastAsia" w:asciiTheme="minorEastAsia" w:hAnsiTheme="minorEastAsia" w:eastAsiaTheme="minorEastAsia" w:cstheme="minorEastAsia"/>
                <w:b/>
                <w:bCs/>
                <w:color w:val="auto"/>
                <w:sz w:val="21"/>
                <w:szCs w:val="21"/>
                <w:highlight w:val="none"/>
              </w:rPr>
              <w:t>不得分</w:t>
            </w:r>
            <w:r>
              <w:rPr>
                <w:rFonts w:hint="eastAsia" w:asciiTheme="minorEastAsia" w:hAnsiTheme="minorEastAsia" w:eastAsiaTheme="minorEastAsia" w:cstheme="minorEastAsia"/>
                <w:b/>
                <w:bCs/>
                <w:color w:val="auto"/>
                <w:sz w:val="21"/>
                <w:szCs w:val="21"/>
                <w:highlight w:val="none"/>
                <w:lang w:val="en-US" w:eastAsia="zh-CN"/>
              </w:rPr>
              <w:t>）</w:t>
            </w:r>
          </w:p>
        </w:tc>
        <w:tc>
          <w:tcPr>
            <w:tcW w:w="702" w:type="dxa"/>
            <w:noWrap w:val="0"/>
            <w:vAlign w:val="center"/>
          </w:tcPr>
          <w:p w14:paraId="0BF8C736">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8</w:t>
            </w:r>
          </w:p>
        </w:tc>
        <w:tc>
          <w:tcPr>
            <w:tcW w:w="702" w:type="dxa"/>
            <w:noWrap w:val="0"/>
            <w:vAlign w:val="center"/>
          </w:tcPr>
          <w:p w14:paraId="02AD4912">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702" w:type="dxa"/>
            <w:noWrap w:val="0"/>
            <w:vAlign w:val="center"/>
          </w:tcPr>
          <w:p w14:paraId="7046FA04">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p>
        </w:tc>
      </w:tr>
      <w:tr w14:paraId="1660A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4" w:hRule="atLeast"/>
          <w:jc w:val="center"/>
        </w:trPr>
        <w:tc>
          <w:tcPr>
            <w:tcW w:w="1060" w:type="dxa"/>
            <w:vMerge w:val="continue"/>
            <w:noWrap w:val="0"/>
            <w:vAlign w:val="center"/>
          </w:tcPr>
          <w:p w14:paraId="08573188">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4E445468">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承接经验</w:t>
            </w:r>
          </w:p>
        </w:tc>
        <w:tc>
          <w:tcPr>
            <w:tcW w:w="6148" w:type="dxa"/>
            <w:noWrap w:val="0"/>
            <w:vAlign w:val="center"/>
          </w:tcPr>
          <w:p w14:paraId="6286C179">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投标人</w:t>
            </w:r>
            <w:r>
              <w:rPr>
                <w:rFonts w:hint="eastAsia" w:asciiTheme="minorEastAsia" w:hAnsiTheme="minorEastAsia" w:eastAsiaTheme="minorEastAsia" w:cstheme="minorEastAsia"/>
                <w:color w:val="auto"/>
                <w:sz w:val="21"/>
                <w:szCs w:val="21"/>
                <w:highlight w:val="none"/>
                <w:lang w:val="en-US" w:eastAsia="zh-CN"/>
              </w:rPr>
              <w:t>提供自2020年1月1日</w:t>
            </w:r>
            <w:r>
              <w:rPr>
                <w:rFonts w:hint="eastAsia" w:asciiTheme="minorEastAsia" w:hAnsiTheme="minorEastAsia" w:eastAsiaTheme="minorEastAsia" w:cstheme="minorEastAsia"/>
                <w:color w:val="auto"/>
                <w:sz w:val="21"/>
                <w:szCs w:val="21"/>
                <w:highlight w:val="none"/>
                <w:lang w:eastAsia="zh-CN"/>
              </w:rPr>
              <w:t>以来</w:t>
            </w:r>
            <w:r>
              <w:rPr>
                <w:rFonts w:hint="eastAsia" w:asciiTheme="minorEastAsia" w:hAnsiTheme="minorEastAsia" w:eastAsiaTheme="minorEastAsia" w:cstheme="minorEastAsia"/>
                <w:color w:val="auto"/>
                <w:sz w:val="21"/>
                <w:szCs w:val="21"/>
                <w:highlight w:val="none"/>
              </w:rPr>
              <w:t>（以合同签订时间为准）</w:t>
            </w:r>
            <w:r>
              <w:rPr>
                <w:rFonts w:hint="eastAsia" w:asciiTheme="minorEastAsia" w:hAnsiTheme="minorEastAsia" w:eastAsiaTheme="minorEastAsia" w:cstheme="minorEastAsia"/>
                <w:color w:val="auto"/>
                <w:sz w:val="21"/>
                <w:szCs w:val="21"/>
                <w:highlight w:val="none"/>
                <w:lang w:val="en-US" w:eastAsia="zh-CN"/>
              </w:rPr>
              <w:t>承接的</w:t>
            </w:r>
            <w:r>
              <w:rPr>
                <w:rFonts w:hint="eastAsia" w:asciiTheme="minorEastAsia" w:hAnsiTheme="minorEastAsia" w:eastAsiaTheme="minorEastAsia" w:cstheme="minorEastAsia"/>
                <w:color w:val="auto"/>
                <w:sz w:val="21"/>
                <w:szCs w:val="21"/>
                <w:highlight w:val="none"/>
                <w:lang w:eastAsia="zh-CN"/>
              </w:rPr>
              <w:t>类似项目</w:t>
            </w:r>
            <w:r>
              <w:rPr>
                <w:rFonts w:hint="eastAsia" w:asciiTheme="minorEastAsia" w:hAnsiTheme="minorEastAsia" w:eastAsiaTheme="minorEastAsia" w:cstheme="minorEastAsia"/>
                <w:color w:val="auto"/>
                <w:sz w:val="21"/>
                <w:szCs w:val="21"/>
                <w:highlight w:val="none"/>
                <w:lang w:val="en-US" w:eastAsia="zh-CN"/>
              </w:rPr>
              <w:t>业绩证明</w:t>
            </w:r>
            <w:r>
              <w:rPr>
                <w:rFonts w:hint="eastAsia" w:asciiTheme="minorEastAsia" w:hAnsiTheme="minorEastAsia" w:eastAsiaTheme="minorEastAsia" w:cstheme="minorEastAsia"/>
                <w:color w:val="auto"/>
                <w:sz w:val="21"/>
                <w:szCs w:val="21"/>
                <w:highlight w:val="none"/>
              </w:rPr>
              <w:t>，每提供1个得</w:t>
            </w:r>
            <w:r>
              <w:rPr>
                <w:rFonts w:hint="eastAsia" w:asciiTheme="minorEastAsia" w:hAnsiTheme="minorEastAsia" w:eastAsiaTheme="minorEastAsia" w:cstheme="minorEastAsia"/>
                <w:color w:val="auto"/>
                <w:sz w:val="21"/>
                <w:szCs w:val="21"/>
                <w:highlight w:val="none"/>
                <w:lang w:val="en-US" w:eastAsia="zh-CN"/>
              </w:rPr>
              <w:t>0.2</w:t>
            </w:r>
            <w:r>
              <w:rPr>
                <w:rFonts w:hint="eastAsia" w:asciiTheme="minorEastAsia" w:hAnsiTheme="minorEastAsia" w:eastAsiaTheme="minorEastAsia" w:cstheme="minorEastAsia"/>
                <w:color w:val="auto"/>
                <w:sz w:val="21"/>
                <w:szCs w:val="21"/>
                <w:highlight w:val="none"/>
              </w:rPr>
              <w:t>分，</w:t>
            </w:r>
            <w:r>
              <w:rPr>
                <w:rFonts w:hint="eastAsia" w:asciiTheme="minorEastAsia" w:hAnsiTheme="minorEastAsia" w:eastAsiaTheme="minorEastAsia" w:cstheme="minorEastAsia"/>
                <w:color w:val="auto"/>
                <w:sz w:val="21"/>
                <w:szCs w:val="21"/>
                <w:highlight w:val="none"/>
                <w:lang w:val="en-US" w:eastAsia="zh-CN"/>
              </w:rPr>
              <w:t>本项</w:t>
            </w:r>
            <w:r>
              <w:rPr>
                <w:rFonts w:hint="eastAsia" w:asciiTheme="minorEastAsia" w:hAnsiTheme="minorEastAsia" w:eastAsiaTheme="minorEastAsia" w:cstheme="minorEastAsia"/>
                <w:color w:val="auto"/>
                <w:sz w:val="21"/>
                <w:szCs w:val="21"/>
                <w:highlight w:val="none"/>
              </w:rPr>
              <w:t>最高得</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分。</w:t>
            </w:r>
          </w:p>
          <w:p w14:paraId="0284CA98">
            <w:pPr>
              <w:keepNext w:val="0"/>
              <w:keepLines w:val="0"/>
              <w:pageBreakBefore w:val="0"/>
              <w:numPr>
                <w:ilvl w:val="0"/>
                <w:numId w:val="0"/>
              </w:numPr>
              <w:kinsoku/>
              <w:wordWrap/>
              <w:overflowPunct/>
              <w:topLinePunct w:val="0"/>
              <w:bidi w:val="0"/>
              <w:adjustRightInd w:val="0"/>
              <w:snapToGrid w:val="0"/>
              <w:spacing w:line="240" w:lineRule="auto"/>
              <w:ind w:left="0" w:leftChars="0" w:firstLine="0" w:firstLineChars="0"/>
              <w:jc w:val="both"/>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（须提供合同</w:t>
            </w:r>
            <w:r>
              <w:rPr>
                <w:rFonts w:hint="eastAsia" w:asciiTheme="minorEastAsia" w:hAnsiTheme="minorEastAsia" w:eastAsiaTheme="minorEastAsia" w:cstheme="minorEastAsia"/>
                <w:b/>
                <w:bCs/>
                <w:color w:val="auto"/>
                <w:kern w:val="2"/>
                <w:sz w:val="21"/>
                <w:szCs w:val="21"/>
                <w:highlight w:val="none"/>
                <w:lang w:val="en-US" w:eastAsia="zh-CN"/>
              </w:rPr>
              <w:t>扫描</w:t>
            </w:r>
            <w:r>
              <w:rPr>
                <w:rFonts w:hint="eastAsia" w:asciiTheme="minorEastAsia" w:hAnsiTheme="minorEastAsia" w:eastAsiaTheme="minorEastAsia" w:cstheme="minorEastAsia"/>
                <w:b/>
                <w:bCs/>
                <w:color w:val="auto"/>
                <w:kern w:val="2"/>
                <w:sz w:val="21"/>
                <w:szCs w:val="21"/>
                <w:highlight w:val="none"/>
                <w:lang w:eastAsia="zh-CN"/>
              </w:rPr>
              <w:t>件</w:t>
            </w:r>
            <w:r>
              <w:rPr>
                <w:rFonts w:hint="eastAsia" w:asciiTheme="minorEastAsia" w:hAnsiTheme="minorEastAsia" w:eastAsiaTheme="minorEastAsia" w:cstheme="minorEastAsia"/>
                <w:b/>
                <w:bCs/>
                <w:color w:val="auto"/>
                <w:sz w:val="21"/>
                <w:szCs w:val="21"/>
                <w:highlight w:val="none"/>
              </w:rPr>
              <w:t>加盖</w:t>
            </w:r>
            <w:r>
              <w:rPr>
                <w:rFonts w:hint="eastAsia" w:asciiTheme="minorEastAsia" w:hAnsiTheme="minorEastAsia" w:eastAsiaTheme="minorEastAsia" w:cstheme="minorEastAsia"/>
                <w:b/>
                <w:bCs/>
                <w:color w:val="auto"/>
                <w:sz w:val="21"/>
                <w:szCs w:val="21"/>
                <w:highlight w:val="none"/>
                <w:lang w:val="en-US" w:eastAsia="zh-CN"/>
              </w:rPr>
              <w:t>投标人</w:t>
            </w:r>
            <w:r>
              <w:rPr>
                <w:rFonts w:hint="eastAsia" w:asciiTheme="minorEastAsia" w:hAnsiTheme="minorEastAsia" w:eastAsiaTheme="minorEastAsia" w:cstheme="minorEastAsia"/>
                <w:b/>
                <w:bCs/>
                <w:color w:val="auto"/>
                <w:sz w:val="21"/>
                <w:szCs w:val="21"/>
                <w:highlight w:val="none"/>
              </w:rPr>
              <w:t>公章编入投标文件中，</w:t>
            </w:r>
            <w:r>
              <w:rPr>
                <w:rFonts w:hint="eastAsia" w:asciiTheme="minorEastAsia" w:hAnsiTheme="minorEastAsia" w:eastAsiaTheme="minorEastAsia" w:cstheme="minorEastAsia"/>
                <w:b/>
                <w:bCs/>
                <w:color w:val="auto"/>
                <w:sz w:val="21"/>
                <w:szCs w:val="21"/>
                <w:highlight w:val="none"/>
                <w:lang w:val="en-US" w:eastAsia="zh-CN"/>
              </w:rPr>
              <w:t>未提供的</w:t>
            </w:r>
            <w:r>
              <w:rPr>
                <w:rFonts w:hint="eastAsia" w:asciiTheme="minorEastAsia" w:hAnsiTheme="minorEastAsia" w:eastAsiaTheme="minorEastAsia" w:cstheme="minorEastAsia"/>
                <w:b/>
                <w:bCs/>
                <w:color w:val="auto"/>
                <w:sz w:val="21"/>
                <w:szCs w:val="21"/>
                <w:highlight w:val="none"/>
              </w:rPr>
              <w:t>不得分</w:t>
            </w:r>
            <w:r>
              <w:rPr>
                <w:rFonts w:hint="eastAsia" w:asciiTheme="minorEastAsia" w:hAnsiTheme="minorEastAsia" w:eastAsiaTheme="minorEastAsia" w:cstheme="minorEastAsia"/>
                <w:b/>
                <w:bCs/>
                <w:color w:val="auto"/>
                <w:kern w:val="2"/>
                <w:sz w:val="21"/>
                <w:szCs w:val="21"/>
                <w:highlight w:val="none"/>
                <w:lang w:val="en-US" w:eastAsia="zh-CN" w:bidi="ar-SA"/>
              </w:rPr>
              <w:t>）</w:t>
            </w:r>
          </w:p>
        </w:tc>
        <w:tc>
          <w:tcPr>
            <w:tcW w:w="702" w:type="dxa"/>
            <w:noWrap w:val="0"/>
            <w:vAlign w:val="center"/>
          </w:tcPr>
          <w:p w14:paraId="6D2ADA79">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1</w:t>
            </w:r>
          </w:p>
        </w:tc>
        <w:tc>
          <w:tcPr>
            <w:tcW w:w="702" w:type="dxa"/>
            <w:noWrap w:val="0"/>
            <w:vAlign w:val="center"/>
          </w:tcPr>
          <w:p w14:paraId="18BD4CB3">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702" w:type="dxa"/>
            <w:noWrap w:val="0"/>
            <w:vAlign w:val="center"/>
          </w:tcPr>
          <w:p w14:paraId="2646689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sz w:val="21"/>
                <w:szCs w:val="21"/>
                <w:highlight w:val="none"/>
                <w:lang w:val="en-US" w:eastAsia="zh-CN"/>
              </w:rPr>
            </w:pPr>
          </w:p>
        </w:tc>
      </w:tr>
      <w:tr w14:paraId="7CE2D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2" w:hRule="atLeast"/>
          <w:jc w:val="center"/>
        </w:trPr>
        <w:tc>
          <w:tcPr>
            <w:tcW w:w="1060" w:type="dxa"/>
            <w:vMerge w:val="restart"/>
            <w:noWrap w:val="0"/>
            <w:vAlign w:val="center"/>
          </w:tcPr>
          <w:p w14:paraId="55DB2DEC">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技术分</w:t>
            </w:r>
          </w:p>
          <w:p w14:paraId="5AB0617E">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（81分）</w:t>
            </w:r>
          </w:p>
        </w:tc>
        <w:tc>
          <w:tcPr>
            <w:tcW w:w="1122" w:type="dxa"/>
            <w:vMerge w:val="restart"/>
            <w:noWrap w:val="0"/>
            <w:vAlign w:val="center"/>
          </w:tcPr>
          <w:p w14:paraId="696CB964">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noWrap w:val="0"/>
            <w:vAlign w:val="center"/>
          </w:tcPr>
          <w:p w14:paraId="1120B4B2">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整体方案：</w:t>
            </w:r>
            <w:r>
              <w:rPr>
                <w:rFonts w:hint="eastAsia" w:asciiTheme="minorEastAsia" w:hAnsiTheme="minorEastAsia" w:eastAsiaTheme="minorEastAsia" w:cstheme="minorEastAsia"/>
                <w:color w:val="auto"/>
                <w:sz w:val="21"/>
                <w:szCs w:val="21"/>
                <w:highlight w:val="none"/>
                <w:lang w:val="en-US" w:eastAsia="zh-CN"/>
              </w:rPr>
              <w:t>根据投标人针对疗休养提供的整体服务方案，包括导游安排、景区门票观光车安排等内容进行打分。</w:t>
            </w:r>
          </w:p>
          <w:p w14:paraId="08A4BF08">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方案全面完整，科学合理，总体出行路线安排明确，有针对性的得3.0-5.0分；</w:t>
            </w:r>
          </w:p>
          <w:p w14:paraId="58AFC44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方案基本合理，出行路线安排粗略的得0.1-2.9分；</w:t>
            </w:r>
          </w:p>
          <w:p w14:paraId="0A81D064">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14D1C451">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c>
          <w:tcPr>
            <w:tcW w:w="702" w:type="dxa"/>
            <w:noWrap w:val="0"/>
            <w:vAlign w:val="center"/>
          </w:tcPr>
          <w:p w14:paraId="13213EB7">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4B08403B">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43409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1060" w:type="dxa"/>
            <w:vMerge w:val="continue"/>
            <w:noWrap w:val="0"/>
            <w:vAlign w:val="center"/>
          </w:tcPr>
          <w:p w14:paraId="5F30B2B8">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vMerge w:val="continue"/>
            <w:noWrap w:val="0"/>
            <w:vAlign w:val="center"/>
          </w:tcPr>
          <w:p w14:paraId="1402698E">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6148" w:type="dxa"/>
            <w:noWrap w:val="0"/>
            <w:vAlign w:val="center"/>
          </w:tcPr>
          <w:p w14:paraId="681627B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食：</w:t>
            </w:r>
            <w:r>
              <w:rPr>
                <w:rFonts w:hint="eastAsia" w:asciiTheme="minorEastAsia" w:hAnsiTheme="minorEastAsia" w:eastAsiaTheme="minorEastAsia" w:cstheme="minorEastAsia"/>
                <w:color w:val="auto"/>
                <w:sz w:val="21"/>
                <w:szCs w:val="21"/>
                <w:highlight w:val="none"/>
                <w:lang w:val="en-US" w:eastAsia="zh-CN"/>
              </w:rPr>
              <w:t>根据旅游过程中各餐标准及荤素搭配等情况进行打分。</w:t>
            </w:r>
          </w:p>
          <w:p w14:paraId="6754A014">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饮食荤素搭配均衡、营养丰富的得3.0-5.0分；</w:t>
            </w:r>
          </w:p>
          <w:p w14:paraId="66B38D41">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荤素搭配教均衡、品种较少的得0.1-2.9分；</w:t>
            </w:r>
          </w:p>
          <w:p w14:paraId="761A4229">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30B74554">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c>
          <w:tcPr>
            <w:tcW w:w="702" w:type="dxa"/>
            <w:noWrap w:val="0"/>
            <w:vAlign w:val="center"/>
          </w:tcPr>
          <w:p w14:paraId="75A4782C">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3D8C6689">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7BA1B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6" w:hRule="atLeast"/>
          <w:jc w:val="center"/>
        </w:trPr>
        <w:tc>
          <w:tcPr>
            <w:tcW w:w="1060" w:type="dxa"/>
            <w:vMerge w:val="continue"/>
            <w:noWrap w:val="0"/>
            <w:vAlign w:val="center"/>
          </w:tcPr>
          <w:p w14:paraId="2D7EA8A9">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vMerge w:val="continue"/>
            <w:noWrap w:val="0"/>
            <w:vAlign w:val="center"/>
          </w:tcPr>
          <w:p w14:paraId="62DF9B3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6148" w:type="dxa"/>
            <w:noWrap w:val="0"/>
            <w:vAlign w:val="center"/>
          </w:tcPr>
          <w:p w14:paraId="1312F833">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宿：</w:t>
            </w:r>
            <w:r>
              <w:rPr>
                <w:rFonts w:hint="eastAsia" w:asciiTheme="minorEastAsia" w:hAnsiTheme="minorEastAsia" w:eastAsiaTheme="minorEastAsia" w:cstheme="minorEastAsia"/>
                <w:color w:val="auto"/>
                <w:sz w:val="21"/>
                <w:szCs w:val="21"/>
                <w:highlight w:val="none"/>
                <w:lang w:val="en-US" w:eastAsia="zh-CN"/>
              </w:rPr>
              <w:t>根据行程中住宿酒店所处地段、开业时间、星级等情况进行打分。</w:t>
            </w:r>
          </w:p>
          <w:p w14:paraId="5DC26142">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住宿酒店所处地段佳、星级高、开业时间新的得3.0-5.0分；</w:t>
            </w:r>
          </w:p>
          <w:p w14:paraId="2927C748">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地段较偏、星级一般、设施较旧的得0.1-2.9分；</w:t>
            </w:r>
          </w:p>
          <w:p w14:paraId="32F1283B">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3626A2DE">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c>
          <w:tcPr>
            <w:tcW w:w="702" w:type="dxa"/>
            <w:noWrap w:val="0"/>
            <w:vAlign w:val="center"/>
          </w:tcPr>
          <w:p w14:paraId="08A89FC9">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5DD825AE">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4CBC9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6" w:hRule="atLeast"/>
          <w:jc w:val="center"/>
        </w:trPr>
        <w:tc>
          <w:tcPr>
            <w:tcW w:w="1060" w:type="dxa"/>
            <w:vMerge w:val="continue"/>
            <w:noWrap w:val="0"/>
            <w:vAlign w:val="center"/>
          </w:tcPr>
          <w:p w14:paraId="08F90755">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vMerge w:val="continue"/>
            <w:noWrap w:val="0"/>
            <w:vAlign w:val="center"/>
          </w:tcPr>
          <w:p w14:paraId="1B289C26">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6148" w:type="dxa"/>
            <w:noWrap w:val="0"/>
            <w:vAlign w:val="center"/>
          </w:tcPr>
          <w:p w14:paraId="37F6D5FA">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行：</w:t>
            </w:r>
            <w:r>
              <w:rPr>
                <w:rFonts w:hint="eastAsia" w:asciiTheme="minorEastAsia" w:hAnsiTheme="minorEastAsia" w:eastAsiaTheme="minorEastAsia" w:cstheme="minorEastAsia"/>
                <w:color w:val="auto"/>
                <w:sz w:val="21"/>
                <w:szCs w:val="21"/>
                <w:highlight w:val="none"/>
                <w:lang w:eastAsia="zh-CN"/>
              </w:rPr>
              <w:t>根据接待大巴的详细情况</w:t>
            </w:r>
            <w:r>
              <w:rPr>
                <w:rFonts w:hint="eastAsia" w:asciiTheme="minorEastAsia" w:hAnsiTheme="minorEastAsia" w:eastAsiaTheme="minorEastAsia" w:cstheme="minorEastAsia"/>
                <w:color w:val="auto"/>
                <w:sz w:val="21"/>
                <w:szCs w:val="21"/>
                <w:highlight w:val="none"/>
                <w:lang w:val="en-US" w:eastAsia="zh-CN"/>
              </w:rPr>
              <w:t>进行打分。</w:t>
            </w:r>
          </w:p>
          <w:p w14:paraId="0B775E6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大巴车辆充足，车辆为近两年新车的得3.0-5.0分；</w:t>
            </w:r>
          </w:p>
          <w:p w14:paraId="724F705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大巴数量较少，车辆为近五年车辆的得0.1-2.9分；</w:t>
            </w:r>
          </w:p>
          <w:p w14:paraId="57A0D1A0">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0899EDE6">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c>
          <w:tcPr>
            <w:tcW w:w="702" w:type="dxa"/>
            <w:noWrap w:val="0"/>
            <w:vAlign w:val="center"/>
          </w:tcPr>
          <w:p w14:paraId="0FD1C357">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4D76C971">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13E17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33344FF6">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3F1DA467">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天空之城(成都稻城亚丁）三飞 8 日</w:t>
            </w:r>
            <w:r>
              <w:rPr>
                <w:rFonts w:hint="eastAsia" w:asciiTheme="minorEastAsia" w:hAnsiTheme="minorEastAsia" w:eastAsiaTheme="minorEastAsia" w:cstheme="minorEastAsia"/>
                <w:color w:val="auto"/>
                <w:sz w:val="21"/>
                <w:szCs w:val="21"/>
                <w:highlight w:val="none"/>
                <w:lang w:val="zh-CN"/>
              </w:rPr>
              <w:t>策划方案</w:t>
            </w:r>
          </w:p>
        </w:tc>
        <w:tc>
          <w:tcPr>
            <w:tcW w:w="6148" w:type="dxa"/>
            <w:noWrap w:val="0"/>
            <w:vAlign w:val="center"/>
          </w:tcPr>
          <w:p w14:paraId="4492A801">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天空之城(成都稻城亚丁）三飞 8 日</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292345A7">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方案全面完整，科学合理，总体出行路线安排明确，行程安排有针对性的得5.0-7.0分；</w:t>
            </w:r>
          </w:p>
          <w:p w14:paraId="491822B8">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方案基本合理，出行路线安排粗略的得2.0-4.9分；</w:t>
            </w:r>
          </w:p>
          <w:p w14:paraId="20D0E0E5">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方案简单片面，出行路线安排不合理的得0.1-1.9分；</w:t>
            </w:r>
          </w:p>
          <w:p w14:paraId="2ACB0FF8">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5F005363">
            <w:pPr>
              <w:keepNext w:val="0"/>
              <w:keepLines w:val="0"/>
              <w:pageBreakBefore w:val="0"/>
              <w:kinsoku/>
              <w:wordWrap/>
              <w:overflowPunct/>
              <w:topLinePunct w:val="0"/>
              <w:bidi w:val="0"/>
              <w:adjustRightInd w:val="0"/>
              <w:snapToGrid w:val="0"/>
              <w:spacing w:line="240" w:lineRule="auto"/>
              <w:ind w:firstLine="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7</w:t>
            </w:r>
          </w:p>
        </w:tc>
        <w:tc>
          <w:tcPr>
            <w:tcW w:w="702" w:type="dxa"/>
            <w:noWrap w:val="0"/>
            <w:vAlign w:val="center"/>
          </w:tcPr>
          <w:p w14:paraId="66137EBF">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5BDA078B">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6F7A8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jc w:val="center"/>
        </w:trPr>
        <w:tc>
          <w:tcPr>
            <w:tcW w:w="1060" w:type="dxa"/>
            <w:vMerge w:val="continue"/>
            <w:noWrap w:val="0"/>
            <w:vAlign w:val="center"/>
          </w:tcPr>
          <w:p w14:paraId="49A7EC34">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shd w:val="clear" w:color="auto" w:fill="auto"/>
            <w:noWrap w:val="0"/>
            <w:vAlign w:val="center"/>
          </w:tcPr>
          <w:p w14:paraId="17DE7A30">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北疆9日</w:t>
            </w: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shd w:val="clear" w:color="auto" w:fill="auto"/>
            <w:noWrap w:val="0"/>
            <w:vAlign w:val="center"/>
          </w:tcPr>
          <w:p w14:paraId="7E990DFE">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北疆9日</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215C187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方案全面完整，科学合理，总体出行路线安排明确，行程安排有针对性的得5.0-7.0分；</w:t>
            </w:r>
          </w:p>
          <w:p w14:paraId="1116A6EE">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方案基本合理，出行路线安排粗略的得2.0-4.9分；</w:t>
            </w:r>
          </w:p>
          <w:p w14:paraId="4A2EF622">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方案简单片面，出行路线安排不合理的得0.1-1.9分；</w:t>
            </w:r>
          </w:p>
          <w:p w14:paraId="25061967">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kern w:val="2"/>
                <w:sz w:val="21"/>
                <w:szCs w:val="24"/>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shd w:val="clear" w:color="auto" w:fill="auto"/>
            <w:noWrap w:val="0"/>
            <w:vAlign w:val="center"/>
          </w:tcPr>
          <w:p w14:paraId="6DE6C604">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7</w:t>
            </w:r>
          </w:p>
        </w:tc>
        <w:tc>
          <w:tcPr>
            <w:tcW w:w="702" w:type="dxa"/>
            <w:shd w:val="clear" w:color="auto" w:fill="auto"/>
            <w:noWrap w:val="0"/>
            <w:vAlign w:val="center"/>
          </w:tcPr>
          <w:p w14:paraId="09F38598">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shd w:val="clear" w:color="auto" w:fill="auto"/>
            <w:noWrap w:val="0"/>
            <w:vAlign w:val="center"/>
          </w:tcPr>
          <w:p w14:paraId="52DC4F58">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46578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2A736A37">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shd w:val="clear" w:color="auto" w:fill="auto"/>
            <w:noWrap w:val="0"/>
            <w:vAlign w:val="center"/>
          </w:tcPr>
          <w:p w14:paraId="2AE84BCF">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重庆5日游</w:t>
            </w: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shd w:val="clear" w:color="auto" w:fill="auto"/>
            <w:noWrap w:val="0"/>
            <w:vAlign w:val="center"/>
          </w:tcPr>
          <w:p w14:paraId="2149957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重庆5日游</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0F5464D3">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方案全面完整，科学合理，总体出行路线安排明确，行程安排有针对性的得5.0-7.0分；</w:t>
            </w:r>
          </w:p>
          <w:p w14:paraId="35C7D6C7">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方案基本合理，出行路线安排粗略的得2.0-4.9分；</w:t>
            </w:r>
          </w:p>
          <w:p w14:paraId="2E5DA8E7">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方案简单片面，出行路线安排不合理的得0.1-1.9分；</w:t>
            </w:r>
          </w:p>
          <w:p w14:paraId="0B639B48">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kern w:val="2"/>
                <w:sz w:val="21"/>
                <w:szCs w:val="24"/>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shd w:val="clear" w:color="auto" w:fill="auto"/>
            <w:noWrap w:val="0"/>
            <w:vAlign w:val="center"/>
          </w:tcPr>
          <w:p w14:paraId="3703E94F">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7</w:t>
            </w:r>
          </w:p>
        </w:tc>
        <w:tc>
          <w:tcPr>
            <w:tcW w:w="702" w:type="dxa"/>
            <w:shd w:val="clear" w:color="auto" w:fill="auto"/>
            <w:noWrap w:val="0"/>
            <w:vAlign w:val="center"/>
          </w:tcPr>
          <w:p w14:paraId="2CF7CE9F">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shd w:val="clear" w:color="auto" w:fill="auto"/>
            <w:noWrap w:val="0"/>
            <w:vAlign w:val="center"/>
          </w:tcPr>
          <w:p w14:paraId="7416ABBC">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28C66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08C4D8A3">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shd w:val="clear" w:color="auto" w:fill="auto"/>
            <w:noWrap w:val="0"/>
            <w:vAlign w:val="center"/>
          </w:tcPr>
          <w:p w14:paraId="75BD78A2">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成都、九寨、黄龙溪古镇、武侯祠双飞双高 5 日疗</w:t>
            </w: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shd w:val="clear" w:color="auto" w:fill="auto"/>
            <w:noWrap w:val="0"/>
            <w:vAlign w:val="center"/>
          </w:tcPr>
          <w:p w14:paraId="58D97A1F">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成都、九寨、黄龙溪古镇、武侯祠双飞双高 5 日疗</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261CC644">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方案全面完整，科学合理，总体出行路线安排明确，行程安排有针对性的得5.0-7.0分；</w:t>
            </w:r>
          </w:p>
          <w:p w14:paraId="041E047B">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方案基本合理，出行路线安排粗略的得2.0-4.9分；</w:t>
            </w:r>
          </w:p>
          <w:p w14:paraId="1AC3FD44">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方案简单片面，出行路线安排不合理的得0.1-1.9分；</w:t>
            </w:r>
          </w:p>
          <w:p w14:paraId="25D33485">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kern w:val="2"/>
                <w:sz w:val="21"/>
                <w:szCs w:val="24"/>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shd w:val="clear" w:color="auto" w:fill="auto"/>
            <w:noWrap w:val="0"/>
            <w:vAlign w:val="center"/>
          </w:tcPr>
          <w:p w14:paraId="61D14AE2">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7</w:t>
            </w:r>
          </w:p>
        </w:tc>
        <w:tc>
          <w:tcPr>
            <w:tcW w:w="702" w:type="dxa"/>
            <w:shd w:val="clear" w:color="auto" w:fill="auto"/>
            <w:noWrap w:val="0"/>
            <w:vAlign w:val="center"/>
          </w:tcPr>
          <w:p w14:paraId="1F0009A7">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shd w:val="clear" w:color="auto" w:fill="auto"/>
            <w:noWrap w:val="0"/>
            <w:vAlign w:val="center"/>
          </w:tcPr>
          <w:p w14:paraId="4197AA14">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4286E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0A9BBD42">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6A546517">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黄山四日游</w:t>
            </w:r>
            <w:r>
              <w:rPr>
                <w:rFonts w:hint="eastAsia" w:asciiTheme="minorEastAsia" w:hAnsiTheme="minorEastAsia" w:eastAsiaTheme="minorEastAsia" w:cstheme="minorEastAsia"/>
                <w:color w:val="auto"/>
                <w:sz w:val="21"/>
                <w:szCs w:val="21"/>
                <w:highlight w:val="none"/>
                <w:lang w:val="zh-CN"/>
              </w:rPr>
              <w:t>疗休养策划方案</w:t>
            </w:r>
          </w:p>
        </w:tc>
        <w:tc>
          <w:tcPr>
            <w:tcW w:w="6148" w:type="dxa"/>
            <w:noWrap w:val="0"/>
            <w:vAlign w:val="center"/>
          </w:tcPr>
          <w:p w14:paraId="7EED991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黄山四日游</w:t>
            </w:r>
            <w:r>
              <w:rPr>
                <w:rFonts w:hint="eastAsia" w:asciiTheme="minorEastAsia" w:hAnsiTheme="minorEastAsia" w:eastAsiaTheme="minorEastAsia" w:cstheme="minorEastAsia"/>
                <w:b/>
                <w:bCs/>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lang w:val="en-US" w:eastAsia="zh-CN"/>
              </w:rPr>
              <w:t>疗休养提供的整体服务方案，包括导游、景区门票观光车、行程安排、旅行过程中的食宿行等内容进行打分。</w:t>
            </w:r>
          </w:p>
          <w:p w14:paraId="550FAB02">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方案全面完整，科学合理，总体出行路线安排明确，行程安排有针对性的得5.0-7.0分；</w:t>
            </w:r>
          </w:p>
          <w:p w14:paraId="4262CB1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方案基本合理，出行路线安排粗略的得2.0-4.9分；</w:t>
            </w:r>
          </w:p>
          <w:p w14:paraId="6B91FC2C">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方案简单片面，出行路线安排不合理的得0.1-1.9分；</w:t>
            </w:r>
          </w:p>
          <w:p w14:paraId="1C8A7205">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宋体" w:hAnsi="宋体" w:eastAsia="宋体" w:cs="宋体"/>
                <w:color w:val="auto"/>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01FD8686">
            <w:pPr>
              <w:keepNext w:val="0"/>
              <w:keepLines w:val="0"/>
              <w:pageBreakBefore w:val="0"/>
              <w:kinsoku/>
              <w:wordWrap/>
              <w:overflowPunct/>
              <w:topLinePunct w:val="0"/>
              <w:bidi w:val="0"/>
              <w:adjustRightInd w:val="0"/>
              <w:snapToGrid w:val="0"/>
              <w:spacing w:line="240" w:lineRule="auto"/>
              <w:ind w:firstLine="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7</w:t>
            </w:r>
          </w:p>
        </w:tc>
        <w:tc>
          <w:tcPr>
            <w:tcW w:w="702" w:type="dxa"/>
            <w:noWrap w:val="0"/>
            <w:vAlign w:val="center"/>
          </w:tcPr>
          <w:p w14:paraId="34F21051">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760957ED">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0F2FE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060" w:type="dxa"/>
            <w:vMerge w:val="continue"/>
            <w:noWrap w:val="0"/>
            <w:vAlign w:val="center"/>
          </w:tcPr>
          <w:p w14:paraId="7DF4DCEE">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69F6B069">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default"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特色方案</w:t>
            </w:r>
          </w:p>
        </w:tc>
        <w:tc>
          <w:tcPr>
            <w:tcW w:w="6148" w:type="dxa"/>
            <w:noWrap w:val="0"/>
            <w:vAlign w:val="center"/>
          </w:tcPr>
          <w:p w14:paraId="44CE0E97">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根据投标人针对</w:t>
            </w:r>
            <w:r>
              <w:rPr>
                <w:rFonts w:hint="eastAsia" w:asciiTheme="minorEastAsia" w:hAnsiTheme="minorEastAsia" w:eastAsiaTheme="minorEastAsia" w:cstheme="minorEastAsia"/>
                <w:b w:val="0"/>
                <w:bCs w:val="0"/>
                <w:color w:val="auto"/>
                <w:sz w:val="21"/>
                <w:szCs w:val="21"/>
                <w:highlight w:val="none"/>
                <w:lang w:val="en-US" w:eastAsia="zh-CN"/>
              </w:rPr>
              <w:t>台州市路桥区中医院医疗服务共同体</w:t>
            </w:r>
            <w:r>
              <w:rPr>
                <w:rFonts w:hint="eastAsia" w:asciiTheme="minorEastAsia" w:hAnsiTheme="minorEastAsia" w:eastAsiaTheme="minorEastAsia" w:cstheme="minorEastAsia"/>
                <w:color w:val="auto"/>
                <w:sz w:val="21"/>
                <w:szCs w:val="21"/>
                <w:highlight w:val="none"/>
                <w:lang w:val="en-US" w:eastAsia="zh-CN"/>
              </w:rPr>
              <w:t>疗休养提供的特色行程方案（特色行程方案须提供推荐线路以外的，省内省外各提供3条），根据方案导游、票务、行程安排、旅行过程中的食宿行等内容进行打分。</w:t>
            </w:r>
          </w:p>
          <w:p w14:paraId="5DAE68CA">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方案全面完整，科学合理，总体出行路线安排明确，行程安排有针对性的得5.0-6.0分；</w:t>
            </w:r>
          </w:p>
          <w:p w14:paraId="3E3EEB2D">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方案基本合理，出行路线安排粗略的得2.0-4.9分；</w:t>
            </w:r>
          </w:p>
          <w:p w14:paraId="2B0C79FA">
            <w:pPr>
              <w:keepNext w:val="0"/>
              <w:keepLines w:val="0"/>
              <w:pageBreakBefore w:val="0"/>
              <w:kinsoku/>
              <w:wordWrap/>
              <w:overflowPunct/>
              <w:topLinePunct w:val="0"/>
              <w:bidi w:val="0"/>
              <w:adjustRightInd w:val="0"/>
              <w:snapToGrid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方案简单片面，出行路线安排不合理的得0.1-1.9分；</w:t>
            </w:r>
          </w:p>
          <w:p w14:paraId="055060AA">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5CCAA98E">
            <w:pPr>
              <w:keepNext w:val="0"/>
              <w:keepLines w:val="0"/>
              <w:pageBreakBefore w:val="0"/>
              <w:kinsoku/>
              <w:wordWrap/>
              <w:overflowPunct/>
              <w:topLinePunct w:val="0"/>
              <w:bidi w:val="0"/>
              <w:adjustRightInd w:val="0"/>
              <w:snapToGrid w:val="0"/>
              <w:spacing w:line="240" w:lineRule="auto"/>
              <w:ind w:firstLine="0"/>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6</w:t>
            </w:r>
          </w:p>
        </w:tc>
        <w:tc>
          <w:tcPr>
            <w:tcW w:w="702" w:type="dxa"/>
            <w:noWrap w:val="0"/>
            <w:vAlign w:val="center"/>
          </w:tcPr>
          <w:p w14:paraId="36C00781">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538BBD9B">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714C8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60" w:type="dxa"/>
            <w:vMerge w:val="continue"/>
            <w:noWrap w:val="0"/>
            <w:vAlign w:val="center"/>
          </w:tcPr>
          <w:p w14:paraId="1C75A975">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6BE4A56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服务质量保证</w:t>
            </w:r>
          </w:p>
        </w:tc>
        <w:tc>
          <w:tcPr>
            <w:tcW w:w="6148" w:type="dxa"/>
            <w:noWrap w:val="0"/>
            <w:vAlign w:val="center"/>
          </w:tcPr>
          <w:p w14:paraId="20E1299A">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根据投标人</w:t>
            </w:r>
            <w:r>
              <w:rPr>
                <w:rFonts w:hint="eastAsia" w:asciiTheme="minorEastAsia" w:hAnsiTheme="minorEastAsia" w:eastAsiaTheme="minorEastAsia" w:cstheme="minorEastAsia"/>
                <w:color w:val="auto"/>
                <w:sz w:val="21"/>
                <w:szCs w:val="21"/>
                <w:highlight w:val="none"/>
              </w:rPr>
              <w:t>针对本项目制定的</w:t>
            </w:r>
            <w:r>
              <w:rPr>
                <w:rFonts w:hint="eastAsia" w:asciiTheme="minorEastAsia" w:hAnsiTheme="minorEastAsia" w:eastAsiaTheme="minorEastAsia" w:cstheme="minorEastAsia"/>
                <w:color w:val="auto"/>
                <w:sz w:val="21"/>
                <w:szCs w:val="21"/>
                <w:highlight w:val="none"/>
                <w:lang w:val="en-US" w:eastAsia="zh-CN"/>
              </w:rPr>
              <w:t>服务</w:t>
            </w:r>
            <w:r>
              <w:rPr>
                <w:rFonts w:hint="eastAsia" w:asciiTheme="minorEastAsia" w:hAnsiTheme="minorEastAsia" w:eastAsiaTheme="minorEastAsia" w:cstheme="minorEastAsia"/>
                <w:color w:val="auto"/>
                <w:sz w:val="21"/>
                <w:szCs w:val="21"/>
                <w:highlight w:val="none"/>
              </w:rPr>
              <w:t>质量保证措施</w:t>
            </w:r>
            <w:r>
              <w:rPr>
                <w:rFonts w:hint="eastAsia" w:asciiTheme="minorEastAsia" w:hAnsiTheme="minorEastAsia" w:eastAsiaTheme="minorEastAsia" w:cstheme="minorEastAsia"/>
                <w:color w:val="auto"/>
                <w:sz w:val="21"/>
                <w:szCs w:val="21"/>
                <w:highlight w:val="none"/>
                <w:lang w:eastAsia="zh-CN"/>
              </w:rPr>
              <w:t>进行打分。</w:t>
            </w:r>
          </w:p>
          <w:p w14:paraId="66D0AF39">
            <w:pPr>
              <w:keepNext w:val="0"/>
              <w:keepLines w:val="0"/>
              <w:pageBreakBefore w:val="0"/>
              <w:tabs>
                <w:tab w:val="left" w:pos="2061"/>
              </w:tabs>
              <w:kinsoku/>
              <w:wordWrap/>
              <w:overflowPunct/>
              <w:topLinePunct w:val="0"/>
              <w:bidi w:val="0"/>
              <w:spacing w:beforeAutospacing="0" w:afterAutospacing="0" w:line="240" w:lineRule="auto"/>
              <w:ind w:left="0" w:leftChars="0" w:right="0" w:rightChars="0" w:firstLine="0" w:firstLineChars="0"/>
              <w:jc w:val="left"/>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服务质量</w:t>
            </w:r>
            <w:r>
              <w:rPr>
                <w:rFonts w:hint="eastAsia" w:asciiTheme="minorEastAsia" w:hAnsiTheme="minorEastAsia" w:eastAsiaTheme="minorEastAsia" w:cstheme="minorEastAsia"/>
                <w:color w:val="auto"/>
                <w:kern w:val="2"/>
                <w:sz w:val="21"/>
                <w:szCs w:val="21"/>
                <w:highlight w:val="none"/>
                <w:lang w:val="en-US" w:eastAsia="zh-CN" w:bidi="ar-SA"/>
              </w:rPr>
              <w:t>保证</w:t>
            </w:r>
            <w:r>
              <w:rPr>
                <w:rFonts w:hint="eastAsia" w:ascii="宋体" w:hAnsi="宋体" w:eastAsia="宋体" w:cs="宋体"/>
                <w:color w:val="auto"/>
                <w:highlight w:val="none"/>
                <w:lang w:val="en-US" w:eastAsia="zh-CN"/>
              </w:rPr>
              <w:t>方案阐述全面，管理规范、</w:t>
            </w:r>
            <w:r>
              <w:rPr>
                <w:rFonts w:hint="eastAsia" w:ascii="宋体" w:hAnsi="宋体" w:eastAsia="宋体" w:cs="宋体"/>
                <w:b w:val="0"/>
                <w:bCs w:val="0"/>
                <w:color w:val="auto"/>
                <w:sz w:val="21"/>
                <w:szCs w:val="21"/>
                <w:highlight w:val="none"/>
                <w:lang w:val="en-US" w:eastAsia="zh-CN"/>
              </w:rPr>
              <w:t>管理组织构架、监督体系、</w:t>
            </w:r>
            <w:r>
              <w:rPr>
                <w:rFonts w:hint="eastAsia" w:ascii="宋体" w:hAnsi="宋体" w:eastAsia="宋体" w:cs="宋体"/>
                <w:color w:val="auto"/>
                <w:highlight w:val="none"/>
                <w:lang w:val="en-US" w:eastAsia="zh-CN"/>
              </w:rPr>
              <w:t>内控制度、质量管控</w:t>
            </w:r>
            <w:r>
              <w:rPr>
                <w:rFonts w:hint="eastAsia" w:ascii="宋体" w:hAnsi="宋体" w:eastAsia="宋体" w:cs="宋体"/>
                <w:color w:val="auto"/>
                <w:highlight w:val="none"/>
              </w:rPr>
              <w:t>措施</w:t>
            </w:r>
            <w:r>
              <w:rPr>
                <w:rFonts w:hint="eastAsia" w:ascii="宋体" w:hAnsi="宋体" w:eastAsia="宋体" w:cs="宋体"/>
                <w:color w:val="auto"/>
                <w:highlight w:val="none"/>
                <w:lang w:val="en-US" w:eastAsia="zh-CN"/>
              </w:rPr>
              <w:t>等阐述</w:t>
            </w:r>
            <w:r>
              <w:rPr>
                <w:rFonts w:hint="eastAsia" w:ascii="宋体" w:hAnsi="宋体" w:eastAsia="宋体" w:cs="宋体"/>
                <w:b w:val="0"/>
                <w:bCs w:val="0"/>
                <w:color w:val="auto"/>
                <w:sz w:val="21"/>
                <w:szCs w:val="21"/>
                <w:highlight w:val="none"/>
                <w:lang w:val="en-US" w:eastAsia="zh-CN"/>
              </w:rPr>
              <w:t>合理可行且</w:t>
            </w:r>
            <w:r>
              <w:rPr>
                <w:rFonts w:hint="eastAsia" w:ascii="宋体" w:hAnsi="宋体" w:eastAsia="宋体" w:cs="宋体"/>
                <w:color w:val="auto"/>
                <w:highlight w:val="none"/>
                <w:lang w:val="en-US" w:eastAsia="zh-CN"/>
              </w:rPr>
              <w:t>有针对性</w:t>
            </w:r>
            <w:r>
              <w:rPr>
                <w:rFonts w:hint="eastAsia" w:ascii="宋体" w:hAnsi="宋体" w:eastAsia="宋体" w:cs="宋体"/>
                <w:b w:val="0"/>
                <w:bCs w:val="0"/>
                <w:color w:val="auto"/>
                <w:sz w:val="21"/>
                <w:szCs w:val="21"/>
                <w:highlight w:val="none"/>
                <w:lang w:val="en-US" w:eastAsia="zh-CN"/>
              </w:rPr>
              <w:t>，人员安排、设备配置等均安排明确，能</w:t>
            </w:r>
            <w:r>
              <w:rPr>
                <w:rFonts w:hint="eastAsia" w:ascii="宋体" w:hAnsi="宋体" w:eastAsia="宋体" w:cs="宋体"/>
                <w:color w:val="auto"/>
                <w:highlight w:val="none"/>
                <w:lang w:val="en-US" w:eastAsia="zh-CN"/>
              </w:rPr>
              <w:t>有效保障项目服务质量的得</w:t>
            </w:r>
            <w:r>
              <w:rPr>
                <w:rFonts w:hint="eastAsia" w:ascii="宋体" w:hAnsi="宋体" w:cs="宋体"/>
                <w:color w:val="auto"/>
                <w:highlight w:val="none"/>
                <w:lang w:val="en-US" w:eastAsia="zh-CN"/>
              </w:rPr>
              <w:t>3.0-5.0</w:t>
            </w:r>
            <w:r>
              <w:rPr>
                <w:rFonts w:hint="eastAsia" w:ascii="宋体" w:hAnsi="宋体" w:eastAsia="宋体" w:cs="宋体"/>
                <w:color w:val="auto"/>
                <w:highlight w:val="none"/>
                <w:lang w:val="en-US" w:eastAsia="zh-CN"/>
              </w:rPr>
              <w:t>分</w:t>
            </w:r>
            <w:r>
              <w:rPr>
                <w:rFonts w:hint="eastAsia" w:ascii="宋体" w:hAnsi="宋体" w:eastAsia="宋体" w:cs="宋体"/>
                <w:color w:val="auto"/>
                <w:highlight w:val="none"/>
              </w:rPr>
              <w:t>；</w:t>
            </w:r>
          </w:p>
          <w:p w14:paraId="71EB8AD1">
            <w:pPr>
              <w:keepNext w:val="0"/>
              <w:keepLines w:val="0"/>
              <w:pageBreakBefore w:val="0"/>
              <w:tabs>
                <w:tab w:val="left" w:pos="2061"/>
              </w:tabs>
              <w:kinsoku/>
              <w:wordWrap/>
              <w:overflowPunct/>
              <w:topLinePunct w:val="0"/>
              <w:bidi w:val="0"/>
              <w:spacing w:beforeAutospacing="0" w:afterAutospacing="0" w:line="240" w:lineRule="auto"/>
              <w:ind w:left="0" w:leftChars="0" w:right="0" w:rightChars="0" w:firstLine="0" w:firstLineChars="0"/>
              <w:jc w:val="lef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方案简单，人员、设备的配置有提及但安排不明确，考核要求制定不完善的得0.1-2.9分；</w:t>
            </w:r>
          </w:p>
          <w:p w14:paraId="0EB49FC1">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highlight w:val="none"/>
                <w:lang w:val="en-US" w:eastAsia="zh-CN"/>
              </w:rPr>
              <w:t>未提及此项不得分。</w:t>
            </w:r>
          </w:p>
        </w:tc>
        <w:tc>
          <w:tcPr>
            <w:tcW w:w="702" w:type="dxa"/>
            <w:noWrap w:val="0"/>
            <w:vAlign w:val="center"/>
          </w:tcPr>
          <w:p w14:paraId="4F1BD433">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c>
          <w:tcPr>
            <w:tcW w:w="702" w:type="dxa"/>
            <w:noWrap w:val="0"/>
            <w:vAlign w:val="center"/>
          </w:tcPr>
          <w:p w14:paraId="6F54878D">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0D0703EF">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1A08C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jc w:val="center"/>
        </w:trPr>
        <w:tc>
          <w:tcPr>
            <w:tcW w:w="1060" w:type="dxa"/>
            <w:vMerge w:val="continue"/>
            <w:noWrap w:val="0"/>
            <w:vAlign w:val="center"/>
          </w:tcPr>
          <w:p w14:paraId="391996CA">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483D6E31">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服务承诺</w:t>
            </w:r>
          </w:p>
        </w:tc>
        <w:tc>
          <w:tcPr>
            <w:tcW w:w="6148" w:type="dxa"/>
            <w:noWrap w:val="0"/>
            <w:vAlign w:val="center"/>
          </w:tcPr>
          <w:p w14:paraId="015863BB">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投标人在当地有服务网点或承诺中标后在当地设立服务网点，且在12小时内（含12小时）响应的得5分。</w:t>
            </w:r>
          </w:p>
          <w:p w14:paraId="0363F154">
            <w:pPr>
              <w:keepNext w:val="0"/>
              <w:keepLines w:val="0"/>
              <w:pageBreakBefore w:val="0"/>
              <w:kinsoku/>
              <w:wordWrap/>
              <w:overflowPunct/>
              <w:topLinePunct w:val="0"/>
              <w:bidi w:val="0"/>
              <w:spacing w:line="240" w:lineRule="auto"/>
              <w:ind w:firstLine="0" w:firstLineChars="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r>
              <w:rPr>
                <w:rFonts w:hint="eastAsia" w:asciiTheme="minorEastAsia" w:hAnsiTheme="minorEastAsia" w:eastAsiaTheme="minorEastAsia" w:cstheme="minorEastAsia"/>
                <w:b/>
                <w:bCs/>
                <w:color w:val="auto"/>
                <w:sz w:val="21"/>
                <w:szCs w:val="21"/>
                <w:highlight w:val="none"/>
                <w:lang w:val="en-US" w:eastAsia="zh-CN"/>
              </w:rPr>
              <w:t>（须提供已有服务网点证明材料扫描件或承诺函原件并加盖投标人公章编入投标文件中，未提供不得分）</w:t>
            </w:r>
          </w:p>
        </w:tc>
        <w:tc>
          <w:tcPr>
            <w:tcW w:w="702" w:type="dxa"/>
            <w:noWrap w:val="0"/>
            <w:vAlign w:val="center"/>
          </w:tcPr>
          <w:p w14:paraId="6675314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c>
          <w:tcPr>
            <w:tcW w:w="702" w:type="dxa"/>
            <w:noWrap w:val="0"/>
            <w:vAlign w:val="center"/>
          </w:tcPr>
          <w:p w14:paraId="23EF7E55">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0AA036E8">
            <w:pPr>
              <w:keepNext w:val="0"/>
              <w:keepLines w:val="0"/>
              <w:pageBreakBefore w:val="0"/>
              <w:kinsoku/>
              <w:wordWrap/>
              <w:overflowPunct/>
              <w:topLinePunct w:val="0"/>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65F34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60" w:type="dxa"/>
            <w:vMerge w:val="continue"/>
            <w:noWrap w:val="0"/>
            <w:vAlign w:val="center"/>
          </w:tcPr>
          <w:p w14:paraId="0D8ACDAC">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22" w:type="dxa"/>
            <w:noWrap w:val="0"/>
            <w:vAlign w:val="center"/>
          </w:tcPr>
          <w:p w14:paraId="7BCF725F">
            <w:pPr>
              <w:keepLines w:val="0"/>
              <w:pageBreakBefore w:val="0"/>
              <w:kinsoku/>
              <w:wordWrap/>
              <w:overflowPunct/>
              <w:topLinePunct w:val="0"/>
              <w:bidi w:val="0"/>
              <w:spacing w:beforeAutospacing="0" w:afterAutospacing="0" w:line="240" w:lineRule="auto"/>
              <w:ind w:left="0" w:leftChars="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宋体" w:hAnsi="宋体" w:eastAsia="宋体" w:cs="宋体"/>
                <w:color w:val="auto"/>
                <w:spacing w:val="-4"/>
                <w:szCs w:val="21"/>
                <w:highlight w:val="none"/>
                <w:lang w:val="en-US" w:eastAsia="zh-CN"/>
              </w:rPr>
              <w:t>应急预案</w:t>
            </w:r>
          </w:p>
        </w:tc>
        <w:tc>
          <w:tcPr>
            <w:tcW w:w="6148" w:type="dxa"/>
            <w:noWrap w:val="0"/>
            <w:vAlign w:val="center"/>
          </w:tcPr>
          <w:p w14:paraId="1794E899">
            <w:pPr>
              <w:keepNext w:val="0"/>
              <w:keepLines w:val="0"/>
              <w:pageBreakBefore w:val="0"/>
              <w:kinsoku/>
              <w:wordWrap/>
              <w:overflowPunct/>
              <w:topLinePunct w:val="0"/>
              <w:bidi w:val="0"/>
              <w:spacing w:beforeAutospacing="0" w:afterAutospacing="0" w:line="240" w:lineRule="auto"/>
              <w:ind w:left="0"/>
              <w:jc w:val="left"/>
              <w:textAlignment w:val="auto"/>
              <w:outlineLvl w:val="9"/>
              <w:rPr>
                <w:rFonts w:hint="eastAsia" w:ascii="宋体" w:hAnsi="宋体" w:eastAsia="宋体" w:cs="宋体"/>
                <w:color w:val="auto"/>
                <w:spacing w:val="-4"/>
                <w:szCs w:val="21"/>
                <w:highlight w:val="none"/>
                <w:lang w:val="en-US" w:eastAsia="zh-CN"/>
              </w:rPr>
            </w:pPr>
            <w:r>
              <w:rPr>
                <w:rFonts w:hint="eastAsia" w:ascii="宋体" w:hAnsi="宋体" w:eastAsia="宋体" w:cs="宋体"/>
                <w:color w:val="auto"/>
                <w:spacing w:val="-4"/>
                <w:szCs w:val="21"/>
                <w:highlight w:val="none"/>
                <w:lang w:val="en-US" w:eastAsia="zh-CN"/>
              </w:rPr>
              <w:t>根据投标人针对后续实际服务过程中可能遇到的紧急事件、异常处理等是否具有详细完善的应急响应制度、实施保障方案进行打分。</w:t>
            </w:r>
          </w:p>
          <w:p w14:paraId="29B6D55E">
            <w:pPr>
              <w:keepNext w:val="0"/>
              <w:keepLines w:val="0"/>
              <w:pageBreakBefore w:val="0"/>
              <w:kinsoku/>
              <w:wordWrap/>
              <w:overflowPunct/>
              <w:topLinePunct w:val="0"/>
              <w:bidi w:val="0"/>
              <w:spacing w:beforeAutospacing="0" w:afterAutospacing="0" w:line="240" w:lineRule="auto"/>
              <w:ind w:left="0"/>
              <w:jc w:val="left"/>
              <w:textAlignment w:val="auto"/>
              <w:outlineLvl w:val="9"/>
              <w:rPr>
                <w:rFonts w:hint="eastAsia" w:ascii="宋体" w:hAnsi="宋体" w:eastAsia="宋体" w:cs="宋体"/>
                <w:color w:val="auto"/>
                <w:spacing w:val="-4"/>
                <w:szCs w:val="21"/>
                <w:highlight w:val="none"/>
                <w:lang w:val="en-US" w:eastAsia="zh-CN"/>
              </w:rPr>
            </w:pPr>
            <w:r>
              <w:rPr>
                <w:rFonts w:hint="eastAsia" w:ascii="宋体" w:hAnsi="宋体" w:eastAsia="宋体" w:cs="宋体"/>
                <w:color w:val="auto"/>
                <w:spacing w:val="-4"/>
                <w:szCs w:val="21"/>
                <w:highlight w:val="none"/>
                <w:lang w:val="en-US" w:eastAsia="zh-CN"/>
              </w:rPr>
              <w:t>应急响应制度阐述完整详细，实施保障方案内容明确且具有针对性，提出的应急措施科学可行的得</w:t>
            </w:r>
            <w:r>
              <w:rPr>
                <w:rFonts w:hint="eastAsia" w:ascii="宋体" w:hAnsi="宋体" w:cs="宋体"/>
                <w:color w:val="auto"/>
                <w:spacing w:val="-4"/>
                <w:szCs w:val="21"/>
                <w:highlight w:val="none"/>
                <w:lang w:val="en-US" w:eastAsia="zh-CN"/>
              </w:rPr>
              <w:t>3.0-5.0分</w:t>
            </w:r>
            <w:r>
              <w:rPr>
                <w:rFonts w:hint="eastAsia" w:ascii="宋体" w:hAnsi="宋体" w:eastAsia="宋体" w:cs="宋体"/>
                <w:color w:val="auto"/>
                <w:spacing w:val="-4"/>
                <w:szCs w:val="21"/>
                <w:highlight w:val="none"/>
                <w:lang w:val="en-US" w:eastAsia="zh-CN"/>
              </w:rPr>
              <w:t>；</w:t>
            </w:r>
          </w:p>
          <w:p w14:paraId="3AA61A54">
            <w:pPr>
              <w:keepNext w:val="0"/>
              <w:keepLines w:val="0"/>
              <w:pageBreakBefore w:val="0"/>
              <w:kinsoku/>
              <w:wordWrap/>
              <w:overflowPunct/>
              <w:topLinePunct w:val="0"/>
              <w:bidi w:val="0"/>
              <w:spacing w:beforeAutospacing="0" w:afterAutospacing="0" w:line="240" w:lineRule="auto"/>
              <w:ind w:left="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4"/>
                <w:szCs w:val="21"/>
                <w:highlight w:val="none"/>
                <w:lang w:val="en-US" w:eastAsia="zh-CN"/>
              </w:rPr>
              <w:t>应急响应方案简单，提出的应急措施</w:t>
            </w:r>
            <w:r>
              <w:rPr>
                <w:rFonts w:hint="eastAsia" w:ascii="宋体" w:hAnsi="宋体" w:eastAsia="宋体" w:cs="宋体"/>
                <w:color w:val="auto"/>
                <w:sz w:val="21"/>
                <w:szCs w:val="21"/>
                <w:highlight w:val="none"/>
                <w:lang w:val="en-US" w:eastAsia="zh-CN"/>
              </w:rPr>
              <w:t>缺乏针对性和有效性的得0.1-2.9分；</w:t>
            </w:r>
          </w:p>
          <w:p w14:paraId="630503CF">
            <w:pPr>
              <w:keepNext w:val="0"/>
              <w:keepLines w:val="0"/>
              <w:pageBreakBefore w:val="0"/>
              <w:widowControl/>
              <w:kinsoku/>
              <w:wordWrap/>
              <w:overflowPunct/>
              <w:topLinePunct w:val="0"/>
              <w:bidi w:val="0"/>
              <w:adjustRightInd w:val="0"/>
              <w:snapToGrid w:val="0"/>
              <w:spacing w:beforeAutospacing="0" w:afterAutospacing="0" w:line="240" w:lineRule="auto"/>
              <w:ind w:left="0" w:leftChars="0"/>
              <w:jc w:val="left"/>
              <w:textAlignment w:val="auto"/>
              <w:outlineLvl w:val="9"/>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未提及此项不得分。</w:t>
            </w:r>
          </w:p>
        </w:tc>
        <w:tc>
          <w:tcPr>
            <w:tcW w:w="702" w:type="dxa"/>
            <w:noWrap w:val="0"/>
            <w:vAlign w:val="center"/>
          </w:tcPr>
          <w:p w14:paraId="01DF3358">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5</w:t>
            </w:r>
          </w:p>
        </w:tc>
        <w:tc>
          <w:tcPr>
            <w:tcW w:w="702" w:type="dxa"/>
            <w:noWrap w:val="0"/>
            <w:vAlign w:val="center"/>
          </w:tcPr>
          <w:p w14:paraId="71D3F47F">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c>
          <w:tcPr>
            <w:tcW w:w="702" w:type="dxa"/>
            <w:noWrap w:val="0"/>
            <w:vAlign w:val="center"/>
          </w:tcPr>
          <w:p w14:paraId="20340D55">
            <w:pPr>
              <w:keepNext w:val="0"/>
              <w:keepLines w:val="0"/>
              <w:pageBreakBefore w:val="0"/>
              <w:kinsoku/>
              <w:wordWrap/>
              <w:overflowPunct/>
              <w:topLinePunct w:val="0"/>
              <w:bidi w:val="0"/>
              <w:adjustRightInd w:val="0"/>
              <w:snapToGrid w:val="0"/>
              <w:spacing w:line="240" w:lineRule="auto"/>
              <w:ind w:firstLine="0"/>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p>
        </w:tc>
      </w:tr>
      <w:tr w14:paraId="6D605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8" w:hRule="atLeast"/>
          <w:jc w:val="center"/>
        </w:trPr>
        <w:tc>
          <w:tcPr>
            <w:tcW w:w="1060" w:type="dxa"/>
            <w:vMerge w:val="continue"/>
            <w:noWrap w:val="0"/>
            <w:vAlign w:val="center"/>
          </w:tcPr>
          <w:p w14:paraId="78D484DF">
            <w:pPr>
              <w:keepNext w:val="0"/>
              <w:keepLines w:val="0"/>
              <w:pageBreakBefore w:val="0"/>
              <w:widowControl/>
              <w:kinsoku/>
              <w:wordWrap/>
              <w:overflowPunct/>
              <w:topLinePunct w:val="0"/>
              <w:bidi w:val="0"/>
              <w:spacing w:line="240" w:lineRule="auto"/>
              <w:ind w:firstLine="0" w:firstLineChars="0"/>
              <w:jc w:val="center"/>
              <w:textAlignment w:val="auto"/>
              <w:rPr>
                <w:rFonts w:hint="eastAsia" w:asciiTheme="minorEastAsia" w:hAnsiTheme="minorEastAsia" w:eastAsiaTheme="minorEastAsia" w:cstheme="minorEastAsia"/>
                <w:color w:val="auto"/>
                <w:kern w:val="0"/>
                <w:sz w:val="21"/>
                <w:szCs w:val="21"/>
                <w:highlight w:val="none"/>
              </w:rPr>
            </w:pPr>
          </w:p>
        </w:tc>
        <w:tc>
          <w:tcPr>
            <w:tcW w:w="1122" w:type="dxa"/>
            <w:noWrap w:val="0"/>
            <w:vAlign w:val="center"/>
          </w:tcPr>
          <w:p w14:paraId="71933CE6">
            <w:pPr>
              <w:keepNext w:val="0"/>
              <w:keepLines w:val="0"/>
              <w:pageBreakBefore w:val="0"/>
              <w:widowControl/>
              <w:kinsoku/>
              <w:wordWrap/>
              <w:overflowPunct/>
              <w:topLinePunct w:val="0"/>
              <w:bidi w:val="0"/>
              <w:spacing w:line="240" w:lineRule="auto"/>
              <w:ind w:firstLine="0" w:firstLineChars="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合理化建议</w:t>
            </w:r>
          </w:p>
        </w:tc>
        <w:tc>
          <w:tcPr>
            <w:tcW w:w="6148" w:type="dxa"/>
            <w:noWrap w:val="0"/>
            <w:vAlign w:val="center"/>
          </w:tcPr>
          <w:p w14:paraId="6CF45E34">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根据投标人提供的合理化建议</w:t>
            </w:r>
            <w:r>
              <w:rPr>
                <w:rFonts w:hint="eastAsia" w:asciiTheme="minorEastAsia" w:hAnsiTheme="minorEastAsia" w:eastAsiaTheme="minorEastAsia" w:cstheme="minorEastAsia"/>
                <w:color w:val="auto"/>
                <w:sz w:val="21"/>
                <w:szCs w:val="21"/>
                <w:highlight w:val="none"/>
                <w:lang w:eastAsia="zh-CN"/>
              </w:rPr>
              <w:t>进行打分。</w:t>
            </w:r>
          </w:p>
          <w:p w14:paraId="07C39C8B">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其他合理化建议科学、合理、可行的得</w:t>
            </w:r>
            <w:r>
              <w:rPr>
                <w:rFonts w:hint="eastAsia" w:asciiTheme="minorEastAsia" w:hAnsiTheme="minorEastAsia" w:eastAsiaTheme="minorEastAsia" w:cstheme="minorEastAsia"/>
                <w:color w:val="auto"/>
                <w:sz w:val="21"/>
                <w:szCs w:val="21"/>
                <w:highlight w:val="none"/>
                <w:lang w:val="en-US" w:eastAsia="zh-CN"/>
              </w:rPr>
              <w:t>3.0-5.0分；</w:t>
            </w:r>
          </w:p>
          <w:p w14:paraId="78C45E0F">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其他合理化建议基本符合采购人需求的得</w:t>
            </w:r>
            <w:r>
              <w:rPr>
                <w:rFonts w:hint="eastAsia" w:asciiTheme="minorEastAsia" w:hAnsiTheme="minorEastAsia" w:eastAsiaTheme="minorEastAsia" w:cstheme="minorEastAsia"/>
                <w:color w:val="auto"/>
                <w:sz w:val="21"/>
                <w:szCs w:val="21"/>
                <w:highlight w:val="none"/>
                <w:lang w:val="en-US" w:eastAsia="zh-CN"/>
              </w:rPr>
              <w:t>0.1-2.9分；</w:t>
            </w:r>
          </w:p>
          <w:p w14:paraId="0016DE73">
            <w:pPr>
              <w:keepNext w:val="0"/>
              <w:keepLines w:val="0"/>
              <w:pageBreakBefore w:val="0"/>
              <w:kinsoku/>
              <w:wordWrap/>
              <w:overflowPunct/>
              <w:topLinePunct w:val="0"/>
              <w:bidi w:val="0"/>
              <w:spacing w:line="240" w:lineRule="auto"/>
              <w:ind w:firstLine="0"/>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未提及此项不得分。</w:t>
            </w:r>
          </w:p>
        </w:tc>
        <w:tc>
          <w:tcPr>
            <w:tcW w:w="702" w:type="dxa"/>
            <w:noWrap w:val="0"/>
            <w:vAlign w:val="center"/>
          </w:tcPr>
          <w:p w14:paraId="0DD5F9E8">
            <w:pPr>
              <w:keepNext w:val="0"/>
              <w:keepLines w:val="0"/>
              <w:pageBreakBefore w:val="0"/>
              <w:kinsoku/>
              <w:wordWrap/>
              <w:overflowPunct/>
              <w:topLinePunct w:val="0"/>
              <w:bidi w:val="0"/>
              <w:spacing w:line="240" w:lineRule="auto"/>
              <w:ind w:firstLine="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5</w:t>
            </w:r>
          </w:p>
        </w:tc>
        <w:tc>
          <w:tcPr>
            <w:tcW w:w="702" w:type="dxa"/>
            <w:noWrap w:val="0"/>
            <w:vAlign w:val="center"/>
          </w:tcPr>
          <w:p w14:paraId="310E97AA">
            <w:pPr>
              <w:keepNext w:val="0"/>
              <w:keepLines w:val="0"/>
              <w:pageBreakBefore w:val="0"/>
              <w:kinsoku/>
              <w:wordWrap/>
              <w:overflowPunct/>
              <w:topLinePunct w:val="0"/>
              <w:bidi w:val="0"/>
              <w:spacing w:line="240" w:lineRule="auto"/>
              <w:ind w:firstLine="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p>
        </w:tc>
        <w:tc>
          <w:tcPr>
            <w:tcW w:w="702" w:type="dxa"/>
            <w:noWrap w:val="0"/>
            <w:vAlign w:val="center"/>
          </w:tcPr>
          <w:p w14:paraId="6539CCA4">
            <w:pPr>
              <w:keepNext w:val="0"/>
              <w:keepLines w:val="0"/>
              <w:pageBreakBefore w:val="0"/>
              <w:kinsoku/>
              <w:wordWrap/>
              <w:overflowPunct/>
              <w:topLinePunct w:val="0"/>
              <w:bidi w:val="0"/>
              <w:spacing w:line="240" w:lineRule="auto"/>
              <w:ind w:firstLine="0"/>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p>
        </w:tc>
      </w:tr>
    </w:tbl>
    <w:p w14:paraId="72A229D2">
      <w:pPr>
        <w:pStyle w:val="37"/>
        <w:shd w:val="clear" w:color="auto" w:fill="FFFFFF"/>
        <w:spacing w:before="0" w:beforeAutospacing="0" w:after="0" w:afterAutospacing="0" w:line="240" w:lineRule="auto"/>
        <w:jc w:val="both"/>
        <w:outlineLvl w:val="9"/>
        <w:rPr>
          <w:rFonts w:hint="eastAsia" w:ascii="宋体" w:hAnsi="宋体" w:eastAsia="宋体" w:cs="宋体"/>
          <w:b/>
          <w:color w:val="auto"/>
          <w:sz w:val="32"/>
          <w:szCs w:val="32"/>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0689568A">
      <w:pPr>
        <w:pStyle w:val="37"/>
        <w:shd w:val="clear" w:color="auto" w:fill="FFFFFF"/>
        <w:spacing w:before="0" w:beforeAutospacing="0" w:after="0" w:afterAutospacing="0" w:line="240" w:lineRule="auto"/>
        <w:jc w:val="both"/>
        <w:outlineLvl w:val="9"/>
        <w:rPr>
          <w:rFonts w:hint="eastAsia" w:ascii="宋体" w:hAnsi="宋体" w:eastAsia="宋体" w:cs="宋体"/>
          <w:b/>
          <w:color w:val="auto"/>
          <w:sz w:val="32"/>
          <w:szCs w:val="32"/>
          <w:highlight w:val="none"/>
          <w:lang w:val="en-US" w:eastAsia="zh-CN"/>
        </w:rPr>
      </w:pPr>
      <w:r>
        <w:rPr>
          <w:rFonts w:hint="eastAsia" w:ascii="宋体" w:hAnsi="宋体" w:eastAsia="宋体" w:cs="宋体"/>
          <w:b/>
          <w:color w:val="auto"/>
          <w:sz w:val="32"/>
          <w:szCs w:val="32"/>
          <w:highlight w:val="none"/>
          <w:lang w:val="en-US" w:eastAsia="zh-CN"/>
        </w:rPr>
        <w:t>附件</w:t>
      </w:r>
      <w:r>
        <w:rPr>
          <w:rFonts w:hint="eastAsia" w:cs="宋体"/>
          <w:b/>
          <w:color w:val="auto"/>
          <w:sz w:val="32"/>
          <w:szCs w:val="32"/>
          <w:highlight w:val="none"/>
          <w:lang w:val="en-US" w:eastAsia="zh-CN"/>
        </w:rPr>
        <w:t>7</w:t>
      </w:r>
    </w:p>
    <w:p w14:paraId="789700AA">
      <w:pPr>
        <w:pStyle w:val="37"/>
        <w:shd w:val="clear" w:color="auto" w:fill="FFFFFF"/>
        <w:spacing w:before="0" w:beforeAutospacing="0" w:after="0" w:afterAutospacing="0" w:line="240" w:lineRule="auto"/>
        <w:jc w:val="center"/>
        <w:rPr>
          <w:rFonts w:hint="eastAsia" w:ascii="宋体" w:hAnsi="宋体" w:eastAsia="宋体" w:cs="宋体"/>
          <w:color w:val="auto"/>
          <w:sz w:val="36"/>
          <w:szCs w:val="36"/>
          <w:highlight w:val="none"/>
        </w:rPr>
      </w:pPr>
      <w:r>
        <w:rPr>
          <w:rFonts w:hint="eastAsia" w:ascii="宋体" w:hAnsi="宋体" w:eastAsia="宋体" w:cs="宋体"/>
          <w:b/>
          <w:color w:val="auto"/>
          <w:sz w:val="32"/>
          <w:szCs w:val="32"/>
          <w:highlight w:val="none"/>
        </w:rPr>
        <w:t>投标</w:t>
      </w:r>
      <w:r>
        <w:rPr>
          <w:rFonts w:hint="eastAsia" w:ascii="宋体" w:hAnsi="宋体" w:eastAsia="宋体" w:cs="宋体"/>
          <w:b/>
          <w:bCs/>
          <w:color w:val="auto"/>
          <w:spacing w:val="21"/>
          <w:sz w:val="32"/>
          <w:szCs w:val="32"/>
          <w:highlight w:val="none"/>
        </w:rPr>
        <w:t>人基本情况表</w:t>
      </w:r>
    </w:p>
    <w:tbl>
      <w:tblPr>
        <w:tblStyle w:val="21"/>
        <w:tblW w:w="9064" w:type="dxa"/>
        <w:tblInd w:w="-2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1"/>
        <w:gridCol w:w="633"/>
        <w:gridCol w:w="910"/>
        <w:gridCol w:w="311"/>
        <w:gridCol w:w="852"/>
        <w:gridCol w:w="112"/>
        <w:gridCol w:w="1093"/>
        <w:gridCol w:w="325"/>
        <w:gridCol w:w="1276"/>
        <w:gridCol w:w="400"/>
        <w:gridCol w:w="1218"/>
        <w:gridCol w:w="933"/>
      </w:tblGrid>
      <w:tr w14:paraId="08211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1001" w:type="dxa"/>
          </w:tcPr>
          <w:p w14:paraId="65BF8960">
            <w:pPr>
              <w:pStyle w:val="37"/>
              <w:shd w:val="clear" w:color="auto" w:fill="FFFFFF"/>
              <w:spacing w:line="240" w:lineRule="auto"/>
              <w:rPr>
                <w:rFonts w:hint="eastAsia" w:ascii="宋体" w:hAnsi="宋体" w:eastAsia="宋体" w:cs="宋体"/>
                <w:bCs/>
                <w:color w:val="auto"/>
                <w:sz w:val="21"/>
                <w:szCs w:val="21"/>
                <w:highlight w:val="none"/>
              </w:rPr>
            </w:pPr>
            <w:r>
              <w:rPr>
                <w:rFonts w:hint="eastAsia" w:ascii="宋体" w:hAnsi="宋体" w:eastAsia="宋体" w:cs="宋体"/>
                <w:bCs/>
                <w:color w:val="auto"/>
                <w:spacing w:val="27"/>
                <w:sz w:val="21"/>
                <w:szCs w:val="21"/>
                <w:highlight w:val="none"/>
              </w:rPr>
              <w:t>企业名称</w:t>
            </w:r>
          </w:p>
        </w:tc>
        <w:tc>
          <w:tcPr>
            <w:tcW w:w="3911" w:type="dxa"/>
            <w:gridSpan w:val="6"/>
          </w:tcPr>
          <w:p w14:paraId="7DCF3379">
            <w:pPr>
              <w:pStyle w:val="37"/>
              <w:shd w:val="clear" w:color="auto" w:fill="FFFFFF"/>
              <w:spacing w:line="240" w:lineRule="auto"/>
              <w:rPr>
                <w:rFonts w:hint="eastAsia" w:ascii="宋体" w:hAnsi="宋体" w:eastAsia="宋体" w:cs="宋体"/>
                <w:bCs/>
                <w:color w:val="auto"/>
                <w:sz w:val="21"/>
                <w:szCs w:val="21"/>
                <w:highlight w:val="none"/>
              </w:rPr>
            </w:pPr>
          </w:p>
        </w:tc>
        <w:tc>
          <w:tcPr>
            <w:tcW w:w="2001" w:type="dxa"/>
            <w:gridSpan w:val="3"/>
          </w:tcPr>
          <w:p w14:paraId="7D7909DE">
            <w:pPr>
              <w:pStyle w:val="37"/>
              <w:shd w:val="clear" w:color="auto" w:fill="FFFFFF"/>
              <w:spacing w:line="240" w:lineRule="auto"/>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pacing w:val="16"/>
                <w:sz w:val="21"/>
                <w:szCs w:val="21"/>
                <w:highlight w:val="none"/>
                <w:lang w:eastAsia="zh-CN"/>
              </w:rPr>
              <w:t>法定代表人</w:t>
            </w:r>
          </w:p>
        </w:tc>
        <w:tc>
          <w:tcPr>
            <w:tcW w:w="2151" w:type="dxa"/>
            <w:gridSpan w:val="2"/>
          </w:tcPr>
          <w:p w14:paraId="2520E2B0">
            <w:pPr>
              <w:pStyle w:val="37"/>
              <w:shd w:val="clear" w:color="auto" w:fill="FFFFFF"/>
              <w:spacing w:line="240" w:lineRule="auto"/>
              <w:rPr>
                <w:rFonts w:hint="eastAsia" w:ascii="宋体" w:hAnsi="宋体" w:eastAsia="宋体" w:cs="宋体"/>
                <w:bCs/>
                <w:color w:val="auto"/>
                <w:sz w:val="21"/>
                <w:szCs w:val="21"/>
                <w:highlight w:val="none"/>
              </w:rPr>
            </w:pPr>
          </w:p>
        </w:tc>
      </w:tr>
      <w:tr w14:paraId="209E6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001" w:type="dxa"/>
          </w:tcPr>
          <w:p w14:paraId="3AC26414">
            <w:pPr>
              <w:pStyle w:val="37"/>
              <w:shd w:val="clear" w:color="auto" w:fill="FFFFFF"/>
              <w:spacing w:line="240" w:lineRule="auto"/>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27"/>
                <w:sz w:val="21"/>
                <w:szCs w:val="21"/>
                <w:highlight w:val="none"/>
              </w:rPr>
              <w:t>地址</w:t>
            </w:r>
          </w:p>
        </w:tc>
        <w:tc>
          <w:tcPr>
            <w:tcW w:w="3911" w:type="dxa"/>
            <w:gridSpan w:val="6"/>
          </w:tcPr>
          <w:p w14:paraId="00D1FC1D">
            <w:pPr>
              <w:pStyle w:val="37"/>
              <w:shd w:val="clear" w:color="auto" w:fill="FFFFFF"/>
              <w:spacing w:line="240" w:lineRule="auto"/>
              <w:rPr>
                <w:rFonts w:hint="eastAsia" w:ascii="宋体" w:hAnsi="宋体" w:eastAsia="宋体" w:cs="宋体"/>
                <w:bCs/>
                <w:color w:val="auto"/>
                <w:spacing w:val="16"/>
                <w:sz w:val="21"/>
                <w:szCs w:val="21"/>
                <w:highlight w:val="none"/>
              </w:rPr>
            </w:pPr>
          </w:p>
        </w:tc>
        <w:tc>
          <w:tcPr>
            <w:tcW w:w="2001" w:type="dxa"/>
            <w:gridSpan w:val="3"/>
          </w:tcPr>
          <w:p w14:paraId="6BC0B7E5">
            <w:pPr>
              <w:pStyle w:val="37"/>
              <w:shd w:val="clear" w:color="auto" w:fill="FFFFFF"/>
              <w:spacing w:line="240" w:lineRule="auto"/>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企业性质</w:t>
            </w:r>
          </w:p>
        </w:tc>
        <w:tc>
          <w:tcPr>
            <w:tcW w:w="2151" w:type="dxa"/>
            <w:gridSpan w:val="2"/>
          </w:tcPr>
          <w:p w14:paraId="1973A91B">
            <w:pPr>
              <w:pStyle w:val="37"/>
              <w:shd w:val="clear" w:color="auto" w:fill="FFFFFF"/>
              <w:spacing w:line="240" w:lineRule="auto"/>
              <w:rPr>
                <w:rFonts w:hint="eastAsia" w:ascii="宋体" w:hAnsi="宋体" w:eastAsia="宋体" w:cs="宋体"/>
                <w:bCs/>
                <w:color w:val="auto"/>
                <w:spacing w:val="16"/>
                <w:sz w:val="21"/>
                <w:szCs w:val="21"/>
                <w:highlight w:val="none"/>
              </w:rPr>
            </w:pPr>
          </w:p>
        </w:tc>
      </w:tr>
      <w:tr w14:paraId="5926B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01" w:type="dxa"/>
          </w:tcPr>
          <w:p w14:paraId="160BC35D">
            <w:pPr>
              <w:pStyle w:val="37"/>
              <w:shd w:val="clear" w:color="auto" w:fill="FFFFFF"/>
              <w:spacing w:line="240" w:lineRule="auto"/>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27"/>
                <w:sz w:val="21"/>
                <w:szCs w:val="21"/>
                <w:highlight w:val="none"/>
              </w:rPr>
              <w:t>股东姓名</w:t>
            </w:r>
          </w:p>
        </w:tc>
        <w:tc>
          <w:tcPr>
            <w:tcW w:w="633" w:type="dxa"/>
          </w:tcPr>
          <w:p w14:paraId="1B9F6ED8">
            <w:pPr>
              <w:pStyle w:val="37"/>
              <w:shd w:val="clear" w:color="auto" w:fill="FFFFFF"/>
              <w:spacing w:before="0" w:beforeAutospacing="0" w:after="0" w:afterAutospacing="0" w:line="240" w:lineRule="auto"/>
              <w:rPr>
                <w:rFonts w:hint="eastAsia" w:ascii="宋体" w:hAnsi="宋体" w:eastAsia="宋体" w:cs="宋体"/>
                <w:bCs/>
                <w:color w:val="auto"/>
                <w:spacing w:val="16"/>
                <w:sz w:val="21"/>
                <w:szCs w:val="21"/>
                <w:highlight w:val="none"/>
              </w:rPr>
            </w:pPr>
          </w:p>
        </w:tc>
        <w:tc>
          <w:tcPr>
            <w:tcW w:w="910" w:type="dxa"/>
          </w:tcPr>
          <w:p w14:paraId="428775E0">
            <w:pPr>
              <w:pStyle w:val="37"/>
              <w:shd w:val="clear" w:color="auto" w:fill="FFFFFF"/>
              <w:spacing w:line="240" w:lineRule="auto"/>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股权结构（%）</w:t>
            </w:r>
          </w:p>
        </w:tc>
        <w:tc>
          <w:tcPr>
            <w:tcW w:w="2368" w:type="dxa"/>
            <w:gridSpan w:val="4"/>
          </w:tcPr>
          <w:p w14:paraId="11B60D8C">
            <w:pPr>
              <w:widowControl/>
              <w:spacing w:line="240" w:lineRule="auto"/>
              <w:jc w:val="left"/>
              <w:rPr>
                <w:rFonts w:hint="eastAsia" w:ascii="宋体" w:hAnsi="宋体" w:eastAsia="宋体" w:cs="宋体"/>
                <w:bCs/>
                <w:color w:val="auto"/>
                <w:spacing w:val="16"/>
                <w:kern w:val="0"/>
                <w:sz w:val="21"/>
                <w:szCs w:val="21"/>
                <w:highlight w:val="none"/>
              </w:rPr>
            </w:pPr>
          </w:p>
          <w:p w14:paraId="71BC50AE">
            <w:pPr>
              <w:pStyle w:val="37"/>
              <w:shd w:val="clear" w:color="auto" w:fill="FFFFFF"/>
              <w:spacing w:line="240" w:lineRule="auto"/>
              <w:rPr>
                <w:rFonts w:hint="eastAsia" w:ascii="宋体" w:hAnsi="宋体" w:eastAsia="宋体" w:cs="宋体"/>
                <w:bCs/>
                <w:color w:val="auto"/>
                <w:spacing w:val="16"/>
                <w:sz w:val="21"/>
                <w:szCs w:val="21"/>
                <w:highlight w:val="none"/>
              </w:rPr>
            </w:pPr>
          </w:p>
        </w:tc>
        <w:tc>
          <w:tcPr>
            <w:tcW w:w="2001" w:type="dxa"/>
            <w:gridSpan w:val="3"/>
          </w:tcPr>
          <w:p w14:paraId="66C2CD9C">
            <w:pPr>
              <w:pStyle w:val="37"/>
              <w:shd w:val="clear" w:color="auto" w:fill="FFFFFF"/>
              <w:spacing w:line="240" w:lineRule="auto"/>
              <w:ind w:left="107"/>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股东关系</w:t>
            </w:r>
          </w:p>
        </w:tc>
        <w:tc>
          <w:tcPr>
            <w:tcW w:w="2151" w:type="dxa"/>
            <w:gridSpan w:val="2"/>
          </w:tcPr>
          <w:p w14:paraId="3AA38556">
            <w:pPr>
              <w:pStyle w:val="37"/>
              <w:shd w:val="clear" w:color="auto" w:fill="FFFFFF"/>
              <w:spacing w:line="240" w:lineRule="auto"/>
              <w:ind w:left="107"/>
              <w:rPr>
                <w:rFonts w:hint="eastAsia" w:ascii="宋体" w:hAnsi="宋体" w:eastAsia="宋体" w:cs="宋体"/>
                <w:bCs/>
                <w:color w:val="auto"/>
                <w:spacing w:val="16"/>
                <w:sz w:val="21"/>
                <w:szCs w:val="21"/>
                <w:highlight w:val="none"/>
              </w:rPr>
            </w:pPr>
          </w:p>
        </w:tc>
      </w:tr>
      <w:tr w14:paraId="20204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001" w:type="dxa"/>
            <w:vMerge w:val="restart"/>
          </w:tcPr>
          <w:p w14:paraId="45C901C2">
            <w:pPr>
              <w:pStyle w:val="37"/>
              <w:shd w:val="clear" w:color="auto" w:fill="FFFFFF"/>
              <w:spacing w:line="240" w:lineRule="auto"/>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2"/>
                <w:sz w:val="21"/>
                <w:szCs w:val="21"/>
                <w:highlight w:val="none"/>
              </w:rPr>
              <w:t>联系人</w:t>
            </w:r>
            <w:r>
              <w:rPr>
                <w:rFonts w:hint="eastAsia" w:ascii="宋体" w:hAnsi="宋体" w:eastAsia="宋体" w:cs="宋体"/>
                <w:bCs/>
                <w:color w:val="auto"/>
                <w:spacing w:val="27"/>
                <w:sz w:val="21"/>
                <w:szCs w:val="21"/>
                <w:highlight w:val="none"/>
              </w:rPr>
              <w:t>姓名</w:t>
            </w:r>
          </w:p>
        </w:tc>
        <w:tc>
          <w:tcPr>
            <w:tcW w:w="633" w:type="dxa"/>
            <w:vMerge w:val="restart"/>
            <w:tcBorders>
              <w:top w:val="nil"/>
            </w:tcBorders>
          </w:tcPr>
          <w:p w14:paraId="4829EE63">
            <w:pPr>
              <w:pStyle w:val="37"/>
              <w:shd w:val="clear" w:color="auto" w:fill="FFFFFF"/>
              <w:spacing w:line="240" w:lineRule="auto"/>
              <w:rPr>
                <w:rFonts w:hint="eastAsia" w:ascii="宋体" w:hAnsi="宋体" w:eastAsia="宋体" w:cs="宋体"/>
                <w:bCs/>
                <w:color w:val="auto"/>
                <w:spacing w:val="16"/>
                <w:sz w:val="21"/>
                <w:szCs w:val="21"/>
                <w:highlight w:val="none"/>
              </w:rPr>
            </w:pPr>
          </w:p>
        </w:tc>
        <w:tc>
          <w:tcPr>
            <w:tcW w:w="910" w:type="dxa"/>
            <w:tcBorders>
              <w:top w:val="nil"/>
            </w:tcBorders>
          </w:tcPr>
          <w:p w14:paraId="2175AAD0">
            <w:pPr>
              <w:pStyle w:val="37"/>
              <w:shd w:val="clear" w:color="auto" w:fill="FFFFFF"/>
              <w:spacing w:line="240" w:lineRule="auto"/>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固定电话</w:t>
            </w:r>
          </w:p>
        </w:tc>
        <w:tc>
          <w:tcPr>
            <w:tcW w:w="2368" w:type="dxa"/>
            <w:gridSpan w:val="4"/>
            <w:tcBorders>
              <w:top w:val="nil"/>
            </w:tcBorders>
          </w:tcPr>
          <w:p w14:paraId="169E3B16">
            <w:pPr>
              <w:widowControl/>
              <w:spacing w:line="240" w:lineRule="auto"/>
              <w:jc w:val="left"/>
              <w:rPr>
                <w:rFonts w:hint="eastAsia" w:ascii="宋体" w:hAnsi="宋体" w:eastAsia="宋体" w:cs="宋体"/>
                <w:bCs/>
                <w:color w:val="auto"/>
                <w:spacing w:val="16"/>
                <w:kern w:val="0"/>
                <w:sz w:val="21"/>
                <w:szCs w:val="21"/>
                <w:highlight w:val="none"/>
              </w:rPr>
            </w:pPr>
          </w:p>
          <w:p w14:paraId="40D5C7D6">
            <w:pPr>
              <w:pStyle w:val="37"/>
              <w:shd w:val="clear" w:color="auto" w:fill="FFFFFF"/>
              <w:spacing w:line="240" w:lineRule="auto"/>
              <w:rPr>
                <w:rFonts w:hint="eastAsia" w:ascii="宋体" w:hAnsi="宋体" w:eastAsia="宋体" w:cs="宋体"/>
                <w:bCs/>
                <w:color w:val="auto"/>
                <w:spacing w:val="16"/>
                <w:sz w:val="21"/>
                <w:szCs w:val="21"/>
                <w:highlight w:val="none"/>
              </w:rPr>
            </w:pPr>
          </w:p>
        </w:tc>
        <w:tc>
          <w:tcPr>
            <w:tcW w:w="2001" w:type="dxa"/>
            <w:gridSpan w:val="3"/>
            <w:vMerge w:val="restart"/>
          </w:tcPr>
          <w:p w14:paraId="22762F89">
            <w:pPr>
              <w:pStyle w:val="37"/>
              <w:shd w:val="clear" w:color="auto" w:fill="FFFFFF"/>
              <w:spacing w:before="0" w:beforeAutospacing="0" w:after="0" w:afterAutospacing="0" w:line="240" w:lineRule="auto"/>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传真</w:t>
            </w:r>
          </w:p>
        </w:tc>
        <w:tc>
          <w:tcPr>
            <w:tcW w:w="2151" w:type="dxa"/>
            <w:gridSpan w:val="2"/>
            <w:vMerge w:val="restart"/>
          </w:tcPr>
          <w:p w14:paraId="11B0B689">
            <w:pPr>
              <w:pStyle w:val="37"/>
              <w:shd w:val="clear" w:color="auto" w:fill="FFFFFF"/>
              <w:spacing w:line="240" w:lineRule="auto"/>
              <w:rPr>
                <w:rFonts w:hint="eastAsia" w:ascii="宋体" w:hAnsi="宋体" w:eastAsia="宋体" w:cs="宋体"/>
                <w:bCs/>
                <w:color w:val="auto"/>
                <w:spacing w:val="16"/>
                <w:sz w:val="21"/>
                <w:szCs w:val="21"/>
                <w:highlight w:val="none"/>
              </w:rPr>
            </w:pPr>
          </w:p>
        </w:tc>
      </w:tr>
      <w:tr w14:paraId="4A049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1001" w:type="dxa"/>
            <w:vMerge w:val="continue"/>
          </w:tcPr>
          <w:p w14:paraId="403A30C5">
            <w:pPr>
              <w:pStyle w:val="37"/>
              <w:shd w:val="clear" w:color="auto" w:fill="FFFFFF"/>
              <w:spacing w:line="240" w:lineRule="auto"/>
              <w:ind w:left="107"/>
              <w:rPr>
                <w:rFonts w:hint="eastAsia" w:ascii="宋体" w:hAnsi="宋体" w:eastAsia="宋体" w:cs="宋体"/>
                <w:bCs/>
                <w:color w:val="auto"/>
                <w:sz w:val="21"/>
                <w:szCs w:val="21"/>
                <w:highlight w:val="none"/>
              </w:rPr>
            </w:pPr>
          </w:p>
        </w:tc>
        <w:tc>
          <w:tcPr>
            <w:tcW w:w="633" w:type="dxa"/>
            <w:vMerge w:val="continue"/>
          </w:tcPr>
          <w:p w14:paraId="22269D2A">
            <w:pPr>
              <w:pStyle w:val="37"/>
              <w:shd w:val="clear" w:color="auto" w:fill="FFFFFF"/>
              <w:spacing w:line="240" w:lineRule="auto"/>
              <w:rPr>
                <w:rFonts w:hint="eastAsia" w:ascii="宋体" w:hAnsi="宋体" w:eastAsia="宋体" w:cs="宋体"/>
                <w:bCs/>
                <w:color w:val="auto"/>
                <w:spacing w:val="16"/>
                <w:sz w:val="21"/>
                <w:szCs w:val="21"/>
                <w:highlight w:val="none"/>
              </w:rPr>
            </w:pPr>
          </w:p>
        </w:tc>
        <w:tc>
          <w:tcPr>
            <w:tcW w:w="910" w:type="dxa"/>
          </w:tcPr>
          <w:p w14:paraId="1A3E30AB">
            <w:pPr>
              <w:pStyle w:val="37"/>
              <w:shd w:val="clear" w:color="auto" w:fill="FFFFFF"/>
              <w:spacing w:line="240" w:lineRule="auto"/>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27"/>
                <w:sz w:val="21"/>
                <w:szCs w:val="21"/>
                <w:highlight w:val="none"/>
              </w:rPr>
              <w:t>手机</w:t>
            </w:r>
          </w:p>
        </w:tc>
        <w:tc>
          <w:tcPr>
            <w:tcW w:w="2368" w:type="dxa"/>
            <w:gridSpan w:val="4"/>
          </w:tcPr>
          <w:p w14:paraId="554FAFB6">
            <w:pPr>
              <w:pStyle w:val="37"/>
              <w:shd w:val="clear" w:color="auto" w:fill="FFFFFF"/>
              <w:spacing w:line="240" w:lineRule="auto"/>
              <w:rPr>
                <w:rFonts w:hint="eastAsia" w:ascii="宋体" w:hAnsi="宋体" w:eastAsia="宋体" w:cs="宋体"/>
                <w:bCs/>
                <w:color w:val="auto"/>
                <w:spacing w:val="16"/>
                <w:sz w:val="21"/>
                <w:szCs w:val="21"/>
                <w:highlight w:val="none"/>
              </w:rPr>
            </w:pPr>
          </w:p>
        </w:tc>
        <w:tc>
          <w:tcPr>
            <w:tcW w:w="2001" w:type="dxa"/>
            <w:gridSpan w:val="3"/>
            <w:vMerge w:val="continue"/>
          </w:tcPr>
          <w:p w14:paraId="7F4BA632">
            <w:pPr>
              <w:pStyle w:val="37"/>
              <w:shd w:val="clear" w:color="auto" w:fill="FFFFFF"/>
              <w:spacing w:line="240" w:lineRule="auto"/>
              <w:rPr>
                <w:rFonts w:hint="eastAsia" w:ascii="宋体" w:hAnsi="宋体" w:eastAsia="宋体" w:cs="宋体"/>
                <w:bCs/>
                <w:color w:val="auto"/>
                <w:spacing w:val="16"/>
                <w:sz w:val="21"/>
                <w:szCs w:val="21"/>
                <w:highlight w:val="none"/>
              </w:rPr>
            </w:pPr>
          </w:p>
        </w:tc>
        <w:tc>
          <w:tcPr>
            <w:tcW w:w="2151" w:type="dxa"/>
            <w:gridSpan w:val="2"/>
            <w:vMerge w:val="continue"/>
          </w:tcPr>
          <w:p w14:paraId="01A259BB">
            <w:pPr>
              <w:pStyle w:val="37"/>
              <w:shd w:val="clear" w:color="auto" w:fill="FFFFFF"/>
              <w:spacing w:line="240" w:lineRule="auto"/>
              <w:rPr>
                <w:rFonts w:hint="eastAsia" w:ascii="宋体" w:hAnsi="宋体" w:eastAsia="宋体" w:cs="宋体"/>
                <w:bCs/>
                <w:color w:val="auto"/>
                <w:spacing w:val="16"/>
                <w:sz w:val="21"/>
                <w:szCs w:val="21"/>
                <w:highlight w:val="none"/>
              </w:rPr>
            </w:pPr>
          </w:p>
        </w:tc>
      </w:tr>
      <w:tr w14:paraId="782E9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trPr>
        <w:tc>
          <w:tcPr>
            <w:tcW w:w="1001" w:type="dxa"/>
            <w:vMerge w:val="restart"/>
          </w:tcPr>
          <w:p w14:paraId="682A06FF">
            <w:pPr>
              <w:pStyle w:val="37"/>
              <w:shd w:val="clear" w:color="auto" w:fill="FFFFFF"/>
              <w:spacing w:line="240" w:lineRule="auto"/>
              <w:ind w:left="107"/>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一、</w:t>
            </w:r>
          </w:p>
          <w:p w14:paraId="3F70DF3B">
            <w:pPr>
              <w:pStyle w:val="37"/>
              <w:shd w:val="clear" w:color="auto" w:fill="FFFFFF"/>
              <w:spacing w:line="240" w:lineRule="auto"/>
              <w:ind w:left="107"/>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企</w:t>
            </w:r>
          </w:p>
          <w:p w14:paraId="4937553D">
            <w:pPr>
              <w:pStyle w:val="37"/>
              <w:shd w:val="clear" w:color="auto" w:fill="FFFFFF"/>
              <w:spacing w:line="240" w:lineRule="auto"/>
              <w:ind w:left="107"/>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业</w:t>
            </w:r>
          </w:p>
          <w:p w14:paraId="17E01C38">
            <w:pPr>
              <w:pStyle w:val="37"/>
              <w:shd w:val="clear" w:color="auto" w:fill="FFFFFF"/>
              <w:spacing w:line="240" w:lineRule="auto"/>
              <w:ind w:left="107"/>
              <w:rPr>
                <w:rFonts w:hint="eastAsia" w:ascii="宋体" w:hAnsi="宋体" w:eastAsia="宋体" w:cs="宋体"/>
                <w:bCs/>
                <w:color w:val="auto"/>
                <w:spacing w:val="27"/>
                <w:sz w:val="21"/>
                <w:szCs w:val="21"/>
                <w:highlight w:val="none"/>
              </w:rPr>
            </w:pPr>
            <w:r>
              <w:rPr>
                <w:rFonts w:hint="eastAsia" w:ascii="宋体" w:hAnsi="宋体" w:eastAsia="宋体" w:cs="宋体"/>
                <w:bCs/>
                <w:color w:val="auto"/>
                <w:spacing w:val="27"/>
                <w:sz w:val="21"/>
                <w:szCs w:val="21"/>
                <w:highlight w:val="none"/>
              </w:rPr>
              <w:t>概</w:t>
            </w:r>
          </w:p>
          <w:p w14:paraId="3EA50AEF">
            <w:pPr>
              <w:pStyle w:val="37"/>
              <w:shd w:val="clear" w:color="auto" w:fill="FFFFFF"/>
              <w:spacing w:line="240" w:lineRule="auto"/>
              <w:ind w:left="107"/>
              <w:rPr>
                <w:rFonts w:hint="eastAsia" w:ascii="宋体" w:hAnsi="宋体" w:eastAsia="宋体" w:cs="宋体"/>
                <w:bCs/>
                <w:color w:val="auto"/>
                <w:sz w:val="21"/>
                <w:szCs w:val="21"/>
                <w:highlight w:val="none"/>
              </w:rPr>
            </w:pPr>
            <w:r>
              <w:rPr>
                <w:rFonts w:hint="eastAsia" w:ascii="宋体" w:hAnsi="宋体" w:eastAsia="宋体" w:cs="宋体"/>
                <w:bCs/>
                <w:color w:val="auto"/>
                <w:spacing w:val="27"/>
                <w:sz w:val="21"/>
                <w:szCs w:val="21"/>
                <w:highlight w:val="none"/>
              </w:rPr>
              <w:t>况</w:t>
            </w:r>
          </w:p>
        </w:tc>
        <w:tc>
          <w:tcPr>
            <w:tcW w:w="633" w:type="dxa"/>
            <w:tcBorders>
              <w:top w:val="nil"/>
            </w:tcBorders>
          </w:tcPr>
          <w:p w14:paraId="5E6B4010">
            <w:pPr>
              <w:pStyle w:val="37"/>
              <w:shd w:val="clear" w:color="auto" w:fill="FFFFFF"/>
              <w:spacing w:line="240" w:lineRule="auto"/>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职工人数</w:t>
            </w:r>
          </w:p>
        </w:tc>
        <w:tc>
          <w:tcPr>
            <w:tcW w:w="910" w:type="dxa"/>
            <w:tcBorders>
              <w:top w:val="nil"/>
            </w:tcBorders>
          </w:tcPr>
          <w:p w14:paraId="5A83A9A4">
            <w:pPr>
              <w:pStyle w:val="37"/>
              <w:shd w:val="clear" w:color="auto" w:fill="FFFFFF"/>
              <w:spacing w:line="240" w:lineRule="auto"/>
              <w:rPr>
                <w:rFonts w:hint="eastAsia" w:ascii="宋体" w:hAnsi="宋体" w:eastAsia="宋体" w:cs="宋体"/>
                <w:bCs/>
                <w:color w:val="auto"/>
                <w:spacing w:val="16"/>
                <w:sz w:val="21"/>
                <w:szCs w:val="21"/>
                <w:highlight w:val="none"/>
              </w:rPr>
            </w:pPr>
          </w:p>
        </w:tc>
        <w:tc>
          <w:tcPr>
            <w:tcW w:w="1163" w:type="dxa"/>
            <w:gridSpan w:val="2"/>
            <w:tcBorders>
              <w:top w:val="nil"/>
            </w:tcBorders>
          </w:tcPr>
          <w:p w14:paraId="7C20A122">
            <w:pPr>
              <w:pStyle w:val="37"/>
              <w:shd w:val="clear" w:color="auto" w:fill="FFFFFF"/>
              <w:spacing w:before="0" w:beforeAutospacing="0" w:after="0" w:afterAutospacing="0" w:line="240" w:lineRule="auto"/>
              <w:rPr>
                <w:rFonts w:hint="eastAsia" w:ascii="宋体" w:hAnsi="宋体" w:eastAsia="宋体" w:cs="宋体"/>
                <w:bCs/>
                <w:color w:val="auto"/>
                <w:sz w:val="21"/>
                <w:szCs w:val="21"/>
                <w:highlight w:val="none"/>
              </w:rPr>
            </w:pPr>
            <w:r>
              <w:rPr>
                <w:rFonts w:hint="eastAsia" w:ascii="宋体" w:hAnsi="宋体" w:eastAsia="宋体" w:cs="宋体"/>
                <w:bCs/>
                <w:color w:val="auto"/>
                <w:spacing w:val="18"/>
                <w:sz w:val="21"/>
                <w:szCs w:val="21"/>
                <w:highlight w:val="none"/>
              </w:rPr>
              <w:t>具备大专以</w:t>
            </w:r>
            <w:r>
              <w:rPr>
                <w:rFonts w:hint="eastAsia" w:ascii="宋体" w:hAnsi="宋体" w:eastAsia="宋体" w:cs="宋体"/>
                <w:bCs/>
                <w:color w:val="auto"/>
                <w:spacing w:val="12"/>
                <w:sz w:val="21"/>
                <w:szCs w:val="21"/>
                <w:highlight w:val="none"/>
              </w:rPr>
              <w:t>上学历人数</w:t>
            </w:r>
          </w:p>
        </w:tc>
        <w:tc>
          <w:tcPr>
            <w:tcW w:w="1205" w:type="dxa"/>
            <w:gridSpan w:val="2"/>
            <w:tcBorders>
              <w:top w:val="nil"/>
            </w:tcBorders>
          </w:tcPr>
          <w:p w14:paraId="7AA65C0F">
            <w:pPr>
              <w:widowControl/>
              <w:spacing w:line="240" w:lineRule="auto"/>
              <w:jc w:val="left"/>
              <w:rPr>
                <w:rFonts w:hint="eastAsia" w:ascii="宋体" w:hAnsi="宋体" w:eastAsia="宋体" w:cs="宋体"/>
                <w:bCs/>
                <w:color w:val="auto"/>
                <w:spacing w:val="16"/>
                <w:kern w:val="0"/>
                <w:sz w:val="21"/>
                <w:szCs w:val="21"/>
                <w:highlight w:val="none"/>
              </w:rPr>
            </w:pPr>
          </w:p>
          <w:p w14:paraId="6B157556">
            <w:pPr>
              <w:widowControl/>
              <w:spacing w:line="240" w:lineRule="auto"/>
              <w:jc w:val="left"/>
              <w:rPr>
                <w:rFonts w:hint="eastAsia" w:ascii="宋体" w:hAnsi="宋体" w:eastAsia="宋体" w:cs="宋体"/>
                <w:bCs/>
                <w:color w:val="auto"/>
                <w:spacing w:val="16"/>
                <w:kern w:val="0"/>
                <w:sz w:val="21"/>
                <w:szCs w:val="21"/>
                <w:highlight w:val="none"/>
              </w:rPr>
            </w:pPr>
          </w:p>
          <w:p w14:paraId="38A04BB0">
            <w:pPr>
              <w:pStyle w:val="37"/>
              <w:shd w:val="clear" w:color="auto" w:fill="FFFFFF"/>
              <w:spacing w:line="240" w:lineRule="auto"/>
              <w:rPr>
                <w:rFonts w:hint="eastAsia" w:ascii="宋体" w:hAnsi="宋体" w:eastAsia="宋体" w:cs="宋体"/>
                <w:bCs/>
                <w:color w:val="auto"/>
                <w:spacing w:val="16"/>
                <w:sz w:val="21"/>
                <w:szCs w:val="21"/>
                <w:highlight w:val="none"/>
              </w:rPr>
            </w:pPr>
          </w:p>
        </w:tc>
        <w:tc>
          <w:tcPr>
            <w:tcW w:w="2001" w:type="dxa"/>
            <w:gridSpan w:val="3"/>
          </w:tcPr>
          <w:p w14:paraId="47401479">
            <w:pPr>
              <w:pStyle w:val="37"/>
              <w:shd w:val="clear" w:color="auto" w:fill="FFFFFF"/>
              <w:spacing w:line="240" w:lineRule="auto"/>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65"/>
                <w:sz w:val="21"/>
                <w:szCs w:val="21"/>
                <w:highlight w:val="none"/>
              </w:rPr>
              <w:t>国家授予技</w:t>
            </w:r>
            <w:r>
              <w:rPr>
                <w:rFonts w:hint="eastAsia" w:ascii="宋体" w:hAnsi="宋体" w:eastAsia="宋体" w:cs="宋体"/>
                <w:bCs/>
                <w:color w:val="auto"/>
                <w:spacing w:val="12"/>
                <w:sz w:val="21"/>
                <w:szCs w:val="21"/>
                <w:highlight w:val="none"/>
              </w:rPr>
              <w:t>术职称人数</w:t>
            </w:r>
          </w:p>
        </w:tc>
        <w:tc>
          <w:tcPr>
            <w:tcW w:w="2151" w:type="dxa"/>
            <w:gridSpan w:val="2"/>
          </w:tcPr>
          <w:p w14:paraId="5798D709">
            <w:pPr>
              <w:widowControl/>
              <w:spacing w:line="240" w:lineRule="auto"/>
              <w:jc w:val="left"/>
              <w:rPr>
                <w:rFonts w:hint="eastAsia" w:ascii="宋体" w:hAnsi="宋体" w:eastAsia="宋体" w:cs="宋体"/>
                <w:bCs/>
                <w:color w:val="auto"/>
                <w:spacing w:val="16"/>
                <w:kern w:val="0"/>
                <w:sz w:val="21"/>
                <w:szCs w:val="21"/>
                <w:highlight w:val="none"/>
              </w:rPr>
            </w:pPr>
          </w:p>
          <w:p w14:paraId="45A68FDC">
            <w:pPr>
              <w:pStyle w:val="37"/>
              <w:shd w:val="clear" w:color="auto" w:fill="FFFFFF"/>
              <w:spacing w:line="240" w:lineRule="auto"/>
              <w:rPr>
                <w:rFonts w:hint="eastAsia" w:ascii="宋体" w:hAnsi="宋体" w:eastAsia="宋体" w:cs="宋体"/>
                <w:bCs/>
                <w:color w:val="auto"/>
                <w:spacing w:val="16"/>
                <w:sz w:val="21"/>
                <w:szCs w:val="21"/>
                <w:highlight w:val="none"/>
              </w:rPr>
            </w:pPr>
          </w:p>
        </w:tc>
      </w:tr>
      <w:tr w14:paraId="1F367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trPr>
        <w:tc>
          <w:tcPr>
            <w:tcW w:w="1001" w:type="dxa"/>
            <w:vMerge w:val="continue"/>
          </w:tcPr>
          <w:p w14:paraId="5220D67B">
            <w:pPr>
              <w:pStyle w:val="37"/>
              <w:shd w:val="clear" w:color="auto" w:fill="FFFFFF"/>
              <w:spacing w:line="240" w:lineRule="auto"/>
              <w:ind w:left="107"/>
              <w:rPr>
                <w:rFonts w:hint="eastAsia" w:ascii="宋体" w:hAnsi="宋体" w:eastAsia="宋体" w:cs="宋体"/>
                <w:bCs/>
                <w:color w:val="auto"/>
                <w:sz w:val="21"/>
                <w:szCs w:val="21"/>
                <w:highlight w:val="none"/>
              </w:rPr>
            </w:pPr>
          </w:p>
        </w:tc>
        <w:tc>
          <w:tcPr>
            <w:tcW w:w="633" w:type="dxa"/>
          </w:tcPr>
          <w:p w14:paraId="28840AAA">
            <w:pPr>
              <w:pStyle w:val="37"/>
              <w:shd w:val="clear" w:color="auto" w:fill="FFFFFF"/>
              <w:spacing w:line="240" w:lineRule="auto"/>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占地面积</w:t>
            </w:r>
          </w:p>
        </w:tc>
        <w:tc>
          <w:tcPr>
            <w:tcW w:w="910" w:type="dxa"/>
          </w:tcPr>
          <w:p w14:paraId="3ADD9585">
            <w:pPr>
              <w:pStyle w:val="37"/>
              <w:shd w:val="clear" w:color="auto" w:fill="FFFFFF"/>
              <w:spacing w:line="240" w:lineRule="auto"/>
              <w:rPr>
                <w:rFonts w:hint="eastAsia" w:ascii="宋体" w:hAnsi="宋体" w:eastAsia="宋体" w:cs="宋体"/>
                <w:bCs/>
                <w:color w:val="auto"/>
                <w:sz w:val="21"/>
                <w:szCs w:val="21"/>
                <w:highlight w:val="none"/>
              </w:rPr>
            </w:pPr>
          </w:p>
        </w:tc>
        <w:tc>
          <w:tcPr>
            <w:tcW w:w="1163" w:type="dxa"/>
            <w:gridSpan w:val="2"/>
          </w:tcPr>
          <w:p w14:paraId="06D87D62">
            <w:pPr>
              <w:pStyle w:val="37"/>
              <w:shd w:val="clear" w:color="auto" w:fill="FFFFFF"/>
              <w:spacing w:line="240" w:lineRule="auto"/>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建筑面积</w:t>
            </w:r>
          </w:p>
        </w:tc>
        <w:tc>
          <w:tcPr>
            <w:tcW w:w="1205" w:type="dxa"/>
            <w:gridSpan w:val="2"/>
          </w:tcPr>
          <w:p w14:paraId="34C8A319">
            <w:pPr>
              <w:pStyle w:val="37"/>
              <w:shd w:val="clear" w:color="auto" w:fill="FFFFFF"/>
              <w:spacing w:line="24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平方米</w:t>
            </w:r>
          </w:p>
          <w:p w14:paraId="2E706BED">
            <w:pPr>
              <w:pStyle w:val="37"/>
              <w:shd w:val="clear" w:color="auto" w:fill="FFFFFF"/>
              <w:spacing w:line="240" w:lineRule="auto"/>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□自有□租賃</w:t>
            </w:r>
          </w:p>
        </w:tc>
        <w:tc>
          <w:tcPr>
            <w:tcW w:w="2001" w:type="dxa"/>
            <w:gridSpan w:val="3"/>
          </w:tcPr>
          <w:p w14:paraId="5C3B9F4E">
            <w:pPr>
              <w:pStyle w:val="37"/>
              <w:shd w:val="clear" w:color="auto" w:fill="FFFFFF"/>
              <w:spacing w:line="240" w:lineRule="auto"/>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生产经营场所及场所的设施与设备</w:t>
            </w:r>
          </w:p>
        </w:tc>
        <w:tc>
          <w:tcPr>
            <w:tcW w:w="2151" w:type="dxa"/>
            <w:gridSpan w:val="2"/>
          </w:tcPr>
          <w:p w14:paraId="0A162833">
            <w:pPr>
              <w:pStyle w:val="37"/>
              <w:shd w:val="clear" w:color="auto" w:fill="FFFFFF"/>
              <w:spacing w:before="0" w:beforeAutospacing="0" w:after="0" w:afterAutospacing="0" w:line="240" w:lineRule="auto"/>
              <w:rPr>
                <w:rFonts w:hint="eastAsia" w:ascii="宋体" w:hAnsi="宋体" w:eastAsia="宋体" w:cs="宋体"/>
                <w:bCs/>
                <w:color w:val="auto"/>
                <w:spacing w:val="16"/>
                <w:sz w:val="21"/>
                <w:szCs w:val="21"/>
                <w:highlight w:val="none"/>
              </w:rPr>
            </w:pPr>
          </w:p>
        </w:tc>
      </w:tr>
      <w:tr w14:paraId="66B21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001" w:type="dxa"/>
            <w:vMerge w:val="continue"/>
          </w:tcPr>
          <w:p w14:paraId="2CB2F642">
            <w:pPr>
              <w:pStyle w:val="37"/>
              <w:shd w:val="clear" w:color="auto" w:fill="FFFFFF"/>
              <w:spacing w:line="240" w:lineRule="auto"/>
              <w:ind w:left="107"/>
              <w:rPr>
                <w:rFonts w:hint="eastAsia" w:ascii="宋体" w:hAnsi="宋体" w:eastAsia="宋体" w:cs="宋体"/>
                <w:bCs/>
                <w:color w:val="auto"/>
                <w:sz w:val="21"/>
                <w:szCs w:val="21"/>
                <w:highlight w:val="none"/>
              </w:rPr>
            </w:pPr>
          </w:p>
        </w:tc>
        <w:tc>
          <w:tcPr>
            <w:tcW w:w="633" w:type="dxa"/>
          </w:tcPr>
          <w:p w14:paraId="1CE4B82A">
            <w:pPr>
              <w:pStyle w:val="37"/>
              <w:shd w:val="clear" w:color="auto" w:fill="FFFFFF"/>
              <w:spacing w:line="240" w:lineRule="auto"/>
              <w:ind w:left="2"/>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注册资金</w:t>
            </w:r>
          </w:p>
        </w:tc>
        <w:tc>
          <w:tcPr>
            <w:tcW w:w="910" w:type="dxa"/>
          </w:tcPr>
          <w:p w14:paraId="64424E65">
            <w:pPr>
              <w:pStyle w:val="37"/>
              <w:shd w:val="clear" w:color="auto" w:fill="FFFFFF"/>
              <w:spacing w:line="240" w:lineRule="auto"/>
              <w:ind w:left="2"/>
              <w:rPr>
                <w:rFonts w:hint="eastAsia" w:ascii="宋体" w:hAnsi="宋体" w:eastAsia="宋体" w:cs="宋体"/>
                <w:bCs/>
                <w:color w:val="auto"/>
                <w:sz w:val="21"/>
                <w:szCs w:val="21"/>
                <w:highlight w:val="none"/>
              </w:rPr>
            </w:pPr>
          </w:p>
        </w:tc>
        <w:tc>
          <w:tcPr>
            <w:tcW w:w="1163" w:type="dxa"/>
            <w:gridSpan w:val="2"/>
          </w:tcPr>
          <w:p w14:paraId="2F0E9F00">
            <w:pPr>
              <w:pStyle w:val="37"/>
              <w:shd w:val="clear" w:color="auto" w:fill="FFFFFF"/>
              <w:spacing w:line="240" w:lineRule="auto"/>
              <w:ind w:left="107"/>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注册发证</w:t>
            </w:r>
            <w:r>
              <w:rPr>
                <w:rFonts w:hint="eastAsia" w:ascii="宋体" w:hAnsi="宋体" w:eastAsia="宋体" w:cs="宋体"/>
                <w:bCs/>
                <w:color w:val="auto"/>
                <w:spacing w:val="27"/>
                <w:sz w:val="21"/>
                <w:szCs w:val="21"/>
                <w:highlight w:val="none"/>
              </w:rPr>
              <w:t>机关</w:t>
            </w:r>
          </w:p>
        </w:tc>
        <w:tc>
          <w:tcPr>
            <w:tcW w:w="3206" w:type="dxa"/>
            <w:gridSpan w:val="5"/>
          </w:tcPr>
          <w:p w14:paraId="2F774CA7">
            <w:pPr>
              <w:widowControl/>
              <w:spacing w:line="240" w:lineRule="auto"/>
              <w:jc w:val="left"/>
              <w:rPr>
                <w:rFonts w:hint="eastAsia" w:ascii="宋体" w:hAnsi="宋体" w:eastAsia="宋体" w:cs="宋体"/>
                <w:bCs/>
                <w:color w:val="auto"/>
                <w:kern w:val="0"/>
                <w:sz w:val="21"/>
                <w:szCs w:val="21"/>
                <w:highlight w:val="none"/>
              </w:rPr>
            </w:pPr>
          </w:p>
          <w:p w14:paraId="009D7CA2">
            <w:pPr>
              <w:pStyle w:val="37"/>
              <w:shd w:val="clear" w:color="auto" w:fill="FFFFFF"/>
              <w:spacing w:line="240" w:lineRule="auto"/>
              <w:ind w:left="107"/>
              <w:rPr>
                <w:rFonts w:hint="eastAsia" w:ascii="宋体" w:hAnsi="宋体" w:eastAsia="宋体" w:cs="宋体"/>
                <w:bCs/>
                <w:color w:val="auto"/>
                <w:sz w:val="21"/>
                <w:szCs w:val="21"/>
                <w:highlight w:val="none"/>
              </w:rPr>
            </w:pPr>
          </w:p>
        </w:tc>
        <w:tc>
          <w:tcPr>
            <w:tcW w:w="1218" w:type="dxa"/>
          </w:tcPr>
          <w:p w14:paraId="11670049">
            <w:pPr>
              <w:pStyle w:val="37"/>
              <w:shd w:val="clear" w:color="auto" w:fill="FFFFFF"/>
              <w:spacing w:line="240" w:lineRule="auto"/>
              <w:ind w:left="107"/>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公司成</w:t>
            </w:r>
            <w:r>
              <w:rPr>
                <w:rFonts w:hint="eastAsia" w:ascii="宋体" w:hAnsi="宋体" w:eastAsia="宋体" w:cs="宋体"/>
                <w:bCs/>
                <w:color w:val="auto"/>
                <w:spacing w:val="12"/>
                <w:sz w:val="21"/>
                <w:szCs w:val="21"/>
                <w:highlight w:val="none"/>
              </w:rPr>
              <w:t>立时间</w:t>
            </w:r>
          </w:p>
        </w:tc>
        <w:tc>
          <w:tcPr>
            <w:tcW w:w="933" w:type="dxa"/>
          </w:tcPr>
          <w:p w14:paraId="6C7C58DF">
            <w:pPr>
              <w:pStyle w:val="37"/>
              <w:shd w:val="clear" w:color="auto" w:fill="FFFFFF"/>
              <w:spacing w:line="240" w:lineRule="auto"/>
              <w:ind w:left="107"/>
              <w:rPr>
                <w:rFonts w:hint="eastAsia" w:ascii="宋体" w:hAnsi="宋体" w:eastAsia="宋体" w:cs="宋体"/>
                <w:bCs/>
                <w:color w:val="auto"/>
                <w:sz w:val="21"/>
                <w:szCs w:val="21"/>
                <w:highlight w:val="none"/>
              </w:rPr>
            </w:pPr>
          </w:p>
        </w:tc>
      </w:tr>
      <w:tr w14:paraId="10EC5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1001" w:type="dxa"/>
            <w:vMerge w:val="continue"/>
          </w:tcPr>
          <w:p w14:paraId="7A0F0BD5">
            <w:pPr>
              <w:pStyle w:val="37"/>
              <w:shd w:val="clear" w:color="auto" w:fill="FFFFFF"/>
              <w:spacing w:line="240" w:lineRule="auto"/>
              <w:ind w:left="107"/>
              <w:rPr>
                <w:rFonts w:hint="eastAsia" w:ascii="宋体" w:hAnsi="宋体" w:eastAsia="宋体" w:cs="宋体"/>
                <w:bCs/>
                <w:color w:val="auto"/>
                <w:sz w:val="21"/>
                <w:szCs w:val="21"/>
                <w:highlight w:val="none"/>
              </w:rPr>
            </w:pPr>
          </w:p>
        </w:tc>
        <w:tc>
          <w:tcPr>
            <w:tcW w:w="633" w:type="dxa"/>
          </w:tcPr>
          <w:p w14:paraId="5310914B">
            <w:pPr>
              <w:pStyle w:val="37"/>
              <w:shd w:val="clear" w:color="auto" w:fill="FFFFFF"/>
              <w:spacing w:line="240" w:lineRule="auto"/>
              <w:ind w:left="2"/>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核准经营范围</w:t>
            </w:r>
          </w:p>
        </w:tc>
        <w:tc>
          <w:tcPr>
            <w:tcW w:w="7430" w:type="dxa"/>
            <w:gridSpan w:val="10"/>
          </w:tcPr>
          <w:p w14:paraId="16FEA300">
            <w:pPr>
              <w:pStyle w:val="37"/>
              <w:shd w:val="clear" w:color="auto" w:fill="FFFFFF"/>
              <w:spacing w:line="240" w:lineRule="auto"/>
              <w:ind w:left="107"/>
              <w:rPr>
                <w:rFonts w:hint="eastAsia" w:ascii="宋体" w:hAnsi="宋体" w:eastAsia="宋体" w:cs="宋体"/>
                <w:bCs/>
                <w:color w:val="auto"/>
                <w:sz w:val="21"/>
                <w:szCs w:val="21"/>
                <w:highlight w:val="none"/>
              </w:rPr>
            </w:pPr>
          </w:p>
        </w:tc>
      </w:tr>
      <w:tr w14:paraId="4F3EF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1001" w:type="dxa"/>
            <w:vMerge w:val="continue"/>
          </w:tcPr>
          <w:p w14:paraId="7EAC0585">
            <w:pPr>
              <w:pStyle w:val="37"/>
              <w:shd w:val="clear" w:color="auto" w:fill="FFFFFF"/>
              <w:spacing w:line="240" w:lineRule="auto"/>
              <w:ind w:left="107"/>
              <w:rPr>
                <w:rFonts w:hint="eastAsia" w:ascii="宋体" w:hAnsi="宋体" w:eastAsia="宋体" w:cs="宋体"/>
                <w:bCs/>
                <w:color w:val="auto"/>
                <w:sz w:val="21"/>
                <w:szCs w:val="21"/>
                <w:highlight w:val="none"/>
              </w:rPr>
            </w:pPr>
          </w:p>
        </w:tc>
        <w:tc>
          <w:tcPr>
            <w:tcW w:w="8063" w:type="dxa"/>
            <w:gridSpan w:val="11"/>
          </w:tcPr>
          <w:p w14:paraId="752CA810">
            <w:pPr>
              <w:pStyle w:val="37"/>
              <w:shd w:val="clear" w:color="auto" w:fill="FFFFFF"/>
              <w:spacing w:line="240" w:lineRule="auto"/>
              <w:rPr>
                <w:rFonts w:hint="eastAsia" w:ascii="宋体" w:hAnsi="宋体" w:eastAsia="宋体" w:cs="宋体"/>
                <w:bCs/>
                <w:color w:val="auto"/>
                <w:spacing w:val="13"/>
                <w:sz w:val="21"/>
                <w:szCs w:val="21"/>
                <w:highlight w:val="none"/>
              </w:rPr>
            </w:pPr>
            <w:r>
              <w:rPr>
                <w:rFonts w:hint="eastAsia" w:ascii="宋体" w:hAnsi="宋体" w:eastAsia="宋体" w:cs="宋体"/>
                <w:bCs/>
                <w:color w:val="auto"/>
                <w:spacing w:val="13"/>
                <w:sz w:val="21"/>
                <w:szCs w:val="21"/>
                <w:highlight w:val="none"/>
              </w:rPr>
              <w:t>发展历程及主要荣誉：</w:t>
            </w:r>
          </w:p>
        </w:tc>
      </w:tr>
      <w:tr w14:paraId="25EEB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001" w:type="dxa"/>
            <w:vMerge w:val="restart"/>
          </w:tcPr>
          <w:p w14:paraId="3B20F71E">
            <w:pPr>
              <w:pStyle w:val="37"/>
              <w:shd w:val="clear" w:color="auto" w:fill="FFFFFF"/>
              <w:spacing w:line="240" w:lineRule="auto"/>
              <w:ind w:left="107"/>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二、</w:t>
            </w:r>
          </w:p>
          <w:p w14:paraId="550F05D6">
            <w:pPr>
              <w:pStyle w:val="37"/>
              <w:shd w:val="clear" w:color="auto" w:fill="FFFFFF"/>
              <w:spacing w:line="240" w:lineRule="auto"/>
              <w:ind w:left="107"/>
              <w:rPr>
                <w:rFonts w:hint="eastAsia" w:ascii="宋体" w:hAnsi="宋体" w:eastAsia="宋体" w:cs="宋体"/>
                <w:bCs/>
                <w:color w:val="auto"/>
                <w:spacing w:val="16"/>
                <w:sz w:val="21"/>
                <w:szCs w:val="21"/>
                <w:highlight w:val="none"/>
              </w:rPr>
            </w:pPr>
            <w:r>
              <w:rPr>
                <w:rFonts w:hint="eastAsia" w:ascii="宋体" w:hAnsi="宋体" w:eastAsia="宋体" w:cs="宋体"/>
                <w:bCs/>
                <w:color w:val="auto"/>
                <w:sz w:val="21"/>
                <w:szCs w:val="21"/>
                <w:highlight w:val="none"/>
              </w:rPr>
              <w:t>企</w:t>
            </w:r>
            <w:r>
              <w:rPr>
                <w:rFonts w:hint="eastAsia" w:ascii="宋体" w:hAnsi="宋体" w:eastAsia="宋体" w:cs="宋体"/>
                <w:bCs/>
                <w:color w:val="auto"/>
                <w:spacing w:val="12"/>
                <w:sz w:val="21"/>
                <w:szCs w:val="21"/>
                <w:highlight w:val="none"/>
              </w:rPr>
              <w:t>业有关资质获证情况</w:t>
            </w:r>
          </w:p>
        </w:tc>
        <w:tc>
          <w:tcPr>
            <w:tcW w:w="1854" w:type="dxa"/>
            <w:gridSpan w:val="3"/>
            <w:vMerge w:val="restart"/>
          </w:tcPr>
          <w:p w14:paraId="0C08B74A">
            <w:pPr>
              <w:pStyle w:val="37"/>
              <w:shd w:val="clear" w:color="auto" w:fill="FFFFFF"/>
              <w:spacing w:before="0" w:beforeAutospacing="0" w:after="0" w:afterAutospacing="0" w:line="240" w:lineRule="auto"/>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2"/>
                <w:sz w:val="21"/>
                <w:szCs w:val="21"/>
                <w:highlight w:val="none"/>
              </w:rPr>
              <w:t>产品生产许可证情况</w:t>
            </w:r>
            <w:r>
              <w:rPr>
                <w:rFonts w:hint="eastAsia" w:ascii="宋体" w:hAnsi="宋体" w:eastAsia="宋体" w:cs="宋体"/>
                <w:bCs/>
                <w:color w:val="auto"/>
                <w:spacing w:val="41"/>
                <w:sz w:val="21"/>
                <w:szCs w:val="21"/>
                <w:highlight w:val="none"/>
              </w:rPr>
              <w:t>（对需获得生产许可证的</w:t>
            </w:r>
            <w:r>
              <w:rPr>
                <w:rFonts w:hint="eastAsia" w:ascii="宋体" w:hAnsi="宋体" w:eastAsia="宋体" w:cs="宋体"/>
                <w:bCs/>
                <w:color w:val="auto"/>
                <w:spacing w:val="11"/>
                <w:sz w:val="21"/>
                <w:szCs w:val="21"/>
                <w:highlight w:val="none"/>
              </w:rPr>
              <w:t>产品要填写此栏）</w:t>
            </w:r>
          </w:p>
        </w:tc>
        <w:tc>
          <w:tcPr>
            <w:tcW w:w="964" w:type="dxa"/>
            <w:gridSpan w:val="2"/>
          </w:tcPr>
          <w:p w14:paraId="03402B1C">
            <w:pPr>
              <w:pStyle w:val="37"/>
              <w:shd w:val="clear" w:color="auto" w:fill="FFFFFF"/>
              <w:spacing w:line="240" w:lineRule="auto"/>
              <w:ind w:right="-78" w:rightChars="-37"/>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产品名称</w:t>
            </w:r>
          </w:p>
        </w:tc>
        <w:tc>
          <w:tcPr>
            <w:tcW w:w="1418" w:type="dxa"/>
            <w:gridSpan w:val="2"/>
          </w:tcPr>
          <w:p w14:paraId="1E232070">
            <w:pPr>
              <w:pStyle w:val="37"/>
              <w:shd w:val="clear" w:color="auto" w:fill="FFFFFF"/>
              <w:spacing w:before="0" w:beforeAutospacing="0" w:after="0" w:afterAutospacing="0" w:line="240" w:lineRule="auto"/>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发证机关</w:t>
            </w:r>
          </w:p>
        </w:tc>
        <w:tc>
          <w:tcPr>
            <w:tcW w:w="1276" w:type="dxa"/>
          </w:tcPr>
          <w:p w14:paraId="46C19937">
            <w:pPr>
              <w:pStyle w:val="37"/>
              <w:shd w:val="clear" w:color="auto" w:fill="FFFFFF"/>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pacing w:val="27"/>
                <w:sz w:val="21"/>
                <w:szCs w:val="21"/>
                <w:highlight w:val="none"/>
              </w:rPr>
              <w:t>编号</w:t>
            </w:r>
          </w:p>
        </w:tc>
        <w:tc>
          <w:tcPr>
            <w:tcW w:w="1618" w:type="dxa"/>
            <w:gridSpan w:val="2"/>
          </w:tcPr>
          <w:p w14:paraId="08837FD5">
            <w:pPr>
              <w:pStyle w:val="37"/>
              <w:shd w:val="clear" w:color="auto" w:fill="FFFFFF"/>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发证时间</w:t>
            </w:r>
          </w:p>
        </w:tc>
        <w:tc>
          <w:tcPr>
            <w:tcW w:w="933" w:type="dxa"/>
          </w:tcPr>
          <w:p w14:paraId="22C2BBBE">
            <w:pPr>
              <w:pStyle w:val="37"/>
              <w:shd w:val="clear" w:color="auto" w:fill="FFFFFF"/>
              <w:spacing w:before="0" w:beforeAutospacing="0" w:after="0" w:afterAutospacing="0"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pacing w:val="27"/>
                <w:sz w:val="21"/>
                <w:szCs w:val="21"/>
                <w:highlight w:val="none"/>
              </w:rPr>
              <w:t>期限</w:t>
            </w:r>
          </w:p>
        </w:tc>
      </w:tr>
      <w:tr w14:paraId="256F3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1001" w:type="dxa"/>
            <w:vMerge w:val="continue"/>
          </w:tcPr>
          <w:p w14:paraId="76FDE1B2">
            <w:pPr>
              <w:pStyle w:val="37"/>
              <w:shd w:val="clear" w:color="auto" w:fill="FFFFFF"/>
              <w:spacing w:line="240" w:lineRule="auto"/>
              <w:ind w:left="107"/>
              <w:rPr>
                <w:rFonts w:hint="eastAsia" w:ascii="宋体" w:hAnsi="宋体" w:eastAsia="宋体" w:cs="宋体"/>
                <w:bCs/>
                <w:color w:val="auto"/>
                <w:sz w:val="21"/>
                <w:szCs w:val="21"/>
                <w:highlight w:val="none"/>
              </w:rPr>
            </w:pPr>
          </w:p>
        </w:tc>
        <w:tc>
          <w:tcPr>
            <w:tcW w:w="1854" w:type="dxa"/>
            <w:gridSpan w:val="3"/>
            <w:vMerge w:val="continue"/>
          </w:tcPr>
          <w:p w14:paraId="356AC7C9">
            <w:pPr>
              <w:pStyle w:val="37"/>
              <w:shd w:val="clear" w:color="auto" w:fill="FFFFFF"/>
              <w:spacing w:line="240" w:lineRule="auto"/>
              <w:rPr>
                <w:rFonts w:hint="eastAsia" w:ascii="宋体" w:hAnsi="宋体" w:eastAsia="宋体" w:cs="宋体"/>
                <w:bCs/>
                <w:color w:val="auto"/>
                <w:sz w:val="21"/>
                <w:szCs w:val="21"/>
                <w:highlight w:val="none"/>
              </w:rPr>
            </w:pPr>
          </w:p>
        </w:tc>
        <w:tc>
          <w:tcPr>
            <w:tcW w:w="964" w:type="dxa"/>
            <w:gridSpan w:val="2"/>
          </w:tcPr>
          <w:p w14:paraId="78926122">
            <w:pPr>
              <w:pStyle w:val="37"/>
              <w:shd w:val="clear" w:color="auto" w:fill="FFFFFF"/>
              <w:spacing w:line="240" w:lineRule="auto"/>
              <w:rPr>
                <w:rFonts w:hint="eastAsia" w:ascii="宋体" w:hAnsi="宋体" w:eastAsia="宋体" w:cs="宋体"/>
                <w:bCs/>
                <w:color w:val="auto"/>
                <w:sz w:val="21"/>
                <w:szCs w:val="21"/>
                <w:highlight w:val="none"/>
              </w:rPr>
            </w:pPr>
          </w:p>
        </w:tc>
        <w:tc>
          <w:tcPr>
            <w:tcW w:w="1418" w:type="dxa"/>
            <w:gridSpan w:val="2"/>
          </w:tcPr>
          <w:p w14:paraId="042CB54F">
            <w:pPr>
              <w:pStyle w:val="37"/>
              <w:shd w:val="clear" w:color="auto" w:fill="FFFFFF"/>
              <w:spacing w:line="240" w:lineRule="auto"/>
              <w:rPr>
                <w:rFonts w:hint="eastAsia" w:ascii="宋体" w:hAnsi="宋体" w:eastAsia="宋体" w:cs="宋体"/>
                <w:bCs/>
                <w:color w:val="auto"/>
                <w:sz w:val="21"/>
                <w:szCs w:val="21"/>
                <w:highlight w:val="none"/>
              </w:rPr>
            </w:pPr>
          </w:p>
        </w:tc>
        <w:tc>
          <w:tcPr>
            <w:tcW w:w="1276" w:type="dxa"/>
          </w:tcPr>
          <w:p w14:paraId="193D1FE1">
            <w:pPr>
              <w:pStyle w:val="37"/>
              <w:shd w:val="clear" w:color="auto" w:fill="FFFFFF"/>
              <w:spacing w:line="240" w:lineRule="auto"/>
              <w:rPr>
                <w:rFonts w:hint="eastAsia" w:ascii="宋体" w:hAnsi="宋体" w:eastAsia="宋体" w:cs="宋体"/>
                <w:bCs/>
                <w:color w:val="auto"/>
                <w:sz w:val="21"/>
                <w:szCs w:val="21"/>
                <w:highlight w:val="none"/>
              </w:rPr>
            </w:pPr>
          </w:p>
        </w:tc>
        <w:tc>
          <w:tcPr>
            <w:tcW w:w="2551" w:type="dxa"/>
            <w:gridSpan w:val="3"/>
          </w:tcPr>
          <w:p w14:paraId="52AA31E6">
            <w:pPr>
              <w:pStyle w:val="37"/>
              <w:shd w:val="clear" w:color="auto" w:fill="FFFFFF"/>
              <w:spacing w:line="240" w:lineRule="auto"/>
              <w:rPr>
                <w:rFonts w:hint="eastAsia" w:ascii="宋体" w:hAnsi="宋体" w:eastAsia="宋体" w:cs="宋体"/>
                <w:bCs/>
                <w:color w:val="auto"/>
                <w:sz w:val="21"/>
                <w:szCs w:val="21"/>
                <w:highlight w:val="none"/>
              </w:rPr>
            </w:pPr>
          </w:p>
        </w:tc>
      </w:tr>
      <w:tr w14:paraId="7A368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1001" w:type="dxa"/>
            <w:vMerge w:val="continue"/>
          </w:tcPr>
          <w:p w14:paraId="604FAA8E">
            <w:pPr>
              <w:pStyle w:val="37"/>
              <w:shd w:val="clear" w:color="auto" w:fill="FFFFFF"/>
              <w:spacing w:line="240" w:lineRule="auto"/>
              <w:ind w:left="107"/>
              <w:rPr>
                <w:rFonts w:hint="eastAsia" w:ascii="宋体" w:hAnsi="宋体" w:eastAsia="宋体" w:cs="宋体"/>
                <w:bCs/>
                <w:color w:val="auto"/>
                <w:spacing w:val="16"/>
                <w:sz w:val="21"/>
                <w:szCs w:val="21"/>
                <w:highlight w:val="none"/>
              </w:rPr>
            </w:pPr>
          </w:p>
        </w:tc>
        <w:tc>
          <w:tcPr>
            <w:tcW w:w="1854" w:type="dxa"/>
            <w:gridSpan w:val="3"/>
          </w:tcPr>
          <w:p w14:paraId="069FC200">
            <w:pPr>
              <w:pStyle w:val="37"/>
              <w:shd w:val="clear" w:color="auto" w:fill="FFFFFF"/>
              <w:spacing w:before="0" w:beforeAutospacing="0" w:after="0" w:afterAutospacing="0" w:line="240" w:lineRule="auto"/>
              <w:ind w:right="-107" w:rightChars="-51"/>
              <w:rPr>
                <w:rFonts w:hint="eastAsia" w:ascii="宋体" w:hAnsi="宋体" w:eastAsia="宋体" w:cs="宋体"/>
                <w:bCs/>
                <w:color w:val="auto"/>
                <w:spacing w:val="41"/>
                <w:sz w:val="21"/>
                <w:szCs w:val="21"/>
                <w:highlight w:val="none"/>
              </w:rPr>
            </w:pPr>
            <w:r>
              <w:rPr>
                <w:rFonts w:hint="eastAsia" w:ascii="宋体" w:hAnsi="宋体" w:eastAsia="宋体" w:cs="宋体"/>
                <w:bCs/>
                <w:color w:val="auto"/>
                <w:spacing w:val="41"/>
                <w:sz w:val="21"/>
                <w:szCs w:val="21"/>
                <w:highlight w:val="none"/>
              </w:rPr>
              <w:t>企业通过质量体系、环保</w:t>
            </w:r>
            <w:r>
              <w:rPr>
                <w:rFonts w:hint="eastAsia" w:ascii="宋体" w:hAnsi="宋体" w:eastAsia="宋体" w:cs="宋体"/>
                <w:bCs/>
                <w:color w:val="auto"/>
                <w:spacing w:val="11"/>
                <w:sz w:val="21"/>
                <w:szCs w:val="21"/>
                <w:highlight w:val="none"/>
              </w:rPr>
              <w:t>体系、计量等认证情况</w:t>
            </w:r>
          </w:p>
        </w:tc>
        <w:tc>
          <w:tcPr>
            <w:tcW w:w="6209" w:type="dxa"/>
            <w:gridSpan w:val="8"/>
          </w:tcPr>
          <w:p w14:paraId="54D9142D">
            <w:pPr>
              <w:pStyle w:val="37"/>
              <w:shd w:val="clear" w:color="auto" w:fill="FFFFFF"/>
              <w:spacing w:line="240" w:lineRule="auto"/>
              <w:rPr>
                <w:rFonts w:hint="eastAsia" w:ascii="宋体" w:hAnsi="宋体" w:eastAsia="宋体" w:cs="宋体"/>
                <w:bCs/>
                <w:color w:val="auto"/>
                <w:spacing w:val="16"/>
                <w:sz w:val="21"/>
                <w:szCs w:val="21"/>
                <w:highlight w:val="none"/>
              </w:rPr>
            </w:pPr>
          </w:p>
        </w:tc>
      </w:tr>
      <w:tr w14:paraId="45C88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1001" w:type="dxa"/>
            <w:vMerge w:val="continue"/>
          </w:tcPr>
          <w:p w14:paraId="3EF115B7">
            <w:pPr>
              <w:pStyle w:val="37"/>
              <w:shd w:val="clear" w:color="auto" w:fill="FFFFFF"/>
              <w:spacing w:line="240" w:lineRule="auto"/>
              <w:ind w:left="107"/>
              <w:rPr>
                <w:rFonts w:hint="eastAsia" w:ascii="宋体" w:hAnsi="宋体" w:eastAsia="宋体" w:cs="宋体"/>
                <w:bCs/>
                <w:color w:val="auto"/>
                <w:spacing w:val="27"/>
                <w:sz w:val="21"/>
                <w:szCs w:val="21"/>
                <w:highlight w:val="none"/>
              </w:rPr>
            </w:pPr>
          </w:p>
        </w:tc>
        <w:tc>
          <w:tcPr>
            <w:tcW w:w="1854" w:type="dxa"/>
            <w:gridSpan w:val="3"/>
          </w:tcPr>
          <w:p w14:paraId="73CE04C8">
            <w:pPr>
              <w:pStyle w:val="37"/>
              <w:shd w:val="clear" w:color="auto" w:fill="FFFFFF"/>
              <w:spacing w:line="240" w:lineRule="auto"/>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0"/>
                <w:sz w:val="21"/>
                <w:szCs w:val="21"/>
                <w:highlight w:val="none"/>
              </w:rPr>
              <w:t>企业获得专利情况</w:t>
            </w:r>
          </w:p>
        </w:tc>
        <w:tc>
          <w:tcPr>
            <w:tcW w:w="6209" w:type="dxa"/>
            <w:gridSpan w:val="8"/>
          </w:tcPr>
          <w:p w14:paraId="6AFDA319">
            <w:pPr>
              <w:pStyle w:val="37"/>
              <w:shd w:val="clear" w:color="auto" w:fill="FFFFFF"/>
              <w:spacing w:line="240" w:lineRule="auto"/>
              <w:rPr>
                <w:rFonts w:hint="eastAsia" w:ascii="宋体" w:hAnsi="宋体" w:eastAsia="宋体" w:cs="宋体"/>
                <w:bCs/>
                <w:color w:val="auto"/>
                <w:spacing w:val="16"/>
                <w:sz w:val="21"/>
                <w:szCs w:val="21"/>
                <w:highlight w:val="none"/>
              </w:rPr>
            </w:pPr>
          </w:p>
        </w:tc>
      </w:tr>
    </w:tbl>
    <w:p w14:paraId="44F59EA4">
      <w:pPr>
        <w:pStyle w:val="37"/>
        <w:shd w:val="clear" w:color="auto" w:fill="FFFFFF"/>
        <w:spacing w:before="0" w:beforeAutospacing="0" w:after="0" w:afterAutospacing="0" w:line="360" w:lineRule="auto"/>
        <w:rPr>
          <w:rFonts w:hint="eastAsia" w:ascii="宋体" w:hAnsi="宋体" w:eastAsia="宋体" w:cs="宋体"/>
          <w:color w:val="auto"/>
          <w:highlight w:val="none"/>
        </w:rPr>
      </w:pPr>
    </w:p>
    <w:p w14:paraId="7A9B29E4">
      <w:pPr>
        <w:pStyle w:val="37"/>
        <w:shd w:val="clear" w:color="auto" w:fill="FFFFFF"/>
        <w:spacing w:before="0" w:beforeAutospacing="0" w:after="0" w:afterAutospacing="0"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要求：</w:t>
      </w:r>
    </w:p>
    <w:p w14:paraId="07259086">
      <w:pPr>
        <w:pStyle w:val="37"/>
        <w:shd w:val="clear" w:color="auto" w:fill="FFFFFF"/>
        <w:spacing w:before="0" w:beforeAutospacing="0" w:after="0" w:afterAutospacing="0"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1.姓名栏必须将所有股东都统计在内，若非股份公司此行（第三行）无需填写；</w:t>
      </w:r>
    </w:p>
    <w:p w14:paraId="1F4C7C4E">
      <w:pPr>
        <w:spacing w:line="360" w:lineRule="auto"/>
        <w:rPr>
          <w:rFonts w:hint="eastAsia" w:ascii="宋体" w:hAnsi="宋体" w:eastAsia="宋体" w:cs="宋体"/>
          <w:color w:val="auto"/>
          <w:sz w:val="21"/>
          <w:szCs w:val="21"/>
          <w:highlight w:val="none"/>
        </w:rPr>
      </w:pPr>
    </w:p>
    <w:p w14:paraId="68C4311E">
      <w:pPr>
        <w:spacing w:line="360" w:lineRule="auto"/>
        <w:rPr>
          <w:rFonts w:hint="eastAsia" w:ascii="宋体" w:hAnsi="宋体" w:eastAsia="宋体" w:cs="宋体"/>
          <w:color w:val="auto"/>
          <w:sz w:val="21"/>
          <w:szCs w:val="21"/>
          <w:highlight w:val="none"/>
        </w:rPr>
      </w:pPr>
    </w:p>
    <w:p w14:paraId="0A2DB970">
      <w:pPr>
        <w:spacing w:line="360" w:lineRule="auto"/>
        <w:ind w:firstLine="371" w:firstLineChars="177"/>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投标人名称（盖章）：</w:t>
      </w:r>
    </w:p>
    <w:p w14:paraId="38D8C206">
      <w:pPr>
        <w:spacing w:line="360" w:lineRule="auto"/>
        <w:ind w:left="420"/>
        <w:rPr>
          <w:rFonts w:hint="eastAsia" w:ascii="宋体" w:hAnsi="宋体" w:eastAsia="宋体" w:cs="宋体"/>
          <w:color w:val="auto"/>
          <w:sz w:val="21"/>
          <w:szCs w:val="21"/>
          <w:highlight w:val="none"/>
        </w:rPr>
      </w:pPr>
    </w:p>
    <w:p w14:paraId="4213CE13">
      <w:pPr>
        <w:spacing w:line="360" w:lineRule="auto"/>
        <w:ind w:firstLine="371" w:firstLineChars="177"/>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p>
    <w:p w14:paraId="62633271">
      <w:pPr>
        <w:spacing w:line="360" w:lineRule="auto"/>
        <w:rPr>
          <w:rFonts w:hint="eastAsia" w:ascii="宋体" w:hAnsi="宋体" w:eastAsia="宋体" w:cs="宋体"/>
          <w:color w:val="auto"/>
          <w:sz w:val="21"/>
          <w:szCs w:val="21"/>
          <w:highlight w:val="none"/>
        </w:rPr>
      </w:pPr>
    </w:p>
    <w:p w14:paraId="501DC473">
      <w:pPr>
        <w:pStyle w:val="37"/>
        <w:shd w:val="clear" w:color="auto" w:fill="FFFFFF"/>
        <w:spacing w:before="0" w:beforeAutospacing="0" w:after="0" w:afterAutospacing="0" w:line="360" w:lineRule="auto"/>
        <w:ind w:firstLine="371" w:firstLineChars="177"/>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p>
    <w:p w14:paraId="4A68A243">
      <w:pPr>
        <w:pStyle w:val="37"/>
        <w:shd w:val="clear" w:color="auto" w:fill="FFFFFF"/>
        <w:spacing w:before="0" w:beforeAutospacing="0" w:after="0" w:afterAutospacing="0" w:line="360" w:lineRule="auto"/>
        <w:ind w:firstLine="498" w:firstLineChars="177"/>
        <w:rPr>
          <w:rFonts w:hint="eastAsia" w:ascii="宋体" w:hAnsi="宋体" w:eastAsia="宋体" w:cs="宋体"/>
          <w:b/>
          <w:color w:val="auto"/>
          <w:sz w:val="28"/>
          <w:highlight w:val="none"/>
        </w:rPr>
      </w:pPr>
    </w:p>
    <w:p w14:paraId="59312655">
      <w:pPr>
        <w:pStyle w:val="37"/>
        <w:shd w:val="clear" w:color="auto" w:fill="FFFFFF"/>
        <w:spacing w:before="0" w:beforeAutospacing="0" w:after="0" w:afterAutospacing="0" w:line="360" w:lineRule="auto"/>
        <w:ind w:firstLine="498" w:firstLineChars="177"/>
        <w:rPr>
          <w:rFonts w:hint="eastAsia" w:ascii="宋体" w:hAnsi="宋体" w:eastAsia="宋体" w:cs="宋体"/>
          <w:b/>
          <w:color w:val="auto"/>
          <w:sz w:val="28"/>
          <w:highlight w:val="none"/>
        </w:rPr>
      </w:pPr>
    </w:p>
    <w:p w14:paraId="63166D7A">
      <w:pPr>
        <w:pStyle w:val="37"/>
        <w:shd w:val="clear" w:color="auto" w:fill="FFFFFF"/>
        <w:spacing w:before="0" w:beforeAutospacing="0" w:after="0" w:afterAutospacing="0" w:line="360" w:lineRule="auto"/>
        <w:ind w:firstLine="498" w:firstLineChars="177"/>
        <w:rPr>
          <w:rFonts w:hint="eastAsia" w:ascii="宋体" w:hAnsi="宋体" w:eastAsia="宋体" w:cs="宋体"/>
          <w:b/>
          <w:color w:val="auto"/>
          <w:sz w:val="28"/>
          <w:highlight w:val="none"/>
        </w:rPr>
      </w:pPr>
    </w:p>
    <w:p w14:paraId="4817D198">
      <w:pPr>
        <w:pStyle w:val="37"/>
        <w:shd w:val="clear" w:color="auto" w:fill="FFFFFF"/>
        <w:spacing w:before="0" w:beforeAutospacing="0" w:after="0" w:afterAutospacing="0" w:line="360" w:lineRule="auto"/>
        <w:ind w:firstLine="498" w:firstLineChars="177"/>
        <w:rPr>
          <w:rFonts w:hint="eastAsia" w:ascii="宋体" w:hAnsi="宋体" w:eastAsia="宋体" w:cs="宋体"/>
          <w:b/>
          <w:color w:val="auto"/>
          <w:sz w:val="28"/>
          <w:highlight w:val="none"/>
        </w:rPr>
      </w:pPr>
    </w:p>
    <w:p w14:paraId="23FAEC33">
      <w:pPr>
        <w:pStyle w:val="37"/>
        <w:shd w:val="clear" w:color="auto" w:fill="FFFFFF"/>
        <w:spacing w:before="0" w:beforeAutospacing="0" w:after="0" w:afterAutospacing="0" w:line="360" w:lineRule="auto"/>
        <w:ind w:firstLine="498" w:firstLineChars="177"/>
        <w:rPr>
          <w:rFonts w:hint="eastAsia" w:ascii="宋体" w:hAnsi="宋体" w:eastAsia="宋体" w:cs="宋体"/>
          <w:b/>
          <w:color w:val="auto"/>
          <w:sz w:val="28"/>
          <w:highlight w:val="none"/>
        </w:rPr>
      </w:pPr>
    </w:p>
    <w:p w14:paraId="6000F400">
      <w:pPr>
        <w:pStyle w:val="37"/>
        <w:shd w:val="clear" w:color="auto" w:fill="FFFFFF"/>
        <w:spacing w:before="0" w:beforeAutospacing="0" w:after="0" w:afterAutospacing="0" w:line="360" w:lineRule="auto"/>
        <w:ind w:firstLine="498" w:firstLineChars="177"/>
        <w:rPr>
          <w:rFonts w:hint="eastAsia" w:ascii="宋体" w:hAnsi="宋体" w:eastAsia="宋体" w:cs="宋体"/>
          <w:b/>
          <w:color w:val="auto"/>
          <w:sz w:val="28"/>
          <w:highlight w:val="none"/>
        </w:rPr>
      </w:pPr>
    </w:p>
    <w:p w14:paraId="6825A5EA">
      <w:pPr>
        <w:pStyle w:val="37"/>
        <w:shd w:val="clear" w:color="auto" w:fill="FFFFFF"/>
        <w:spacing w:before="0" w:beforeAutospacing="0" w:after="0" w:afterAutospacing="0" w:line="360" w:lineRule="auto"/>
        <w:ind w:firstLine="498" w:firstLineChars="177"/>
        <w:rPr>
          <w:rFonts w:hint="eastAsia" w:ascii="宋体" w:hAnsi="宋体" w:eastAsia="宋体" w:cs="宋体"/>
          <w:b/>
          <w:color w:val="auto"/>
          <w:sz w:val="28"/>
          <w:highlight w:val="none"/>
        </w:rPr>
      </w:pPr>
    </w:p>
    <w:p w14:paraId="75E6A56E">
      <w:pPr>
        <w:pStyle w:val="37"/>
        <w:shd w:val="clear" w:color="auto" w:fill="FFFFFF"/>
        <w:spacing w:before="0" w:beforeAutospacing="0" w:after="0" w:afterAutospacing="0" w:line="360" w:lineRule="auto"/>
        <w:ind w:firstLine="498" w:firstLineChars="177"/>
        <w:rPr>
          <w:rFonts w:hint="eastAsia" w:ascii="宋体" w:hAnsi="宋体" w:eastAsia="宋体" w:cs="宋体"/>
          <w:b/>
          <w:color w:val="auto"/>
          <w:sz w:val="28"/>
          <w:highlight w:val="none"/>
        </w:rPr>
      </w:pPr>
    </w:p>
    <w:p w14:paraId="017914AF">
      <w:pPr>
        <w:pStyle w:val="37"/>
        <w:shd w:val="clear" w:color="auto" w:fill="FFFFFF"/>
        <w:spacing w:before="0" w:beforeAutospacing="0" w:after="0" w:afterAutospacing="0" w:line="360" w:lineRule="auto"/>
        <w:ind w:firstLine="498" w:firstLineChars="177"/>
        <w:rPr>
          <w:rFonts w:hint="eastAsia" w:ascii="宋体" w:hAnsi="宋体" w:eastAsia="宋体" w:cs="宋体"/>
          <w:b/>
          <w:color w:val="auto"/>
          <w:sz w:val="28"/>
          <w:highlight w:val="none"/>
        </w:rPr>
      </w:pPr>
    </w:p>
    <w:p w14:paraId="48AE890D">
      <w:pPr>
        <w:pStyle w:val="37"/>
        <w:shd w:val="clear" w:color="auto" w:fill="FFFFFF"/>
        <w:spacing w:before="0" w:beforeAutospacing="0" w:after="0" w:afterAutospacing="0" w:line="360" w:lineRule="auto"/>
        <w:ind w:firstLine="498" w:firstLineChars="177"/>
        <w:rPr>
          <w:rFonts w:hint="eastAsia" w:ascii="宋体" w:hAnsi="宋体" w:eastAsia="宋体" w:cs="宋体"/>
          <w:b/>
          <w:color w:val="auto"/>
          <w:sz w:val="28"/>
          <w:highlight w:val="none"/>
        </w:rPr>
      </w:pPr>
    </w:p>
    <w:p w14:paraId="01702164">
      <w:pPr>
        <w:pStyle w:val="37"/>
        <w:shd w:val="clear" w:color="auto" w:fill="FFFFFF"/>
        <w:spacing w:before="0" w:beforeAutospacing="0" w:after="0" w:afterAutospacing="0" w:line="360" w:lineRule="auto"/>
        <w:ind w:firstLine="498" w:firstLineChars="177"/>
        <w:rPr>
          <w:rFonts w:hint="eastAsia" w:ascii="宋体" w:hAnsi="宋体" w:eastAsia="宋体" w:cs="宋体"/>
          <w:b/>
          <w:color w:val="auto"/>
          <w:sz w:val="28"/>
          <w:highlight w:val="none"/>
        </w:rPr>
      </w:pPr>
    </w:p>
    <w:p w14:paraId="24287D96">
      <w:pPr>
        <w:pStyle w:val="37"/>
        <w:shd w:val="clear" w:color="auto" w:fill="FFFFFF"/>
        <w:spacing w:before="0" w:beforeAutospacing="0" w:after="0" w:afterAutospacing="0" w:line="360" w:lineRule="auto"/>
        <w:outlineLvl w:val="9"/>
        <w:rPr>
          <w:rFonts w:hint="eastAsia" w:ascii="宋体" w:hAnsi="宋体" w:eastAsia="宋体" w:cs="宋体"/>
          <w:b/>
          <w:color w:val="auto"/>
          <w:sz w:val="28"/>
          <w:highlight w:val="none"/>
        </w:rPr>
        <w:sectPr>
          <w:pgSz w:w="11906" w:h="16838"/>
          <w:pgMar w:top="1440" w:right="1800" w:bottom="1440" w:left="1800" w:header="851" w:footer="992" w:gutter="0"/>
          <w:pgNumType w:fmt="decimal"/>
          <w:cols w:space="425" w:num="1"/>
          <w:docGrid w:type="lines" w:linePitch="312" w:charSpace="0"/>
        </w:sectPr>
      </w:pPr>
    </w:p>
    <w:p w14:paraId="64692B9A">
      <w:pPr>
        <w:pStyle w:val="37"/>
        <w:shd w:val="clear" w:color="auto" w:fill="FFFFFF"/>
        <w:spacing w:before="0" w:beforeAutospacing="0" w:after="0" w:afterAutospacing="0" w:line="360" w:lineRule="auto"/>
        <w:outlineLvl w:val="9"/>
        <w:rPr>
          <w:rFonts w:hint="eastAsia" w:ascii="宋体" w:hAnsi="宋体" w:eastAsia="宋体" w:cs="宋体"/>
          <w:color w:val="auto"/>
          <w:highlight w:val="none"/>
          <w:lang w:val="en-US" w:eastAsia="zh-CN"/>
        </w:rPr>
      </w:pPr>
      <w:r>
        <w:rPr>
          <w:rFonts w:hint="eastAsia" w:ascii="宋体" w:hAnsi="宋体" w:eastAsia="宋体" w:cs="宋体"/>
          <w:b/>
          <w:color w:val="auto"/>
          <w:sz w:val="28"/>
          <w:highlight w:val="none"/>
        </w:rPr>
        <w:t>附件</w:t>
      </w:r>
      <w:r>
        <w:rPr>
          <w:rFonts w:hint="eastAsia" w:cs="宋体"/>
          <w:b/>
          <w:color w:val="auto"/>
          <w:sz w:val="28"/>
          <w:highlight w:val="none"/>
          <w:lang w:val="en-US" w:eastAsia="zh-CN"/>
        </w:rPr>
        <w:t>8</w:t>
      </w:r>
    </w:p>
    <w:p w14:paraId="702ACD62">
      <w:pPr>
        <w:snapToGrid w:val="0"/>
        <w:spacing w:beforeLines="50" w:after="50"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2"/>
          <w:szCs w:val="32"/>
          <w:highlight w:val="none"/>
        </w:rPr>
        <w:t>项目实施人员一览表</w:t>
      </w:r>
    </w:p>
    <w:p w14:paraId="4D2640AB">
      <w:pPr>
        <w:snapToGrid w:val="0"/>
        <w:spacing w:beforeLines="50" w:after="50" w:line="360" w:lineRule="auto"/>
        <w:ind w:firstLine="2400" w:firstLineChars="1000"/>
        <w:rPr>
          <w:rFonts w:hint="eastAsia" w:ascii="宋体" w:hAnsi="宋体" w:eastAsia="宋体" w:cs="宋体"/>
          <w:color w:val="auto"/>
          <w:sz w:val="24"/>
          <w:highlight w:val="none"/>
        </w:rPr>
      </w:pPr>
      <w:r>
        <w:rPr>
          <w:rFonts w:hint="eastAsia" w:ascii="宋体" w:hAnsi="宋体" w:eastAsia="宋体" w:cs="宋体"/>
          <w:color w:val="auto"/>
          <w:sz w:val="24"/>
          <w:highlight w:val="none"/>
        </w:rPr>
        <w:t>（主要从业人员及其技术资格）</w:t>
      </w:r>
    </w:p>
    <w:tbl>
      <w:tblPr>
        <w:tblStyle w:val="21"/>
        <w:tblW w:w="9176" w:type="dxa"/>
        <w:tblInd w:w="-42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9"/>
        <w:gridCol w:w="879"/>
        <w:gridCol w:w="868"/>
        <w:gridCol w:w="921"/>
        <w:gridCol w:w="1500"/>
        <w:gridCol w:w="1296"/>
        <w:gridCol w:w="1415"/>
        <w:gridCol w:w="1558"/>
      </w:tblGrid>
      <w:tr w14:paraId="105C23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39" w:type="dxa"/>
            <w:tcBorders>
              <w:top w:val="single" w:color="auto" w:sz="4" w:space="0"/>
              <w:bottom w:val="single" w:color="auto" w:sz="4" w:space="0"/>
              <w:right w:val="single" w:color="auto" w:sz="4" w:space="0"/>
            </w:tcBorders>
            <w:vAlign w:val="center"/>
          </w:tcPr>
          <w:p w14:paraId="0831A713">
            <w:pPr>
              <w:snapToGrid w:val="0"/>
              <w:spacing w:beforeLines="50" w:after="50"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879" w:type="dxa"/>
            <w:tcBorders>
              <w:top w:val="single" w:color="auto" w:sz="4" w:space="0"/>
              <w:left w:val="single" w:color="auto" w:sz="4" w:space="0"/>
              <w:bottom w:val="single" w:color="auto" w:sz="4" w:space="0"/>
              <w:right w:val="single" w:color="auto" w:sz="4" w:space="0"/>
            </w:tcBorders>
            <w:vAlign w:val="center"/>
          </w:tcPr>
          <w:p w14:paraId="79AFE88E">
            <w:pPr>
              <w:snapToGrid w:val="0"/>
              <w:spacing w:beforeLines="50" w:after="50"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姓名</w:t>
            </w:r>
          </w:p>
        </w:tc>
        <w:tc>
          <w:tcPr>
            <w:tcW w:w="868" w:type="dxa"/>
            <w:tcBorders>
              <w:top w:val="single" w:color="auto" w:sz="4" w:space="0"/>
              <w:left w:val="single" w:color="auto" w:sz="4" w:space="0"/>
              <w:bottom w:val="single" w:color="auto" w:sz="4" w:space="0"/>
              <w:right w:val="single" w:color="auto" w:sz="4" w:space="0"/>
            </w:tcBorders>
            <w:vAlign w:val="center"/>
          </w:tcPr>
          <w:p w14:paraId="45DEC962">
            <w:pPr>
              <w:snapToGrid w:val="0"/>
              <w:spacing w:beforeLines="50" w:after="50"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职务</w:t>
            </w:r>
          </w:p>
        </w:tc>
        <w:tc>
          <w:tcPr>
            <w:tcW w:w="921" w:type="dxa"/>
            <w:tcBorders>
              <w:top w:val="single" w:color="auto" w:sz="4" w:space="0"/>
              <w:left w:val="single" w:color="auto" w:sz="4" w:space="0"/>
              <w:bottom w:val="single" w:color="auto" w:sz="4" w:space="0"/>
              <w:right w:val="single" w:color="auto" w:sz="4" w:space="0"/>
            </w:tcBorders>
            <w:vAlign w:val="center"/>
          </w:tcPr>
          <w:p w14:paraId="5A2B26C6">
            <w:pPr>
              <w:snapToGrid w:val="0"/>
              <w:spacing w:beforeLines="50" w:after="50"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职责</w:t>
            </w:r>
          </w:p>
        </w:tc>
        <w:tc>
          <w:tcPr>
            <w:tcW w:w="1500" w:type="dxa"/>
            <w:tcBorders>
              <w:top w:val="single" w:color="auto" w:sz="4" w:space="0"/>
              <w:left w:val="single" w:color="auto" w:sz="4" w:space="0"/>
              <w:bottom w:val="single" w:color="auto" w:sz="4" w:space="0"/>
              <w:right w:val="single" w:color="auto" w:sz="4" w:space="0"/>
            </w:tcBorders>
            <w:vAlign w:val="center"/>
          </w:tcPr>
          <w:p w14:paraId="245E4D00">
            <w:pPr>
              <w:snapToGrid w:val="0"/>
              <w:spacing w:beforeLines="50" w:after="50"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专业技术资格</w:t>
            </w:r>
          </w:p>
        </w:tc>
        <w:tc>
          <w:tcPr>
            <w:tcW w:w="1296" w:type="dxa"/>
            <w:tcBorders>
              <w:top w:val="single" w:color="auto" w:sz="4" w:space="0"/>
              <w:left w:val="single" w:color="auto" w:sz="4" w:space="0"/>
              <w:bottom w:val="single" w:color="auto" w:sz="4" w:space="0"/>
              <w:right w:val="single" w:color="auto" w:sz="4" w:space="0"/>
            </w:tcBorders>
            <w:vAlign w:val="center"/>
          </w:tcPr>
          <w:p w14:paraId="5FAC797D">
            <w:pPr>
              <w:snapToGrid w:val="0"/>
              <w:spacing w:beforeLines="50" w:after="50"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证书编号</w:t>
            </w:r>
          </w:p>
        </w:tc>
        <w:tc>
          <w:tcPr>
            <w:tcW w:w="1415" w:type="dxa"/>
            <w:tcBorders>
              <w:top w:val="single" w:color="auto" w:sz="4" w:space="0"/>
              <w:left w:val="single" w:color="auto" w:sz="4" w:space="0"/>
              <w:bottom w:val="single" w:color="auto" w:sz="4" w:space="0"/>
              <w:right w:val="single" w:color="auto" w:sz="4" w:space="0"/>
            </w:tcBorders>
            <w:vAlign w:val="center"/>
          </w:tcPr>
          <w:p w14:paraId="4369C77A">
            <w:pPr>
              <w:snapToGrid w:val="0"/>
              <w:spacing w:beforeLines="50" w:after="50"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参加本单位工作时间</w:t>
            </w:r>
          </w:p>
        </w:tc>
        <w:tc>
          <w:tcPr>
            <w:tcW w:w="1558" w:type="dxa"/>
            <w:tcBorders>
              <w:top w:val="single" w:color="auto" w:sz="4" w:space="0"/>
              <w:left w:val="single" w:color="auto" w:sz="4" w:space="0"/>
              <w:bottom w:val="single" w:color="auto" w:sz="4" w:space="0"/>
            </w:tcBorders>
            <w:vAlign w:val="center"/>
          </w:tcPr>
          <w:p w14:paraId="550CBA51">
            <w:pPr>
              <w:snapToGrid w:val="0"/>
              <w:spacing w:beforeLines="50" w:after="50"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color w:val="auto"/>
                <w:sz w:val="21"/>
                <w:szCs w:val="21"/>
                <w:highlight w:val="none"/>
              </w:rPr>
              <w:t>劳动合同编号</w:t>
            </w:r>
          </w:p>
        </w:tc>
      </w:tr>
      <w:tr w14:paraId="750E34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39" w:type="dxa"/>
            <w:tcBorders>
              <w:top w:val="single" w:color="auto" w:sz="4" w:space="0"/>
              <w:bottom w:val="single" w:color="auto" w:sz="4" w:space="0"/>
              <w:right w:val="single" w:color="auto" w:sz="4" w:space="0"/>
            </w:tcBorders>
          </w:tcPr>
          <w:p w14:paraId="1EC9EDA2">
            <w:pPr>
              <w:snapToGrid w:val="0"/>
              <w:spacing w:beforeLines="50" w:after="50" w:line="360" w:lineRule="auto"/>
              <w:rPr>
                <w:rFonts w:hint="eastAsia" w:ascii="宋体" w:hAnsi="宋体" w:eastAsia="宋体" w:cs="宋体"/>
                <w:color w:val="auto"/>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01AC4731">
            <w:pPr>
              <w:snapToGrid w:val="0"/>
              <w:spacing w:beforeLines="50" w:after="50" w:line="360" w:lineRule="auto"/>
              <w:rPr>
                <w:rFonts w:hint="eastAsia" w:ascii="宋体" w:hAnsi="宋体" w:eastAsia="宋体" w:cs="宋体"/>
                <w:b/>
                <w:color w:val="auto"/>
                <w:kern w:val="44"/>
                <w:sz w:val="21"/>
                <w:szCs w:val="21"/>
                <w:highlight w:val="none"/>
              </w:rPr>
            </w:pPr>
          </w:p>
        </w:tc>
        <w:tc>
          <w:tcPr>
            <w:tcW w:w="868" w:type="dxa"/>
            <w:tcBorders>
              <w:top w:val="single" w:color="auto" w:sz="4" w:space="0"/>
              <w:left w:val="single" w:color="auto" w:sz="4" w:space="0"/>
              <w:bottom w:val="single" w:color="auto" w:sz="4" w:space="0"/>
              <w:right w:val="single" w:color="auto" w:sz="4" w:space="0"/>
            </w:tcBorders>
          </w:tcPr>
          <w:p w14:paraId="6468EE83">
            <w:pPr>
              <w:snapToGrid w:val="0"/>
              <w:spacing w:beforeLines="50" w:after="50" w:line="360" w:lineRule="auto"/>
              <w:rPr>
                <w:rFonts w:hint="eastAsia" w:ascii="宋体" w:hAnsi="宋体" w:eastAsia="宋体" w:cs="宋体"/>
                <w:b/>
                <w:color w:val="auto"/>
                <w:kern w:val="44"/>
                <w:sz w:val="21"/>
                <w:szCs w:val="21"/>
                <w:highlight w:val="none"/>
              </w:rPr>
            </w:pPr>
          </w:p>
        </w:tc>
        <w:tc>
          <w:tcPr>
            <w:tcW w:w="921" w:type="dxa"/>
            <w:tcBorders>
              <w:top w:val="single" w:color="auto" w:sz="4" w:space="0"/>
              <w:left w:val="single" w:color="auto" w:sz="4" w:space="0"/>
              <w:bottom w:val="single" w:color="auto" w:sz="4" w:space="0"/>
              <w:right w:val="single" w:color="auto" w:sz="4" w:space="0"/>
            </w:tcBorders>
          </w:tcPr>
          <w:p w14:paraId="38EDE90B">
            <w:pPr>
              <w:snapToGrid w:val="0"/>
              <w:spacing w:beforeLines="50" w:after="50" w:line="360" w:lineRule="auto"/>
              <w:rPr>
                <w:rFonts w:hint="eastAsia" w:ascii="宋体" w:hAnsi="宋体" w:eastAsia="宋体" w:cs="宋体"/>
                <w:b/>
                <w:color w:val="auto"/>
                <w:kern w:val="44"/>
                <w:sz w:val="21"/>
                <w:szCs w:val="21"/>
                <w:highlight w:val="none"/>
              </w:rPr>
            </w:pPr>
          </w:p>
        </w:tc>
        <w:tc>
          <w:tcPr>
            <w:tcW w:w="1500" w:type="dxa"/>
            <w:tcBorders>
              <w:top w:val="single" w:color="auto" w:sz="4" w:space="0"/>
              <w:left w:val="single" w:color="auto" w:sz="4" w:space="0"/>
              <w:bottom w:val="single" w:color="auto" w:sz="4" w:space="0"/>
              <w:right w:val="single" w:color="auto" w:sz="4" w:space="0"/>
            </w:tcBorders>
          </w:tcPr>
          <w:p w14:paraId="64B20CB5">
            <w:pPr>
              <w:snapToGrid w:val="0"/>
              <w:spacing w:beforeLines="50" w:after="50" w:line="360" w:lineRule="auto"/>
              <w:rPr>
                <w:rFonts w:hint="eastAsia" w:ascii="宋体" w:hAnsi="宋体" w:eastAsia="宋体" w:cs="宋体"/>
                <w:b/>
                <w:color w:val="auto"/>
                <w:kern w:val="44"/>
                <w:sz w:val="21"/>
                <w:szCs w:val="21"/>
                <w:highlight w:val="none"/>
              </w:rPr>
            </w:pPr>
          </w:p>
        </w:tc>
        <w:tc>
          <w:tcPr>
            <w:tcW w:w="1296" w:type="dxa"/>
            <w:tcBorders>
              <w:top w:val="single" w:color="auto" w:sz="4" w:space="0"/>
              <w:left w:val="single" w:color="auto" w:sz="4" w:space="0"/>
              <w:bottom w:val="single" w:color="auto" w:sz="4" w:space="0"/>
              <w:right w:val="single" w:color="auto" w:sz="4" w:space="0"/>
            </w:tcBorders>
          </w:tcPr>
          <w:p w14:paraId="5EE93CA3">
            <w:pPr>
              <w:snapToGrid w:val="0"/>
              <w:spacing w:beforeLines="50" w:after="50" w:line="360" w:lineRule="auto"/>
              <w:rPr>
                <w:rFonts w:hint="eastAsia" w:ascii="宋体" w:hAnsi="宋体" w:eastAsia="宋体" w:cs="宋体"/>
                <w:b/>
                <w:color w:val="auto"/>
                <w:kern w:val="44"/>
                <w:sz w:val="21"/>
                <w:szCs w:val="21"/>
                <w:highlight w:val="none"/>
              </w:rPr>
            </w:pPr>
          </w:p>
        </w:tc>
        <w:tc>
          <w:tcPr>
            <w:tcW w:w="1415" w:type="dxa"/>
            <w:tcBorders>
              <w:top w:val="single" w:color="auto" w:sz="4" w:space="0"/>
              <w:left w:val="single" w:color="auto" w:sz="4" w:space="0"/>
              <w:bottom w:val="single" w:color="auto" w:sz="4" w:space="0"/>
              <w:right w:val="single" w:color="auto" w:sz="4" w:space="0"/>
            </w:tcBorders>
          </w:tcPr>
          <w:p w14:paraId="57647B88">
            <w:pPr>
              <w:snapToGrid w:val="0"/>
              <w:spacing w:beforeLines="50" w:after="50" w:line="360" w:lineRule="auto"/>
              <w:rPr>
                <w:rFonts w:hint="eastAsia" w:ascii="宋体" w:hAnsi="宋体" w:eastAsia="宋体" w:cs="宋体"/>
                <w:b/>
                <w:color w:val="auto"/>
                <w:kern w:val="44"/>
                <w:sz w:val="21"/>
                <w:szCs w:val="21"/>
                <w:highlight w:val="none"/>
              </w:rPr>
            </w:pPr>
          </w:p>
        </w:tc>
        <w:tc>
          <w:tcPr>
            <w:tcW w:w="1558" w:type="dxa"/>
            <w:tcBorders>
              <w:top w:val="single" w:color="auto" w:sz="4" w:space="0"/>
              <w:left w:val="single" w:color="auto" w:sz="4" w:space="0"/>
              <w:bottom w:val="single" w:color="auto" w:sz="4" w:space="0"/>
            </w:tcBorders>
          </w:tcPr>
          <w:p w14:paraId="49D3C14B">
            <w:pPr>
              <w:snapToGrid w:val="0"/>
              <w:spacing w:beforeLines="50" w:after="50" w:line="360" w:lineRule="auto"/>
              <w:rPr>
                <w:rFonts w:hint="eastAsia" w:ascii="宋体" w:hAnsi="宋体" w:eastAsia="宋体" w:cs="宋体"/>
                <w:b/>
                <w:color w:val="auto"/>
                <w:kern w:val="44"/>
                <w:sz w:val="21"/>
                <w:szCs w:val="21"/>
                <w:highlight w:val="none"/>
              </w:rPr>
            </w:pPr>
          </w:p>
        </w:tc>
      </w:tr>
      <w:tr w14:paraId="00A2F6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39" w:type="dxa"/>
            <w:tcBorders>
              <w:top w:val="single" w:color="auto" w:sz="4" w:space="0"/>
              <w:bottom w:val="single" w:color="auto" w:sz="4" w:space="0"/>
              <w:right w:val="single" w:color="auto" w:sz="4" w:space="0"/>
            </w:tcBorders>
          </w:tcPr>
          <w:p w14:paraId="4160DE3A">
            <w:pPr>
              <w:snapToGrid w:val="0"/>
              <w:spacing w:beforeLines="50" w:after="50" w:line="360" w:lineRule="auto"/>
              <w:rPr>
                <w:rFonts w:hint="eastAsia" w:ascii="宋体" w:hAnsi="宋体" w:eastAsia="宋体" w:cs="宋体"/>
                <w:color w:val="auto"/>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3FF16D28">
            <w:pPr>
              <w:snapToGrid w:val="0"/>
              <w:spacing w:beforeLines="50" w:after="50" w:line="360" w:lineRule="auto"/>
              <w:rPr>
                <w:rFonts w:hint="eastAsia" w:ascii="宋体" w:hAnsi="宋体" w:eastAsia="宋体" w:cs="宋体"/>
                <w:b/>
                <w:color w:val="auto"/>
                <w:kern w:val="44"/>
                <w:sz w:val="21"/>
                <w:szCs w:val="21"/>
                <w:highlight w:val="none"/>
              </w:rPr>
            </w:pPr>
          </w:p>
        </w:tc>
        <w:tc>
          <w:tcPr>
            <w:tcW w:w="868" w:type="dxa"/>
            <w:tcBorders>
              <w:top w:val="single" w:color="auto" w:sz="4" w:space="0"/>
              <w:left w:val="single" w:color="auto" w:sz="4" w:space="0"/>
              <w:bottom w:val="single" w:color="auto" w:sz="4" w:space="0"/>
              <w:right w:val="single" w:color="auto" w:sz="4" w:space="0"/>
            </w:tcBorders>
          </w:tcPr>
          <w:p w14:paraId="3D5F9E2C">
            <w:pPr>
              <w:snapToGrid w:val="0"/>
              <w:spacing w:beforeLines="50" w:after="50" w:line="360" w:lineRule="auto"/>
              <w:rPr>
                <w:rFonts w:hint="eastAsia" w:ascii="宋体" w:hAnsi="宋体" w:eastAsia="宋体" w:cs="宋体"/>
                <w:b/>
                <w:color w:val="auto"/>
                <w:kern w:val="44"/>
                <w:sz w:val="21"/>
                <w:szCs w:val="21"/>
                <w:highlight w:val="none"/>
              </w:rPr>
            </w:pPr>
          </w:p>
        </w:tc>
        <w:tc>
          <w:tcPr>
            <w:tcW w:w="921" w:type="dxa"/>
            <w:tcBorders>
              <w:top w:val="single" w:color="auto" w:sz="4" w:space="0"/>
              <w:left w:val="single" w:color="auto" w:sz="4" w:space="0"/>
              <w:bottom w:val="single" w:color="auto" w:sz="4" w:space="0"/>
              <w:right w:val="single" w:color="auto" w:sz="4" w:space="0"/>
            </w:tcBorders>
          </w:tcPr>
          <w:p w14:paraId="1260985B">
            <w:pPr>
              <w:snapToGrid w:val="0"/>
              <w:spacing w:beforeLines="50" w:after="50" w:line="360" w:lineRule="auto"/>
              <w:rPr>
                <w:rFonts w:hint="eastAsia" w:ascii="宋体" w:hAnsi="宋体" w:eastAsia="宋体" w:cs="宋体"/>
                <w:b/>
                <w:color w:val="auto"/>
                <w:kern w:val="44"/>
                <w:sz w:val="21"/>
                <w:szCs w:val="21"/>
                <w:highlight w:val="none"/>
              </w:rPr>
            </w:pPr>
          </w:p>
        </w:tc>
        <w:tc>
          <w:tcPr>
            <w:tcW w:w="1500" w:type="dxa"/>
            <w:tcBorders>
              <w:top w:val="single" w:color="auto" w:sz="4" w:space="0"/>
              <w:left w:val="single" w:color="auto" w:sz="4" w:space="0"/>
              <w:bottom w:val="single" w:color="auto" w:sz="4" w:space="0"/>
              <w:right w:val="single" w:color="auto" w:sz="4" w:space="0"/>
            </w:tcBorders>
          </w:tcPr>
          <w:p w14:paraId="22CAD951">
            <w:pPr>
              <w:snapToGrid w:val="0"/>
              <w:spacing w:beforeLines="50" w:after="50" w:line="360" w:lineRule="auto"/>
              <w:rPr>
                <w:rFonts w:hint="eastAsia" w:ascii="宋体" w:hAnsi="宋体" w:eastAsia="宋体" w:cs="宋体"/>
                <w:b/>
                <w:color w:val="auto"/>
                <w:kern w:val="44"/>
                <w:sz w:val="21"/>
                <w:szCs w:val="21"/>
                <w:highlight w:val="none"/>
              </w:rPr>
            </w:pPr>
          </w:p>
        </w:tc>
        <w:tc>
          <w:tcPr>
            <w:tcW w:w="1296" w:type="dxa"/>
            <w:tcBorders>
              <w:top w:val="single" w:color="auto" w:sz="4" w:space="0"/>
              <w:left w:val="single" w:color="auto" w:sz="4" w:space="0"/>
              <w:bottom w:val="single" w:color="auto" w:sz="4" w:space="0"/>
              <w:right w:val="single" w:color="auto" w:sz="4" w:space="0"/>
            </w:tcBorders>
          </w:tcPr>
          <w:p w14:paraId="759F7CA8">
            <w:pPr>
              <w:snapToGrid w:val="0"/>
              <w:spacing w:beforeLines="50" w:after="50" w:line="360" w:lineRule="auto"/>
              <w:rPr>
                <w:rFonts w:hint="eastAsia" w:ascii="宋体" w:hAnsi="宋体" w:eastAsia="宋体" w:cs="宋体"/>
                <w:b/>
                <w:color w:val="auto"/>
                <w:kern w:val="44"/>
                <w:sz w:val="21"/>
                <w:szCs w:val="21"/>
                <w:highlight w:val="none"/>
              </w:rPr>
            </w:pPr>
          </w:p>
        </w:tc>
        <w:tc>
          <w:tcPr>
            <w:tcW w:w="1415" w:type="dxa"/>
            <w:tcBorders>
              <w:top w:val="single" w:color="auto" w:sz="4" w:space="0"/>
              <w:left w:val="single" w:color="auto" w:sz="4" w:space="0"/>
              <w:bottom w:val="single" w:color="auto" w:sz="4" w:space="0"/>
              <w:right w:val="single" w:color="auto" w:sz="4" w:space="0"/>
            </w:tcBorders>
          </w:tcPr>
          <w:p w14:paraId="7A209B10">
            <w:pPr>
              <w:snapToGrid w:val="0"/>
              <w:spacing w:beforeLines="50" w:after="50" w:line="360" w:lineRule="auto"/>
              <w:rPr>
                <w:rFonts w:hint="eastAsia" w:ascii="宋体" w:hAnsi="宋体" w:eastAsia="宋体" w:cs="宋体"/>
                <w:b/>
                <w:color w:val="auto"/>
                <w:kern w:val="44"/>
                <w:sz w:val="21"/>
                <w:szCs w:val="21"/>
                <w:highlight w:val="none"/>
              </w:rPr>
            </w:pPr>
          </w:p>
        </w:tc>
        <w:tc>
          <w:tcPr>
            <w:tcW w:w="1558" w:type="dxa"/>
            <w:tcBorders>
              <w:top w:val="single" w:color="auto" w:sz="4" w:space="0"/>
              <w:left w:val="single" w:color="auto" w:sz="4" w:space="0"/>
              <w:bottom w:val="single" w:color="auto" w:sz="4" w:space="0"/>
            </w:tcBorders>
          </w:tcPr>
          <w:p w14:paraId="52168B68">
            <w:pPr>
              <w:snapToGrid w:val="0"/>
              <w:spacing w:beforeLines="50" w:after="50" w:line="360" w:lineRule="auto"/>
              <w:rPr>
                <w:rFonts w:hint="eastAsia" w:ascii="宋体" w:hAnsi="宋体" w:eastAsia="宋体" w:cs="宋体"/>
                <w:b/>
                <w:color w:val="auto"/>
                <w:kern w:val="44"/>
                <w:sz w:val="21"/>
                <w:szCs w:val="21"/>
                <w:highlight w:val="none"/>
              </w:rPr>
            </w:pPr>
          </w:p>
        </w:tc>
      </w:tr>
      <w:tr w14:paraId="52CFF2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39" w:type="dxa"/>
            <w:tcBorders>
              <w:top w:val="single" w:color="auto" w:sz="4" w:space="0"/>
              <w:bottom w:val="single" w:color="auto" w:sz="4" w:space="0"/>
              <w:right w:val="single" w:color="auto" w:sz="4" w:space="0"/>
            </w:tcBorders>
          </w:tcPr>
          <w:p w14:paraId="59D720F7">
            <w:pPr>
              <w:snapToGrid w:val="0"/>
              <w:spacing w:beforeLines="50" w:after="50" w:line="360" w:lineRule="auto"/>
              <w:rPr>
                <w:rFonts w:hint="eastAsia" w:ascii="宋体" w:hAnsi="宋体" w:eastAsia="宋体" w:cs="宋体"/>
                <w:color w:val="auto"/>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4307DE5D">
            <w:pPr>
              <w:snapToGrid w:val="0"/>
              <w:spacing w:beforeLines="50" w:after="50" w:line="360" w:lineRule="auto"/>
              <w:rPr>
                <w:rFonts w:hint="eastAsia" w:ascii="宋体" w:hAnsi="宋体" w:eastAsia="宋体" w:cs="宋体"/>
                <w:b/>
                <w:color w:val="auto"/>
                <w:kern w:val="44"/>
                <w:sz w:val="21"/>
                <w:szCs w:val="21"/>
                <w:highlight w:val="none"/>
              </w:rPr>
            </w:pPr>
          </w:p>
        </w:tc>
        <w:tc>
          <w:tcPr>
            <w:tcW w:w="868" w:type="dxa"/>
            <w:tcBorders>
              <w:top w:val="single" w:color="auto" w:sz="4" w:space="0"/>
              <w:left w:val="single" w:color="auto" w:sz="4" w:space="0"/>
              <w:bottom w:val="single" w:color="auto" w:sz="4" w:space="0"/>
              <w:right w:val="single" w:color="auto" w:sz="4" w:space="0"/>
            </w:tcBorders>
          </w:tcPr>
          <w:p w14:paraId="24CDEF35">
            <w:pPr>
              <w:snapToGrid w:val="0"/>
              <w:spacing w:beforeLines="50" w:after="50" w:line="360" w:lineRule="auto"/>
              <w:rPr>
                <w:rFonts w:hint="eastAsia" w:ascii="宋体" w:hAnsi="宋体" w:eastAsia="宋体" w:cs="宋体"/>
                <w:b/>
                <w:color w:val="auto"/>
                <w:kern w:val="44"/>
                <w:sz w:val="21"/>
                <w:szCs w:val="21"/>
                <w:highlight w:val="none"/>
              </w:rPr>
            </w:pPr>
          </w:p>
        </w:tc>
        <w:tc>
          <w:tcPr>
            <w:tcW w:w="921" w:type="dxa"/>
            <w:tcBorders>
              <w:top w:val="single" w:color="auto" w:sz="4" w:space="0"/>
              <w:left w:val="single" w:color="auto" w:sz="4" w:space="0"/>
              <w:bottom w:val="single" w:color="auto" w:sz="4" w:space="0"/>
              <w:right w:val="single" w:color="auto" w:sz="4" w:space="0"/>
            </w:tcBorders>
          </w:tcPr>
          <w:p w14:paraId="64B0530B">
            <w:pPr>
              <w:pStyle w:val="12"/>
              <w:snapToGrid w:val="0"/>
              <w:spacing w:beforeLines="50" w:after="50" w:line="360" w:lineRule="auto"/>
              <w:ind w:left="5250"/>
              <w:rPr>
                <w:rFonts w:hint="eastAsia" w:ascii="宋体" w:hAnsi="宋体" w:eastAsia="宋体" w:cs="宋体"/>
                <w:b/>
                <w:color w:val="auto"/>
                <w:kern w:val="44"/>
                <w:sz w:val="21"/>
                <w:szCs w:val="21"/>
                <w:highlight w:val="none"/>
              </w:rPr>
            </w:pPr>
          </w:p>
        </w:tc>
        <w:tc>
          <w:tcPr>
            <w:tcW w:w="1500" w:type="dxa"/>
            <w:tcBorders>
              <w:top w:val="single" w:color="auto" w:sz="4" w:space="0"/>
              <w:left w:val="single" w:color="auto" w:sz="4" w:space="0"/>
              <w:bottom w:val="single" w:color="auto" w:sz="4" w:space="0"/>
              <w:right w:val="single" w:color="auto" w:sz="4" w:space="0"/>
            </w:tcBorders>
          </w:tcPr>
          <w:p w14:paraId="13E53706">
            <w:pPr>
              <w:pStyle w:val="12"/>
              <w:snapToGrid w:val="0"/>
              <w:spacing w:beforeLines="50" w:after="50" w:line="360" w:lineRule="auto"/>
              <w:ind w:left="5250"/>
              <w:rPr>
                <w:rFonts w:hint="eastAsia" w:ascii="宋体" w:hAnsi="宋体" w:eastAsia="宋体" w:cs="宋体"/>
                <w:b/>
                <w:color w:val="auto"/>
                <w:kern w:val="44"/>
                <w:sz w:val="21"/>
                <w:szCs w:val="21"/>
                <w:highlight w:val="none"/>
              </w:rPr>
            </w:pPr>
          </w:p>
        </w:tc>
        <w:tc>
          <w:tcPr>
            <w:tcW w:w="1296" w:type="dxa"/>
            <w:tcBorders>
              <w:top w:val="single" w:color="auto" w:sz="4" w:space="0"/>
              <w:left w:val="single" w:color="auto" w:sz="4" w:space="0"/>
              <w:bottom w:val="single" w:color="auto" w:sz="4" w:space="0"/>
              <w:right w:val="single" w:color="auto" w:sz="4" w:space="0"/>
            </w:tcBorders>
          </w:tcPr>
          <w:p w14:paraId="78EE7A70">
            <w:pPr>
              <w:pStyle w:val="12"/>
              <w:spacing w:line="360" w:lineRule="auto"/>
              <w:ind w:left="5250"/>
              <w:rPr>
                <w:rFonts w:hint="eastAsia" w:ascii="宋体" w:hAnsi="宋体" w:eastAsia="宋体" w:cs="宋体"/>
                <w:color w:val="auto"/>
                <w:sz w:val="21"/>
                <w:szCs w:val="21"/>
                <w:highlight w:val="none"/>
              </w:rPr>
            </w:pPr>
          </w:p>
        </w:tc>
        <w:tc>
          <w:tcPr>
            <w:tcW w:w="1415" w:type="dxa"/>
            <w:tcBorders>
              <w:top w:val="single" w:color="auto" w:sz="4" w:space="0"/>
              <w:left w:val="single" w:color="auto" w:sz="4" w:space="0"/>
              <w:bottom w:val="single" w:color="auto" w:sz="4" w:space="0"/>
              <w:right w:val="single" w:color="auto" w:sz="4" w:space="0"/>
            </w:tcBorders>
          </w:tcPr>
          <w:p w14:paraId="30833D87">
            <w:pPr>
              <w:snapToGrid w:val="0"/>
              <w:spacing w:beforeLines="50" w:after="50" w:line="360" w:lineRule="auto"/>
              <w:rPr>
                <w:rFonts w:hint="eastAsia" w:ascii="宋体" w:hAnsi="宋体" w:eastAsia="宋体" w:cs="宋体"/>
                <w:color w:val="auto"/>
                <w:sz w:val="21"/>
                <w:szCs w:val="21"/>
                <w:highlight w:val="none"/>
              </w:rPr>
            </w:pPr>
          </w:p>
        </w:tc>
        <w:tc>
          <w:tcPr>
            <w:tcW w:w="1558" w:type="dxa"/>
            <w:tcBorders>
              <w:top w:val="single" w:color="auto" w:sz="4" w:space="0"/>
              <w:left w:val="single" w:color="auto" w:sz="4" w:space="0"/>
              <w:bottom w:val="single" w:color="auto" w:sz="4" w:space="0"/>
            </w:tcBorders>
          </w:tcPr>
          <w:p w14:paraId="51C2F9D0">
            <w:pPr>
              <w:snapToGrid w:val="0"/>
              <w:spacing w:beforeLines="50" w:after="50" w:line="360" w:lineRule="auto"/>
              <w:rPr>
                <w:rFonts w:hint="eastAsia" w:ascii="宋体" w:hAnsi="宋体" w:eastAsia="宋体" w:cs="宋体"/>
                <w:b/>
                <w:color w:val="auto"/>
                <w:kern w:val="44"/>
                <w:sz w:val="21"/>
                <w:szCs w:val="21"/>
                <w:highlight w:val="none"/>
              </w:rPr>
            </w:pPr>
          </w:p>
        </w:tc>
      </w:tr>
      <w:tr w14:paraId="6523A1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39" w:type="dxa"/>
            <w:tcBorders>
              <w:top w:val="single" w:color="auto" w:sz="4" w:space="0"/>
              <w:bottom w:val="single" w:color="auto" w:sz="4" w:space="0"/>
              <w:right w:val="single" w:color="auto" w:sz="4" w:space="0"/>
            </w:tcBorders>
          </w:tcPr>
          <w:p w14:paraId="2A42E35B">
            <w:pPr>
              <w:snapToGrid w:val="0"/>
              <w:spacing w:beforeLines="50" w:after="50" w:line="360" w:lineRule="auto"/>
              <w:rPr>
                <w:rFonts w:hint="eastAsia" w:ascii="宋体" w:hAnsi="宋体" w:eastAsia="宋体" w:cs="宋体"/>
                <w:color w:val="auto"/>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3860CAB9">
            <w:pPr>
              <w:snapToGrid w:val="0"/>
              <w:spacing w:beforeLines="50" w:after="50" w:line="360" w:lineRule="auto"/>
              <w:rPr>
                <w:rFonts w:hint="eastAsia" w:ascii="宋体" w:hAnsi="宋体" w:eastAsia="宋体" w:cs="宋体"/>
                <w:b/>
                <w:color w:val="auto"/>
                <w:kern w:val="44"/>
                <w:sz w:val="21"/>
                <w:szCs w:val="21"/>
                <w:highlight w:val="none"/>
              </w:rPr>
            </w:pPr>
          </w:p>
        </w:tc>
        <w:tc>
          <w:tcPr>
            <w:tcW w:w="868" w:type="dxa"/>
            <w:tcBorders>
              <w:top w:val="single" w:color="auto" w:sz="4" w:space="0"/>
              <w:left w:val="single" w:color="auto" w:sz="4" w:space="0"/>
              <w:bottom w:val="single" w:color="auto" w:sz="4" w:space="0"/>
              <w:right w:val="single" w:color="auto" w:sz="4" w:space="0"/>
            </w:tcBorders>
          </w:tcPr>
          <w:p w14:paraId="453A8B3B">
            <w:pPr>
              <w:snapToGrid w:val="0"/>
              <w:spacing w:beforeLines="50" w:after="50" w:line="360" w:lineRule="auto"/>
              <w:rPr>
                <w:rFonts w:hint="eastAsia" w:ascii="宋体" w:hAnsi="宋体" w:eastAsia="宋体" w:cs="宋体"/>
                <w:b/>
                <w:color w:val="auto"/>
                <w:kern w:val="44"/>
                <w:sz w:val="21"/>
                <w:szCs w:val="21"/>
                <w:highlight w:val="none"/>
              </w:rPr>
            </w:pPr>
          </w:p>
        </w:tc>
        <w:tc>
          <w:tcPr>
            <w:tcW w:w="921" w:type="dxa"/>
            <w:tcBorders>
              <w:top w:val="single" w:color="auto" w:sz="4" w:space="0"/>
              <w:left w:val="single" w:color="auto" w:sz="4" w:space="0"/>
              <w:bottom w:val="single" w:color="auto" w:sz="4" w:space="0"/>
              <w:right w:val="single" w:color="auto" w:sz="4" w:space="0"/>
            </w:tcBorders>
          </w:tcPr>
          <w:p w14:paraId="217DB99F">
            <w:pPr>
              <w:snapToGrid w:val="0"/>
              <w:spacing w:beforeLines="50" w:after="50" w:line="360" w:lineRule="auto"/>
              <w:rPr>
                <w:rFonts w:hint="eastAsia" w:ascii="宋体" w:hAnsi="宋体" w:eastAsia="宋体" w:cs="宋体"/>
                <w:b/>
                <w:color w:val="auto"/>
                <w:kern w:val="44"/>
                <w:sz w:val="21"/>
                <w:szCs w:val="21"/>
                <w:highlight w:val="none"/>
              </w:rPr>
            </w:pPr>
          </w:p>
        </w:tc>
        <w:tc>
          <w:tcPr>
            <w:tcW w:w="1500" w:type="dxa"/>
            <w:tcBorders>
              <w:top w:val="single" w:color="auto" w:sz="4" w:space="0"/>
              <w:left w:val="single" w:color="auto" w:sz="4" w:space="0"/>
              <w:bottom w:val="single" w:color="auto" w:sz="4" w:space="0"/>
              <w:right w:val="single" w:color="auto" w:sz="4" w:space="0"/>
            </w:tcBorders>
          </w:tcPr>
          <w:p w14:paraId="1C992203">
            <w:pPr>
              <w:snapToGrid w:val="0"/>
              <w:spacing w:beforeLines="50" w:after="50" w:line="360" w:lineRule="auto"/>
              <w:rPr>
                <w:rFonts w:hint="eastAsia" w:ascii="宋体" w:hAnsi="宋体" w:eastAsia="宋体" w:cs="宋体"/>
                <w:b/>
                <w:color w:val="auto"/>
                <w:kern w:val="44"/>
                <w:sz w:val="21"/>
                <w:szCs w:val="21"/>
                <w:highlight w:val="none"/>
              </w:rPr>
            </w:pPr>
          </w:p>
        </w:tc>
        <w:tc>
          <w:tcPr>
            <w:tcW w:w="1296" w:type="dxa"/>
            <w:tcBorders>
              <w:top w:val="single" w:color="auto" w:sz="4" w:space="0"/>
              <w:left w:val="single" w:color="auto" w:sz="4" w:space="0"/>
              <w:bottom w:val="single" w:color="auto" w:sz="4" w:space="0"/>
              <w:right w:val="single" w:color="auto" w:sz="4" w:space="0"/>
            </w:tcBorders>
          </w:tcPr>
          <w:p w14:paraId="37A225CB">
            <w:pPr>
              <w:snapToGrid w:val="0"/>
              <w:spacing w:beforeLines="50" w:after="50" w:line="360" w:lineRule="auto"/>
              <w:rPr>
                <w:rFonts w:hint="eastAsia" w:ascii="宋体" w:hAnsi="宋体" w:eastAsia="宋体" w:cs="宋体"/>
                <w:b/>
                <w:color w:val="auto"/>
                <w:kern w:val="44"/>
                <w:sz w:val="21"/>
                <w:szCs w:val="21"/>
                <w:highlight w:val="none"/>
              </w:rPr>
            </w:pPr>
          </w:p>
        </w:tc>
        <w:tc>
          <w:tcPr>
            <w:tcW w:w="1415" w:type="dxa"/>
            <w:tcBorders>
              <w:top w:val="single" w:color="auto" w:sz="4" w:space="0"/>
              <w:left w:val="single" w:color="auto" w:sz="4" w:space="0"/>
              <w:bottom w:val="single" w:color="auto" w:sz="4" w:space="0"/>
              <w:right w:val="single" w:color="auto" w:sz="4" w:space="0"/>
            </w:tcBorders>
          </w:tcPr>
          <w:p w14:paraId="41B300B8">
            <w:pPr>
              <w:snapToGrid w:val="0"/>
              <w:spacing w:beforeLines="50" w:after="50" w:line="360" w:lineRule="auto"/>
              <w:rPr>
                <w:rFonts w:hint="eastAsia" w:ascii="宋体" w:hAnsi="宋体" w:eastAsia="宋体" w:cs="宋体"/>
                <w:b/>
                <w:color w:val="auto"/>
                <w:kern w:val="44"/>
                <w:sz w:val="21"/>
                <w:szCs w:val="21"/>
                <w:highlight w:val="none"/>
              </w:rPr>
            </w:pPr>
          </w:p>
        </w:tc>
        <w:tc>
          <w:tcPr>
            <w:tcW w:w="1558" w:type="dxa"/>
            <w:tcBorders>
              <w:top w:val="single" w:color="auto" w:sz="4" w:space="0"/>
              <w:left w:val="single" w:color="auto" w:sz="4" w:space="0"/>
              <w:bottom w:val="single" w:color="auto" w:sz="4" w:space="0"/>
            </w:tcBorders>
          </w:tcPr>
          <w:p w14:paraId="148D0485">
            <w:pPr>
              <w:snapToGrid w:val="0"/>
              <w:spacing w:beforeLines="50" w:after="50" w:line="360" w:lineRule="auto"/>
              <w:rPr>
                <w:rFonts w:hint="eastAsia" w:ascii="宋体" w:hAnsi="宋体" w:eastAsia="宋体" w:cs="宋体"/>
                <w:b/>
                <w:color w:val="auto"/>
                <w:kern w:val="44"/>
                <w:sz w:val="21"/>
                <w:szCs w:val="21"/>
                <w:highlight w:val="none"/>
              </w:rPr>
            </w:pPr>
          </w:p>
        </w:tc>
      </w:tr>
      <w:tr w14:paraId="6629DB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39" w:type="dxa"/>
            <w:tcBorders>
              <w:top w:val="single" w:color="auto" w:sz="4" w:space="0"/>
              <w:bottom w:val="single" w:color="auto" w:sz="4" w:space="0"/>
              <w:right w:val="single" w:color="auto" w:sz="4" w:space="0"/>
            </w:tcBorders>
          </w:tcPr>
          <w:p w14:paraId="6D100E01">
            <w:pPr>
              <w:snapToGrid w:val="0"/>
              <w:spacing w:beforeLines="50" w:after="50" w:line="360" w:lineRule="auto"/>
              <w:rPr>
                <w:rFonts w:hint="eastAsia" w:ascii="宋体" w:hAnsi="宋体" w:eastAsia="宋体" w:cs="宋体"/>
                <w:color w:val="auto"/>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2A9640AA">
            <w:pPr>
              <w:snapToGrid w:val="0"/>
              <w:spacing w:beforeLines="50" w:after="50" w:line="360" w:lineRule="auto"/>
              <w:rPr>
                <w:rFonts w:hint="eastAsia" w:ascii="宋体" w:hAnsi="宋体" w:eastAsia="宋体" w:cs="宋体"/>
                <w:b/>
                <w:color w:val="auto"/>
                <w:kern w:val="44"/>
                <w:sz w:val="21"/>
                <w:szCs w:val="21"/>
                <w:highlight w:val="none"/>
              </w:rPr>
            </w:pPr>
          </w:p>
        </w:tc>
        <w:tc>
          <w:tcPr>
            <w:tcW w:w="868" w:type="dxa"/>
            <w:tcBorders>
              <w:top w:val="single" w:color="auto" w:sz="4" w:space="0"/>
              <w:left w:val="single" w:color="auto" w:sz="4" w:space="0"/>
              <w:bottom w:val="single" w:color="auto" w:sz="4" w:space="0"/>
              <w:right w:val="single" w:color="auto" w:sz="4" w:space="0"/>
            </w:tcBorders>
          </w:tcPr>
          <w:p w14:paraId="5CE71AE0">
            <w:pPr>
              <w:snapToGrid w:val="0"/>
              <w:spacing w:beforeLines="50" w:after="50" w:line="360" w:lineRule="auto"/>
              <w:rPr>
                <w:rFonts w:hint="eastAsia" w:ascii="宋体" w:hAnsi="宋体" w:eastAsia="宋体" w:cs="宋体"/>
                <w:b/>
                <w:color w:val="auto"/>
                <w:kern w:val="44"/>
                <w:sz w:val="21"/>
                <w:szCs w:val="21"/>
                <w:highlight w:val="none"/>
              </w:rPr>
            </w:pPr>
          </w:p>
        </w:tc>
        <w:tc>
          <w:tcPr>
            <w:tcW w:w="921" w:type="dxa"/>
            <w:tcBorders>
              <w:top w:val="single" w:color="auto" w:sz="4" w:space="0"/>
              <w:left w:val="single" w:color="auto" w:sz="4" w:space="0"/>
              <w:bottom w:val="single" w:color="auto" w:sz="4" w:space="0"/>
              <w:right w:val="single" w:color="auto" w:sz="4" w:space="0"/>
            </w:tcBorders>
          </w:tcPr>
          <w:p w14:paraId="0E489D16">
            <w:pPr>
              <w:snapToGrid w:val="0"/>
              <w:spacing w:beforeLines="50" w:after="50" w:line="360" w:lineRule="auto"/>
              <w:rPr>
                <w:rFonts w:hint="eastAsia" w:ascii="宋体" w:hAnsi="宋体" w:eastAsia="宋体" w:cs="宋体"/>
                <w:b/>
                <w:color w:val="auto"/>
                <w:kern w:val="44"/>
                <w:sz w:val="21"/>
                <w:szCs w:val="21"/>
                <w:highlight w:val="none"/>
              </w:rPr>
            </w:pPr>
          </w:p>
        </w:tc>
        <w:tc>
          <w:tcPr>
            <w:tcW w:w="1500" w:type="dxa"/>
            <w:tcBorders>
              <w:top w:val="single" w:color="auto" w:sz="4" w:space="0"/>
              <w:left w:val="single" w:color="auto" w:sz="4" w:space="0"/>
              <w:bottom w:val="single" w:color="auto" w:sz="4" w:space="0"/>
              <w:right w:val="single" w:color="auto" w:sz="4" w:space="0"/>
            </w:tcBorders>
          </w:tcPr>
          <w:p w14:paraId="1B223BEC">
            <w:pPr>
              <w:snapToGrid w:val="0"/>
              <w:spacing w:beforeLines="50" w:after="50" w:line="360" w:lineRule="auto"/>
              <w:rPr>
                <w:rFonts w:hint="eastAsia" w:ascii="宋体" w:hAnsi="宋体" w:eastAsia="宋体" w:cs="宋体"/>
                <w:b/>
                <w:color w:val="auto"/>
                <w:kern w:val="44"/>
                <w:sz w:val="21"/>
                <w:szCs w:val="21"/>
                <w:highlight w:val="none"/>
              </w:rPr>
            </w:pPr>
          </w:p>
        </w:tc>
        <w:tc>
          <w:tcPr>
            <w:tcW w:w="1296" w:type="dxa"/>
            <w:tcBorders>
              <w:top w:val="single" w:color="auto" w:sz="4" w:space="0"/>
              <w:left w:val="single" w:color="auto" w:sz="4" w:space="0"/>
              <w:bottom w:val="single" w:color="auto" w:sz="4" w:space="0"/>
              <w:right w:val="single" w:color="auto" w:sz="4" w:space="0"/>
            </w:tcBorders>
          </w:tcPr>
          <w:p w14:paraId="3B73E531">
            <w:pPr>
              <w:snapToGrid w:val="0"/>
              <w:spacing w:beforeLines="50" w:after="50" w:line="360" w:lineRule="auto"/>
              <w:rPr>
                <w:rFonts w:hint="eastAsia" w:ascii="宋体" w:hAnsi="宋体" w:eastAsia="宋体" w:cs="宋体"/>
                <w:b/>
                <w:color w:val="auto"/>
                <w:kern w:val="44"/>
                <w:sz w:val="21"/>
                <w:szCs w:val="21"/>
                <w:highlight w:val="none"/>
              </w:rPr>
            </w:pPr>
          </w:p>
        </w:tc>
        <w:tc>
          <w:tcPr>
            <w:tcW w:w="1415" w:type="dxa"/>
            <w:tcBorders>
              <w:top w:val="single" w:color="auto" w:sz="4" w:space="0"/>
              <w:left w:val="single" w:color="auto" w:sz="4" w:space="0"/>
              <w:bottom w:val="single" w:color="auto" w:sz="4" w:space="0"/>
              <w:right w:val="single" w:color="auto" w:sz="4" w:space="0"/>
            </w:tcBorders>
          </w:tcPr>
          <w:p w14:paraId="1C389487">
            <w:pPr>
              <w:snapToGrid w:val="0"/>
              <w:spacing w:beforeLines="50" w:after="50" w:line="360" w:lineRule="auto"/>
              <w:rPr>
                <w:rFonts w:hint="eastAsia" w:ascii="宋体" w:hAnsi="宋体" w:eastAsia="宋体" w:cs="宋体"/>
                <w:b/>
                <w:color w:val="auto"/>
                <w:kern w:val="44"/>
                <w:sz w:val="21"/>
                <w:szCs w:val="21"/>
                <w:highlight w:val="none"/>
              </w:rPr>
            </w:pPr>
          </w:p>
        </w:tc>
        <w:tc>
          <w:tcPr>
            <w:tcW w:w="1558" w:type="dxa"/>
            <w:tcBorders>
              <w:top w:val="single" w:color="auto" w:sz="4" w:space="0"/>
              <w:left w:val="single" w:color="auto" w:sz="4" w:space="0"/>
              <w:bottom w:val="single" w:color="auto" w:sz="4" w:space="0"/>
            </w:tcBorders>
          </w:tcPr>
          <w:p w14:paraId="22BF90A7">
            <w:pPr>
              <w:snapToGrid w:val="0"/>
              <w:spacing w:beforeLines="50" w:after="50" w:line="360" w:lineRule="auto"/>
              <w:rPr>
                <w:rFonts w:hint="eastAsia" w:ascii="宋体" w:hAnsi="宋体" w:eastAsia="宋体" w:cs="宋体"/>
                <w:b/>
                <w:color w:val="auto"/>
                <w:kern w:val="44"/>
                <w:sz w:val="21"/>
                <w:szCs w:val="21"/>
                <w:highlight w:val="none"/>
              </w:rPr>
            </w:pPr>
          </w:p>
        </w:tc>
      </w:tr>
      <w:tr w14:paraId="774A32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39" w:type="dxa"/>
            <w:tcBorders>
              <w:top w:val="single" w:color="auto" w:sz="4" w:space="0"/>
              <w:bottom w:val="single" w:color="auto" w:sz="4" w:space="0"/>
              <w:right w:val="single" w:color="auto" w:sz="4" w:space="0"/>
            </w:tcBorders>
          </w:tcPr>
          <w:p w14:paraId="0FEE62A7">
            <w:pPr>
              <w:snapToGrid w:val="0"/>
              <w:spacing w:beforeLines="50" w:after="50" w:line="360" w:lineRule="auto"/>
              <w:rPr>
                <w:rFonts w:hint="eastAsia" w:ascii="宋体" w:hAnsi="宋体" w:eastAsia="宋体" w:cs="宋体"/>
                <w:color w:val="auto"/>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73016B68">
            <w:pPr>
              <w:snapToGrid w:val="0"/>
              <w:spacing w:beforeLines="50" w:after="50" w:line="360" w:lineRule="auto"/>
              <w:rPr>
                <w:rFonts w:hint="eastAsia" w:ascii="宋体" w:hAnsi="宋体" w:eastAsia="宋体" w:cs="宋体"/>
                <w:b/>
                <w:color w:val="auto"/>
                <w:kern w:val="44"/>
                <w:sz w:val="21"/>
                <w:szCs w:val="21"/>
                <w:highlight w:val="none"/>
              </w:rPr>
            </w:pPr>
          </w:p>
        </w:tc>
        <w:tc>
          <w:tcPr>
            <w:tcW w:w="868" w:type="dxa"/>
            <w:tcBorders>
              <w:top w:val="single" w:color="auto" w:sz="4" w:space="0"/>
              <w:left w:val="single" w:color="auto" w:sz="4" w:space="0"/>
              <w:bottom w:val="single" w:color="auto" w:sz="4" w:space="0"/>
              <w:right w:val="single" w:color="auto" w:sz="4" w:space="0"/>
            </w:tcBorders>
          </w:tcPr>
          <w:p w14:paraId="58E612F9">
            <w:pPr>
              <w:snapToGrid w:val="0"/>
              <w:spacing w:beforeLines="50" w:after="50" w:line="360" w:lineRule="auto"/>
              <w:rPr>
                <w:rFonts w:hint="eastAsia" w:ascii="宋体" w:hAnsi="宋体" w:eastAsia="宋体" w:cs="宋体"/>
                <w:b/>
                <w:color w:val="auto"/>
                <w:kern w:val="44"/>
                <w:sz w:val="21"/>
                <w:szCs w:val="21"/>
                <w:highlight w:val="none"/>
              </w:rPr>
            </w:pPr>
          </w:p>
        </w:tc>
        <w:tc>
          <w:tcPr>
            <w:tcW w:w="921" w:type="dxa"/>
            <w:tcBorders>
              <w:top w:val="single" w:color="auto" w:sz="4" w:space="0"/>
              <w:left w:val="single" w:color="auto" w:sz="4" w:space="0"/>
              <w:bottom w:val="single" w:color="auto" w:sz="4" w:space="0"/>
              <w:right w:val="single" w:color="auto" w:sz="4" w:space="0"/>
            </w:tcBorders>
          </w:tcPr>
          <w:p w14:paraId="03B3F8A4">
            <w:pPr>
              <w:snapToGrid w:val="0"/>
              <w:spacing w:beforeLines="50" w:after="50" w:line="360" w:lineRule="auto"/>
              <w:rPr>
                <w:rFonts w:hint="eastAsia" w:ascii="宋体" w:hAnsi="宋体" w:eastAsia="宋体" w:cs="宋体"/>
                <w:b/>
                <w:color w:val="auto"/>
                <w:kern w:val="44"/>
                <w:sz w:val="21"/>
                <w:szCs w:val="21"/>
                <w:highlight w:val="none"/>
              </w:rPr>
            </w:pPr>
          </w:p>
        </w:tc>
        <w:tc>
          <w:tcPr>
            <w:tcW w:w="1500" w:type="dxa"/>
            <w:tcBorders>
              <w:top w:val="single" w:color="auto" w:sz="4" w:space="0"/>
              <w:left w:val="single" w:color="auto" w:sz="4" w:space="0"/>
              <w:bottom w:val="single" w:color="auto" w:sz="4" w:space="0"/>
              <w:right w:val="single" w:color="auto" w:sz="4" w:space="0"/>
            </w:tcBorders>
          </w:tcPr>
          <w:p w14:paraId="1E887DF2">
            <w:pPr>
              <w:snapToGrid w:val="0"/>
              <w:spacing w:beforeLines="50" w:after="50" w:line="360" w:lineRule="auto"/>
              <w:rPr>
                <w:rFonts w:hint="eastAsia" w:ascii="宋体" w:hAnsi="宋体" w:eastAsia="宋体" w:cs="宋体"/>
                <w:b/>
                <w:color w:val="auto"/>
                <w:kern w:val="44"/>
                <w:sz w:val="21"/>
                <w:szCs w:val="21"/>
                <w:highlight w:val="none"/>
              </w:rPr>
            </w:pPr>
          </w:p>
        </w:tc>
        <w:tc>
          <w:tcPr>
            <w:tcW w:w="1296" w:type="dxa"/>
            <w:tcBorders>
              <w:top w:val="single" w:color="auto" w:sz="4" w:space="0"/>
              <w:left w:val="single" w:color="auto" w:sz="4" w:space="0"/>
              <w:bottom w:val="single" w:color="auto" w:sz="4" w:space="0"/>
              <w:right w:val="single" w:color="auto" w:sz="4" w:space="0"/>
            </w:tcBorders>
          </w:tcPr>
          <w:p w14:paraId="363657CA">
            <w:pPr>
              <w:snapToGrid w:val="0"/>
              <w:spacing w:beforeLines="50" w:after="50" w:line="360" w:lineRule="auto"/>
              <w:rPr>
                <w:rFonts w:hint="eastAsia" w:ascii="宋体" w:hAnsi="宋体" w:eastAsia="宋体" w:cs="宋体"/>
                <w:b/>
                <w:color w:val="auto"/>
                <w:kern w:val="44"/>
                <w:sz w:val="21"/>
                <w:szCs w:val="21"/>
                <w:highlight w:val="none"/>
              </w:rPr>
            </w:pPr>
          </w:p>
        </w:tc>
        <w:tc>
          <w:tcPr>
            <w:tcW w:w="1415" w:type="dxa"/>
            <w:tcBorders>
              <w:top w:val="single" w:color="auto" w:sz="4" w:space="0"/>
              <w:left w:val="single" w:color="auto" w:sz="4" w:space="0"/>
              <w:bottom w:val="single" w:color="auto" w:sz="4" w:space="0"/>
              <w:right w:val="single" w:color="auto" w:sz="4" w:space="0"/>
            </w:tcBorders>
          </w:tcPr>
          <w:p w14:paraId="1CA41DE3">
            <w:pPr>
              <w:snapToGrid w:val="0"/>
              <w:spacing w:beforeLines="50" w:after="50" w:line="360" w:lineRule="auto"/>
              <w:rPr>
                <w:rFonts w:hint="eastAsia" w:ascii="宋体" w:hAnsi="宋体" w:eastAsia="宋体" w:cs="宋体"/>
                <w:b/>
                <w:color w:val="auto"/>
                <w:kern w:val="44"/>
                <w:sz w:val="21"/>
                <w:szCs w:val="21"/>
                <w:highlight w:val="none"/>
              </w:rPr>
            </w:pPr>
          </w:p>
        </w:tc>
        <w:tc>
          <w:tcPr>
            <w:tcW w:w="1558" w:type="dxa"/>
            <w:tcBorders>
              <w:top w:val="single" w:color="auto" w:sz="4" w:space="0"/>
              <w:left w:val="single" w:color="auto" w:sz="4" w:space="0"/>
              <w:bottom w:val="single" w:color="auto" w:sz="4" w:space="0"/>
            </w:tcBorders>
          </w:tcPr>
          <w:p w14:paraId="623A8206">
            <w:pPr>
              <w:snapToGrid w:val="0"/>
              <w:spacing w:beforeLines="50" w:after="50" w:line="360" w:lineRule="auto"/>
              <w:rPr>
                <w:rFonts w:hint="eastAsia" w:ascii="宋体" w:hAnsi="宋体" w:eastAsia="宋体" w:cs="宋体"/>
                <w:b/>
                <w:color w:val="auto"/>
                <w:kern w:val="44"/>
                <w:sz w:val="21"/>
                <w:szCs w:val="21"/>
                <w:highlight w:val="none"/>
              </w:rPr>
            </w:pPr>
          </w:p>
        </w:tc>
      </w:tr>
      <w:tr w14:paraId="686B92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39" w:type="dxa"/>
            <w:tcBorders>
              <w:top w:val="single" w:color="auto" w:sz="4" w:space="0"/>
              <w:bottom w:val="single" w:color="auto" w:sz="4" w:space="0"/>
              <w:right w:val="single" w:color="auto" w:sz="4" w:space="0"/>
            </w:tcBorders>
          </w:tcPr>
          <w:p w14:paraId="6EB591E8">
            <w:pPr>
              <w:snapToGrid w:val="0"/>
              <w:spacing w:beforeLines="50" w:after="50" w:line="360" w:lineRule="auto"/>
              <w:rPr>
                <w:rFonts w:hint="eastAsia" w:ascii="宋体" w:hAnsi="宋体" w:eastAsia="宋体" w:cs="宋体"/>
                <w:color w:val="auto"/>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0F9932FD">
            <w:pPr>
              <w:snapToGrid w:val="0"/>
              <w:spacing w:beforeLines="50" w:after="50" w:line="360" w:lineRule="auto"/>
              <w:rPr>
                <w:rFonts w:hint="eastAsia" w:ascii="宋体" w:hAnsi="宋体" w:eastAsia="宋体" w:cs="宋体"/>
                <w:b/>
                <w:color w:val="auto"/>
                <w:kern w:val="44"/>
                <w:sz w:val="21"/>
                <w:szCs w:val="21"/>
                <w:highlight w:val="none"/>
              </w:rPr>
            </w:pPr>
          </w:p>
        </w:tc>
        <w:tc>
          <w:tcPr>
            <w:tcW w:w="868" w:type="dxa"/>
            <w:tcBorders>
              <w:top w:val="single" w:color="auto" w:sz="4" w:space="0"/>
              <w:left w:val="single" w:color="auto" w:sz="4" w:space="0"/>
              <w:bottom w:val="single" w:color="auto" w:sz="4" w:space="0"/>
              <w:right w:val="single" w:color="auto" w:sz="4" w:space="0"/>
            </w:tcBorders>
          </w:tcPr>
          <w:p w14:paraId="0BD55978">
            <w:pPr>
              <w:snapToGrid w:val="0"/>
              <w:spacing w:beforeLines="50" w:after="50" w:line="360" w:lineRule="auto"/>
              <w:rPr>
                <w:rFonts w:hint="eastAsia" w:ascii="宋体" w:hAnsi="宋体" w:eastAsia="宋体" w:cs="宋体"/>
                <w:b/>
                <w:color w:val="auto"/>
                <w:kern w:val="44"/>
                <w:sz w:val="21"/>
                <w:szCs w:val="21"/>
                <w:highlight w:val="none"/>
              </w:rPr>
            </w:pPr>
          </w:p>
        </w:tc>
        <w:tc>
          <w:tcPr>
            <w:tcW w:w="921" w:type="dxa"/>
            <w:tcBorders>
              <w:top w:val="single" w:color="auto" w:sz="4" w:space="0"/>
              <w:left w:val="single" w:color="auto" w:sz="4" w:space="0"/>
              <w:bottom w:val="single" w:color="auto" w:sz="4" w:space="0"/>
              <w:right w:val="single" w:color="auto" w:sz="4" w:space="0"/>
            </w:tcBorders>
          </w:tcPr>
          <w:p w14:paraId="79DD6CEB">
            <w:pPr>
              <w:snapToGrid w:val="0"/>
              <w:spacing w:beforeLines="50" w:after="50" w:line="360" w:lineRule="auto"/>
              <w:rPr>
                <w:rFonts w:hint="eastAsia" w:ascii="宋体" w:hAnsi="宋体" w:eastAsia="宋体" w:cs="宋体"/>
                <w:b/>
                <w:color w:val="auto"/>
                <w:kern w:val="44"/>
                <w:sz w:val="21"/>
                <w:szCs w:val="21"/>
                <w:highlight w:val="none"/>
              </w:rPr>
            </w:pPr>
          </w:p>
        </w:tc>
        <w:tc>
          <w:tcPr>
            <w:tcW w:w="1500" w:type="dxa"/>
            <w:tcBorders>
              <w:top w:val="single" w:color="auto" w:sz="4" w:space="0"/>
              <w:left w:val="single" w:color="auto" w:sz="4" w:space="0"/>
              <w:bottom w:val="single" w:color="auto" w:sz="4" w:space="0"/>
              <w:right w:val="single" w:color="auto" w:sz="4" w:space="0"/>
            </w:tcBorders>
          </w:tcPr>
          <w:p w14:paraId="4842428C">
            <w:pPr>
              <w:snapToGrid w:val="0"/>
              <w:spacing w:beforeLines="50" w:after="50" w:line="360" w:lineRule="auto"/>
              <w:rPr>
                <w:rFonts w:hint="eastAsia" w:ascii="宋体" w:hAnsi="宋体" w:eastAsia="宋体" w:cs="宋体"/>
                <w:b/>
                <w:color w:val="auto"/>
                <w:kern w:val="44"/>
                <w:sz w:val="21"/>
                <w:szCs w:val="21"/>
                <w:highlight w:val="none"/>
              </w:rPr>
            </w:pPr>
          </w:p>
        </w:tc>
        <w:tc>
          <w:tcPr>
            <w:tcW w:w="1296" w:type="dxa"/>
            <w:tcBorders>
              <w:top w:val="single" w:color="auto" w:sz="4" w:space="0"/>
              <w:left w:val="single" w:color="auto" w:sz="4" w:space="0"/>
              <w:bottom w:val="single" w:color="auto" w:sz="4" w:space="0"/>
              <w:right w:val="single" w:color="auto" w:sz="4" w:space="0"/>
            </w:tcBorders>
          </w:tcPr>
          <w:p w14:paraId="2B9FB2D6">
            <w:pPr>
              <w:snapToGrid w:val="0"/>
              <w:spacing w:beforeLines="50" w:after="50" w:line="360" w:lineRule="auto"/>
              <w:rPr>
                <w:rFonts w:hint="eastAsia" w:ascii="宋体" w:hAnsi="宋体" w:eastAsia="宋体" w:cs="宋体"/>
                <w:b/>
                <w:color w:val="auto"/>
                <w:kern w:val="44"/>
                <w:sz w:val="21"/>
                <w:szCs w:val="21"/>
                <w:highlight w:val="none"/>
              </w:rPr>
            </w:pPr>
          </w:p>
        </w:tc>
        <w:tc>
          <w:tcPr>
            <w:tcW w:w="1415" w:type="dxa"/>
            <w:tcBorders>
              <w:top w:val="single" w:color="auto" w:sz="4" w:space="0"/>
              <w:left w:val="single" w:color="auto" w:sz="4" w:space="0"/>
              <w:bottom w:val="single" w:color="auto" w:sz="4" w:space="0"/>
              <w:right w:val="single" w:color="auto" w:sz="4" w:space="0"/>
            </w:tcBorders>
          </w:tcPr>
          <w:p w14:paraId="18B58F00">
            <w:pPr>
              <w:snapToGrid w:val="0"/>
              <w:spacing w:beforeLines="50" w:after="50" w:line="360" w:lineRule="auto"/>
              <w:rPr>
                <w:rFonts w:hint="eastAsia" w:ascii="宋体" w:hAnsi="宋体" w:eastAsia="宋体" w:cs="宋体"/>
                <w:b/>
                <w:color w:val="auto"/>
                <w:kern w:val="44"/>
                <w:sz w:val="21"/>
                <w:szCs w:val="21"/>
                <w:highlight w:val="none"/>
              </w:rPr>
            </w:pPr>
          </w:p>
        </w:tc>
        <w:tc>
          <w:tcPr>
            <w:tcW w:w="1558" w:type="dxa"/>
            <w:tcBorders>
              <w:top w:val="single" w:color="auto" w:sz="4" w:space="0"/>
              <w:left w:val="single" w:color="auto" w:sz="4" w:space="0"/>
              <w:bottom w:val="single" w:color="auto" w:sz="4" w:space="0"/>
            </w:tcBorders>
          </w:tcPr>
          <w:p w14:paraId="46A712AF">
            <w:pPr>
              <w:snapToGrid w:val="0"/>
              <w:spacing w:beforeLines="50" w:after="50" w:line="360" w:lineRule="auto"/>
              <w:rPr>
                <w:rFonts w:hint="eastAsia" w:ascii="宋体" w:hAnsi="宋体" w:eastAsia="宋体" w:cs="宋体"/>
                <w:b/>
                <w:color w:val="auto"/>
                <w:kern w:val="44"/>
                <w:sz w:val="21"/>
                <w:szCs w:val="21"/>
                <w:highlight w:val="none"/>
              </w:rPr>
            </w:pPr>
          </w:p>
        </w:tc>
      </w:tr>
      <w:tr w14:paraId="56D099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39" w:type="dxa"/>
            <w:tcBorders>
              <w:top w:val="single" w:color="auto" w:sz="4" w:space="0"/>
              <w:bottom w:val="single" w:color="auto" w:sz="4" w:space="0"/>
              <w:right w:val="single" w:color="auto" w:sz="4" w:space="0"/>
            </w:tcBorders>
          </w:tcPr>
          <w:p w14:paraId="5F5E6967">
            <w:pPr>
              <w:snapToGrid w:val="0"/>
              <w:spacing w:beforeLines="50" w:after="50" w:line="360" w:lineRule="auto"/>
              <w:rPr>
                <w:rFonts w:hint="eastAsia" w:ascii="宋体" w:hAnsi="宋体" w:eastAsia="宋体" w:cs="宋体"/>
                <w:color w:val="auto"/>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5F2A2256">
            <w:pPr>
              <w:snapToGrid w:val="0"/>
              <w:spacing w:beforeLines="50" w:after="50" w:line="360" w:lineRule="auto"/>
              <w:rPr>
                <w:rFonts w:hint="eastAsia" w:ascii="宋体" w:hAnsi="宋体" w:eastAsia="宋体" w:cs="宋体"/>
                <w:b/>
                <w:color w:val="auto"/>
                <w:kern w:val="44"/>
                <w:sz w:val="21"/>
                <w:szCs w:val="21"/>
                <w:highlight w:val="none"/>
              </w:rPr>
            </w:pPr>
          </w:p>
        </w:tc>
        <w:tc>
          <w:tcPr>
            <w:tcW w:w="868" w:type="dxa"/>
            <w:tcBorders>
              <w:top w:val="single" w:color="auto" w:sz="4" w:space="0"/>
              <w:left w:val="single" w:color="auto" w:sz="4" w:space="0"/>
              <w:bottom w:val="single" w:color="auto" w:sz="4" w:space="0"/>
              <w:right w:val="single" w:color="auto" w:sz="4" w:space="0"/>
            </w:tcBorders>
          </w:tcPr>
          <w:p w14:paraId="24DC778D">
            <w:pPr>
              <w:snapToGrid w:val="0"/>
              <w:spacing w:beforeLines="50" w:after="50" w:line="360" w:lineRule="auto"/>
              <w:rPr>
                <w:rFonts w:hint="eastAsia" w:ascii="宋体" w:hAnsi="宋体" w:eastAsia="宋体" w:cs="宋体"/>
                <w:b/>
                <w:color w:val="auto"/>
                <w:kern w:val="44"/>
                <w:sz w:val="21"/>
                <w:szCs w:val="21"/>
                <w:highlight w:val="none"/>
              </w:rPr>
            </w:pPr>
          </w:p>
        </w:tc>
        <w:tc>
          <w:tcPr>
            <w:tcW w:w="921" w:type="dxa"/>
            <w:tcBorders>
              <w:top w:val="single" w:color="auto" w:sz="4" w:space="0"/>
              <w:left w:val="single" w:color="auto" w:sz="4" w:space="0"/>
              <w:bottom w:val="single" w:color="auto" w:sz="4" w:space="0"/>
              <w:right w:val="single" w:color="auto" w:sz="4" w:space="0"/>
            </w:tcBorders>
          </w:tcPr>
          <w:p w14:paraId="5B2C38BE">
            <w:pPr>
              <w:snapToGrid w:val="0"/>
              <w:spacing w:beforeLines="50" w:after="50" w:line="360" w:lineRule="auto"/>
              <w:rPr>
                <w:rFonts w:hint="eastAsia" w:ascii="宋体" w:hAnsi="宋体" w:eastAsia="宋体" w:cs="宋体"/>
                <w:b/>
                <w:color w:val="auto"/>
                <w:kern w:val="44"/>
                <w:sz w:val="21"/>
                <w:szCs w:val="21"/>
                <w:highlight w:val="none"/>
              </w:rPr>
            </w:pPr>
          </w:p>
        </w:tc>
        <w:tc>
          <w:tcPr>
            <w:tcW w:w="1500" w:type="dxa"/>
            <w:tcBorders>
              <w:top w:val="single" w:color="auto" w:sz="4" w:space="0"/>
              <w:left w:val="single" w:color="auto" w:sz="4" w:space="0"/>
              <w:bottom w:val="single" w:color="auto" w:sz="4" w:space="0"/>
              <w:right w:val="single" w:color="auto" w:sz="4" w:space="0"/>
            </w:tcBorders>
          </w:tcPr>
          <w:p w14:paraId="55F6D26A">
            <w:pPr>
              <w:snapToGrid w:val="0"/>
              <w:spacing w:beforeLines="50" w:after="50" w:line="360" w:lineRule="auto"/>
              <w:rPr>
                <w:rFonts w:hint="eastAsia" w:ascii="宋体" w:hAnsi="宋体" w:eastAsia="宋体" w:cs="宋体"/>
                <w:b/>
                <w:color w:val="auto"/>
                <w:kern w:val="44"/>
                <w:sz w:val="21"/>
                <w:szCs w:val="21"/>
                <w:highlight w:val="none"/>
              </w:rPr>
            </w:pPr>
          </w:p>
        </w:tc>
        <w:tc>
          <w:tcPr>
            <w:tcW w:w="1296" w:type="dxa"/>
            <w:tcBorders>
              <w:top w:val="single" w:color="auto" w:sz="4" w:space="0"/>
              <w:left w:val="single" w:color="auto" w:sz="4" w:space="0"/>
              <w:bottom w:val="single" w:color="auto" w:sz="4" w:space="0"/>
              <w:right w:val="single" w:color="auto" w:sz="4" w:space="0"/>
            </w:tcBorders>
          </w:tcPr>
          <w:p w14:paraId="67A884A8">
            <w:pPr>
              <w:snapToGrid w:val="0"/>
              <w:spacing w:beforeLines="50" w:after="50" w:line="360" w:lineRule="auto"/>
              <w:rPr>
                <w:rFonts w:hint="eastAsia" w:ascii="宋体" w:hAnsi="宋体" w:eastAsia="宋体" w:cs="宋体"/>
                <w:b/>
                <w:color w:val="auto"/>
                <w:kern w:val="44"/>
                <w:sz w:val="21"/>
                <w:szCs w:val="21"/>
                <w:highlight w:val="none"/>
              </w:rPr>
            </w:pPr>
          </w:p>
        </w:tc>
        <w:tc>
          <w:tcPr>
            <w:tcW w:w="1415" w:type="dxa"/>
            <w:tcBorders>
              <w:top w:val="single" w:color="auto" w:sz="4" w:space="0"/>
              <w:left w:val="single" w:color="auto" w:sz="4" w:space="0"/>
              <w:bottom w:val="single" w:color="auto" w:sz="4" w:space="0"/>
              <w:right w:val="single" w:color="auto" w:sz="4" w:space="0"/>
            </w:tcBorders>
          </w:tcPr>
          <w:p w14:paraId="4A2A9F29">
            <w:pPr>
              <w:snapToGrid w:val="0"/>
              <w:spacing w:beforeLines="50" w:after="50" w:line="360" w:lineRule="auto"/>
              <w:rPr>
                <w:rFonts w:hint="eastAsia" w:ascii="宋体" w:hAnsi="宋体" w:eastAsia="宋体" w:cs="宋体"/>
                <w:b/>
                <w:color w:val="auto"/>
                <w:kern w:val="44"/>
                <w:sz w:val="21"/>
                <w:szCs w:val="21"/>
                <w:highlight w:val="none"/>
              </w:rPr>
            </w:pPr>
          </w:p>
        </w:tc>
        <w:tc>
          <w:tcPr>
            <w:tcW w:w="1558" w:type="dxa"/>
            <w:tcBorders>
              <w:top w:val="single" w:color="auto" w:sz="4" w:space="0"/>
              <w:left w:val="single" w:color="auto" w:sz="4" w:space="0"/>
              <w:bottom w:val="single" w:color="auto" w:sz="4" w:space="0"/>
            </w:tcBorders>
          </w:tcPr>
          <w:p w14:paraId="66BAB26B">
            <w:pPr>
              <w:snapToGrid w:val="0"/>
              <w:spacing w:beforeLines="50" w:after="50" w:line="360" w:lineRule="auto"/>
              <w:rPr>
                <w:rFonts w:hint="eastAsia" w:ascii="宋体" w:hAnsi="宋体" w:eastAsia="宋体" w:cs="宋体"/>
                <w:b/>
                <w:color w:val="auto"/>
                <w:kern w:val="44"/>
                <w:sz w:val="21"/>
                <w:szCs w:val="21"/>
                <w:highlight w:val="none"/>
              </w:rPr>
            </w:pPr>
          </w:p>
        </w:tc>
      </w:tr>
    </w:tbl>
    <w:p w14:paraId="37FFF65D">
      <w:pPr>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要求：</w:t>
      </w:r>
    </w:p>
    <w:p w14:paraId="4FEA6222">
      <w:pPr>
        <w:spacing w:line="360" w:lineRule="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1</w:t>
      </w:r>
      <w:r>
        <w:rPr>
          <w:rFonts w:hint="eastAsia" w:ascii="宋体" w:hAnsi="宋体" w:eastAsia="宋体" w:cs="宋体"/>
          <w:bCs/>
          <w:color w:val="auto"/>
          <w:sz w:val="21"/>
          <w:szCs w:val="21"/>
          <w:highlight w:val="none"/>
          <w:lang w:eastAsia="zh-CN"/>
        </w:rPr>
        <w:t>、</w:t>
      </w:r>
      <w:r>
        <w:rPr>
          <w:rFonts w:hint="eastAsia" w:ascii="宋体" w:hAnsi="宋体" w:eastAsia="宋体" w:cs="宋体"/>
          <w:color w:val="auto"/>
          <w:sz w:val="21"/>
          <w:szCs w:val="21"/>
          <w:highlight w:val="none"/>
        </w:rPr>
        <w:t>在填写时，如本表格不适合投标单位的实际情况，可根据本表格式自行划表填写。</w:t>
      </w:r>
    </w:p>
    <w:p w14:paraId="71BBF63D">
      <w:pPr>
        <w:pStyle w:val="38"/>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附人员证书复印件；</w:t>
      </w:r>
    </w:p>
    <w:p w14:paraId="4DB0C6D1">
      <w:pPr>
        <w:pStyle w:val="38"/>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出具上述人员在本单位服务的外部证明，如：投标截止日之前六个月以内的代缴个税税单、参加社会保险的《投保单》或《社会保险参保人员证明》等。</w:t>
      </w:r>
    </w:p>
    <w:p w14:paraId="332DF63B">
      <w:pPr>
        <w:spacing w:line="360" w:lineRule="auto"/>
        <w:ind w:left="420"/>
        <w:rPr>
          <w:rFonts w:hint="eastAsia" w:ascii="宋体" w:hAnsi="宋体" w:eastAsia="宋体" w:cs="宋体"/>
          <w:color w:val="auto"/>
          <w:sz w:val="21"/>
          <w:szCs w:val="21"/>
          <w:highlight w:val="none"/>
        </w:rPr>
      </w:pPr>
    </w:p>
    <w:p w14:paraId="7DBAF83B">
      <w:pPr>
        <w:spacing w:line="360" w:lineRule="auto"/>
        <w:ind w:left="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投标人名称（盖章）：</w:t>
      </w:r>
    </w:p>
    <w:p w14:paraId="0E4DC40A">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p>
    <w:p w14:paraId="0A03B1CC">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p>
    <w:p w14:paraId="5AE58BFC">
      <w:pPr>
        <w:spacing w:line="360" w:lineRule="auto"/>
        <w:rPr>
          <w:rFonts w:hint="eastAsia" w:ascii="宋体" w:hAnsi="宋体" w:eastAsia="宋体" w:cs="宋体"/>
          <w:b/>
          <w:color w:val="auto"/>
          <w:sz w:val="28"/>
          <w:highlight w:val="none"/>
        </w:rPr>
      </w:pPr>
    </w:p>
    <w:p w14:paraId="52DB513B">
      <w:pPr>
        <w:spacing w:line="360" w:lineRule="auto"/>
        <w:rPr>
          <w:rFonts w:hint="eastAsia" w:ascii="宋体" w:hAnsi="宋体" w:eastAsia="宋体" w:cs="宋体"/>
          <w:b/>
          <w:color w:val="auto"/>
          <w:sz w:val="28"/>
          <w:highlight w:val="none"/>
        </w:rPr>
      </w:pPr>
    </w:p>
    <w:p w14:paraId="150D854E">
      <w:pPr>
        <w:spacing w:line="360" w:lineRule="auto"/>
        <w:outlineLvl w:val="9"/>
        <w:rPr>
          <w:rFonts w:hint="eastAsia" w:ascii="宋体" w:hAnsi="宋体" w:eastAsia="宋体" w:cs="宋体"/>
          <w:color w:val="auto"/>
          <w:highlight w:val="none"/>
          <w:lang w:val="en-US" w:eastAsia="zh-CN"/>
        </w:rPr>
      </w:pPr>
      <w:r>
        <w:rPr>
          <w:rFonts w:hint="eastAsia" w:ascii="宋体" w:hAnsi="宋体" w:eastAsia="宋体" w:cs="宋体"/>
          <w:b/>
          <w:color w:val="auto"/>
          <w:sz w:val="28"/>
          <w:highlight w:val="none"/>
        </w:rPr>
        <w:t>附件</w:t>
      </w:r>
      <w:r>
        <w:rPr>
          <w:rFonts w:hint="eastAsia" w:ascii="宋体" w:hAnsi="宋体" w:cs="宋体"/>
          <w:b/>
          <w:color w:val="auto"/>
          <w:sz w:val="28"/>
          <w:highlight w:val="none"/>
          <w:lang w:val="en-US" w:eastAsia="zh-CN"/>
        </w:rPr>
        <w:t>9</w:t>
      </w:r>
    </w:p>
    <w:p w14:paraId="2E4552BC">
      <w:pPr>
        <w:keepNext w:val="0"/>
        <w:keepLines w:val="0"/>
        <w:pageBreakBefore w:val="0"/>
        <w:kinsoku/>
        <w:wordWrap/>
        <w:overflowPunct/>
        <w:topLinePunct w:val="0"/>
        <w:bidi w:val="0"/>
        <w:snapToGrid w:val="0"/>
        <w:spacing w:before="156" w:beforeLines="50" w:after="50" w:line="360" w:lineRule="auto"/>
        <w:jc w:val="center"/>
        <w:outlineLvl w:val="9"/>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项目负责人资格情况表</w:t>
      </w:r>
    </w:p>
    <w:p w14:paraId="785BB378">
      <w:pPr>
        <w:keepNext w:val="0"/>
        <w:keepLines w:val="0"/>
        <w:pageBreakBefore w:val="0"/>
        <w:kinsoku/>
        <w:wordWrap/>
        <w:overflowPunct/>
        <w:topLinePunct w:val="0"/>
        <w:bidi w:val="0"/>
        <w:spacing w:line="360" w:lineRule="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采购项目：采购编号：</w:t>
      </w:r>
    </w:p>
    <w:tbl>
      <w:tblPr>
        <w:tblStyle w:val="21"/>
        <w:tblW w:w="8626" w:type="dxa"/>
        <w:tblInd w:w="1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14:paraId="328AE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1974" w:type="dxa"/>
            <w:tcBorders>
              <w:top w:val="single" w:color="auto" w:sz="12" w:space="0"/>
              <w:left w:val="single" w:color="auto" w:sz="12" w:space="0"/>
            </w:tcBorders>
            <w:vAlign w:val="center"/>
          </w:tcPr>
          <w:p w14:paraId="246A4C32">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姓名</w:t>
            </w:r>
          </w:p>
        </w:tc>
        <w:tc>
          <w:tcPr>
            <w:tcW w:w="2967" w:type="dxa"/>
            <w:tcBorders>
              <w:top w:val="single" w:color="auto" w:sz="12" w:space="0"/>
            </w:tcBorders>
            <w:vAlign w:val="center"/>
          </w:tcPr>
          <w:p w14:paraId="6A9654DE">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c>
          <w:tcPr>
            <w:tcW w:w="3685" w:type="dxa"/>
            <w:tcBorders>
              <w:top w:val="single" w:color="auto" w:sz="12" w:space="0"/>
              <w:right w:val="single" w:color="auto" w:sz="12" w:space="0"/>
            </w:tcBorders>
            <w:vAlign w:val="center"/>
          </w:tcPr>
          <w:p w14:paraId="7CEB36A0">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近年来主要工作业绩</w:t>
            </w:r>
          </w:p>
        </w:tc>
      </w:tr>
      <w:tr w14:paraId="0160C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0C601A79">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性别</w:t>
            </w:r>
          </w:p>
        </w:tc>
        <w:tc>
          <w:tcPr>
            <w:tcW w:w="2967" w:type="dxa"/>
            <w:vAlign w:val="center"/>
          </w:tcPr>
          <w:p w14:paraId="7EB90B5A">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c>
          <w:tcPr>
            <w:tcW w:w="3685" w:type="dxa"/>
            <w:vMerge w:val="restart"/>
            <w:tcBorders>
              <w:right w:val="single" w:color="auto" w:sz="12" w:space="0"/>
            </w:tcBorders>
            <w:vAlign w:val="center"/>
          </w:tcPr>
          <w:p w14:paraId="7A61F7C7">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注：业绩证明应提供旁证材料</w:t>
            </w:r>
          </w:p>
          <w:p w14:paraId="6A07D51B">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（供货合同或中标通知书）。</w:t>
            </w:r>
          </w:p>
        </w:tc>
      </w:tr>
      <w:tr w14:paraId="6251B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20239A09">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年龄</w:t>
            </w:r>
          </w:p>
        </w:tc>
        <w:tc>
          <w:tcPr>
            <w:tcW w:w="2967" w:type="dxa"/>
            <w:vAlign w:val="center"/>
          </w:tcPr>
          <w:p w14:paraId="003987A9">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c>
          <w:tcPr>
            <w:tcW w:w="3685" w:type="dxa"/>
            <w:vMerge w:val="continue"/>
            <w:tcBorders>
              <w:right w:val="single" w:color="auto" w:sz="12" w:space="0"/>
            </w:tcBorders>
            <w:vAlign w:val="center"/>
          </w:tcPr>
          <w:p w14:paraId="46719C8C">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r>
      <w:tr w14:paraId="1D4A2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45021B3C">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职称</w:t>
            </w:r>
          </w:p>
        </w:tc>
        <w:tc>
          <w:tcPr>
            <w:tcW w:w="2967" w:type="dxa"/>
            <w:vAlign w:val="center"/>
          </w:tcPr>
          <w:p w14:paraId="761F9DDB">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c>
          <w:tcPr>
            <w:tcW w:w="3685" w:type="dxa"/>
            <w:vMerge w:val="continue"/>
            <w:tcBorders>
              <w:right w:val="single" w:color="auto" w:sz="12" w:space="0"/>
            </w:tcBorders>
            <w:vAlign w:val="center"/>
          </w:tcPr>
          <w:p w14:paraId="02E765F6">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r>
      <w:tr w14:paraId="61A17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38FCD5DD">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毕业时间</w:t>
            </w:r>
          </w:p>
        </w:tc>
        <w:tc>
          <w:tcPr>
            <w:tcW w:w="2967" w:type="dxa"/>
            <w:vAlign w:val="center"/>
          </w:tcPr>
          <w:p w14:paraId="0F7995B8">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c>
          <w:tcPr>
            <w:tcW w:w="3685" w:type="dxa"/>
            <w:vMerge w:val="continue"/>
            <w:tcBorders>
              <w:right w:val="single" w:color="auto" w:sz="12" w:space="0"/>
            </w:tcBorders>
            <w:vAlign w:val="center"/>
          </w:tcPr>
          <w:p w14:paraId="5F8D88A0">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r>
      <w:tr w14:paraId="140F0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409D563B">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学校专业</w:t>
            </w:r>
          </w:p>
        </w:tc>
        <w:tc>
          <w:tcPr>
            <w:tcW w:w="2967" w:type="dxa"/>
            <w:vAlign w:val="center"/>
          </w:tcPr>
          <w:p w14:paraId="13698457">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c>
          <w:tcPr>
            <w:tcW w:w="3685" w:type="dxa"/>
            <w:vMerge w:val="continue"/>
            <w:tcBorders>
              <w:right w:val="single" w:color="auto" w:sz="12" w:space="0"/>
            </w:tcBorders>
            <w:vAlign w:val="center"/>
          </w:tcPr>
          <w:p w14:paraId="4505287B">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r>
      <w:tr w14:paraId="56E3D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2F069D13">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联系电话</w:t>
            </w:r>
          </w:p>
        </w:tc>
        <w:tc>
          <w:tcPr>
            <w:tcW w:w="2967" w:type="dxa"/>
            <w:vAlign w:val="center"/>
          </w:tcPr>
          <w:p w14:paraId="6DCD1952">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c>
          <w:tcPr>
            <w:tcW w:w="3685" w:type="dxa"/>
            <w:vMerge w:val="continue"/>
            <w:tcBorders>
              <w:right w:val="single" w:color="auto" w:sz="12" w:space="0"/>
            </w:tcBorders>
            <w:vAlign w:val="center"/>
          </w:tcPr>
          <w:p w14:paraId="671E3888">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r>
      <w:tr w14:paraId="4A97C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71E370A3">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rPr>
              <w:t>最近一年工作状况</w:t>
            </w:r>
          </w:p>
        </w:tc>
        <w:tc>
          <w:tcPr>
            <w:tcW w:w="2967" w:type="dxa"/>
            <w:vAlign w:val="center"/>
          </w:tcPr>
          <w:p w14:paraId="789152DD">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c>
          <w:tcPr>
            <w:tcW w:w="3685" w:type="dxa"/>
            <w:vMerge w:val="continue"/>
            <w:tcBorders>
              <w:right w:val="single" w:color="auto" w:sz="12" w:space="0"/>
            </w:tcBorders>
            <w:vAlign w:val="center"/>
          </w:tcPr>
          <w:p w14:paraId="52A168BF">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r>
      <w:tr w14:paraId="51EF9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1974" w:type="dxa"/>
            <w:tcBorders>
              <w:left w:val="single" w:color="auto" w:sz="12" w:space="0"/>
              <w:bottom w:val="single" w:color="auto" w:sz="12" w:space="0"/>
            </w:tcBorders>
            <w:vAlign w:val="center"/>
          </w:tcPr>
          <w:p w14:paraId="55263342">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拟在本项目中担任主要工作</w:t>
            </w:r>
          </w:p>
        </w:tc>
        <w:tc>
          <w:tcPr>
            <w:tcW w:w="6652" w:type="dxa"/>
            <w:gridSpan w:val="2"/>
            <w:tcBorders>
              <w:bottom w:val="single" w:color="auto" w:sz="12" w:space="0"/>
              <w:right w:val="single" w:color="auto" w:sz="12" w:space="0"/>
            </w:tcBorders>
            <w:vAlign w:val="center"/>
          </w:tcPr>
          <w:p w14:paraId="6F018BF9">
            <w:pPr>
              <w:keepNext w:val="0"/>
              <w:keepLines w:val="0"/>
              <w:pageBreakBefore w:val="0"/>
              <w:kinsoku/>
              <w:wordWrap/>
              <w:overflowPunct/>
              <w:topLinePunct w:val="0"/>
              <w:autoSpaceDE w:val="0"/>
              <w:autoSpaceDN w:val="0"/>
              <w:bidi w:val="0"/>
              <w:adjustRightInd w:val="0"/>
              <w:snapToGrid w:val="0"/>
              <w:spacing w:line="360" w:lineRule="auto"/>
              <w:jc w:val="center"/>
              <w:outlineLvl w:val="9"/>
              <w:rPr>
                <w:rFonts w:hint="eastAsia" w:ascii="宋体" w:hAnsi="宋体" w:eastAsia="宋体" w:cs="宋体"/>
                <w:color w:val="auto"/>
                <w:szCs w:val="21"/>
                <w:highlight w:val="none"/>
                <w:lang w:val="zh-CN"/>
              </w:rPr>
            </w:pPr>
          </w:p>
        </w:tc>
      </w:tr>
    </w:tbl>
    <w:p w14:paraId="40401E92">
      <w:pPr>
        <w:keepNext w:val="0"/>
        <w:keepLines w:val="0"/>
        <w:pageBreakBefore w:val="0"/>
        <w:kinsoku/>
        <w:wordWrap/>
        <w:overflowPunct/>
        <w:topLinePunct w:val="0"/>
        <w:bidi w:val="0"/>
        <w:spacing w:line="360" w:lineRule="auto"/>
        <w:ind w:left="420"/>
        <w:outlineLvl w:val="9"/>
        <w:rPr>
          <w:rFonts w:hint="eastAsia" w:ascii="宋体" w:hAnsi="宋体" w:eastAsia="宋体" w:cs="宋体"/>
          <w:color w:val="auto"/>
          <w:szCs w:val="21"/>
          <w:highlight w:val="none"/>
        </w:rPr>
      </w:pPr>
    </w:p>
    <w:p w14:paraId="4A5A69A4">
      <w:pPr>
        <w:keepNext w:val="0"/>
        <w:keepLines w:val="0"/>
        <w:pageBreakBefore w:val="0"/>
        <w:kinsoku/>
        <w:wordWrap/>
        <w:overflowPunct/>
        <w:topLinePunct w:val="0"/>
        <w:bidi w:val="0"/>
        <w:spacing w:line="360" w:lineRule="auto"/>
        <w:ind w:firstLine="420" w:firstLineChars="200"/>
        <w:outlineLvl w:val="9"/>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投标人名称（盖章）：</w:t>
      </w:r>
    </w:p>
    <w:p w14:paraId="29096C9A">
      <w:pPr>
        <w:keepNext w:val="0"/>
        <w:keepLines w:val="0"/>
        <w:pageBreakBefore w:val="0"/>
        <w:kinsoku/>
        <w:wordWrap/>
        <w:overflowPunct/>
        <w:topLinePunct w:val="0"/>
        <w:bidi w:val="0"/>
        <w:spacing w:line="360" w:lineRule="auto"/>
        <w:ind w:left="420"/>
        <w:outlineLvl w:val="9"/>
        <w:rPr>
          <w:rFonts w:hint="eastAsia" w:ascii="宋体" w:hAnsi="宋体" w:eastAsia="宋体" w:cs="宋体"/>
          <w:color w:val="auto"/>
          <w:szCs w:val="21"/>
          <w:highlight w:val="none"/>
        </w:rPr>
      </w:pPr>
    </w:p>
    <w:p w14:paraId="4FE0F70F">
      <w:pPr>
        <w:keepNext w:val="0"/>
        <w:keepLines w:val="0"/>
        <w:pageBreakBefore w:val="0"/>
        <w:kinsoku/>
        <w:wordWrap/>
        <w:overflowPunct/>
        <w:topLinePunct w:val="0"/>
        <w:bidi w:val="0"/>
        <w:spacing w:line="360" w:lineRule="auto"/>
        <w:ind w:firstLine="435"/>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法定代表人或授权委托代理人（签字或盖章）：</w:t>
      </w:r>
    </w:p>
    <w:p w14:paraId="66E8D1E3">
      <w:pPr>
        <w:keepNext w:val="0"/>
        <w:keepLines w:val="0"/>
        <w:pageBreakBefore w:val="0"/>
        <w:kinsoku/>
        <w:wordWrap/>
        <w:overflowPunct/>
        <w:topLinePunct w:val="0"/>
        <w:bidi w:val="0"/>
        <w:spacing w:line="360" w:lineRule="auto"/>
        <w:outlineLvl w:val="9"/>
        <w:rPr>
          <w:rFonts w:hint="eastAsia" w:ascii="宋体" w:hAnsi="宋体" w:eastAsia="宋体" w:cs="宋体"/>
          <w:color w:val="auto"/>
          <w:szCs w:val="21"/>
          <w:highlight w:val="none"/>
        </w:rPr>
      </w:pPr>
    </w:p>
    <w:p w14:paraId="233A2098">
      <w:pPr>
        <w:keepNext w:val="0"/>
        <w:keepLines w:val="0"/>
        <w:pageBreakBefore w:val="0"/>
        <w:kinsoku/>
        <w:wordWrap/>
        <w:overflowPunct/>
        <w:topLinePunct w:val="0"/>
        <w:bidi w:val="0"/>
        <w:spacing w:line="360" w:lineRule="auto"/>
        <w:ind w:firstLine="435"/>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w:t>
      </w:r>
    </w:p>
    <w:p w14:paraId="64FC96DD">
      <w:pPr>
        <w:keepNext w:val="0"/>
        <w:keepLines w:val="0"/>
        <w:pageBreakBefore w:val="0"/>
        <w:kinsoku/>
        <w:wordWrap/>
        <w:overflowPunct/>
        <w:topLinePunct w:val="0"/>
        <w:bidi w:val="0"/>
        <w:snapToGrid w:val="0"/>
        <w:spacing w:before="50" w:after="50" w:line="360" w:lineRule="auto"/>
        <w:outlineLvl w:val="9"/>
        <w:rPr>
          <w:rFonts w:hint="eastAsia" w:ascii="宋体" w:hAnsi="宋体" w:eastAsia="宋体" w:cs="宋体"/>
          <w:b/>
          <w:color w:val="auto"/>
          <w:szCs w:val="21"/>
          <w:highlight w:val="none"/>
        </w:rPr>
      </w:pPr>
    </w:p>
    <w:p w14:paraId="1416FD54">
      <w:pPr>
        <w:keepNext w:val="0"/>
        <w:keepLines w:val="0"/>
        <w:pageBreakBefore w:val="0"/>
        <w:kinsoku/>
        <w:overflowPunct/>
        <w:topLinePunct w:val="0"/>
        <w:bidi w:val="0"/>
        <w:spacing w:before="156" w:beforeLines="50" w:after="156" w:afterLines="50" w:line="360" w:lineRule="auto"/>
        <w:ind w:right="-10"/>
        <w:jc w:val="center"/>
        <w:outlineLvl w:val="9"/>
        <w:rPr>
          <w:rFonts w:hint="eastAsia" w:ascii="宋体" w:hAnsi="宋体" w:eastAsia="宋体" w:cs="宋体"/>
          <w:b/>
          <w:bCs/>
          <w:color w:val="auto"/>
          <w:sz w:val="32"/>
          <w:szCs w:val="32"/>
          <w:highlight w:val="none"/>
        </w:rPr>
      </w:pPr>
    </w:p>
    <w:p w14:paraId="74A8F230">
      <w:pPr>
        <w:snapToGrid w:val="0"/>
        <w:spacing w:before="50" w:after="50" w:line="360" w:lineRule="auto"/>
        <w:outlineLvl w:val="9"/>
        <w:rPr>
          <w:rFonts w:hint="default" w:ascii="宋体" w:hAnsi="宋体" w:eastAsia="宋体" w:cs="宋体"/>
          <w:b/>
          <w:color w:val="auto"/>
          <w:sz w:val="28"/>
          <w:highlight w:val="none"/>
          <w:lang w:val="en-US" w:eastAsia="zh-CN"/>
        </w:rPr>
      </w:pPr>
      <w:r>
        <w:rPr>
          <w:rFonts w:hint="eastAsia" w:ascii="宋体" w:hAnsi="宋体" w:eastAsia="宋体" w:cs="宋体"/>
          <w:b/>
          <w:color w:val="auto"/>
          <w:sz w:val="28"/>
          <w:highlight w:val="none"/>
        </w:rPr>
        <w:t>附件</w:t>
      </w:r>
      <w:r>
        <w:rPr>
          <w:rFonts w:hint="eastAsia" w:ascii="宋体" w:hAnsi="宋体" w:cs="宋体"/>
          <w:b/>
          <w:color w:val="auto"/>
          <w:sz w:val="28"/>
          <w:highlight w:val="none"/>
          <w:lang w:val="en-US" w:eastAsia="zh-CN"/>
        </w:rPr>
        <w:t>10</w:t>
      </w:r>
    </w:p>
    <w:p w14:paraId="6EB4BE02">
      <w:pPr>
        <w:spacing w:line="360" w:lineRule="auto"/>
        <w:ind w:left="480"/>
        <w:jc w:val="center"/>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kern w:val="0"/>
          <w:sz w:val="32"/>
          <w:szCs w:val="32"/>
          <w:highlight w:val="none"/>
        </w:rPr>
        <w:t>技术需求响应表</w:t>
      </w:r>
    </w:p>
    <w:p w14:paraId="19CA025D">
      <w:pPr>
        <w:spacing w:line="360" w:lineRule="auto"/>
        <w:rPr>
          <w:rFonts w:hint="eastAsia" w:ascii="宋体" w:hAnsi="宋体" w:eastAsia="宋体" w:cs="宋体"/>
          <w:color w:val="auto"/>
          <w:sz w:val="21"/>
          <w:szCs w:val="21"/>
          <w:highlight w:val="none"/>
        </w:rPr>
      </w:pPr>
    </w:p>
    <w:tbl>
      <w:tblPr>
        <w:tblStyle w:val="21"/>
        <w:tblW w:w="847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
        <w:gridCol w:w="2211"/>
        <w:gridCol w:w="1932"/>
        <w:gridCol w:w="1735"/>
        <w:gridCol w:w="1690"/>
      </w:tblGrid>
      <w:tr w14:paraId="092F9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trPr>
        <w:tc>
          <w:tcPr>
            <w:tcW w:w="910" w:type="dxa"/>
            <w:vAlign w:val="center"/>
          </w:tcPr>
          <w:p w14:paraId="4FCEAFD7">
            <w:pPr>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2211" w:type="dxa"/>
            <w:vAlign w:val="center"/>
          </w:tcPr>
          <w:p w14:paraId="2D45B7A1">
            <w:pPr>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名称</w:t>
            </w:r>
          </w:p>
        </w:tc>
        <w:tc>
          <w:tcPr>
            <w:tcW w:w="1932" w:type="dxa"/>
            <w:vAlign w:val="center"/>
          </w:tcPr>
          <w:p w14:paraId="28EF4126">
            <w:pPr>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招标参数</w:t>
            </w:r>
          </w:p>
        </w:tc>
        <w:tc>
          <w:tcPr>
            <w:tcW w:w="1735" w:type="dxa"/>
            <w:vAlign w:val="center"/>
          </w:tcPr>
          <w:p w14:paraId="10D9C915">
            <w:pPr>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投标参数</w:t>
            </w:r>
          </w:p>
        </w:tc>
        <w:tc>
          <w:tcPr>
            <w:tcW w:w="1690" w:type="dxa"/>
            <w:vAlign w:val="center"/>
          </w:tcPr>
          <w:p w14:paraId="661CD9AA">
            <w:pPr>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偏离说明</w:t>
            </w:r>
          </w:p>
        </w:tc>
      </w:tr>
      <w:tr w14:paraId="24AD7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trPr>
        <w:tc>
          <w:tcPr>
            <w:tcW w:w="910" w:type="dxa"/>
            <w:vAlign w:val="center"/>
          </w:tcPr>
          <w:p w14:paraId="28A0B8E5">
            <w:pPr>
              <w:spacing w:line="360" w:lineRule="auto"/>
              <w:rPr>
                <w:rFonts w:hint="eastAsia" w:ascii="宋体" w:hAnsi="宋体" w:eastAsia="宋体" w:cs="宋体"/>
                <w:color w:val="auto"/>
                <w:sz w:val="21"/>
                <w:szCs w:val="21"/>
                <w:highlight w:val="none"/>
              </w:rPr>
            </w:pPr>
          </w:p>
        </w:tc>
        <w:tc>
          <w:tcPr>
            <w:tcW w:w="2211" w:type="dxa"/>
            <w:vAlign w:val="center"/>
          </w:tcPr>
          <w:p w14:paraId="4095D56F">
            <w:pPr>
              <w:spacing w:line="360" w:lineRule="auto"/>
              <w:rPr>
                <w:rFonts w:hint="eastAsia" w:ascii="宋体" w:hAnsi="宋体" w:eastAsia="宋体" w:cs="宋体"/>
                <w:color w:val="auto"/>
                <w:sz w:val="21"/>
                <w:szCs w:val="21"/>
                <w:highlight w:val="none"/>
              </w:rPr>
            </w:pPr>
          </w:p>
        </w:tc>
        <w:tc>
          <w:tcPr>
            <w:tcW w:w="1932" w:type="dxa"/>
            <w:vAlign w:val="center"/>
          </w:tcPr>
          <w:p w14:paraId="6F722CFC">
            <w:pPr>
              <w:spacing w:line="360" w:lineRule="auto"/>
              <w:rPr>
                <w:rFonts w:hint="eastAsia" w:ascii="宋体" w:hAnsi="宋体" w:eastAsia="宋体" w:cs="宋体"/>
                <w:color w:val="auto"/>
                <w:sz w:val="21"/>
                <w:szCs w:val="21"/>
                <w:highlight w:val="none"/>
              </w:rPr>
            </w:pPr>
          </w:p>
        </w:tc>
        <w:tc>
          <w:tcPr>
            <w:tcW w:w="1735" w:type="dxa"/>
            <w:vAlign w:val="center"/>
          </w:tcPr>
          <w:p w14:paraId="6EF70924">
            <w:pPr>
              <w:spacing w:line="360" w:lineRule="auto"/>
              <w:rPr>
                <w:rFonts w:hint="eastAsia" w:ascii="宋体" w:hAnsi="宋体" w:eastAsia="宋体" w:cs="宋体"/>
                <w:color w:val="auto"/>
                <w:sz w:val="21"/>
                <w:szCs w:val="21"/>
                <w:highlight w:val="none"/>
              </w:rPr>
            </w:pPr>
          </w:p>
        </w:tc>
        <w:tc>
          <w:tcPr>
            <w:tcW w:w="1690" w:type="dxa"/>
            <w:vAlign w:val="center"/>
          </w:tcPr>
          <w:p w14:paraId="43474865">
            <w:pPr>
              <w:spacing w:line="360" w:lineRule="auto"/>
              <w:rPr>
                <w:rFonts w:hint="eastAsia" w:ascii="宋体" w:hAnsi="宋体" w:eastAsia="宋体" w:cs="宋体"/>
                <w:color w:val="auto"/>
                <w:sz w:val="21"/>
                <w:szCs w:val="21"/>
                <w:highlight w:val="none"/>
              </w:rPr>
            </w:pPr>
          </w:p>
        </w:tc>
      </w:tr>
      <w:tr w14:paraId="7A583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trPr>
        <w:tc>
          <w:tcPr>
            <w:tcW w:w="910" w:type="dxa"/>
            <w:vAlign w:val="center"/>
          </w:tcPr>
          <w:p w14:paraId="23100292">
            <w:pPr>
              <w:spacing w:line="360" w:lineRule="auto"/>
              <w:rPr>
                <w:rFonts w:hint="eastAsia" w:ascii="宋体" w:hAnsi="宋体" w:eastAsia="宋体" w:cs="宋体"/>
                <w:color w:val="auto"/>
                <w:sz w:val="21"/>
                <w:szCs w:val="21"/>
                <w:highlight w:val="none"/>
              </w:rPr>
            </w:pPr>
          </w:p>
        </w:tc>
        <w:tc>
          <w:tcPr>
            <w:tcW w:w="2211" w:type="dxa"/>
            <w:vAlign w:val="center"/>
          </w:tcPr>
          <w:p w14:paraId="71FD5317">
            <w:pPr>
              <w:spacing w:line="360" w:lineRule="auto"/>
              <w:rPr>
                <w:rFonts w:hint="eastAsia" w:ascii="宋体" w:hAnsi="宋体" w:eastAsia="宋体" w:cs="宋体"/>
                <w:color w:val="auto"/>
                <w:sz w:val="21"/>
                <w:szCs w:val="21"/>
                <w:highlight w:val="none"/>
              </w:rPr>
            </w:pPr>
          </w:p>
        </w:tc>
        <w:tc>
          <w:tcPr>
            <w:tcW w:w="1932" w:type="dxa"/>
            <w:vAlign w:val="center"/>
          </w:tcPr>
          <w:p w14:paraId="5D2BDA7C">
            <w:pPr>
              <w:spacing w:line="360" w:lineRule="auto"/>
              <w:rPr>
                <w:rFonts w:hint="eastAsia" w:ascii="宋体" w:hAnsi="宋体" w:eastAsia="宋体" w:cs="宋体"/>
                <w:color w:val="auto"/>
                <w:sz w:val="21"/>
                <w:szCs w:val="21"/>
                <w:highlight w:val="none"/>
              </w:rPr>
            </w:pPr>
          </w:p>
        </w:tc>
        <w:tc>
          <w:tcPr>
            <w:tcW w:w="1735" w:type="dxa"/>
            <w:vAlign w:val="center"/>
          </w:tcPr>
          <w:p w14:paraId="667B24B4">
            <w:pPr>
              <w:spacing w:line="360" w:lineRule="auto"/>
              <w:rPr>
                <w:rFonts w:hint="eastAsia" w:ascii="宋体" w:hAnsi="宋体" w:eastAsia="宋体" w:cs="宋体"/>
                <w:color w:val="auto"/>
                <w:sz w:val="21"/>
                <w:szCs w:val="21"/>
                <w:highlight w:val="none"/>
              </w:rPr>
            </w:pPr>
          </w:p>
        </w:tc>
        <w:tc>
          <w:tcPr>
            <w:tcW w:w="1690" w:type="dxa"/>
            <w:vAlign w:val="center"/>
          </w:tcPr>
          <w:p w14:paraId="380FC468">
            <w:pPr>
              <w:spacing w:line="360" w:lineRule="auto"/>
              <w:rPr>
                <w:rFonts w:hint="eastAsia" w:ascii="宋体" w:hAnsi="宋体" w:eastAsia="宋体" w:cs="宋体"/>
                <w:color w:val="auto"/>
                <w:sz w:val="21"/>
                <w:szCs w:val="21"/>
                <w:highlight w:val="none"/>
              </w:rPr>
            </w:pPr>
          </w:p>
        </w:tc>
      </w:tr>
      <w:tr w14:paraId="04B64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3" w:hRule="atLeast"/>
        </w:trPr>
        <w:tc>
          <w:tcPr>
            <w:tcW w:w="910" w:type="dxa"/>
            <w:vAlign w:val="center"/>
          </w:tcPr>
          <w:p w14:paraId="0C5F6F47">
            <w:pPr>
              <w:spacing w:line="360" w:lineRule="auto"/>
              <w:rPr>
                <w:rFonts w:hint="eastAsia" w:ascii="宋体" w:hAnsi="宋体" w:eastAsia="宋体" w:cs="宋体"/>
                <w:color w:val="auto"/>
                <w:sz w:val="21"/>
                <w:szCs w:val="21"/>
                <w:highlight w:val="none"/>
              </w:rPr>
            </w:pPr>
          </w:p>
        </w:tc>
        <w:tc>
          <w:tcPr>
            <w:tcW w:w="2211" w:type="dxa"/>
            <w:vAlign w:val="center"/>
          </w:tcPr>
          <w:p w14:paraId="3A8BA12A">
            <w:pPr>
              <w:spacing w:line="360" w:lineRule="auto"/>
              <w:rPr>
                <w:rFonts w:hint="eastAsia" w:ascii="宋体" w:hAnsi="宋体" w:eastAsia="宋体" w:cs="宋体"/>
                <w:color w:val="auto"/>
                <w:sz w:val="21"/>
                <w:szCs w:val="21"/>
                <w:highlight w:val="none"/>
              </w:rPr>
            </w:pPr>
          </w:p>
        </w:tc>
        <w:tc>
          <w:tcPr>
            <w:tcW w:w="1932" w:type="dxa"/>
            <w:vAlign w:val="center"/>
          </w:tcPr>
          <w:p w14:paraId="0DEBE542">
            <w:pPr>
              <w:spacing w:line="360" w:lineRule="auto"/>
              <w:rPr>
                <w:rFonts w:hint="eastAsia" w:ascii="宋体" w:hAnsi="宋体" w:eastAsia="宋体" w:cs="宋体"/>
                <w:color w:val="auto"/>
                <w:sz w:val="21"/>
                <w:szCs w:val="21"/>
                <w:highlight w:val="none"/>
              </w:rPr>
            </w:pPr>
          </w:p>
        </w:tc>
        <w:tc>
          <w:tcPr>
            <w:tcW w:w="1735" w:type="dxa"/>
            <w:vAlign w:val="center"/>
          </w:tcPr>
          <w:p w14:paraId="07AB1970">
            <w:pPr>
              <w:spacing w:line="360" w:lineRule="auto"/>
              <w:rPr>
                <w:rFonts w:hint="eastAsia" w:ascii="宋体" w:hAnsi="宋体" w:eastAsia="宋体" w:cs="宋体"/>
                <w:color w:val="auto"/>
                <w:sz w:val="21"/>
                <w:szCs w:val="21"/>
                <w:highlight w:val="none"/>
              </w:rPr>
            </w:pPr>
          </w:p>
        </w:tc>
        <w:tc>
          <w:tcPr>
            <w:tcW w:w="1690" w:type="dxa"/>
            <w:vAlign w:val="center"/>
          </w:tcPr>
          <w:p w14:paraId="0D5AF4DA">
            <w:pPr>
              <w:spacing w:line="360" w:lineRule="auto"/>
              <w:rPr>
                <w:rFonts w:hint="eastAsia" w:ascii="宋体" w:hAnsi="宋体" w:eastAsia="宋体" w:cs="宋体"/>
                <w:color w:val="auto"/>
                <w:sz w:val="21"/>
                <w:szCs w:val="21"/>
                <w:highlight w:val="none"/>
              </w:rPr>
            </w:pPr>
          </w:p>
        </w:tc>
      </w:tr>
      <w:tr w14:paraId="1F5DC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3" w:hRule="atLeast"/>
        </w:trPr>
        <w:tc>
          <w:tcPr>
            <w:tcW w:w="910" w:type="dxa"/>
            <w:vAlign w:val="center"/>
          </w:tcPr>
          <w:p w14:paraId="48A28A54">
            <w:pPr>
              <w:spacing w:line="360" w:lineRule="auto"/>
              <w:rPr>
                <w:rFonts w:hint="eastAsia" w:ascii="宋体" w:hAnsi="宋体" w:eastAsia="宋体" w:cs="宋体"/>
                <w:color w:val="auto"/>
                <w:sz w:val="21"/>
                <w:szCs w:val="21"/>
                <w:highlight w:val="none"/>
              </w:rPr>
            </w:pPr>
          </w:p>
        </w:tc>
        <w:tc>
          <w:tcPr>
            <w:tcW w:w="2211" w:type="dxa"/>
            <w:vAlign w:val="center"/>
          </w:tcPr>
          <w:p w14:paraId="7C9F54A6">
            <w:pPr>
              <w:spacing w:line="360" w:lineRule="auto"/>
              <w:rPr>
                <w:rFonts w:hint="eastAsia" w:ascii="宋体" w:hAnsi="宋体" w:eastAsia="宋体" w:cs="宋体"/>
                <w:color w:val="auto"/>
                <w:sz w:val="21"/>
                <w:szCs w:val="21"/>
                <w:highlight w:val="none"/>
              </w:rPr>
            </w:pPr>
          </w:p>
        </w:tc>
        <w:tc>
          <w:tcPr>
            <w:tcW w:w="1932" w:type="dxa"/>
            <w:vAlign w:val="center"/>
          </w:tcPr>
          <w:p w14:paraId="606180A3">
            <w:pPr>
              <w:spacing w:line="360" w:lineRule="auto"/>
              <w:rPr>
                <w:rFonts w:hint="eastAsia" w:ascii="宋体" w:hAnsi="宋体" w:eastAsia="宋体" w:cs="宋体"/>
                <w:color w:val="auto"/>
                <w:sz w:val="21"/>
                <w:szCs w:val="21"/>
                <w:highlight w:val="none"/>
              </w:rPr>
            </w:pPr>
          </w:p>
        </w:tc>
        <w:tc>
          <w:tcPr>
            <w:tcW w:w="1735" w:type="dxa"/>
            <w:vAlign w:val="center"/>
          </w:tcPr>
          <w:p w14:paraId="5D185133">
            <w:pPr>
              <w:spacing w:line="360" w:lineRule="auto"/>
              <w:rPr>
                <w:rFonts w:hint="eastAsia" w:ascii="宋体" w:hAnsi="宋体" w:eastAsia="宋体" w:cs="宋体"/>
                <w:color w:val="auto"/>
                <w:sz w:val="21"/>
                <w:szCs w:val="21"/>
                <w:highlight w:val="none"/>
              </w:rPr>
            </w:pPr>
          </w:p>
        </w:tc>
        <w:tc>
          <w:tcPr>
            <w:tcW w:w="1690" w:type="dxa"/>
            <w:vAlign w:val="center"/>
          </w:tcPr>
          <w:p w14:paraId="72567D21">
            <w:pPr>
              <w:spacing w:line="360" w:lineRule="auto"/>
              <w:rPr>
                <w:rFonts w:hint="eastAsia" w:ascii="宋体" w:hAnsi="宋体" w:eastAsia="宋体" w:cs="宋体"/>
                <w:color w:val="auto"/>
                <w:sz w:val="21"/>
                <w:szCs w:val="21"/>
                <w:highlight w:val="none"/>
              </w:rPr>
            </w:pPr>
          </w:p>
        </w:tc>
      </w:tr>
      <w:tr w14:paraId="0C2F9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910" w:type="dxa"/>
            <w:vAlign w:val="center"/>
          </w:tcPr>
          <w:p w14:paraId="04EAFA87">
            <w:pPr>
              <w:spacing w:line="360" w:lineRule="auto"/>
              <w:rPr>
                <w:rFonts w:hint="eastAsia" w:ascii="宋体" w:hAnsi="宋体" w:eastAsia="宋体" w:cs="宋体"/>
                <w:color w:val="auto"/>
                <w:sz w:val="21"/>
                <w:szCs w:val="21"/>
                <w:highlight w:val="none"/>
              </w:rPr>
            </w:pPr>
          </w:p>
        </w:tc>
        <w:tc>
          <w:tcPr>
            <w:tcW w:w="2211" w:type="dxa"/>
            <w:vAlign w:val="center"/>
          </w:tcPr>
          <w:p w14:paraId="114DB2AB">
            <w:pPr>
              <w:spacing w:line="360" w:lineRule="auto"/>
              <w:rPr>
                <w:rFonts w:hint="eastAsia" w:ascii="宋体" w:hAnsi="宋体" w:eastAsia="宋体" w:cs="宋体"/>
                <w:color w:val="auto"/>
                <w:sz w:val="21"/>
                <w:szCs w:val="21"/>
                <w:highlight w:val="none"/>
              </w:rPr>
            </w:pPr>
          </w:p>
        </w:tc>
        <w:tc>
          <w:tcPr>
            <w:tcW w:w="1932" w:type="dxa"/>
            <w:vAlign w:val="center"/>
          </w:tcPr>
          <w:p w14:paraId="2C695153">
            <w:pPr>
              <w:spacing w:line="360" w:lineRule="auto"/>
              <w:rPr>
                <w:rFonts w:hint="eastAsia" w:ascii="宋体" w:hAnsi="宋体" w:eastAsia="宋体" w:cs="宋体"/>
                <w:color w:val="auto"/>
                <w:sz w:val="21"/>
                <w:szCs w:val="21"/>
                <w:highlight w:val="none"/>
              </w:rPr>
            </w:pPr>
          </w:p>
        </w:tc>
        <w:tc>
          <w:tcPr>
            <w:tcW w:w="1735" w:type="dxa"/>
            <w:vAlign w:val="center"/>
          </w:tcPr>
          <w:p w14:paraId="7EDF94E3">
            <w:pPr>
              <w:spacing w:line="360" w:lineRule="auto"/>
              <w:rPr>
                <w:rFonts w:hint="eastAsia" w:ascii="宋体" w:hAnsi="宋体" w:eastAsia="宋体" w:cs="宋体"/>
                <w:color w:val="auto"/>
                <w:sz w:val="21"/>
                <w:szCs w:val="21"/>
                <w:highlight w:val="none"/>
              </w:rPr>
            </w:pPr>
          </w:p>
        </w:tc>
        <w:tc>
          <w:tcPr>
            <w:tcW w:w="1690" w:type="dxa"/>
            <w:vAlign w:val="center"/>
          </w:tcPr>
          <w:p w14:paraId="32711E89">
            <w:pPr>
              <w:spacing w:line="360" w:lineRule="auto"/>
              <w:rPr>
                <w:rFonts w:hint="eastAsia" w:ascii="宋体" w:hAnsi="宋体" w:eastAsia="宋体" w:cs="宋体"/>
                <w:color w:val="auto"/>
                <w:sz w:val="21"/>
                <w:szCs w:val="21"/>
                <w:highlight w:val="none"/>
              </w:rPr>
            </w:pPr>
          </w:p>
        </w:tc>
      </w:tr>
      <w:tr w14:paraId="2DBDF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trPr>
        <w:tc>
          <w:tcPr>
            <w:tcW w:w="910" w:type="dxa"/>
            <w:vAlign w:val="center"/>
          </w:tcPr>
          <w:p w14:paraId="1A31C6AD">
            <w:pPr>
              <w:spacing w:line="360" w:lineRule="auto"/>
              <w:rPr>
                <w:rFonts w:hint="eastAsia" w:ascii="宋体" w:hAnsi="宋体" w:eastAsia="宋体" w:cs="宋体"/>
                <w:color w:val="auto"/>
                <w:sz w:val="21"/>
                <w:szCs w:val="21"/>
                <w:highlight w:val="none"/>
              </w:rPr>
            </w:pPr>
          </w:p>
        </w:tc>
        <w:tc>
          <w:tcPr>
            <w:tcW w:w="2211" w:type="dxa"/>
            <w:vAlign w:val="center"/>
          </w:tcPr>
          <w:p w14:paraId="0F05600C">
            <w:pPr>
              <w:spacing w:line="360" w:lineRule="auto"/>
              <w:rPr>
                <w:rFonts w:hint="eastAsia" w:ascii="宋体" w:hAnsi="宋体" w:eastAsia="宋体" w:cs="宋体"/>
                <w:color w:val="auto"/>
                <w:sz w:val="21"/>
                <w:szCs w:val="21"/>
                <w:highlight w:val="none"/>
              </w:rPr>
            </w:pPr>
          </w:p>
        </w:tc>
        <w:tc>
          <w:tcPr>
            <w:tcW w:w="1932" w:type="dxa"/>
            <w:vAlign w:val="center"/>
          </w:tcPr>
          <w:p w14:paraId="7EB9B3D1">
            <w:pPr>
              <w:spacing w:line="360" w:lineRule="auto"/>
              <w:rPr>
                <w:rFonts w:hint="eastAsia" w:ascii="宋体" w:hAnsi="宋体" w:eastAsia="宋体" w:cs="宋体"/>
                <w:color w:val="auto"/>
                <w:sz w:val="21"/>
                <w:szCs w:val="21"/>
                <w:highlight w:val="none"/>
              </w:rPr>
            </w:pPr>
          </w:p>
        </w:tc>
        <w:tc>
          <w:tcPr>
            <w:tcW w:w="1735" w:type="dxa"/>
            <w:vAlign w:val="center"/>
          </w:tcPr>
          <w:p w14:paraId="19DB8D53">
            <w:pPr>
              <w:spacing w:line="360" w:lineRule="auto"/>
              <w:rPr>
                <w:rFonts w:hint="eastAsia" w:ascii="宋体" w:hAnsi="宋体" w:eastAsia="宋体" w:cs="宋体"/>
                <w:color w:val="auto"/>
                <w:sz w:val="21"/>
                <w:szCs w:val="21"/>
                <w:highlight w:val="none"/>
              </w:rPr>
            </w:pPr>
          </w:p>
        </w:tc>
        <w:tc>
          <w:tcPr>
            <w:tcW w:w="1690" w:type="dxa"/>
            <w:vAlign w:val="center"/>
          </w:tcPr>
          <w:p w14:paraId="1D3F94FD">
            <w:pPr>
              <w:spacing w:line="360" w:lineRule="auto"/>
              <w:rPr>
                <w:rFonts w:hint="eastAsia" w:ascii="宋体" w:hAnsi="宋体" w:eastAsia="宋体" w:cs="宋体"/>
                <w:color w:val="auto"/>
                <w:sz w:val="21"/>
                <w:szCs w:val="21"/>
                <w:highlight w:val="none"/>
              </w:rPr>
            </w:pPr>
          </w:p>
        </w:tc>
      </w:tr>
      <w:tr w14:paraId="43620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2" w:hRule="atLeast"/>
        </w:trPr>
        <w:tc>
          <w:tcPr>
            <w:tcW w:w="910" w:type="dxa"/>
            <w:vAlign w:val="center"/>
          </w:tcPr>
          <w:p w14:paraId="11D36B60">
            <w:pPr>
              <w:spacing w:line="360" w:lineRule="auto"/>
              <w:rPr>
                <w:rFonts w:hint="eastAsia" w:ascii="宋体" w:hAnsi="宋体" w:eastAsia="宋体" w:cs="宋体"/>
                <w:color w:val="auto"/>
                <w:sz w:val="21"/>
                <w:szCs w:val="21"/>
                <w:highlight w:val="none"/>
              </w:rPr>
            </w:pPr>
          </w:p>
        </w:tc>
        <w:tc>
          <w:tcPr>
            <w:tcW w:w="2211" w:type="dxa"/>
            <w:vAlign w:val="center"/>
          </w:tcPr>
          <w:p w14:paraId="4694EF4B">
            <w:pPr>
              <w:spacing w:line="360" w:lineRule="auto"/>
              <w:rPr>
                <w:rFonts w:hint="eastAsia" w:ascii="宋体" w:hAnsi="宋体" w:eastAsia="宋体" w:cs="宋体"/>
                <w:color w:val="auto"/>
                <w:sz w:val="21"/>
                <w:szCs w:val="21"/>
                <w:highlight w:val="none"/>
              </w:rPr>
            </w:pPr>
          </w:p>
        </w:tc>
        <w:tc>
          <w:tcPr>
            <w:tcW w:w="1932" w:type="dxa"/>
            <w:vAlign w:val="center"/>
          </w:tcPr>
          <w:p w14:paraId="1B4A1ED1">
            <w:pPr>
              <w:spacing w:line="360" w:lineRule="auto"/>
              <w:rPr>
                <w:rFonts w:hint="eastAsia" w:ascii="宋体" w:hAnsi="宋体" w:eastAsia="宋体" w:cs="宋体"/>
                <w:color w:val="auto"/>
                <w:sz w:val="21"/>
                <w:szCs w:val="21"/>
                <w:highlight w:val="none"/>
              </w:rPr>
            </w:pPr>
          </w:p>
        </w:tc>
        <w:tc>
          <w:tcPr>
            <w:tcW w:w="1735" w:type="dxa"/>
            <w:vAlign w:val="center"/>
          </w:tcPr>
          <w:p w14:paraId="1500BC0C">
            <w:pPr>
              <w:spacing w:line="360" w:lineRule="auto"/>
              <w:rPr>
                <w:rFonts w:hint="eastAsia" w:ascii="宋体" w:hAnsi="宋体" w:eastAsia="宋体" w:cs="宋体"/>
                <w:color w:val="auto"/>
                <w:sz w:val="21"/>
                <w:szCs w:val="21"/>
                <w:highlight w:val="none"/>
              </w:rPr>
            </w:pPr>
          </w:p>
        </w:tc>
        <w:tc>
          <w:tcPr>
            <w:tcW w:w="1690" w:type="dxa"/>
            <w:vAlign w:val="center"/>
          </w:tcPr>
          <w:p w14:paraId="6B47B0C5">
            <w:pPr>
              <w:spacing w:line="360" w:lineRule="auto"/>
              <w:rPr>
                <w:rFonts w:hint="eastAsia" w:ascii="宋体" w:hAnsi="宋体" w:eastAsia="宋体" w:cs="宋体"/>
                <w:color w:val="auto"/>
                <w:sz w:val="21"/>
                <w:szCs w:val="21"/>
                <w:highlight w:val="none"/>
              </w:rPr>
            </w:pPr>
          </w:p>
        </w:tc>
      </w:tr>
    </w:tbl>
    <w:p w14:paraId="5249CC77">
      <w:pPr>
        <w:pStyle w:val="39"/>
        <w:tabs>
          <w:tab w:val="left" w:pos="360"/>
        </w:tabs>
        <w:spacing w:line="360" w:lineRule="auto"/>
        <w:ind w:right="84" w:rightChars="4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要求：</w:t>
      </w:r>
    </w:p>
    <w:p w14:paraId="664A4C83">
      <w:pPr>
        <w:pStyle w:val="39"/>
        <w:spacing w:line="360" w:lineRule="auto"/>
        <w:ind w:right="84" w:rightChars="4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本表参照本招标文件第</w:t>
      </w:r>
      <w:r>
        <w:rPr>
          <w:rFonts w:hint="eastAsia" w:ascii="宋体" w:hAnsi="宋体" w:eastAsia="宋体" w:cs="宋体"/>
          <w:color w:val="auto"/>
          <w:sz w:val="21"/>
          <w:szCs w:val="21"/>
          <w:highlight w:val="none"/>
          <w:lang w:val="en-US" w:eastAsia="zh-CN"/>
        </w:rPr>
        <w:t>四</w:t>
      </w:r>
      <w:r>
        <w:rPr>
          <w:rFonts w:hint="eastAsia" w:ascii="宋体" w:hAnsi="宋体" w:eastAsia="宋体" w:cs="宋体"/>
          <w:color w:val="auto"/>
          <w:sz w:val="21"/>
          <w:szCs w:val="21"/>
          <w:highlight w:val="none"/>
        </w:rPr>
        <w:t>部分“招标需求”内第二条“具体技术需求”填制，投标人应根据投标设备的性能指标、服务指标，对照招标文件要求在“偏离情况”栏注明“正偏离”、“负偏离”或“无偏离”。</w:t>
      </w:r>
    </w:p>
    <w:p w14:paraId="641FCF38">
      <w:pPr>
        <w:pStyle w:val="39"/>
        <w:spacing w:line="360" w:lineRule="auto"/>
        <w:ind w:right="84" w:rightChars="4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审小组将视偏离程度给予扣分或认定为虚假应标。</w:t>
      </w:r>
    </w:p>
    <w:p w14:paraId="6AF4C3A9">
      <w:pPr>
        <w:spacing w:line="360" w:lineRule="auto"/>
        <w:rPr>
          <w:rFonts w:hint="eastAsia" w:ascii="宋体" w:hAnsi="宋体" w:eastAsia="宋体" w:cs="宋体"/>
          <w:color w:val="auto"/>
          <w:sz w:val="21"/>
          <w:szCs w:val="21"/>
          <w:highlight w:val="none"/>
        </w:rPr>
      </w:pPr>
    </w:p>
    <w:p w14:paraId="7DA34FB8">
      <w:pPr>
        <w:spacing w:line="360" w:lineRule="auto"/>
        <w:ind w:left="42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投标人名称（盖章）：</w:t>
      </w:r>
    </w:p>
    <w:p w14:paraId="6D976F19">
      <w:pPr>
        <w:spacing w:line="360" w:lineRule="auto"/>
        <w:ind w:left="420"/>
        <w:rPr>
          <w:rFonts w:hint="eastAsia" w:ascii="宋体" w:hAnsi="宋体" w:eastAsia="宋体" w:cs="宋体"/>
          <w:color w:val="auto"/>
          <w:sz w:val="21"/>
          <w:szCs w:val="21"/>
          <w:highlight w:val="none"/>
        </w:rPr>
      </w:pPr>
    </w:p>
    <w:p w14:paraId="73C843F2">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p>
    <w:p w14:paraId="450DE82B">
      <w:pPr>
        <w:spacing w:line="360" w:lineRule="auto"/>
        <w:rPr>
          <w:rFonts w:hint="eastAsia" w:ascii="宋体" w:hAnsi="宋体" w:eastAsia="宋体" w:cs="宋体"/>
          <w:color w:val="auto"/>
          <w:sz w:val="21"/>
          <w:szCs w:val="21"/>
          <w:highlight w:val="none"/>
        </w:rPr>
      </w:pPr>
    </w:p>
    <w:p w14:paraId="4189D89E">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p>
    <w:p w14:paraId="014C6DEB">
      <w:pPr>
        <w:pStyle w:val="40"/>
        <w:spacing w:line="360" w:lineRule="auto"/>
        <w:jc w:val="left"/>
        <w:rPr>
          <w:rFonts w:hint="eastAsia" w:ascii="宋体" w:hAnsi="宋体" w:eastAsia="宋体" w:cs="宋体"/>
          <w:b/>
          <w:color w:val="auto"/>
          <w:sz w:val="28"/>
          <w:highlight w:val="none"/>
        </w:rPr>
      </w:pPr>
    </w:p>
    <w:p w14:paraId="17B2956C">
      <w:pPr>
        <w:pStyle w:val="40"/>
        <w:spacing w:line="360" w:lineRule="auto"/>
        <w:jc w:val="left"/>
        <w:outlineLvl w:val="9"/>
        <w:rPr>
          <w:rFonts w:hint="eastAsia" w:ascii="宋体" w:hAnsi="宋体" w:eastAsia="宋体" w:cs="宋体"/>
          <w:b/>
          <w:color w:val="auto"/>
          <w:sz w:val="28"/>
          <w:highlight w:val="none"/>
        </w:rPr>
      </w:pPr>
    </w:p>
    <w:p w14:paraId="530E02B1">
      <w:pPr>
        <w:pStyle w:val="40"/>
        <w:spacing w:line="360" w:lineRule="auto"/>
        <w:jc w:val="left"/>
        <w:outlineLvl w:val="9"/>
        <w:rPr>
          <w:rFonts w:hint="eastAsia" w:ascii="宋体" w:hAnsi="宋体" w:eastAsia="宋体" w:cs="宋体"/>
          <w:b/>
          <w:color w:val="auto"/>
          <w:sz w:val="28"/>
          <w:highlight w:val="none"/>
          <w:lang w:val="en-US" w:eastAsia="zh-CN"/>
        </w:rPr>
      </w:pPr>
      <w:r>
        <w:rPr>
          <w:rFonts w:hint="eastAsia" w:ascii="宋体" w:hAnsi="宋体" w:eastAsia="宋体" w:cs="宋体"/>
          <w:b/>
          <w:color w:val="auto"/>
          <w:sz w:val="28"/>
          <w:highlight w:val="none"/>
        </w:rPr>
        <w:t>附件</w:t>
      </w:r>
      <w:r>
        <w:rPr>
          <w:rFonts w:hint="eastAsia" w:ascii="宋体" w:hAnsi="宋体" w:eastAsia="宋体" w:cs="宋体"/>
          <w:b/>
          <w:color w:val="auto"/>
          <w:sz w:val="28"/>
          <w:highlight w:val="none"/>
          <w:lang w:val="en-US" w:eastAsia="zh-CN"/>
        </w:rPr>
        <w:t>1</w:t>
      </w:r>
      <w:r>
        <w:rPr>
          <w:rFonts w:hint="eastAsia" w:ascii="宋体" w:hAnsi="宋体" w:cs="宋体"/>
          <w:b/>
          <w:color w:val="auto"/>
          <w:sz w:val="28"/>
          <w:highlight w:val="none"/>
          <w:lang w:val="en-US" w:eastAsia="zh-CN"/>
        </w:rPr>
        <w:t>1</w:t>
      </w:r>
    </w:p>
    <w:p w14:paraId="48248787">
      <w:pPr>
        <w:pStyle w:val="41"/>
        <w:spacing w:line="360" w:lineRule="auto"/>
        <w:jc w:val="center"/>
        <w:rPr>
          <w:rFonts w:hint="eastAsia" w:ascii="宋体" w:hAnsi="宋体" w:eastAsia="宋体" w:cs="宋体"/>
          <w:b/>
          <w:color w:val="auto"/>
          <w:sz w:val="32"/>
          <w:szCs w:val="32"/>
          <w:highlight w:val="none"/>
          <w:lang w:val="en-US" w:eastAsia="zh-CN"/>
        </w:rPr>
      </w:pPr>
      <w:r>
        <w:rPr>
          <w:rFonts w:hint="eastAsia" w:ascii="宋体" w:hAnsi="宋体" w:cs="宋体"/>
          <w:b/>
          <w:color w:val="auto"/>
          <w:sz w:val="32"/>
          <w:szCs w:val="32"/>
          <w:highlight w:val="none"/>
          <w:lang w:val="en-US" w:eastAsia="zh-CN"/>
        </w:rPr>
        <w:t>路线情况表</w:t>
      </w:r>
      <w:r>
        <w:rPr>
          <w:rFonts w:hint="eastAsia" w:ascii="宋体" w:hAnsi="宋体" w:eastAsia="宋体" w:cs="宋体"/>
          <w:b/>
          <w:color w:val="auto"/>
          <w:sz w:val="32"/>
          <w:szCs w:val="32"/>
          <w:highlight w:val="none"/>
          <w:lang w:val="en-US" w:eastAsia="zh-CN"/>
        </w:rPr>
        <w:t>（标段一）</w:t>
      </w:r>
    </w:p>
    <w:tbl>
      <w:tblPr>
        <w:tblStyle w:val="21"/>
        <w:tblW w:w="92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42"/>
        <w:gridCol w:w="1039"/>
        <w:gridCol w:w="819"/>
        <w:gridCol w:w="3093"/>
        <w:gridCol w:w="1672"/>
        <w:gridCol w:w="1672"/>
      </w:tblGrid>
      <w:tr w14:paraId="64E1F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942" w:type="dxa"/>
            <w:shd w:val="clear" w:color="auto" w:fill="auto"/>
            <w:noWrap/>
            <w:vAlign w:val="center"/>
          </w:tcPr>
          <w:p w14:paraId="3D207590">
            <w:pPr>
              <w:spacing w:line="240" w:lineRule="auto"/>
              <w:rPr>
                <w:rFonts w:hint="eastAsia" w:asciiTheme="minorEastAsia" w:hAnsiTheme="minorEastAsia" w:eastAsiaTheme="minorEastAsia" w:cstheme="minorEastAsia"/>
                <w:i w:val="0"/>
                <w:iCs w:val="0"/>
                <w:color w:val="auto"/>
                <w:sz w:val="21"/>
                <w:szCs w:val="21"/>
                <w:highlight w:val="none"/>
                <w:u w:val="none"/>
              </w:rPr>
            </w:pPr>
          </w:p>
        </w:tc>
        <w:tc>
          <w:tcPr>
            <w:tcW w:w="1039" w:type="dxa"/>
            <w:shd w:val="clear" w:color="auto" w:fill="auto"/>
            <w:vAlign w:val="center"/>
          </w:tcPr>
          <w:p w14:paraId="340F377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区域</w:t>
            </w:r>
          </w:p>
        </w:tc>
        <w:tc>
          <w:tcPr>
            <w:tcW w:w="819" w:type="dxa"/>
            <w:shd w:val="clear" w:color="auto" w:fill="auto"/>
            <w:vAlign w:val="center"/>
          </w:tcPr>
          <w:p w14:paraId="1D0ED21F">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序号</w:t>
            </w:r>
          </w:p>
        </w:tc>
        <w:tc>
          <w:tcPr>
            <w:tcW w:w="3093" w:type="dxa"/>
            <w:shd w:val="clear" w:color="auto" w:fill="auto"/>
            <w:vAlign w:val="center"/>
          </w:tcPr>
          <w:p w14:paraId="601E2E79">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线路名</w:t>
            </w:r>
          </w:p>
        </w:tc>
        <w:tc>
          <w:tcPr>
            <w:tcW w:w="1672" w:type="dxa"/>
            <w:shd w:val="clear" w:color="auto" w:fill="auto"/>
            <w:vAlign w:val="center"/>
          </w:tcPr>
          <w:p w14:paraId="05A6C486">
            <w:pPr>
              <w:keepNext w:val="0"/>
              <w:keepLines w:val="0"/>
              <w:widowControl/>
              <w:suppressLineNumbers w:val="0"/>
              <w:spacing w:line="240" w:lineRule="auto"/>
              <w:jc w:val="center"/>
              <w:textAlignment w:val="center"/>
              <w:rPr>
                <w:rFonts w:hint="default" w:asciiTheme="minorEastAsia" w:hAnsi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cstheme="minorEastAsia"/>
                <w:b/>
                <w:bCs/>
                <w:i w:val="0"/>
                <w:iCs w:val="0"/>
                <w:color w:val="auto"/>
                <w:kern w:val="0"/>
                <w:sz w:val="21"/>
                <w:szCs w:val="21"/>
                <w:highlight w:val="none"/>
                <w:u w:val="none"/>
                <w:lang w:val="en-US" w:eastAsia="zh-CN" w:bidi="ar"/>
              </w:rPr>
              <w:t>具体行程</w:t>
            </w:r>
          </w:p>
        </w:tc>
        <w:tc>
          <w:tcPr>
            <w:tcW w:w="1672" w:type="dxa"/>
            <w:shd w:val="clear" w:color="auto" w:fill="auto"/>
            <w:vAlign w:val="center"/>
          </w:tcPr>
          <w:p w14:paraId="71CF2701">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cstheme="minorEastAsia"/>
                <w:b/>
                <w:bCs/>
                <w:i w:val="0"/>
                <w:iCs w:val="0"/>
                <w:color w:val="auto"/>
                <w:kern w:val="0"/>
                <w:sz w:val="21"/>
                <w:szCs w:val="21"/>
                <w:highlight w:val="none"/>
                <w:u w:val="none"/>
                <w:lang w:val="en-US" w:eastAsia="zh-CN" w:bidi="ar"/>
              </w:rPr>
              <w:t>单价</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（元/人）</w:t>
            </w:r>
          </w:p>
        </w:tc>
      </w:tr>
      <w:tr w14:paraId="6B9CD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14" w:hRule="atLeast"/>
          <w:jc w:val="center"/>
        </w:trPr>
        <w:tc>
          <w:tcPr>
            <w:tcW w:w="942" w:type="dxa"/>
            <w:vMerge w:val="restart"/>
            <w:shd w:val="clear" w:color="auto" w:fill="auto"/>
            <w:noWrap/>
            <w:vAlign w:val="center"/>
          </w:tcPr>
          <w:p w14:paraId="6A65A726">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标段一</w:t>
            </w:r>
          </w:p>
        </w:tc>
        <w:tc>
          <w:tcPr>
            <w:tcW w:w="1039" w:type="dxa"/>
            <w:vMerge w:val="restart"/>
            <w:shd w:val="clear" w:color="auto" w:fill="auto"/>
            <w:vAlign w:val="center"/>
          </w:tcPr>
          <w:p w14:paraId="780CF80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省外推荐线路</w:t>
            </w:r>
          </w:p>
        </w:tc>
        <w:tc>
          <w:tcPr>
            <w:tcW w:w="819" w:type="dxa"/>
            <w:shd w:val="clear" w:color="auto" w:fill="auto"/>
            <w:noWrap/>
            <w:vAlign w:val="center"/>
          </w:tcPr>
          <w:p w14:paraId="26209602">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093" w:type="dxa"/>
            <w:shd w:val="clear" w:color="auto" w:fill="auto"/>
            <w:vAlign w:val="center"/>
          </w:tcPr>
          <w:p w14:paraId="241631CA">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奇幻吉林6天游</w:t>
            </w:r>
          </w:p>
        </w:tc>
        <w:tc>
          <w:tcPr>
            <w:tcW w:w="1672" w:type="dxa"/>
            <w:shd w:val="clear" w:color="auto" w:fill="auto"/>
            <w:noWrap/>
            <w:vAlign w:val="center"/>
          </w:tcPr>
          <w:p w14:paraId="05630DA5">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c>
          <w:tcPr>
            <w:tcW w:w="1672" w:type="dxa"/>
            <w:shd w:val="clear" w:color="auto" w:fill="auto"/>
            <w:noWrap/>
            <w:vAlign w:val="center"/>
          </w:tcPr>
          <w:p w14:paraId="2F21FB1F">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19510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14" w:hRule="atLeast"/>
          <w:jc w:val="center"/>
        </w:trPr>
        <w:tc>
          <w:tcPr>
            <w:tcW w:w="942" w:type="dxa"/>
            <w:vMerge w:val="continue"/>
            <w:shd w:val="clear" w:color="auto" w:fill="auto"/>
            <w:noWrap/>
            <w:vAlign w:val="center"/>
          </w:tcPr>
          <w:p w14:paraId="54CD018A">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1039" w:type="dxa"/>
            <w:vMerge w:val="continue"/>
            <w:shd w:val="clear" w:color="auto" w:fill="auto"/>
            <w:vAlign w:val="center"/>
          </w:tcPr>
          <w:p w14:paraId="04D60081">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819" w:type="dxa"/>
            <w:shd w:val="clear" w:color="auto" w:fill="auto"/>
            <w:noWrap/>
            <w:vAlign w:val="center"/>
          </w:tcPr>
          <w:p w14:paraId="5B77B7CA">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093" w:type="dxa"/>
            <w:shd w:val="clear" w:color="auto" w:fill="auto"/>
            <w:vAlign w:val="center"/>
          </w:tcPr>
          <w:p w14:paraId="074DD4B3">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新疆那拉提独库双飞7日+1日</w:t>
            </w:r>
          </w:p>
        </w:tc>
        <w:tc>
          <w:tcPr>
            <w:tcW w:w="1672" w:type="dxa"/>
            <w:shd w:val="clear" w:color="auto" w:fill="auto"/>
            <w:noWrap/>
            <w:vAlign w:val="center"/>
          </w:tcPr>
          <w:p w14:paraId="52105674">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c>
          <w:tcPr>
            <w:tcW w:w="1672" w:type="dxa"/>
            <w:shd w:val="clear" w:color="auto" w:fill="auto"/>
            <w:noWrap/>
            <w:vAlign w:val="center"/>
          </w:tcPr>
          <w:p w14:paraId="52325434">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48AB7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32" w:hRule="atLeast"/>
          <w:jc w:val="center"/>
        </w:trPr>
        <w:tc>
          <w:tcPr>
            <w:tcW w:w="942" w:type="dxa"/>
            <w:vMerge w:val="continue"/>
            <w:shd w:val="clear" w:color="auto" w:fill="auto"/>
            <w:noWrap/>
            <w:vAlign w:val="center"/>
          </w:tcPr>
          <w:p w14:paraId="4F602CBB">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1039" w:type="dxa"/>
            <w:vMerge w:val="continue"/>
            <w:shd w:val="clear" w:color="auto" w:fill="auto"/>
            <w:vAlign w:val="center"/>
          </w:tcPr>
          <w:p w14:paraId="1422560D">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819" w:type="dxa"/>
            <w:shd w:val="clear" w:color="auto" w:fill="auto"/>
            <w:noWrap/>
            <w:vAlign w:val="center"/>
          </w:tcPr>
          <w:p w14:paraId="51EAA23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093" w:type="dxa"/>
            <w:shd w:val="clear" w:color="auto" w:fill="auto"/>
            <w:vAlign w:val="center"/>
          </w:tcPr>
          <w:p w14:paraId="1EEF8A6D">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西宁茫崖6日游</w:t>
            </w:r>
          </w:p>
        </w:tc>
        <w:tc>
          <w:tcPr>
            <w:tcW w:w="1672" w:type="dxa"/>
            <w:shd w:val="clear" w:color="auto" w:fill="auto"/>
            <w:noWrap/>
            <w:vAlign w:val="center"/>
          </w:tcPr>
          <w:p w14:paraId="18EE5DB9">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c>
          <w:tcPr>
            <w:tcW w:w="1672" w:type="dxa"/>
            <w:shd w:val="clear" w:color="auto" w:fill="auto"/>
            <w:noWrap/>
            <w:vAlign w:val="center"/>
          </w:tcPr>
          <w:p w14:paraId="26817F4B">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bl>
    <w:p w14:paraId="0B8DE3E7">
      <w:pPr>
        <w:pStyle w:val="41"/>
        <w:tabs>
          <w:tab w:val="left" w:pos="1050"/>
        </w:tabs>
        <w:spacing w:line="360"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要求：</w:t>
      </w:r>
    </w:p>
    <w:p w14:paraId="3FF5A5E8">
      <w:pPr>
        <w:pStyle w:val="41"/>
        <w:tabs>
          <w:tab w:val="left" w:pos="1050"/>
        </w:tabs>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人数以实际报名人数为准，最终按实结算。其中省内2000元/人线路费用不允许超出。省外线路（泉州3日游、南京3日游、厦门鼓浪屿、环岛路、南普陀、胡里山炮台纯玩三日游三条线路除外）费用允许超出，超出部分价格由职工本人负担即个人补差。</w:t>
      </w:r>
    </w:p>
    <w:p w14:paraId="26063273">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bCs/>
          <w:color w:val="auto"/>
          <w:sz w:val="21"/>
          <w:szCs w:val="21"/>
          <w:highlight w:val="none"/>
          <w:u w:val="none"/>
        </w:rPr>
      </w:pPr>
      <w:r>
        <w:rPr>
          <w:rFonts w:hint="eastAsia" w:ascii="宋体" w:hAnsi="宋体" w:eastAsia="宋体" w:cs="宋体"/>
          <w:color w:val="auto"/>
          <w:sz w:val="21"/>
          <w:szCs w:val="21"/>
          <w:highlight w:val="none"/>
          <w:lang w:val="en-US" w:eastAsia="zh-CN"/>
        </w:rPr>
        <w:t>2、</w:t>
      </w:r>
      <w:r>
        <w:rPr>
          <w:rFonts w:hint="eastAsia" w:asciiTheme="minorEastAsia" w:hAnsiTheme="minorEastAsia" w:eastAsiaTheme="minorEastAsia" w:cstheme="minorEastAsia"/>
          <w:bCs/>
          <w:color w:val="auto"/>
          <w:sz w:val="21"/>
          <w:szCs w:val="21"/>
          <w:highlight w:val="none"/>
          <w:u w:val="none"/>
        </w:rPr>
        <w:t>每次出行每人的预算包括</w:t>
      </w:r>
      <w:r>
        <w:rPr>
          <w:rFonts w:hint="eastAsia" w:asciiTheme="minorEastAsia" w:hAnsiTheme="minorEastAsia" w:eastAsiaTheme="minorEastAsia" w:cstheme="minorEastAsia"/>
          <w:bCs/>
          <w:color w:val="auto"/>
          <w:sz w:val="21"/>
          <w:szCs w:val="21"/>
          <w:highlight w:val="none"/>
          <w:u w:val="none"/>
          <w:lang w:eastAsia="zh-CN"/>
        </w:rPr>
        <w:t>出行人员的</w:t>
      </w:r>
      <w:r>
        <w:rPr>
          <w:rFonts w:hint="eastAsia" w:asciiTheme="minorEastAsia" w:hAnsiTheme="minorEastAsia" w:eastAsiaTheme="minorEastAsia" w:cstheme="minorEastAsia"/>
          <w:color w:val="auto"/>
          <w:sz w:val="21"/>
          <w:szCs w:val="21"/>
          <w:highlight w:val="none"/>
          <w:u w:val="none"/>
        </w:rPr>
        <w:t>食、宿、行、门票</w:t>
      </w:r>
      <w:r>
        <w:rPr>
          <w:rFonts w:hint="eastAsia" w:asciiTheme="minorEastAsia" w:hAnsiTheme="minorEastAsia" w:eastAsiaTheme="minorEastAsia" w:cstheme="minorEastAsia"/>
          <w:color w:val="auto"/>
          <w:sz w:val="21"/>
          <w:szCs w:val="21"/>
          <w:highlight w:val="none"/>
          <w:u w:val="none"/>
          <w:lang w:eastAsia="zh-CN"/>
        </w:rPr>
        <w:t>、</w:t>
      </w:r>
      <w:r>
        <w:rPr>
          <w:rFonts w:hint="eastAsia" w:asciiTheme="minorEastAsia" w:hAnsiTheme="minorEastAsia" w:eastAsiaTheme="minorEastAsia" w:cstheme="minorEastAsia"/>
          <w:bCs/>
          <w:color w:val="auto"/>
          <w:sz w:val="21"/>
          <w:szCs w:val="21"/>
          <w:highlight w:val="none"/>
          <w:u w:val="none"/>
        </w:rPr>
        <w:t>个人保险费</w:t>
      </w:r>
      <w:r>
        <w:rPr>
          <w:rFonts w:hint="eastAsia" w:asciiTheme="minorEastAsia" w:hAnsiTheme="minorEastAsia" w:eastAsiaTheme="minorEastAsia" w:cstheme="minorEastAsia"/>
          <w:bCs/>
          <w:color w:val="auto"/>
          <w:sz w:val="21"/>
          <w:szCs w:val="21"/>
          <w:highlight w:val="none"/>
          <w:u w:val="none"/>
          <w:lang w:eastAsia="zh-CN"/>
        </w:rPr>
        <w:t>、</w:t>
      </w:r>
      <w:r>
        <w:rPr>
          <w:rFonts w:hint="eastAsia" w:asciiTheme="minorEastAsia" w:hAnsiTheme="minorEastAsia" w:eastAsiaTheme="minorEastAsia" w:cstheme="minorEastAsia"/>
          <w:color w:val="auto"/>
          <w:sz w:val="21"/>
          <w:szCs w:val="21"/>
          <w:highlight w:val="none"/>
          <w:u w:val="none"/>
        </w:rPr>
        <w:t>供应商随行人员的工资福利、食、宿、行、门票、保险等所有费用，也包含供应商企业成本及利润等所有费用</w:t>
      </w:r>
      <w:r>
        <w:rPr>
          <w:rFonts w:hint="eastAsia" w:asciiTheme="minorEastAsia" w:hAnsiTheme="minorEastAsia" w:eastAsiaTheme="minorEastAsia" w:cstheme="minorEastAsia"/>
          <w:bCs/>
          <w:color w:val="auto"/>
          <w:sz w:val="21"/>
          <w:szCs w:val="21"/>
          <w:highlight w:val="none"/>
          <w:u w:val="none"/>
        </w:rPr>
        <w:t>，供应商规划路线时应做充分考虑。</w:t>
      </w:r>
    </w:p>
    <w:p w14:paraId="5DAFDC0B">
      <w:pPr>
        <w:pStyle w:val="41"/>
        <w:tabs>
          <w:tab w:val="left" w:pos="1050"/>
        </w:tabs>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3、中标后投标单位单价不作调整。</w:t>
      </w:r>
    </w:p>
    <w:p w14:paraId="4B4C222A">
      <w:pPr>
        <w:pStyle w:val="41"/>
        <w:tabs>
          <w:tab w:val="left" w:pos="1050"/>
        </w:tabs>
        <w:spacing w:line="360" w:lineRule="auto"/>
        <w:rPr>
          <w:rFonts w:hint="eastAsia" w:ascii="宋体" w:hAnsi="宋体" w:eastAsia="宋体" w:cs="宋体"/>
          <w:color w:val="auto"/>
          <w:sz w:val="21"/>
          <w:szCs w:val="21"/>
          <w:highlight w:val="none"/>
        </w:rPr>
      </w:pPr>
    </w:p>
    <w:p w14:paraId="66DC5BED">
      <w:pPr>
        <w:pStyle w:val="41"/>
        <w:tabs>
          <w:tab w:val="left" w:pos="1050"/>
        </w:tabs>
        <w:spacing w:line="360" w:lineRule="auto"/>
        <w:ind w:firstLine="424" w:firstLineChars="202"/>
        <w:rPr>
          <w:rFonts w:hint="eastAsia" w:ascii="宋体" w:hAnsi="宋体" w:eastAsia="宋体" w:cs="宋体"/>
          <w:color w:val="auto"/>
          <w:sz w:val="21"/>
          <w:szCs w:val="21"/>
          <w:highlight w:val="none"/>
        </w:rPr>
      </w:pPr>
    </w:p>
    <w:p w14:paraId="5E4EA129">
      <w:pPr>
        <w:pStyle w:val="41"/>
        <w:tabs>
          <w:tab w:val="left" w:pos="1050"/>
        </w:tabs>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投标人名称（盖章）：</w:t>
      </w:r>
    </w:p>
    <w:p w14:paraId="6F885882">
      <w:pPr>
        <w:pStyle w:val="41"/>
        <w:tabs>
          <w:tab w:val="left" w:pos="1050"/>
        </w:tabs>
        <w:spacing w:line="360" w:lineRule="auto"/>
        <w:ind w:firstLine="424" w:firstLineChars="202"/>
        <w:rPr>
          <w:rFonts w:hint="eastAsia" w:ascii="宋体" w:hAnsi="宋体" w:eastAsia="宋体" w:cs="宋体"/>
          <w:color w:val="auto"/>
          <w:sz w:val="21"/>
          <w:szCs w:val="21"/>
          <w:highlight w:val="none"/>
        </w:rPr>
      </w:pPr>
    </w:p>
    <w:p w14:paraId="400E49AD">
      <w:pPr>
        <w:pStyle w:val="41"/>
        <w:tabs>
          <w:tab w:val="left" w:pos="1050"/>
        </w:tabs>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法定代表人或授权委托代理人（签字或盖章）：</w:t>
      </w:r>
    </w:p>
    <w:p w14:paraId="297FB4DD">
      <w:pPr>
        <w:pStyle w:val="41"/>
        <w:tabs>
          <w:tab w:val="left" w:pos="1050"/>
        </w:tabs>
        <w:spacing w:line="360" w:lineRule="auto"/>
        <w:ind w:firstLine="424" w:firstLineChars="202"/>
        <w:rPr>
          <w:rFonts w:hint="eastAsia" w:ascii="宋体" w:hAnsi="宋体" w:eastAsia="宋体" w:cs="宋体"/>
          <w:color w:val="auto"/>
          <w:sz w:val="21"/>
          <w:szCs w:val="21"/>
          <w:highlight w:val="none"/>
        </w:rPr>
      </w:pPr>
    </w:p>
    <w:p w14:paraId="2F527879">
      <w:pPr>
        <w:pStyle w:val="41"/>
        <w:tabs>
          <w:tab w:val="left" w:pos="1050"/>
        </w:tabs>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p>
    <w:p w14:paraId="134C5A4B">
      <w:pPr>
        <w:pStyle w:val="41"/>
        <w:spacing w:line="360" w:lineRule="auto"/>
        <w:jc w:val="center"/>
        <w:rPr>
          <w:rFonts w:hint="eastAsia" w:ascii="宋体" w:hAnsi="宋体" w:eastAsia="宋体" w:cs="宋体"/>
          <w:b/>
          <w:color w:val="auto"/>
          <w:sz w:val="32"/>
          <w:szCs w:val="32"/>
          <w:highlight w:val="none"/>
          <w:lang w:val="en-US" w:eastAsia="zh-CN"/>
        </w:rPr>
      </w:pPr>
    </w:p>
    <w:p w14:paraId="285DAA5E">
      <w:pPr>
        <w:pStyle w:val="41"/>
        <w:spacing w:line="360" w:lineRule="auto"/>
        <w:jc w:val="center"/>
        <w:rPr>
          <w:rFonts w:hint="eastAsia" w:ascii="宋体" w:hAnsi="宋体" w:eastAsia="宋体" w:cs="宋体"/>
          <w:b/>
          <w:color w:val="auto"/>
          <w:sz w:val="32"/>
          <w:szCs w:val="32"/>
          <w:highlight w:val="none"/>
          <w:lang w:val="en-US" w:eastAsia="zh-CN"/>
        </w:rPr>
      </w:pPr>
    </w:p>
    <w:p w14:paraId="0A67E487">
      <w:pPr>
        <w:pStyle w:val="41"/>
        <w:spacing w:line="360" w:lineRule="auto"/>
        <w:jc w:val="center"/>
        <w:rPr>
          <w:rFonts w:hint="eastAsia" w:ascii="宋体" w:hAnsi="宋体" w:eastAsia="宋体" w:cs="宋体"/>
          <w:b/>
          <w:color w:val="auto"/>
          <w:sz w:val="32"/>
          <w:szCs w:val="32"/>
          <w:highlight w:val="none"/>
          <w:lang w:val="en-US" w:eastAsia="zh-CN"/>
        </w:rPr>
      </w:pPr>
      <w:r>
        <w:rPr>
          <w:rFonts w:hint="eastAsia" w:ascii="宋体" w:hAnsi="宋体" w:cs="宋体"/>
          <w:b/>
          <w:color w:val="auto"/>
          <w:sz w:val="32"/>
          <w:szCs w:val="32"/>
          <w:highlight w:val="none"/>
          <w:lang w:val="en-US" w:eastAsia="zh-CN"/>
        </w:rPr>
        <w:t>路线情况表</w:t>
      </w:r>
      <w:r>
        <w:rPr>
          <w:rFonts w:hint="eastAsia" w:ascii="宋体" w:hAnsi="宋体" w:eastAsia="宋体" w:cs="宋体"/>
          <w:b/>
          <w:color w:val="auto"/>
          <w:sz w:val="32"/>
          <w:szCs w:val="32"/>
          <w:highlight w:val="none"/>
          <w:lang w:val="en-US" w:eastAsia="zh-CN"/>
        </w:rPr>
        <w:t>（标段二）</w:t>
      </w:r>
    </w:p>
    <w:tbl>
      <w:tblPr>
        <w:tblStyle w:val="21"/>
        <w:tblW w:w="8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14"/>
        <w:gridCol w:w="1006"/>
        <w:gridCol w:w="793"/>
        <w:gridCol w:w="3104"/>
        <w:gridCol w:w="1420"/>
        <w:gridCol w:w="1420"/>
      </w:tblGrid>
      <w:tr w14:paraId="34952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7" w:hRule="atLeast"/>
          <w:jc w:val="center"/>
        </w:trPr>
        <w:tc>
          <w:tcPr>
            <w:tcW w:w="914" w:type="dxa"/>
            <w:shd w:val="clear" w:color="auto" w:fill="auto"/>
            <w:noWrap/>
            <w:vAlign w:val="center"/>
          </w:tcPr>
          <w:p w14:paraId="3E926C19">
            <w:pPr>
              <w:spacing w:line="240" w:lineRule="auto"/>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p>
        </w:tc>
        <w:tc>
          <w:tcPr>
            <w:tcW w:w="1006" w:type="dxa"/>
            <w:shd w:val="clear" w:color="auto" w:fill="auto"/>
            <w:vAlign w:val="center"/>
          </w:tcPr>
          <w:p w14:paraId="51BD8BBF">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区域</w:t>
            </w:r>
          </w:p>
        </w:tc>
        <w:tc>
          <w:tcPr>
            <w:tcW w:w="793" w:type="dxa"/>
            <w:shd w:val="clear" w:color="auto" w:fill="auto"/>
            <w:noWrap/>
            <w:vAlign w:val="center"/>
          </w:tcPr>
          <w:p w14:paraId="009B9639">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序号</w:t>
            </w:r>
          </w:p>
        </w:tc>
        <w:tc>
          <w:tcPr>
            <w:tcW w:w="3104" w:type="dxa"/>
            <w:shd w:val="clear" w:color="auto" w:fill="auto"/>
            <w:vAlign w:val="center"/>
          </w:tcPr>
          <w:p w14:paraId="50933D8E">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线路名</w:t>
            </w:r>
          </w:p>
        </w:tc>
        <w:tc>
          <w:tcPr>
            <w:tcW w:w="1420" w:type="dxa"/>
            <w:shd w:val="clear" w:color="auto" w:fill="auto"/>
            <w:noWrap/>
            <w:vAlign w:val="center"/>
          </w:tcPr>
          <w:p w14:paraId="32413941">
            <w:pPr>
              <w:keepNext w:val="0"/>
              <w:keepLines w:val="0"/>
              <w:widowControl/>
              <w:suppressLineNumbers w:val="0"/>
              <w:spacing w:line="240" w:lineRule="auto"/>
              <w:jc w:val="center"/>
              <w:textAlignment w:val="center"/>
              <w:rPr>
                <w:rFonts w:hint="eastAsia" w:asciiTheme="minorEastAsia" w:hAnsiTheme="minorEastAsia" w:cstheme="minorEastAsia"/>
                <w:b/>
                <w:bCs/>
                <w:i w:val="0"/>
                <w:iCs w:val="0"/>
                <w:color w:val="auto"/>
                <w:kern w:val="0"/>
                <w:sz w:val="21"/>
                <w:szCs w:val="21"/>
                <w:highlight w:val="none"/>
                <w:u w:val="none"/>
                <w:lang w:val="en-US" w:eastAsia="zh-CN" w:bidi="ar"/>
              </w:rPr>
            </w:pPr>
            <w:r>
              <w:rPr>
                <w:rFonts w:hint="eastAsia" w:asciiTheme="minorEastAsia" w:hAnsiTheme="minorEastAsia" w:cstheme="minorEastAsia"/>
                <w:b/>
                <w:bCs/>
                <w:i w:val="0"/>
                <w:iCs w:val="0"/>
                <w:color w:val="auto"/>
                <w:kern w:val="0"/>
                <w:sz w:val="21"/>
                <w:szCs w:val="21"/>
                <w:highlight w:val="none"/>
                <w:u w:val="none"/>
                <w:lang w:val="en-US" w:eastAsia="zh-CN" w:bidi="ar"/>
              </w:rPr>
              <w:t>具体行程</w:t>
            </w:r>
          </w:p>
        </w:tc>
        <w:tc>
          <w:tcPr>
            <w:tcW w:w="1420" w:type="dxa"/>
            <w:shd w:val="clear" w:color="auto" w:fill="auto"/>
            <w:noWrap/>
            <w:vAlign w:val="center"/>
          </w:tcPr>
          <w:p w14:paraId="1C69CE8C">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Theme="minorEastAsia" w:hAnsiTheme="minorEastAsia" w:cstheme="minorEastAsia"/>
                <w:b/>
                <w:bCs/>
                <w:i w:val="0"/>
                <w:iCs w:val="0"/>
                <w:color w:val="auto"/>
                <w:kern w:val="0"/>
                <w:sz w:val="21"/>
                <w:szCs w:val="21"/>
                <w:highlight w:val="none"/>
                <w:u w:val="none"/>
                <w:lang w:val="en-US" w:eastAsia="zh-CN" w:bidi="ar"/>
              </w:rPr>
              <w:t>单价</w:t>
            </w: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（元/人）</w:t>
            </w:r>
          </w:p>
        </w:tc>
      </w:tr>
      <w:tr w14:paraId="6BE7A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85" w:hRule="atLeast"/>
          <w:jc w:val="center"/>
        </w:trPr>
        <w:tc>
          <w:tcPr>
            <w:tcW w:w="914" w:type="dxa"/>
            <w:vMerge w:val="restart"/>
            <w:shd w:val="clear" w:color="auto" w:fill="auto"/>
            <w:noWrap/>
            <w:vAlign w:val="center"/>
          </w:tcPr>
          <w:p w14:paraId="3C73EA67">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标段二</w:t>
            </w:r>
          </w:p>
        </w:tc>
        <w:tc>
          <w:tcPr>
            <w:tcW w:w="1006" w:type="dxa"/>
            <w:vMerge w:val="restart"/>
            <w:shd w:val="clear" w:color="auto" w:fill="auto"/>
            <w:vAlign w:val="center"/>
          </w:tcPr>
          <w:p w14:paraId="51139922">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bCs/>
                <w:i w:val="0"/>
                <w:iCs w:val="0"/>
                <w:color w:val="auto"/>
                <w:sz w:val="21"/>
                <w:szCs w:val="21"/>
                <w:highlight w:val="none"/>
                <w:u w:val="none"/>
              </w:rPr>
            </w:pPr>
            <w:r>
              <w:rPr>
                <w:rFonts w:hint="eastAsia" w:asciiTheme="minorEastAsia" w:hAnsiTheme="minorEastAsia" w:eastAsiaTheme="minorEastAsia" w:cstheme="minorEastAsia"/>
                <w:b/>
                <w:bCs/>
                <w:i w:val="0"/>
                <w:iCs w:val="0"/>
                <w:color w:val="auto"/>
                <w:kern w:val="0"/>
                <w:sz w:val="21"/>
                <w:szCs w:val="21"/>
                <w:highlight w:val="none"/>
                <w:u w:val="none"/>
                <w:lang w:val="en-US" w:eastAsia="zh-CN" w:bidi="ar"/>
              </w:rPr>
              <w:t>省外推荐线路</w:t>
            </w:r>
          </w:p>
        </w:tc>
        <w:tc>
          <w:tcPr>
            <w:tcW w:w="793" w:type="dxa"/>
            <w:shd w:val="clear" w:color="auto" w:fill="auto"/>
            <w:noWrap/>
            <w:vAlign w:val="center"/>
          </w:tcPr>
          <w:p w14:paraId="746D0ADB">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1</w:t>
            </w:r>
          </w:p>
        </w:tc>
        <w:tc>
          <w:tcPr>
            <w:tcW w:w="3104" w:type="dxa"/>
            <w:shd w:val="clear" w:color="auto" w:fill="auto"/>
            <w:vAlign w:val="center"/>
          </w:tcPr>
          <w:p w14:paraId="482F5C75">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天空之城(成都稻城亚丁）三飞 8 日</w:t>
            </w:r>
          </w:p>
        </w:tc>
        <w:tc>
          <w:tcPr>
            <w:tcW w:w="1420" w:type="dxa"/>
            <w:shd w:val="clear" w:color="auto" w:fill="auto"/>
            <w:noWrap/>
            <w:vAlign w:val="center"/>
          </w:tcPr>
          <w:p w14:paraId="5758BCBF">
            <w:pPr>
              <w:jc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c>
          <w:tcPr>
            <w:tcW w:w="1420" w:type="dxa"/>
            <w:shd w:val="clear" w:color="auto" w:fill="auto"/>
            <w:noWrap/>
            <w:vAlign w:val="center"/>
          </w:tcPr>
          <w:p w14:paraId="3E360FED">
            <w:pPr>
              <w:jc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25C18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7" w:hRule="atLeast"/>
          <w:jc w:val="center"/>
        </w:trPr>
        <w:tc>
          <w:tcPr>
            <w:tcW w:w="914" w:type="dxa"/>
            <w:vMerge w:val="continue"/>
            <w:shd w:val="clear" w:color="auto" w:fill="auto"/>
            <w:noWrap/>
            <w:vAlign w:val="center"/>
          </w:tcPr>
          <w:p w14:paraId="0D922813">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1006" w:type="dxa"/>
            <w:vMerge w:val="continue"/>
            <w:shd w:val="clear" w:color="auto" w:fill="auto"/>
            <w:vAlign w:val="center"/>
          </w:tcPr>
          <w:p w14:paraId="73366910">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93" w:type="dxa"/>
            <w:shd w:val="clear" w:color="auto" w:fill="auto"/>
            <w:noWrap/>
            <w:vAlign w:val="center"/>
          </w:tcPr>
          <w:p w14:paraId="1A849534">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2</w:t>
            </w:r>
          </w:p>
        </w:tc>
        <w:tc>
          <w:tcPr>
            <w:tcW w:w="3104" w:type="dxa"/>
            <w:shd w:val="clear" w:color="auto" w:fill="auto"/>
            <w:vAlign w:val="center"/>
          </w:tcPr>
          <w:p w14:paraId="4558F124">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北疆9日</w:t>
            </w:r>
          </w:p>
        </w:tc>
        <w:tc>
          <w:tcPr>
            <w:tcW w:w="1420" w:type="dxa"/>
            <w:shd w:val="clear" w:color="auto" w:fill="auto"/>
            <w:noWrap/>
            <w:vAlign w:val="center"/>
          </w:tcPr>
          <w:p w14:paraId="6016B2E9">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c>
          <w:tcPr>
            <w:tcW w:w="1420" w:type="dxa"/>
            <w:shd w:val="clear" w:color="auto" w:fill="auto"/>
            <w:noWrap/>
            <w:vAlign w:val="center"/>
          </w:tcPr>
          <w:p w14:paraId="0DA43BA2">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0D1A6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7" w:hRule="atLeast"/>
          <w:jc w:val="center"/>
        </w:trPr>
        <w:tc>
          <w:tcPr>
            <w:tcW w:w="914" w:type="dxa"/>
            <w:vMerge w:val="continue"/>
            <w:shd w:val="clear" w:color="auto" w:fill="auto"/>
            <w:noWrap/>
            <w:vAlign w:val="center"/>
          </w:tcPr>
          <w:p w14:paraId="3B6F79D4">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1006" w:type="dxa"/>
            <w:vMerge w:val="continue"/>
            <w:shd w:val="clear" w:color="auto" w:fill="auto"/>
            <w:vAlign w:val="center"/>
          </w:tcPr>
          <w:p w14:paraId="7058893D">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93" w:type="dxa"/>
            <w:shd w:val="clear" w:color="auto" w:fill="auto"/>
            <w:noWrap/>
            <w:vAlign w:val="center"/>
          </w:tcPr>
          <w:p w14:paraId="5460B2FF">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3</w:t>
            </w:r>
          </w:p>
        </w:tc>
        <w:tc>
          <w:tcPr>
            <w:tcW w:w="3104" w:type="dxa"/>
            <w:shd w:val="clear" w:color="auto" w:fill="auto"/>
            <w:vAlign w:val="center"/>
          </w:tcPr>
          <w:p w14:paraId="47E6A64C">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重庆5日游</w:t>
            </w:r>
          </w:p>
        </w:tc>
        <w:tc>
          <w:tcPr>
            <w:tcW w:w="1420" w:type="dxa"/>
            <w:shd w:val="clear" w:color="auto" w:fill="auto"/>
            <w:noWrap/>
            <w:vAlign w:val="center"/>
          </w:tcPr>
          <w:p w14:paraId="32F80A6B">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c>
          <w:tcPr>
            <w:tcW w:w="1420" w:type="dxa"/>
            <w:shd w:val="clear" w:color="auto" w:fill="auto"/>
            <w:noWrap/>
            <w:vAlign w:val="center"/>
          </w:tcPr>
          <w:p w14:paraId="30996E39">
            <w:pPr>
              <w:keepNext w:val="0"/>
              <w:keepLines w:val="0"/>
              <w:widowControl/>
              <w:suppressLineNumbers w:val="0"/>
              <w:jc w:val="center"/>
              <w:textAlignment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707B7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85" w:hRule="atLeast"/>
          <w:jc w:val="center"/>
        </w:trPr>
        <w:tc>
          <w:tcPr>
            <w:tcW w:w="914" w:type="dxa"/>
            <w:vMerge w:val="continue"/>
            <w:shd w:val="clear" w:color="auto" w:fill="auto"/>
            <w:noWrap/>
            <w:vAlign w:val="center"/>
          </w:tcPr>
          <w:p w14:paraId="5CDB8E18">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1006" w:type="dxa"/>
            <w:vMerge w:val="continue"/>
            <w:shd w:val="clear" w:color="auto" w:fill="auto"/>
            <w:vAlign w:val="center"/>
          </w:tcPr>
          <w:p w14:paraId="0DFE1C1D">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93" w:type="dxa"/>
            <w:shd w:val="clear" w:color="auto" w:fill="auto"/>
            <w:noWrap/>
            <w:vAlign w:val="center"/>
          </w:tcPr>
          <w:p w14:paraId="43A2324D">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4</w:t>
            </w:r>
          </w:p>
        </w:tc>
        <w:tc>
          <w:tcPr>
            <w:tcW w:w="3104" w:type="dxa"/>
            <w:shd w:val="clear" w:color="auto" w:fill="auto"/>
            <w:vAlign w:val="center"/>
          </w:tcPr>
          <w:p w14:paraId="4DD15612">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成都、九寨、黄龙溪古镇、武侯祠双飞双高 5 日疗</w:t>
            </w:r>
          </w:p>
        </w:tc>
        <w:tc>
          <w:tcPr>
            <w:tcW w:w="1420" w:type="dxa"/>
            <w:shd w:val="clear" w:color="auto" w:fill="auto"/>
            <w:noWrap/>
            <w:vAlign w:val="center"/>
          </w:tcPr>
          <w:p w14:paraId="1EE9AFF7">
            <w:pPr>
              <w:jc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c>
          <w:tcPr>
            <w:tcW w:w="1420" w:type="dxa"/>
            <w:shd w:val="clear" w:color="auto" w:fill="auto"/>
            <w:noWrap/>
            <w:vAlign w:val="center"/>
          </w:tcPr>
          <w:p w14:paraId="291F74CE">
            <w:pPr>
              <w:jc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r w14:paraId="19557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39" w:hRule="atLeast"/>
          <w:jc w:val="center"/>
        </w:trPr>
        <w:tc>
          <w:tcPr>
            <w:tcW w:w="914" w:type="dxa"/>
            <w:vMerge w:val="continue"/>
            <w:shd w:val="clear" w:color="auto" w:fill="auto"/>
            <w:noWrap/>
            <w:vAlign w:val="center"/>
          </w:tcPr>
          <w:p w14:paraId="0537F82C">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1006" w:type="dxa"/>
            <w:vMerge w:val="continue"/>
            <w:shd w:val="clear" w:color="auto" w:fill="auto"/>
            <w:vAlign w:val="center"/>
          </w:tcPr>
          <w:p w14:paraId="36E1FE58">
            <w:pPr>
              <w:spacing w:line="240" w:lineRule="auto"/>
              <w:jc w:val="center"/>
              <w:rPr>
                <w:rFonts w:hint="eastAsia" w:asciiTheme="minorEastAsia" w:hAnsiTheme="minorEastAsia" w:eastAsiaTheme="minorEastAsia" w:cstheme="minorEastAsia"/>
                <w:b/>
                <w:bCs/>
                <w:i w:val="0"/>
                <w:iCs w:val="0"/>
                <w:color w:val="auto"/>
                <w:sz w:val="21"/>
                <w:szCs w:val="21"/>
                <w:highlight w:val="none"/>
                <w:u w:val="none"/>
              </w:rPr>
            </w:pPr>
          </w:p>
        </w:tc>
        <w:tc>
          <w:tcPr>
            <w:tcW w:w="793" w:type="dxa"/>
            <w:shd w:val="clear" w:color="auto" w:fill="auto"/>
            <w:noWrap/>
            <w:vAlign w:val="center"/>
          </w:tcPr>
          <w:p w14:paraId="07A1D972">
            <w:pPr>
              <w:keepNext w:val="0"/>
              <w:keepLines w:val="0"/>
              <w:widowControl/>
              <w:suppressLineNumbers w:val="0"/>
              <w:spacing w:line="240" w:lineRule="auto"/>
              <w:jc w:val="center"/>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5</w:t>
            </w:r>
          </w:p>
        </w:tc>
        <w:tc>
          <w:tcPr>
            <w:tcW w:w="3104" w:type="dxa"/>
            <w:shd w:val="clear" w:color="auto" w:fill="auto"/>
            <w:vAlign w:val="center"/>
          </w:tcPr>
          <w:p w14:paraId="2B892E4A">
            <w:pPr>
              <w:keepNext w:val="0"/>
              <w:keepLines w:val="0"/>
              <w:widowControl/>
              <w:suppressLineNumbers w:val="0"/>
              <w:spacing w:line="240" w:lineRule="auto"/>
              <w:jc w:val="left"/>
              <w:textAlignment w:val="cente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pPr>
            <w:r>
              <w:rPr>
                <w:rFonts w:hint="eastAsia" w:asciiTheme="minorEastAsia" w:hAnsiTheme="minorEastAsia" w:eastAsiaTheme="minorEastAsia" w:cstheme="minorEastAsia"/>
                <w:b w:val="0"/>
                <w:bCs w:val="0"/>
                <w:i w:val="0"/>
                <w:iCs w:val="0"/>
                <w:color w:val="auto"/>
                <w:kern w:val="0"/>
                <w:sz w:val="21"/>
                <w:szCs w:val="21"/>
                <w:highlight w:val="none"/>
                <w:u w:val="none"/>
                <w:lang w:val="en-US" w:eastAsia="zh-CN" w:bidi="ar"/>
              </w:rPr>
              <w:t>黄山四日游</w:t>
            </w:r>
          </w:p>
        </w:tc>
        <w:tc>
          <w:tcPr>
            <w:tcW w:w="1420" w:type="dxa"/>
            <w:shd w:val="clear" w:color="auto" w:fill="auto"/>
            <w:noWrap/>
            <w:vAlign w:val="center"/>
          </w:tcPr>
          <w:p w14:paraId="56277D72">
            <w:pPr>
              <w:jc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c>
          <w:tcPr>
            <w:tcW w:w="1420" w:type="dxa"/>
            <w:shd w:val="clear" w:color="auto" w:fill="auto"/>
            <w:noWrap/>
            <w:vAlign w:val="center"/>
          </w:tcPr>
          <w:p w14:paraId="6BD24CC2">
            <w:pPr>
              <w:jc w:val="center"/>
              <w:rPr>
                <w:rFonts w:hint="default" w:asciiTheme="minorEastAsia" w:hAnsiTheme="minorEastAsia" w:eastAsiaTheme="minorEastAsia" w:cstheme="minorEastAsia"/>
                <w:b w:val="0"/>
                <w:bCs w:val="0"/>
                <w:i w:val="0"/>
                <w:iCs w:val="0"/>
                <w:color w:val="auto"/>
                <w:kern w:val="0"/>
                <w:sz w:val="21"/>
                <w:szCs w:val="21"/>
                <w:highlight w:val="none"/>
                <w:u w:val="none"/>
                <w:lang w:val="en-US" w:eastAsia="zh-CN" w:bidi="ar"/>
              </w:rPr>
            </w:pPr>
          </w:p>
        </w:tc>
      </w:tr>
    </w:tbl>
    <w:p w14:paraId="60CD0713">
      <w:pPr>
        <w:pStyle w:val="41"/>
        <w:tabs>
          <w:tab w:val="left" w:pos="1050"/>
        </w:tabs>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人数以实际报名人数为准，最终按实结算。其中省内2000元/人线路费用不允许超出。省外线路（福州、平潭岛度假3日游线路除外）费用允许超出，超出部分价格由职工本人负担即个人补差。</w:t>
      </w:r>
    </w:p>
    <w:p w14:paraId="13B551DB">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leftChars="0" w:firstLine="420" w:firstLineChars="200"/>
        <w:textAlignment w:val="auto"/>
        <w:rPr>
          <w:rFonts w:hint="eastAsia" w:asciiTheme="minorEastAsia" w:hAnsiTheme="minorEastAsia" w:eastAsiaTheme="minorEastAsia" w:cstheme="minorEastAsia"/>
          <w:bCs/>
          <w:color w:val="auto"/>
          <w:sz w:val="21"/>
          <w:szCs w:val="21"/>
          <w:highlight w:val="none"/>
          <w:u w:val="none"/>
        </w:rPr>
      </w:pPr>
      <w:r>
        <w:rPr>
          <w:rFonts w:hint="eastAsia" w:ascii="宋体" w:hAnsi="宋体" w:eastAsia="宋体" w:cs="宋体"/>
          <w:color w:val="auto"/>
          <w:sz w:val="21"/>
          <w:szCs w:val="21"/>
          <w:highlight w:val="none"/>
          <w:lang w:val="en-US" w:eastAsia="zh-CN"/>
        </w:rPr>
        <w:t>2、</w:t>
      </w:r>
      <w:r>
        <w:rPr>
          <w:rFonts w:hint="eastAsia" w:asciiTheme="minorEastAsia" w:hAnsiTheme="minorEastAsia" w:eastAsiaTheme="minorEastAsia" w:cstheme="minorEastAsia"/>
          <w:bCs/>
          <w:color w:val="auto"/>
          <w:sz w:val="21"/>
          <w:szCs w:val="21"/>
          <w:highlight w:val="none"/>
          <w:u w:val="none"/>
        </w:rPr>
        <w:t>每次出行每人的预算包括</w:t>
      </w:r>
      <w:r>
        <w:rPr>
          <w:rFonts w:hint="eastAsia" w:asciiTheme="minorEastAsia" w:hAnsiTheme="minorEastAsia" w:eastAsiaTheme="minorEastAsia" w:cstheme="minorEastAsia"/>
          <w:bCs/>
          <w:color w:val="auto"/>
          <w:sz w:val="21"/>
          <w:szCs w:val="21"/>
          <w:highlight w:val="none"/>
          <w:u w:val="none"/>
          <w:lang w:eastAsia="zh-CN"/>
        </w:rPr>
        <w:t>出行人员的</w:t>
      </w:r>
      <w:r>
        <w:rPr>
          <w:rFonts w:hint="eastAsia" w:asciiTheme="minorEastAsia" w:hAnsiTheme="minorEastAsia" w:eastAsiaTheme="minorEastAsia" w:cstheme="minorEastAsia"/>
          <w:color w:val="auto"/>
          <w:sz w:val="21"/>
          <w:szCs w:val="21"/>
          <w:highlight w:val="none"/>
          <w:u w:val="none"/>
        </w:rPr>
        <w:t>食、宿、行、门票</w:t>
      </w:r>
      <w:r>
        <w:rPr>
          <w:rFonts w:hint="eastAsia" w:asciiTheme="minorEastAsia" w:hAnsiTheme="minorEastAsia" w:eastAsiaTheme="minorEastAsia" w:cstheme="minorEastAsia"/>
          <w:color w:val="auto"/>
          <w:sz w:val="21"/>
          <w:szCs w:val="21"/>
          <w:highlight w:val="none"/>
          <w:u w:val="none"/>
          <w:lang w:eastAsia="zh-CN"/>
        </w:rPr>
        <w:t>、</w:t>
      </w:r>
      <w:r>
        <w:rPr>
          <w:rFonts w:hint="eastAsia" w:asciiTheme="minorEastAsia" w:hAnsiTheme="minorEastAsia" w:eastAsiaTheme="minorEastAsia" w:cstheme="minorEastAsia"/>
          <w:bCs/>
          <w:color w:val="auto"/>
          <w:sz w:val="21"/>
          <w:szCs w:val="21"/>
          <w:highlight w:val="none"/>
          <w:u w:val="none"/>
        </w:rPr>
        <w:t>个人保险费</w:t>
      </w:r>
      <w:r>
        <w:rPr>
          <w:rFonts w:hint="eastAsia" w:asciiTheme="minorEastAsia" w:hAnsiTheme="minorEastAsia" w:eastAsiaTheme="minorEastAsia" w:cstheme="minorEastAsia"/>
          <w:bCs/>
          <w:color w:val="auto"/>
          <w:sz w:val="21"/>
          <w:szCs w:val="21"/>
          <w:highlight w:val="none"/>
          <w:u w:val="none"/>
          <w:lang w:eastAsia="zh-CN"/>
        </w:rPr>
        <w:t>、</w:t>
      </w:r>
      <w:r>
        <w:rPr>
          <w:rFonts w:hint="eastAsia" w:asciiTheme="minorEastAsia" w:hAnsiTheme="minorEastAsia" w:eastAsiaTheme="minorEastAsia" w:cstheme="minorEastAsia"/>
          <w:color w:val="auto"/>
          <w:sz w:val="21"/>
          <w:szCs w:val="21"/>
          <w:highlight w:val="none"/>
          <w:u w:val="none"/>
        </w:rPr>
        <w:t>供应商随行人员的工资福利、食、宿、行、门票、保险等所有费用，也包含供应商企业成本及利润等所有费用</w:t>
      </w:r>
      <w:r>
        <w:rPr>
          <w:rFonts w:hint="eastAsia" w:asciiTheme="minorEastAsia" w:hAnsiTheme="minorEastAsia" w:eastAsiaTheme="minorEastAsia" w:cstheme="minorEastAsia"/>
          <w:bCs/>
          <w:color w:val="auto"/>
          <w:sz w:val="21"/>
          <w:szCs w:val="21"/>
          <w:highlight w:val="none"/>
          <w:u w:val="none"/>
        </w:rPr>
        <w:t>，供应商规划路线时应做充分考虑。</w:t>
      </w:r>
    </w:p>
    <w:p w14:paraId="065AEB06">
      <w:pPr>
        <w:pStyle w:val="41"/>
        <w:tabs>
          <w:tab w:val="left" w:pos="1050"/>
        </w:tabs>
        <w:spacing w:line="360" w:lineRule="auto"/>
        <w:ind w:firstLine="424" w:firstLineChars="202"/>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3、中标后投标单位单价不作调整。</w:t>
      </w:r>
    </w:p>
    <w:p w14:paraId="63FA579B">
      <w:pPr>
        <w:pStyle w:val="41"/>
        <w:tabs>
          <w:tab w:val="left" w:pos="1050"/>
        </w:tabs>
        <w:spacing w:line="360" w:lineRule="auto"/>
        <w:ind w:firstLine="424" w:firstLineChars="202"/>
        <w:rPr>
          <w:rFonts w:hint="eastAsia" w:ascii="宋体" w:hAnsi="宋体" w:eastAsia="宋体" w:cs="宋体"/>
          <w:color w:val="auto"/>
          <w:sz w:val="21"/>
          <w:szCs w:val="21"/>
          <w:highlight w:val="none"/>
          <w:lang w:val="en-US" w:eastAsia="zh-CN"/>
        </w:rPr>
      </w:pPr>
    </w:p>
    <w:p w14:paraId="697C43E8">
      <w:pPr>
        <w:pStyle w:val="41"/>
        <w:tabs>
          <w:tab w:val="left" w:pos="1050"/>
        </w:tabs>
        <w:spacing w:line="360" w:lineRule="auto"/>
        <w:ind w:firstLine="424" w:firstLineChars="202"/>
        <w:rPr>
          <w:rFonts w:hint="eastAsia" w:ascii="宋体" w:hAnsi="宋体" w:eastAsia="宋体" w:cs="宋体"/>
          <w:color w:val="auto"/>
          <w:sz w:val="21"/>
          <w:szCs w:val="21"/>
          <w:highlight w:val="none"/>
          <w:lang w:val="en-US" w:eastAsia="zh-CN"/>
        </w:rPr>
      </w:pPr>
    </w:p>
    <w:p w14:paraId="7A20F45F">
      <w:pPr>
        <w:pStyle w:val="41"/>
        <w:tabs>
          <w:tab w:val="left" w:pos="1050"/>
        </w:tabs>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投标人名称（盖章）：</w:t>
      </w:r>
    </w:p>
    <w:p w14:paraId="2FD4F2B2">
      <w:pPr>
        <w:pStyle w:val="41"/>
        <w:tabs>
          <w:tab w:val="left" w:pos="1050"/>
        </w:tabs>
        <w:spacing w:line="360" w:lineRule="auto"/>
        <w:ind w:firstLine="424" w:firstLineChars="202"/>
        <w:rPr>
          <w:rFonts w:hint="eastAsia" w:ascii="宋体" w:hAnsi="宋体" w:eastAsia="宋体" w:cs="宋体"/>
          <w:color w:val="auto"/>
          <w:sz w:val="21"/>
          <w:szCs w:val="21"/>
          <w:highlight w:val="none"/>
        </w:rPr>
      </w:pPr>
    </w:p>
    <w:p w14:paraId="243581D9">
      <w:pPr>
        <w:pStyle w:val="41"/>
        <w:tabs>
          <w:tab w:val="left" w:pos="1050"/>
        </w:tabs>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法定代表人或授权委托代理人（签字或盖章）：</w:t>
      </w:r>
    </w:p>
    <w:p w14:paraId="53FAED31">
      <w:pPr>
        <w:pStyle w:val="41"/>
        <w:tabs>
          <w:tab w:val="left" w:pos="1050"/>
        </w:tabs>
        <w:spacing w:line="360" w:lineRule="auto"/>
        <w:ind w:firstLine="424" w:firstLineChars="202"/>
        <w:rPr>
          <w:rFonts w:hint="eastAsia" w:ascii="宋体" w:hAnsi="宋体" w:eastAsia="宋体" w:cs="宋体"/>
          <w:color w:val="auto"/>
          <w:sz w:val="21"/>
          <w:szCs w:val="21"/>
          <w:highlight w:val="none"/>
        </w:rPr>
      </w:pPr>
    </w:p>
    <w:p w14:paraId="702CC8D7">
      <w:pPr>
        <w:pStyle w:val="41"/>
        <w:tabs>
          <w:tab w:val="left" w:pos="1050"/>
        </w:tabs>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p>
    <w:p w14:paraId="6602AA3F">
      <w:pPr>
        <w:rPr>
          <w:rFonts w:hint="eastAsia" w:ascii="宋体" w:hAnsi="宋体" w:eastAsia="宋体" w:cs="宋体"/>
          <w:b/>
          <w:color w:val="auto"/>
          <w:sz w:val="32"/>
          <w:szCs w:val="32"/>
          <w:highlight w:val="none"/>
          <w:lang w:val="en-US" w:eastAsia="zh-CN"/>
        </w:rPr>
      </w:pPr>
    </w:p>
    <w:p w14:paraId="134B3990">
      <w:pPr>
        <w:pStyle w:val="41"/>
        <w:spacing w:line="360" w:lineRule="auto"/>
        <w:jc w:val="left"/>
        <w:rPr>
          <w:rFonts w:hint="eastAsia" w:ascii="宋体" w:hAnsi="宋体" w:eastAsia="宋体" w:cs="宋体"/>
          <w:b/>
          <w:color w:val="auto"/>
          <w:sz w:val="28"/>
          <w:highlight w:val="none"/>
        </w:rPr>
      </w:pPr>
    </w:p>
    <w:p w14:paraId="4BBCBFB1">
      <w:pPr>
        <w:pStyle w:val="41"/>
        <w:spacing w:line="360" w:lineRule="auto"/>
        <w:jc w:val="left"/>
        <w:rPr>
          <w:rFonts w:hint="eastAsia" w:ascii="宋体" w:hAnsi="宋体" w:eastAsia="宋体" w:cs="宋体"/>
          <w:b/>
          <w:color w:val="auto"/>
          <w:sz w:val="28"/>
          <w:highlight w:val="none"/>
        </w:rPr>
      </w:pPr>
    </w:p>
    <w:p w14:paraId="356D66C1">
      <w:pPr>
        <w:pStyle w:val="41"/>
        <w:spacing w:line="360" w:lineRule="auto"/>
        <w:jc w:val="left"/>
        <w:rPr>
          <w:rFonts w:hint="eastAsia" w:ascii="宋体" w:hAnsi="宋体" w:cs="宋体"/>
          <w:b/>
          <w:color w:val="auto"/>
          <w:sz w:val="28"/>
          <w:highlight w:val="none"/>
          <w:lang w:val="en-US" w:eastAsia="zh-CN"/>
        </w:rPr>
      </w:pPr>
      <w:r>
        <w:rPr>
          <w:rFonts w:hint="eastAsia" w:ascii="宋体" w:hAnsi="宋体" w:eastAsia="宋体" w:cs="宋体"/>
          <w:b/>
          <w:color w:val="auto"/>
          <w:sz w:val="28"/>
          <w:highlight w:val="none"/>
        </w:rPr>
        <w:t>附件</w:t>
      </w:r>
      <w:r>
        <w:rPr>
          <w:rFonts w:hint="eastAsia" w:ascii="宋体" w:hAnsi="宋体" w:eastAsia="宋体" w:cs="宋体"/>
          <w:b/>
          <w:color w:val="auto"/>
          <w:sz w:val="28"/>
          <w:highlight w:val="none"/>
          <w:lang w:val="en-US" w:eastAsia="zh-CN"/>
        </w:rPr>
        <w:t>1</w:t>
      </w:r>
      <w:r>
        <w:rPr>
          <w:rFonts w:hint="eastAsia" w:ascii="宋体" w:hAnsi="宋体" w:cs="宋体"/>
          <w:b/>
          <w:color w:val="auto"/>
          <w:sz w:val="28"/>
          <w:highlight w:val="none"/>
          <w:lang w:val="en-US" w:eastAsia="zh-CN"/>
        </w:rPr>
        <w:t>2</w:t>
      </w:r>
    </w:p>
    <w:p w14:paraId="293E0193">
      <w:pPr>
        <w:pStyle w:val="41"/>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lang w:val="en-US" w:eastAsia="zh-CN"/>
        </w:rPr>
        <w:t>企业</w:t>
      </w:r>
      <w:r>
        <w:rPr>
          <w:rFonts w:hint="eastAsia" w:ascii="宋体" w:hAnsi="宋体" w:eastAsia="宋体" w:cs="宋体"/>
          <w:b/>
          <w:color w:val="auto"/>
          <w:sz w:val="32"/>
          <w:szCs w:val="32"/>
          <w:highlight w:val="none"/>
        </w:rPr>
        <w:t>证书一览表</w:t>
      </w:r>
    </w:p>
    <w:p w14:paraId="4EEBEAF1">
      <w:pPr>
        <w:pStyle w:val="41"/>
        <w:spacing w:line="360" w:lineRule="auto"/>
        <w:jc w:val="center"/>
        <w:rPr>
          <w:rFonts w:hint="eastAsia" w:ascii="宋体" w:hAnsi="宋体" w:eastAsia="宋体" w:cs="宋体"/>
          <w:color w:val="auto"/>
          <w:sz w:val="24"/>
          <w:highlight w:val="none"/>
        </w:rPr>
      </w:pPr>
    </w:p>
    <w:tbl>
      <w:tblPr>
        <w:tblStyle w:val="21"/>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14:paraId="36B3698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double" w:color="auto" w:sz="4" w:space="0"/>
              <w:left w:val="single" w:color="auto" w:sz="4" w:space="0"/>
            </w:tcBorders>
          </w:tcPr>
          <w:p w14:paraId="5ED22ECB">
            <w:pPr>
              <w:pStyle w:val="41"/>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证书名称</w:t>
            </w:r>
          </w:p>
        </w:tc>
        <w:tc>
          <w:tcPr>
            <w:tcW w:w="2258" w:type="dxa"/>
            <w:tcBorders>
              <w:top w:val="double" w:color="auto" w:sz="4" w:space="0"/>
            </w:tcBorders>
          </w:tcPr>
          <w:p w14:paraId="1502D2C8">
            <w:pPr>
              <w:pStyle w:val="41"/>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发证单位</w:t>
            </w:r>
          </w:p>
        </w:tc>
        <w:tc>
          <w:tcPr>
            <w:tcW w:w="2260" w:type="dxa"/>
            <w:tcBorders>
              <w:top w:val="double" w:color="auto" w:sz="4" w:space="0"/>
            </w:tcBorders>
          </w:tcPr>
          <w:p w14:paraId="13036AFB">
            <w:pPr>
              <w:pStyle w:val="41"/>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证书等级</w:t>
            </w:r>
          </w:p>
        </w:tc>
        <w:tc>
          <w:tcPr>
            <w:tcW w:w="2047" w:type="dxa"/>
            <w:tcBorders>
              <w:top w:val="double" w:color="auto" w:sz="4" w:space="0"/>
              <w:right w:val="single" w:color="auto" w:sz="4" w:space="0"/>
            </w:tcBorders>
          </w:tcPr>
          <w:p w14:paraId="57E3573E">
            <w:pPr>
              <w:pStyle w:val="41"/>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证书有效期</w:t>
            </w:r>
          </w:p>
        </w:tc>
      </w:tr>
      <w:tr w14:paraId="457DA22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4201E4EB">
            <w:pPr>
              <w:pStyle w:val="41"/>
              <w:spacing w:line="360" w:lineRule="auto"/>
              <w:jc w:val="center"/>
              <w:rPr>
                <w:rFonts w:hint="eastAsia" w:ascii="宋体" w:hAnsi="宋体" w:eastAsia="宋体" w:cs="宋体"/>
                <w:color w:val="auto"/>
                <w:sz w:val="21"/>
                <w:szCs w:val="21"/>
                <w:highlight w:val="none"/>
              </w:rPr>
            </w:pPr>
          </w:p>
        </w:tc>
        <w:tc>
          <w:tcPr>
            <w:tcW w:w="2258" w:type="dxa"/>
          </w:tcPr>
          <w:p w14:paraId="6BD816AB">
            <w:pPr>
              <w:pStyle w:val="41"/>
              <w:spacing w:line="360" w:lineRule="auto"/>
              <w:jc w:val="center"/>
              <w:rPr>
                <w:rFonts w:hint="eastAsia" w:ascii="宋体" w:hAnsi="宋体" w:eastAsia="宋体" w:cs="宋体"/>
                <w:color w:val="auto"/>
                <w:sz w:val="21"/>
                <w:szCs w:val="21"/>
                <w:highlight w:val="none"/>
              </w:rPr>
            </w:pPr>
          </w:p>
        </w:tc>
        <w:tc>
          <w:tcPr>
            <w:tcW w:w="2260" w:type="dxa"/>
          </w:tcPr>
          <w:p w14:paraId="19B98C79">
            <w:pPr>
              <w:pStyle w:val="41"/>
              <w:spacing w:line="360" w:lineRule="auto"/>
              <w:jc w:val="center"/>
              <w:rPr>
                <w:rFonts w:hint="eastAsia" w:ascii="宋体" w:hAnsi="宋体" w:eastAsia="宋体" w:cs="宋体"/>
                <w:color w:val="auto"/>
                <w:sz w:val="21"/>
                <w:szCs w:val="21"/>
                <w:highlight w:val="none"/>
              </w:rPr>
            </w:pPr>
          </w:p>
        </w:tc>
        <w:tc>
          <w:tcPr>
            <w:tcW w:w="2047" w:type="dxa"/>
            <w:tcBorders>
              <w:right w:val="single" w:color="auto" w:sz="4" w:space="0"/>
            </w:tcBorders>
          </w:tcPr>
          <w:p w14:paraId="79B5A39E">
            <w:pPr>
              <w:pStyle w:val="41"/>
              <w:spacing w:line="360" w:lineRule="auto"/>
              <w:jc w:val="center"/>
              <w:rPr>
                <w:rFonts w:hint="eastAsia" w:ascii="宋体" w:hAnsi="宋体" w:eastAsia="宋体" w:cs="宋体"/>
                <w:color w:val="auto"/>
                <w:sz w:val="21"/>
                <w:szCs w:val="21"/>
                <w:highlight w:val="none"/>
              </w:rPr>
            </w:pPr>
          </w:p>
        </w:tc>
      </w:tr>
      <w:tr w14:paraId="11173DD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6869CD86">
            <w:pPr>
              <w:pStyle w:val="41"/>
              <w:spacing w:line="360" w:lineRule="auto"/>
              <w:jc w:val="center"/>
              <w:rPr>
                <w:rFonts w:hint="eastAsia" w:ascii="宋体" w:hAnsi="宋体" w:eastAsia="宋体" w:cs="宋体"/>
                <w:color w:val="auto"/>
                <w:sz w:val="21"/>
                <w:szCs w:val="21"/>
                <w:highlight w:val="none"/>
              </w:rPr>
            </w:pPr>
          </w:p>
        </w:tc>
        <w:tc>
          <w:tcPr>
            <w:tcW w:w="2258" w:type="dxa"/>
          </w:tcPr>
          <w:p w14:paraId="6FC7109B">
            <w:pPr>
              <w:pStyle w:val="41"/>
              <w:spacing w:line="360" w:lineRule="auto"/>
              <w:jc w:val="center"/>
              <w:rPr>
                <w:rFonts w:hint="eastAsia" w:ascii="宋体" w:hAnsi="宋体" w:eastAsia="宋体" w:cs="宋体"/>
                <w:color w:val="auto"/>
                <w:sz w:val="21"/>
                <w:szCs w:val="21"/>
                <w:highlight w:val="none"/>
              </w:rPr>
            </w:pPr>
          </w:p>
        </w:tc>
        <w:tc>
          <w:tcPr>
            <w:tcW w:w="2260" w:type="dxa"/>
          </w:tcPr>
          <w:p w14:paraId="6F817AAD">
            <w:pPr>
              <w:pStyle w:val="41"/>
              <w:spacing w:line="360" w:lineRule="auto"/>
              <w:jc w:val="center"/>
              <w:rPr>
                <w:rFonts w:hint="eastAsia" w:ascii="宋体" w:hAnsi="宋体" w:eastAsia="宋体" w:cs="宋体"/>
                <w:color w:val="auto"/>
                <w:sz w:val="21"/>
                <w:szCs w:val="21"/>
                <w:highlight w:val="none"/>
              </w:rPr>
            </w:pPr>
          </w:p>
        </w:tc>
        <w:tc>
          <w:tcPr>
            <w:tcW w:w="2047" w:type="dxa"/>
            <w:tcBorders>
              <w:right w:val="single" w:color="auto" w:sz="4" w:space="0"/>
            </w:tcBorders>
          </w:tcPr>
          <w:p w14:paraId="7178DACA">
            <w:pPr>
              <w:pStyle w:val="41"/>
              <w:spacing w:line="360" w:lineRule="auto"/>
              <w:jc w:val="center"/>
              <w:rPr>
                <w:rFonts w:hint="eastAsia" w:ascii="宋体" w:hAnsi="宋体" w:eastAsia="宋体" w:cs="宋体"/>
                <w:color w:val="auto"/>
                <w:sz w:val="21"/>
                <w:szCs w:val="21"/>
                <w:highlight w:val="none"/>
              </w:rPr>
            </w:pPr>
          </w:p>
        </w:tc>
      </w:tr>
      <w:tr w14:paraId="1000667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038882B8">
            <w:pPr>
              <w:pStyle w:val="41"/>
              <w:spacing w:line="360" w:lineRule="auto"/>
              <w:jc w:val="center"/>
              <w:rPr>
                <w:rFonts w:hint="eastAsia" w:ascii="宋体" w:hAnsi="宋体" w:eastAsia="宋体" w:cs="宋体"/>
                <w:color w:val="auto"/>
                <w:sz w:val="21"/>
                <w:szCs w:val="21"/>
                <w:highlight w:val="none"/>
              </w:rPr>
            </w:pPr>
          </w:p>
        </w:tc>
        <w:tc>
          <w:tcPr>
            <w:tcW w:w="2258" w:type="dxa"/>
          </w:tcPr>
          <w:p w14:paraId="2736229A">
            <w:pPr>
              <w:pStyle w:val="41"/>
              <w:spacing w:line="360" w:lineRule="auto"/>
              <w:jc w:val="center"/>
              <w:rPr>
                <w:rFonts w:hint="eastAsia" w:ascii="宋体" w:hAnsi="宋体" w:eastAsia="宋体" w:cs="宋体"/>
                <w:color w:val="auto"/>
                <w:sz w:val="21"/>
                <w:szCs w:val="21"/>
                <w:highlight w:val="none"/>
              </w:rPr>
            </w:pPr>
          </w:p>
        </w:tc>
        <w:tc>
          <w:tcPr>
            <w:tcW w:w="2260" w:type="dxa"/>
          </w:tcPr>
          <w:p w14:paraId="201C18F9">
            <w:pPr>
              <w:pStyle w:val="41"/>
              <w:spacing w:line="360" w:lineRule="auto"/>
              <w:jc w:val="center"/>
              <w:rPr>
                <w:rFonts w:hint="eastAsia" w:ascii="宋体" w:hAnsi="宋体" w:eastAsia="宋体" w:cs="宋体"/>
                <w:color w:val="auto"/>
                <w:sz w:val="21"/>
                <w:szCs w:val="21"/>
                <w:highlight w:val="none"/>
              </w:rPr>
            </w:pPr>
          </w:p>
        </w:tc>
        <w:tc>
          <w:tcPr>
            <w:tcW w:w="2047" w:type="dxa"/>
            <w:tcBorders>
              <w:right w:val="single" w:color="auto" w:sz="4" w:space="0"/>
            </w:tcBorders>
          </w:tcPr>
          <w:p w14:paraId="4B766B20">
            <w:pPr>
              <w:pStyle w:val="41"/>
              <w:spacing w:line="360" w:lineRule="auto"/>
              <w:jc w:val="center"/>
              <w:rPr>
                <w:rFonts w:hint="eastAsia" w:ascii="宋体" w:hAnsi="宋体" w:eastAsia="宋体" w:cs="宋体"/>
                <w:color w:val="auto"/>
                <w:sz w:val="21"/>
                <w:szCs w:val="21"/>
                <w:highlight w:val="none"/>
              </w:rPr>
            </w:pPr>
          </w:p>
        </w:tc>
      </w:tr>
      <w:tr w14:paraId="095A76E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1F002BB3">
            <w:pPr>
              <w:pStyle w:val="41"/>
              <w:spacing w:line="360" w:lineRule="auto"/>
              <w:jc w:val="center"/>
              <w:rPr>
                <w:rFonts w:hint="eastAsia" w:ascii="宋体" w:hAnsi="宋体" w:eastAsia="宋体" w:cs="宋体"/>
                <w:color w:val="auto"/>
                <w:sz w:val="21"/>
                <w:szCs w:val="21"/>
                <w:highlight w:val="none"/>
              </w:rPr>
            </w:pPr>
          </w:p>
        </w:tc>
        <w:tc>
          <w:tcPr>
            <w:tcW w:w="2258" w:type="dxa"/>
          </w:tcPr>
          <w:p w14:paraId="55E0AAD5">
            <w:pPr>
              <w:pStyle w:val="41"/>
              <w:spacing w:line="360" w:lineRule="auto"/>
              <w:jc w:val="center"/>
              <w:rPr>
                <w:rFonts w:hint="eastAsia" w:ascii="宋体" w:hAnsi="宋体" w:eastAsia="宋体" w:cs="宋体"/>
                <w:color w:val="auto"/>
                <w:sz w:val="21"/>
                <w:szCs w:val="21"/>
                <w:highlight w:val="none"/>
              </w:rPr>
            </w:pPr>
          </w:p>
        </w:tc>
        <w:tc>
          <w:tcPr>
            <w:tcW w:w="2260" w:type="dxa"/>
          </w:tcPr>
          <w:p w14:paraId="3BBB53C9">
            <w:pPr>
              <w:pStyle w:val="41"/>
              <w:spacing w:line="360" w:lineRule="auto"/>
              <w:jc w:val="center"/>
              <w:rPr>
                <w:rFonts w:hint="eastAsia" w:ascii="宋体" w:hAnsi="宋体" w:eastAsia="宋体" w:cs="宋体"/>
                <w:color w:val="auto"/>
                <w:sz w:val="21"/>
                <w:szCs w:val="21"/>
                <w:highlight w:val="none"/>
              </w:rPr>
            </w:pPr>
          </w:p>
        </w:tc>
        <w:tc>
          <w:tcPr>
            <w:tcW w:w="2047" w:type="dxa"/>
            <w:tcBorders>
              <w:right w:val="single" w:color="auto" w:sz="4" w:space="0"/>
            </w:tcBorders>
          </w:tcPr>
          <w:p w14:paraId="69A0AB07">
            <w:pPr>
              <w:pStyle w:val="41"/>
              <w:spacing w:line="360" w:lineRule="auto"/>
              <w:jc w:val="center"/>
              <w:rPr>
                <w:rFonts w:hint="eastAsia" w:ascii="宋体" w:hAnsi="宋体" w:eastAsia="宋体" w:cs="宋体"/>
                <w:color w:val="auto"/>
                <w:sz w:val="21"/>
                <w:szCs w:val="21"/>
                <w:highlight w:val="none"/>
              </w:rPr>
            </w:pPr>
          </w:p>
        </w:tc>
      </w:tr>
      <w:tr w14:paraId="0C1E781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39F1BBB2">
            <w:pPr>
              <w:pStyle w:val="41"/>
              <w:spacing w:line="360" w:lineRule="auto"/>
              <w:jc w:val="center"/>
              <w:rPr>
                <w:rFonts w:hint="eastAsia" w:ascii="宋体" w:hAnsi="宋体" w:eastAsia="宋体" w:cs="宋体"/>
                <w:color w:val="auto"/>
                <w:sz w:val="21"/>
                <w:szCs w:val="21"/>
                <w:highlight w:val="none"/>
              </w:rPr>
            </w:pPr>
          </w:p>
        </w:tc>
        <w:tc>
          <w:tcPr>
            <w:tcW w:w="2258" w:type="dxa"/>
          </w:tcPr>
          <w:p w14:paraId="01737977">
            <w:pPr>
              <w:pStyle w:val="41"/>
              <w:spacing w:line="360" w:lineRule="auto"/>
              <w:jc w:val="center"/>
              <w:rPr>
                <w:rFonts w:hint="eastAsia" w:ascii="宋体" w:hAnsi="宋体" w:eastAsia="宋体" w:cs="宋体"/>
                <w:color w:val="auto"/>
                <w:sz w:val="21"/>
                <w:szCs w:val="21"/>
                <w:highlight w:val="none"/>
              </w:rPr>
            </w:pPr>
          </w:p>
        </w:tc>
        <w:tc>
          <w:tcPr>
            <w:tcW w:w="2260" w:type="dxa"/>
          </w:tcPr>
          <w:p w14:paraId="015C0827">
            <w:pPr>
              <w:pStyle w:val="41"/>
              <w:spacing w:line="360" w:lineRule="auto"/>
              <w:jc w:val="center"/>
              <w:rPr>
                <w:rFonts w:hint="eastAsia" w:ascii="宋体" w:hAnsi="宋体" w:eastAsia="宋体" w:cs="宋体"/>
                <w:color w:val="auto"/>
                <w:sz w:val="21"/>
                <w:szCs w:val="21"/>
                <w:highlight w:val="none"/>
              </w:rPr>
            </w:pPr>
          </w:p>
        </w:tc>
        <w:tc>
          <w:tcPr>
            <w:tcW w:w="2047" w:type="dxa"/>
            <w:tcBorders>
              <w:right w:val="single" w:color="auto" w:sz="4" w:space="0"/>
            </w:tcBorders>
          </w:tcPr>
          <w:p w14:paraId="1F7C24E0">
            <w:pPr>
              <w:pStyle w:val="41"/>
              <w:spacing w:line="360" w:lineRule="auto"/>
              <w:jc w:val="center"/>
              <w:rPr>
                <w:rFonts w:hint="eastAsia" w:ascii="宋体" w:hAnsi="宋体" w:eastAsia="宋体" w:cs="宋体"/>
                <w:color w:val="auto"/>
                <w:sz w:val="21"/>
                <w:szCs w:val="21"/>
                <w:highlight w:val="none"/>
              </w:rPr>
            </w:pPr>
          </w:p>
        </w:tc>
      </w:tr>
      <w:tr w14:paraId="3F53157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3BABE213">
            <w:pPr>
              <w:pStyle w:val="41"/>
              <w:spacing w:line="360" w:lineRule="auto"/>
              <w:jc w:val="center"/>
              <w:rPr>
                <w:rFonts w:hint="eastAsia" w:ascii="宋体" w:hAnsi="宋体" w:eastAsia="宋体" w:cs="宋体"/>
                <w:color w:val="auto"/>
                <w:sz w:val="21"/>
                <w:szCs w:val="21"/>
                <w:highlight w:val="none"/>
              </w:rPr>
            </w:pPr>
          </w:p>
        </w:tc>
        <w:tc>
          <w:tcPr>
            <w:tcW w:w="2258" w:type="dxa"/>
          </w:tcPr>
          <w:p w14:paraId="48A3CE71">
            <w:pPr>
              <w:pStyle w:val="41"/>
              <w:spacing w:line="360" w:lineRule="auto"/>
              <w:jc w:val="center"/>
              <w:rPr>
                <w:rFonts w:hint="eastAsia" w:ascii="宋体" w:hAnsi="宋体" w:eastAsia="宋体" w:cs="宋体"/>
                <w:color w:val="auto"/>
                <w:sz w:val="21"/>
                <w:szCs w:val="21"/>
                <w:highlight w:val="none"/>
              </w:rPr>
            </w:pPr>
          </w:p>
        </w:tc>
        <w:tc>
          <w:tcPr>
            <w:tcW w:w="2260" w:type="dxa"/>
          </w:tcPr>
          <w:p w14:paraId="2684A586">
            <w:pPr>
              <w:pStyle w:val="41"/>
              <w:spacing w:line="360" w:lineRule="auto"/>
              <w:jc w:val="center"/>
              <w:rPr>
                <w:rFonts w:hint="eastAsia" w:ascii="宋体" w:hAnsi="宋体" w:eastAsia="宋体" w:cs="宋体"/>
                <w:color w:val="auto"/>
                <w:sz w:val="21"/>
                <w:szCs w:val="21"/>
                <w:highlight w:val="none"/>
              </w:rPr>
            </w:pPr>
          </w:p>
        </w:tc>
        <w:tc>
          <w:tcPr>
            <w:tcW w:w="2047" w:type="dxa"/>
            <w:tcBorders>
              <w:right w:val="single" w:color="auto" w:sz="4" w:space="0"/>
            </w:tcBorders>
          </w:tcPr>
          <w:p w14:paraId="700F35B3">
            <w:pPr>
              <w:pStyle w:val="41"/>
              <w:spacing w:line="360" w:lineRule="auto"/>
              <w:jc w:val="center"/>
              <w:rPr>
                <w:rFonts w:hint="eastAsia" w:ascii="宋体" w:hAnsi="宋体" w:eastAsia="宋体" w:cs="宋体"/>
                <w:color w:val="auto"/>
                <w:sz w:val="21"/>
                <w:szCs w:val="21"/>
                <w:highlight w:val="none"/>
              </w:rPr>
            </w:pPr>
          </w:p>
        </w:tc>
      </w:tr>
      <w:tr w14:paraId="707111A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double" w:color="auto" w:sz="4" w:space="0"/>
            </w:tcBorders>
          </w:tcPr>
          <w:p w14:paraId="5D8501E4">
            <w:pPr>
              <w:pStyle w:val="41"/>
              <w:spacing w:line="360" w:lineRule="auto"/>
              <w:jc w:val="center"/>
              <w:rPr>
                <w:rFonts w:hint="eastAsia" w:ascii="宋体" w:hAnsi="宋体" w:eastAsia="宋体" w:cs="宋体"/>
                <w:color w:val="auto"/>
                <w:sz w:val="21"/>
                <w:szCs w:val="21"/>
                <w:highlight w:val="none"/>
              </w:rPr>
            </w:pPr>
          </w:p>
        </w:tc>
        <w:tc>
          <w:tcPr>
            <w:tcW w:w="2258" w:type="dxa"/>
            <w:tcBorders>
              <w:bottom w:val="double" w:color="auto" w:sz="4" w:space="0"/>
            </w:tcBorders>
          </w:tcPr>
          <w:p w14:paraId="2BA1D955">
            <w:pPr>
              <w:pStyle w:val="41"/>
              <w:spacing w:line="360" w:lineRule="auto"/>
              <w:jc w:val="center"/>
              <w:rPr>
                <w:rFonts w:hint="eastAsia" w:ascii="宋体" w:hAnsi="宋体" w:eastAsia="宋体" w:cs="宋体"/>
                <w:color w:val="auto"/>
                <w:sz w:val="21"/>
                <w:szCs w:val="21"/>
                <w:highlight w:val="none"/>
              </w:rPr>
            </w:pPr>
          </w:p>
        </w:tc>
        <w:tc>
          <w:tcPr>
            <w:tcW w:w="2260" w:type="dxa"/>
            <w:tcBorders>
              <w:bottom w:val="double" w:color="auto" w:sz="4" w:space="0"/>
            </w:tcBorders>
          </w:tcPr>
          <w:p w14:paraId="7947B9A6">
            <w:pPr>
              <w:pStyle w:val="41"/>
              <w:spacing w:line="360" w:lineRule="auto"/>
              <w:jc w:val="center"/>
              <w:rPr>
                <w:rFonts w:hint="eastAsia" w:ascii="宋体" w:hAnsi="宋体" w:eastAsia="宋体" w:cs="宋体"/>
                <w:color w:val="auto"/>
                <w:sz w:val="21"/>
                <w:szCs w:val="21"/>
                <w:highlight w:val="none"/>
              </w:rPr>
            </w:pPr>
          </w:p>
        </w:tc>
        <w:tc>
          <w:tcPr>
            <w:tcW w:w="2047" w:type="dxa"/>
            <w:tcBorders>
              <w:bottom w:val="double" w:color="auto" w:sz="4" w:space="0"/>
              <w:right w:val="single" w:color="auto" w:sz="4" w:space="0"/>
            </w:tcBorders>
          </w:tcPr>
          <w:p w14:paraId="614A6A4B">
            <w:pPr>
              <w:pStyle w:val="41"/>
              <w:spacing w:line="360" w:lineRule="auto"/>
              <w:jc w:val="center"/>
              <w:rPr>
                <w:rFonts w:hint="eastAsia" w:ascii="宋体" w:hAnsi="宋体" w:eastAsia="宋体" w:cs="宋体"/>
                <w:color w:val="auto"/>
                <w:sz w:val="21"/>
                <w:szCs w:val="21"/>
                <w:highlight w:val="none"/>
              </w:rPr>
            </w:pPr>
          </w:p>
        </w:tc>
      </w:tr>
    </w:tbl>
    <w:p w14:paraId="1E3BF3EB">
      <w:pPr>
        <w:pStyle w:val="41"/>
        <w:tabs>
          <w:tab w:val="left" w:pos="1050"/>
        </w:tabs>
        <w:spacing w:line="360" w:lineRule="auto"/>
        <w:rPr>
          <w:rFonts w:hint="eastAsia" w:ascii="宋体" w:hAnsi="宋体" w:eastAsia="宋体" w:cs="宋体"/>
          <w:color w:val="auto"/>
          <w:sz w:val="24"/>
          <w:highlight w:val="none"/>
        </w:rPr>
      </w:pPr>
    </w:p>
    <w:p w14:paraId="16D5BD49">
      <w:pPr>
        <w:pStyle w:val="41"/>
        <w:tabs>
          <w:tab w:val="left" w:pos="1050"/>
        </w:tabs>
        <w:spacing w:line="360"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要求：</w:t>
      </w:r>
    </w:p>
    <w:p w14:paraId="149D54B5">
      <w:pPr>
        <w:pStyle w:val="41"/>
        <w:tabs>
          <w:tab w:val="left" w:pos="1050"/>
        </w:tabs>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填写投标人获得资质、认证或企业信誉证书；</w:t>
      </w:r>
    </w:p>
    <w:p w14:paraId="23094F5D">
      <w:pPr>
        <w:pStyle w:val="41"/>
        <w:tabs>
          <w:tab w:val="left" w:pos="1050"/>
        </w:tabs>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附所列证书复印件或其他证明材料。</w:t>
      </w:r>
    </w:p>
    <w:p w14:paraId="630DFBC5">
      <w:pPr>
        <w:pStyle w:val="41"/>
        <w:tabs>
          <w:tab w:val="left" w:pos="1050"/>
        </w:tabs>
        <w:spacing w:line="360" w:lineRule="auto"/>
        <w:ind w:firstLine="630" w:firstLineChars="300"/>
        <w:rPr>
          <w:rFonts w:hint="eastAsia" w:ascii="宋体" w:hAnsi="宋体" w:eastAsia="宋体" w:cs="宋体"/>
          <w:color w:val="auto"/>
          <w:sz w:val="21"/>
          <w:szCs w:val="21"/>
          <w:highlight w:val="none"/>
        </w:rPr>
      </w:pPr>
    </w:p>
    <w:p w14:paraId="378E7375">
      <w:pPr>
        <w:pStyle w:val="41"/>
        <w:tabs>
          <w:tab w:val="left" w:pos="1050"/>
        </w:tabs>
        <w:spacing w:line="360" w:lineRule="auto"/>
        <w:ind w:firstLine="630" w:firstLineChars="300"/>
        <w:rPr>
          <w:rFonts w:hint="eastAsia" w:ascii="宋体" w:hAnsi="宋体" w:eastAsia="宋体" w:cs="宋体"/>
          <w:color w:val="auto"/>
          <w:sz w:val="21"/>
          <w:szCs w:val="21"/>
          <w:highlight w:val="none"/>
        </w:rPr>
      </w:pPr>
    </w:p>
    <w:p w14:paraId="6543E050">
      <w:pPr>
        <w:pStyle w:val="41"/>
        <w:tabs>
          <w:tab w:val="left" w:pos="1050"/>
        </w:tabs>
        <w:spacing w:line="360" w:lineRule="auto"/>
        <w:ind w:firstLine="630" w:firstLineChars="300"/>
        <w:rPr>
          <w:rFonts w:hint="eastAsia" w:ascii="宋体" w:hAnsi="宋体" w:eastAsia="宋体" w:cs="宋体"/>
          <w:color w:val="auto"/>
          <w:sz w:val="21"/>
          <w:szCs w:val="21"/>
          <w:highlight w:val="none"/>
        </w:rPr>
      </w:pPr>
    </w:p>
    <w:p w14:paraId="41A598E0">
      <w:pPr>
        <w:spacing w:line="360" w:lineRule="auto"/>
        <w:ind w:firstLine="371" w:firstLineChars="177"/>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投标人名称（盖章）：</w:t>
      </w:r>
    </w:p>
    <w:p w14:paraId="714D0D96">
      <w:pPr>
        <w:spacing w:line="360" w:lineRule="auto"/>
        <w:ind w:left="420"/>
        <w:rPr>
          <w:rFonts w:hint="eastAsia" w:ascii="宋体" w:hAnsi="宋体" w:eastAsia="宋体" w:cs="宋体"/>
          <w:color w:val="auto"/>
          <w:sz w:val="21"/>
          <w:szCs w:val="21"/>
          <w:highlight w:val="none"/>
        </w:rPr>
      </w:pPr>
    </w:p>
    <w:p w14:paraId="1EA12AFE">
      <w:pPr>
        <w:spacing w:line="360" w:lineRule="auto"/>
        <w:ind w:firstLine="371" w:firstLineChars="177"/>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p>
    <w:p w14:paraId="143B7058">
      <w:pPr>
        <w:spacing w:line="360" w:lineRule="auto"/>
        <w:rPr>
          <w:rFonts w:hint="eastAsia" w:ascii="宋体" w:hAnsi="宋体" w:eastAsia="宋体" w:cs="宋体"/>
          <w:color w:val="auto"/>
          <w:sz w:val="21"/>
          <w:szCs w:val="21"/>
          <w:highlight w:val="none"/>
        </w:rPr>
      </w:pPr>
    </w:p>
    <w:p w14:paraId="6BD4558A">
      <w:pPr>
        <w:pStyle w:val="37"/>
        <w:shd w:val="clear" w:color="auto" w:fill="FFFFFF"/>
        <w:spacing w:before="0" w:beforeAutospacing="0" w:after="0" w:afterAutospacing="0" w:line="360" w:lineRule="auto"/>
        <w:ind w:firstLine="371" w:firstLineChars="177"/>
        <w:rPr>
          <w:rFonts w:hint="eastAsia" w:ascii="宋体" w:hAnsi="宋体" w:eastAsia="宋体" w:cs="宋体"/>
          <w:b/>
          <w:bCs/>
          <w:color w:val="auto"/>
          <w:spacing w:val="11"/>
          <w:sz w:val="21"/>
          <w:szCs w:val="21"/>
          <w:highlight w:val="none"/>
        </w:rPr>
      </w:pPr>
      <w:r>
        <w:rPr>
          <w:rFonts w:hint="eastAsia" w:ascii="宋体" w:hAnsi="宋体" w:eastAsia="宋体" w:cs="宋体"/>
          <w:color w:val="auto"/>
          <w:sz w:val="21"/>
          <w:szCs w:val="21"/>
          <w:highlight w:val="none"/>
        </w:rPr>
        <w:t>日期：：</w:t>
      </w:r>
    </w:p>
    <w:p w14:paraId="7320CDC1">
      <w:pPr>
        <w:spacing w:line="360" w:lineRule="auto"/>
        <w:rPr>
          <w:rFonts w:hint="eastAsia" w:ascii="宋体" w:hAnsi="宋体" w:eastAsia="宋体" w:cs="宋体"/>
          <w:b/>
          <w:color w:val="auto"/>
          <w:sz w:val="24"/>
          <w:highlight w:val="none"/>
        </w:rPr>
      </w:pPr>
    </w:p>
    <w:p w14:paraId="0056EC3D">
      <w:pPr>
        <w:spacing w:line="360" w:lineRule="auto"/>
        <w:rPr>
          <w:rFonts w:hint="eastAsia" w:ascii="宋体" w:hAnsi="宋体" w:eastAsia="宋体" w:cs="宋体"/>
          <w:b/>
          <w:color w:val="auto"/>
          <w:sz w:val="28"/>
          <w:highlight w:val="none"/>
        </w:rPr>
      </w:pPr>
    </w:p>
    <w:p w14:paraId="3013D4AB">
      <w:pPr>
        <w:pStyle w:val="7"/>
        <w:rPr>
          <w:rFonts w:hint="eastAsia" w:ascii="宋体" w:hAnsi="宋体" w:eastAsia="宋体" w:cs="宋体"/>
          <w:b/>
          <w:color w:val="auto"/>
          <w:sz w:val="28"/>
          <w:highlight w:val="none"/>
        </w:rPr>
      </w:pPr>
    </w:p>
    <w:p w14:paraId="0231EAD6">
      <w:pPr>
        <w:pStyle w:val="7"/>
        <w:rPr>
          <w:rFonts w:hint="eastAsia" w:ascii="宋体" w:hAnsi="宋体" w:eastAsia="宋体" w:cs="宋体"/>
          <w:b/>
          <w:color w:val="auto"/>
          <w:sz w:val="28"/>
          <w:highlight w:val="none"/>
        </w:rPr>
      </w:pPr>
    </w:p>
    <w:p w14:paraId="20A3084A">
      <w:pPr>
        <w:spacing w:line="360" w:lineRule="auto"/>
        <w:outlineLvl w:val="9"/>
        <w:rPr>
          <w:rFonts w:hint="default" w:ascii="宋体" w:hAnsi="宋体" w:eastAsia="宋体" w:cs="宋体"/>
          <w:b/>
          <w:color w:val="auto"/>
          <w:sz w:val="28"/>
          <w:highlight w:val="none"/>
          <w:lang w:val="en-US" w:eastAsia="zh-CN"/>
        </w:rPr>
      </w:pPr>
      <w:r>
        <w:rPr>
          <w:rFonts w:hint="eastAsia" w:ascii="宋体" w:hAnsi="宋体" w:eastAsia="宋体" w:cs="宋体"/>
          <w:b/>
          <w:color w:val="auto"/>
          <w:sz w:val="28"/>
          <w:highlight w:val="none"/>
        </w:rPr>
        <w:t>附件1</w:t>
      </w:r>
      <w:r>
        <w:rPr>
          <w:rFonts w:hint="eastAsia" w:ascii="宋体" w:hAnsi="宋体" w:cs="宋体"/>
          <w:b/>
          <w:color w:val="auto"/>
          <w:sz w:val="28"/>
          <w:highlight w:val="none"/>
          <w:lang w:val="en-US" w:eastAsia="zh-CN"/>
        </w:rPr>
        <w:t>3</w:t>
      </w:r>
    </w:p>
    <w:p w14:paraId="4E42F74A">
      <w:pPr>
        <w:pStyle w:val="4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投标人类似项目实施情况一览表</w:t>
      </w:r>
    </w:p>
    <w:p w14:paraId="5EC815B4">
      <w:pPr>
        <w:pStyle w:val="40"/>
        <w:spacing w:line="360" w:lineRule="auto"/>
        <w:jc w:val="center"/>
        <w:rPr>
          <w:rFonts w:hint="eastAsia" w:ascii="宋体" w:hAnsi="宋体" w:eastAsia="宋体" w:cs="宋体"/>
          <w:b/>
          <w:color w:val="auto"/>
          <w:sz w:val="24"/>
          <w:highlight w:val="none"/>
        </w:rPr>
      </w:pPr>
    </w:p>
    <w:tbl>
      <w:tblPr>
        <w:tblStyle w:val="21"/>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14:paraId="6028FD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14:paraId="665E3D3B">
            <w:pPr>
              <w:pStyle w:val="4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1293" w:type="dxa"/>
            <w:tcBorders>
              <w:top w:val="single" w:color="auto" w:sz="6" w:space="0"/>
              <w:left w:val="single" w:color="auto" w:sz="6" w:space="0"/>
              <w:bottom w:val="single" w:color="auto" w:sz="6" w:space="0"/>
              <w:right w:val="single" w:color="auto" w:sz="6" w:space="0"/>
            </w:tcBorders>
            <w:vAlign w:val="center"/>
          </w:tcPr>
          <w:p w14:paraId="6DF34A9B">
            <w:pPr>
              <w:pStyle w:val="4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14:paraId="422CC4E2">
            <w:pPr>
              <w:pStyle w:val="4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14:paraId="50E9387F">
            <w:pPr>
              <w:pStyle w:val="4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14:paraId="39B4C067">
            <w:pPr>
              <w:pStyle w:val="4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14:paraId="5FFF715A">
            <w:pPr>
              <w:pStyle w:val="4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14:paraId="41127C3F">
            <w:pPr>
              <w:pStyle w:val="4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项目单位名称及其联系人电话</w:t>
            </w:r>
          </w:p>
        </w:tc>
      </w:tr>
      <w:tr w14:paraId="4747D3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14:paraId="2F22137A">
            <w:pPr>
              <w:pStyle w:val="4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293" w:type="dxa"/>
            <w:tcBorders>
              <w:top w:val="single" w:color="auto" w:sz="6" w:space="0"/>
              <w:left w:val="single" w:color="auto" w:sz="6" w:space="0"/>
              <w:bottom w:val="single" w:color="auto" w:sz="6" w:space="0"/>
              <w:right w:val="single" w:color="auto" w:sz="6" w:space="0"/>
            </w:tcBorders>
          </w:tcPr>
          <w:p w14:paraId="0DAC7F5C">
            <w:pPr>
              <w:pStyle w:val="40"/>
              <w:spacing w:line="360" w:lineRule="auto"/>
              <w:rPr>
                <w:rFonts w:hint="eastAsia" w:ascii="宋体" w:hAnsi="宋体" w:eastAsia="宋体" w:cs="宋体"/>
                <w:color w:val="auto"/>
                <w:sz w:val="21"/>
                <w:szCs w:val="21"/>
                <w:highlight w:val="none"/>
              </w:rPr>
            </w:pPr>
          </w:p>
        </w:tc>
        <w:tc>
          <w:tcPr>
            <w:tcW w:w="1575" w:type="dxa"/>
            <w:tcBorders>
              <w:top w:val="single" w:color="auto" w:sz="6" w:space="0"/>
              <w:left w:val="single" w:color="auto" w:sz="6" w:space="0"/>
              <w:bottom w:val="single" w:color="auto" w:sz="6" w:space="0"/>
              <w:right w:val="single" w:color="auto" w:sz="6" w:space="0"/>
            </w:tcBorders>
          </w:tcPr>
          <w:p w14:paraId="6D676041">
            <w:pPr>
              <w:pStyle w:val="40"/>
              <w:spacing w:line="360" w:lineRule="auto"/>
              <w:rPr>
                <w:rFonts w:hint="eastAsia" w:ascii="宋体" w:hAnsi="宋体" w:eastAsia="宋体" w:cs="宋体"/>
                <w:color w:val="auto"/>
                <w:sz w:val="21"/>
                <w:szCs w:val="21"/>
                <w:highlight w:val="none"/>
              </w:rPr>
            </w:pPr>
          </w:p>
        </w:tc>
        <w:tc>
          <w:tcPr>
            <w:tcW w:w="1260" w:type="dxa"/>
            <w:tcBorders>
              <w:top w:val="single" w:color="auto" w:sz="6" w:space="0"/>
              <w:left w:val="single" w:color="auto" w:sz="6" w:space="0"/>
              <w:bottom w:val="single" w:color="auto" w:sz="6" w:space="0"/>
              <w:right w:val="single" w:color="auto" w:sz="6" w:space="0"/>
            </w:tcBorders>
          </w:tcPr>
          <w:p w14:paraId="001CC442">
            <w:pPr>
              <w:pStyle w:val="40"/>
              <w:spacing w:line="360" w:lineRule="auto"/>
              <w:rPr>
                <w:rFonts w:hint="eastAsia" w:ascii="宋体" w:hAnsi="宋体" w:eastAsia="宋体" w:cs="宋体"/>
                <w:color w:val="auto"/>
                <w:sz w:val="21"/>
                <w:szCs w:val="21"/>
                <w:highlight w:val="none"/>
              </w:rPr>
            </w:pPr>
          </w:p>
        </w:tc>
        <w:tc>
          <w:tcPr>
            <w:tcW w:w="1452" w:type="dxa"/>
            <w:tcBorders>
              <w:top w:val="single" w:color="auto" w:sz="6" w:space="0"/>
              <w:left w:val="single" w:color="auto" w:sz="6" w:space="0"/>
              <w:bottom w:val="single" w:color="auto" w:sz="6" w:space="0"/>
              <w:right w:val="single" w:color="auto" w:sz="6" w:space="0"/>
            </w:tcBorders>
          </w:tcPr>
          <w:p w14:paraId="7E5A8A69">
            <w:pPr>
              <w:pStyle w:val="40"/>
              <w:spacing w:line="360" w:lineRule="auto"/>
              <w:rPr>
                <w:rFonts w:hint="eastAsia" w:ascii="宋体" w:hAnsi="宋体" w:eastAsia="宋体" w:cs="宋体"/>
                <w:color w:val="auto"/>
                <w:sz w:val="21"/>
                <w:szCs w:val="21"/>
                <w:highlight w:val="none"/>
              </w:rPr>
            </w:pPr>
          </w:p>
        </w:tc>
        <w:tc>
          <w:tcPr>
            <w:tcW w:w="1383" w:type="dxa"/>
            <w:tcBorders>
              <w:top w:val="single" w:color="auto" w:sz="6" w:space="0"/>
              <w:left w:val="single" w:color="auto" w:sz="6" w:space="0"/>
              <w:bottom w:val="single" w:color="auto" w:sz="6" w:space="0"/>
              <w:right w:val="single" w:color="auto" w:sz="6" w:space="0"/>
            </w:tcBorders>
          </w:tcPr>
          <w:p w14:paraId="0B879D28">
            <w:pPr>
              <w:pStyle w:val="40"/>
              <w:spacing w:line="360" w:lineRule="auto"/>
              <w:rPr>
                <w:rFonts w:hint="eastAsia" w:ascii="宋体" w:hAnsi="宋体" w:eastAsia="宋体" w:cs="宋体"/>
                <w:color w:val="auto"/>
                <w:sz w:val="21"/>
                <w:szCs w:val="21"/>
                <w:highlight w:val="none"/>
              </w:rPr>
            </w:pPr>
          </w:p>
        </w:tc>
        <w:tc>
          <w:tcPr>
            <w:tcW w:w="2037" w:type="dxa"/>
            <w:tcBorders>
              <w:top w:val="single" w:color="auto" w:sz="6" w:space="0"/>
              <w:left w:val="single" w:color="auto" w:sz="6" w:space="0"/>
              <w:bottom w:val="single" w:color="auto" w:sz="6" w:space="0"/>
              <w:right w:val="single" w:color="auto" w:sz="6" w:space="0"/>
            </w:tcBorders>
          </w:tcPr>
          <w:p w14:paraId="52DABAB8">
            <w:pPr>
              <w:pStyle w:val="40"/>
              <w:spacing w:line="360" w:lineRule="auto"/>
              <w:rPr>
                <w:rFonts w:hint="eastAsia" w:ascii="宋体" w:hAnsi="宋体" w:eastAsia="宋体" w:cs="宋体"/>
                <w:color w:val="auto"/>
                <w:sz w:val="21"/>
                <w:szCs w:val="21"/>
                <w:highlight w:val="none"/>
              </w:rPr>
            </w:pPr>
          </w:p>
        </w:tc>
      </w:tr>
      <w:tr w14:paraId="73D00D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14:paraId="264E5DC5">
            <w:pPr>
              <w:pStyle w:val="4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293" w:type="dxa"/>
            <w:tcBorders>
              <w:top w:val="single" w:color="auto" w:sz="6" w:space="0"/>
              <w:left w:val="single" w:color="auto" w:sz="6" w:space="0"/>
              <w:bottom w:val="single" w:color="auto" w:sz="6" w:space="0"/>
              <w:right w:val="single" w:color="auto" w:sz="6" w:space="0"/>
            </w:tcBorders>
          </w:tcPr>
          <w:p w14:paraId="1BCE1DA7">
            <w:pPr>
              <w:pStyle w:val="40"/>
              <w:spacing w:line="360" w:lineRule="auto"/>
              <w:rPr>
                <w:rFonts w:hint="eastAsia" w:ascii="宋体" w:hAnsi="宋体" w:eastAsia="宋体" w:cs="宋体"/>
                <w:color w:val="auto"/>
                <w:sz w:val="21"/>
                <w:szCs w:val="21"/>
                <w:highlight w:val="none"/>
              </w:rPr>
            </w:pPr>
          </w:p>
        </w:tc>
        <w:tc>
          <w:tcPr>
            <w:tcW w:w="1575" w:type="dxa"/>
            <w:tcBorders>
              <w:top w:val="single" w:color="auto" w:sz="6" w:space="0"/>
              <w:left w:val="single" w:color="auto" w:sz="6" w:space="0"/>
              <w:bottom w:val="single" w:color="auto" w:sz="6" w:space="0"/>
              <w:right w:val="single" w:color="auto" w:sz="6" w:space="0"/>
            </w:tcBorders>
          </w:tcPr>
          <w:p w14:paraId="1DBA602D">
            <w:pPr>
              <w:pStyle w:val="40"/>
              <w:spacing w:line="360" w:lineRule="auto"/>
              <w:rPr>
                <w:rFonts w:hint="eastAsia" w:ascii="宋体" w:hAnsi="宋体" w:eastAsia="宋体" w:cs="宋体"/>
                <w:color w:val="auto"/>
                <w:sz w:val="21"/>
                <w:szCs w:val="21"/>
                <w:highlight w:val="none"/>
              </w:rPr>
            </w:pPr>
          </w:p>
        </w:tc>
        <w:tc>
          <w:tcPr>
            <w:tcW w:w="1260" w:type="dxa"/>
            <w:tcBorders>
              <w:top w:val="single" w:color="auto" w:sz="6" w:space="0"/>
              <w:left w:val="single" w:color="auto" w:sz="6" w:space="0"/>
              <w:bottom w:val="single" w:color="auto" w:sz="6" w:space="0"/>
              <w:right w:val="single" w:color="auto" w:sz="6" w:space="0"/>
            </w:tcBorders>
          </w:tcPr>
          <w:p w14:paraId="3E1EDAD6">
            <w:pPr>
              <w:pStyle w:val="40"/>
              <w:spacing w:line="360" w:lineRule="auto"/>
              <w:rPr>
                <w:rFonts w:hint="eastAsia" w:ascii="宋体" w:hAnsi="宋体" w:eastAsia="宋体" w:cs="宋体"/>
                <w:color w:val="auto"/>
                <w:sz w:val="21"/>
                <w:szCs w:val="21"/>
                <w:highlight w:val="none"/>
              </w:rPr>
            </w:pPr>
          </w:p>
        </w:tc>
        <w:tc>
          <w:tcPr>
            <w:tcW w:w="1452" w:type="dxa"/>
            <w:tcBorders>
              <w:top w:val="single" w:color="auto" w:sz="6" w:space="0"/>
              <w:left w:val="single" w:color="auto" w:sz="6" w:space="0"/>
              <w:bottom w:val="single" w:color="auto" w:sz="6" w:space="0"/>
              <w:right w:val="single" w:color="auto" w:sz="6" w:space="0"/>
            </w:tcBorders>
          </w:tcPr>
          <w:p w14:paraId="04D25423">
            <w:pPr>
              <w:pStyle w:val="40"/>
              <w:spacing w:line="360" w:lineRule="auto"/>
              <w:rPr>
                <w:rFonts w:hint="eastAsia" w:ascii="宋体" w:hAnsi="宋体" w:eastAsia="宋体" w:cs="宋体"/>
                <w:color w:val="auto"/>
                <w:sz w:val="21"/>
                <w:szCs w:val="21"/>
                <w:highlight w:val="none"/>
              </w:rPr>
            </w:pPr>
          </w:p>
        </w:tc>
        <w:tc>
          <w:tcPr>
            <w:tcW w:w="1383" w:type="dxa"/>
            <w:tcBorders>
              <w:top w:val="single" w:color="auto" w:sz="6" w:space="0"/>
              <w:left w:val="single" w:color="auto" w:sz="6" w:space="0"/>
              <w:bottom w:val="single" w:color="auto" w:sz="6" w:space="0"/>
              <w:right w:val="single" w:color="auto" w:sz="6" w:space="0"/>
            </w:tcBorders>
          </w:tcPr>
          <w:p w14:paraId="35EC65C0">
            <w:pPr>
              <w:pStyle w:val="40"/>
              <w:spacing w:line="360" w:lineRule="auto"/>
              <w:rPr>
                <w:rFonts w:hint="eastAsia" w:ascii="宋体" w:hAnsi="宋体" w:eastAsia="宋体" w:cs="宋体"/>
                <w:color w:val="auto"/>
                <w:sz w:val="21"/>
                <w:szCs w:val="21"/>
                <w:highlight w:val="none"/>
              </w:rPr>
            </w:pPr>
          </w:p>
        </w:tc>
        <w:tc>
          <w:tcPr>
            <w:tcW w:w="2037" w:type="dxa"/>
            <w:tcBorders>
              <w:top w:val="single" w:color="auto" w:sz="6" w:space="0"/>
              <w:left w:val="single" w:color="auto" w:sz="6" w:space="0"/>
              <w:bottom w:val="single" w:color="auto" w:sz="6" w:space="0"/>
              <w:right w:val="single" w:color="auto" w:sz="6" w:space="0"/>
            </w:tcBorders>
          </w:tcPr>
          <w:p w14:paraId="5693454F">
            <w:pPr>
              <w:pStyle w:val="40"/>
              <w:spacing w:line="360" w:lineRule="auto"/>
              <w:rPr>
                <w:rFonts w:hint="eastAsia" w:ascii="宋体" w:hAnsi="宋体" w:eastAsia="宋体" w:cs="宋体"/>
                <w:color w:val="auto"/>
                <w:sz w:val="21"/>
                <w:szCs w:val="21"/>
                <w:highlight w:val="none"/>
              </w:rPr>
            </w:pPr>
          </w:p>
        </w:tc>
      </w:tr>
      <w:tr w14:paraId="571A8B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14:paraId="0386FF09">
            <w:pPr>
              <w:pStyle w:val="4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293" w:type="dxa"/>
            <w:tcBorders>
              <w:top w:val="single" w:color="auto" w:sz="6" w:space="0"/>
              <w:left w:val="single" w:color="auto" w:sz="6" w:space="0"/>
              <w:bottom w:val="single" w:color="auto" w:sz="6" w:space="0"/>
              <w:right w:val="single" w:color="auto" w:sz="6" w:space="0"/>
            </w:tcBorders>
          </w:tcPr>
          <w:p w14:paraId="5C0E4149">
            <w:pPr>
              <w:pStyle w:val="40"/>
              <w:spacing w:line="360" w:lineRule="auto"/>
              <w:rPr>
                <w:rFonts w:hint="eastAsia" w:ascii="宋体" w:hAnsi="宋体" w:eastAsia="宋体" w:cs="宋体"/>
                <w:color w:val="auto"/>
                <w:sz w:val="21"/>
                <w:szCs w:val="21"/>
                <w:highlight w:val="none"/>
              </w:rPr>
            </w:pPr>
          </w:p>
        </w:tc>
        <w:tc>
          <w:tcPr>
            <w:tcW w:w="1575" w:type="dxa"/>
            <w:tcBorders>
              <w:top w:val="single" w:color="auto" w:sz="6" w:space="0"/>
              <w:left w:val="single" w:color="auto" w:sz="6" w:space="0"/>
              <w:bottom w:val="single" w:color="auto" w:sz="6" w:space="0"/>
              <w:right w:val="single" w:color="auto" w:sz="6" w:space="0"/>
            </w:tcBorders>
          </w:tcPr>
          <w:p w14:paraId="3E33A7D4">
            <w:pPr>
              <w:pStyle w:val="40"/>
              <w:spacing w:line="360" w:lineRule="auto"/>
              <w:rPr>
                <w:rFonts w:hint="eastAsia" w:ascii="宋体" w:hAnsi="宋体" w:eastAsia="宋体" w:cs="宋体"/>
                <w:color w:val="auto"/>
                <w:sz w:val="21"/>
                <w:szCs w:val="21"/>
                <w:highlight w:val="none"/>
              </w:rPr>
            </w:pPr>
          </w:p>
        </w:tc>
        <w:tc>
          <w:tcPr>
            <w:tcW w:w="1260" w:type="dxa"/>
            <w:tcBorders>
              <w:top w:val="single" w:color="auto" w:sz="6" w:space="0"/>
              <w:left w:val="single" w:color="auto" w:sz="6" w:space="0"/>
              <w:bottom w:val="single" w:color="auto" w:sz="6" w:space="0"/>
              <w:right w:val="single" w:color="auto" w:sz="6" w:space="0"/>
            </w:tcBorders>
          </w:tcPr>
          <w:p w14:paraId="0CA1D852">
            <w:pPr>
              <w:pStyle w:val="40"/>
              <w:spacing w:line="360" w:lineRule="auto"/>
              <w:rPr>
                <w:rFonts w:hint="eastAsia" w:ascii="宋体" w:hAnsi="宋体" w:eastAsia="宋体" w:cs="宋体"/>
                <w:color w:val="auto"/>
                <w:sz w:val="21"/>
                <w:szCs w:val="21"/>
                <w:highlight w:val="none"/>
              </w:rPr>
            </w:pPr>
          </w:p>
        </w:tc>
        <w:tc>
          <w:tcPr>
            <w:tcW w:w="1452" w:type="dxa"/>
            <w:tcBorders>
              <w:top w:val="single" w:color="auto" w:sz="6" w:space="0"/>
              <w:left w:val="single" w:color="auto" w:sz="6" w:space="0"/>
              <w:bottom w:val="single" w:color="auto" w:sz="6" w:space="0"/>
              <w:right w:val="single" w:color="auto" w:sz="6" w:space="0"/>
            </w:tcBorders>
          </w:tcPr>
          <w:p w14:paraId="1A583D1A">
            <w:pPr>
              <w:pStyle w:val="40"/>
              <w:spacing w:line="360" w:lineRule="auto"/>
              <w:rPr>
                <w:rFonts w:hint="eastAsia" w:ascii="宋体" w:hAnsi="宋体" w:eastAsia="宋体" w:cs="宋体"/>
                <w:color w:val="auto"/>
                <w:sz w:val="21"/>
                <w:szCs w:val="21"/>
                <w:highlight w:val="none"/>
              </w:rPr>
            </w:pPr>
          </w:p>
        </w:tc>
        <w:tc>
          <w:tcPr>
            <w:tcW w:w="1383" w:type="dxa"/>
            <w:tcBorders>
              <w:top w:val="single" w:color="auto" w:sz="6" w:space="0"/>
              <w:left w:val="single" w:color="auto" w:sz="6" w:space="0"/>
              <w:bottom w:val="single" w:color="auto" w:sz="6" w:space="0"/>
              <w:right w:val="single" w:color="auto" w:sz="6" w:space="0"/>
            </w:tcBorders>
          </w:tcPr>
          <w:p w14:paraId="57284CF2">
            <w:pPr>
              <w:pStyle w:val="40"/>
              <w:spacing w:line="360" w:lineRule="auto"/>
              <w:rPr>
                <w:rFonts w:hint="eastAsia" w:ascii="宋体" w:hAnsi="宋体" w:eastAsia="宋体" w:cs="宋体"/>
                <w:color w:val="auto"/>
                <w:sz w:val="21"/>
                <w:szCs w:val="21"/>
                <w:highlight w:val="none"/>
              </w:rPr>
            </w:pPr>
          </w:p>
        </w:tc>
        <w:tc>
          <w:tcPr>
            <w:tcW w:w="2037" w:type="dxa"/>
            <w:tcBorders>
              <w:top w:val="single" w:color="auto" w:sz="6" w:space="0"/>
              <w:left w:val="single" w:color="auto" w:sz="6" w:space="0"/>
              <w:bottom w:val="single" w:color="auto" w:sz="6" w:space="0"/>
              <w:right w:val="single" w:color="auto" w:sz="6" w:space="0"/>
            </w:tcBorders>
          </w:tcPr>
          <w:p w14:paraId="085F34E7">
            <w:pPr>
              <w:pStyle w:val="40"/>
              <w:spacing w:line="360" w:lineRule="auto"/>
              <w:rPr>
                <w:rFonts w:hint="eastAsia" w:ascii="宋体" w:hAnsi="宋体" w:eastAsia="宋体" w:cs="宋体"/>
                <w:color w:val="auto"/>
                <w:sz w:val="21"/>
                <w:szCs w:val="21"/>
                <w:highlight w:val="none"/>
              </w:rPr>
            </w:pPr>
          </w:p>
        </w:tc>
      </w:tr>
      <w:tr w14:paraId="2C6D77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2F7CBA88">
            <w:pPr>
              <w:pStyle w:val="4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93" w:type="dxa"/>
            <w:tcBorders>
              <w:top w:val="single" w:color="auto" w:sz="6" w:space="0"/>
              <w:left w:val="single" w:color="auto" w:sz="6" w:space="0"/>
              <w:bottom w:val="single" w:color="auto" w:sz="6" w:space="0"/>
              <w:right w:val="single" w:color="auto" w:sz="6" w:space="0"/>
            </w:tcBorders>
          </w:tcPr>
          <w:p w14:paraId="5C128109">
            <w:pPr>
              <w:pStyle w:val="40"/>
              <w:spacing w:line="360" w:lineRule="auto"/>
              <w:rPr>
                <w:rFonts w:hint="eastAsia" w:ascii="宋体" w:hAnsi="宋体" w:eastAsia="宋体" w:cs="宋体"/>
                <w:color w:val="auto"/>
                <w:sz w:val="21"/>
                <w:szCs w:val="21"/>
                <w:highlight w:val="none"/>
              </w:rPr>
            </w:pPr>
          </w:p>
        </w:tc>
        <w:tc>
          <w:tcPr>
            <w:tcW w:w="1575" w:type="dxa"/>
            <w:tcBorders>
              <w:top w:val="single" w:color="auto" w:sz="6" w:space="0"/>
              <w:left w:val="single" w:color="auto" w:sz="6" w:space="0"/>
              <w:bottom w:val="single" w:color="auto" w:sz="6" w:space="0"/>
              <w:right w:val="single" w:color="auto" w:sz="6" w:space="0"/>
            </w:tcBorders>
          </w:tcPr>
          <w:p w14:paraId="47F3090F">
            <w:pPr>
              <w:pStyle w:val="40"/>
              <w:spacing w:line="360" w:lineRule="auto"/>
              <w:rPr>
                <w:rFonts w:hint="eastAsia" w:ascii="宋体" w:hAnsi="宋体" w:eastAsia="宋体" w:cs="宋体"/>
                <w:color w:val="auto"/>
                <w:sz w:val="21"/>
                <w:szCs w:val="21"/>
                <w:highlight w:val="none"/>
              </w:rPr>
            </w:pPr>
          </w:p>
        </w:tc>
        <w:tc>
          <w:tcPr>
            <w:tcW w:w="1260" w:type="dxa"/>
            <w:tcBorders>
              <w:top w:val="single" w:color="auto" w:sz="6" w:space="0"/>
              <w:left w:val="single" w:color="auto" w:sz="6" w:space="0"/>
              <w:bottom w:val="single" w:color="auto" w:sz="6" w:space="0"/>
              <w:right w:val="single" w:color="auto" w:sz="6" w:space="0"/>
            </w:tcBorders>
          </w:tcPr>
          <w:p w14:paraId="6471D16B">
            <w:pPr>
              <w:pStyle w:val="40"/>
              <w:spacing w:line="360" w:lineRule="auto"/>
              <w:rPr>
                <w:rFonts w:hint="eastAsia" w:ascii="宋体" w:hAnsi="宋体" w:eastAsia="宋体" w:cs="宋体"/>
                <w:color w:val="auto"/>
                <w:sz w:val="21"/>
                <w:szCs w:val="21"/>
                <w:highlight w:val="none"/>
              </w:rPr>
            </w:pPr>
          </w:p>
        </w:tc>
        <w:tc>
          <w:tcPr>
            <w:tcW w:w="1452" w:type="dxa"/>
            <w:tcBorders>
              <w:top w:val="single" w:color="auto" w:sz="6" w:space="0"/>
              <w:left w:val="single" w:color="auto" w:sz="6" w:space="0"/>
              <w:bottom w:val="single" w:color="auto" w:sz="6" w:space="0"/>
              <w:right w:val="single" w:color="auto" w:sz="6" w:space="0"/>
            </w:tcBorders>
          </w:tcPr>
          <w:p w14:paraId="00721B9A">
            <w:pPr>
              <w:pStyle w:val="40"/>
              <w:spacing w:line="360" w:lineRule="auto"/>
              <w:rPr>
                <w:rFonts w:hint="eastAsia" w:ascii="宋体" w:hAnsi="宋体" w:eastAsia="宋体" w:cs="宋体"/>
                <w:color w:val="auto"/>
                <w:sz w:val="21"/>
                <w:szCs w:val="21"/>
                <w:highlight w:val="none"/>
              </w:rPr>
            </w:pPr>
          </w:p>
        </w:tc>
        <w:tc>
          <w:tcPr>
            <w:tcW w:w="1383" w:type="dxa"/>
            <w:tcBorders>
              <w:top w:val="single" w:color="auto" w:sz="6" w:space="0"/>
              <w:left w:val="single" w:color="auto" w:sz="6" w:space="0"/>
              <w:bottom w:val="single" w:color="auto" w:sz="6" w:space="0"/>
              <w:right w:val="single" w:color="auto" w:sz="6" w:space="0"/>
            </w:tcBorders>
          </w:tcPr>
          <w:p w14:paraId="25599F83">
            <w:pPr>
              <w:pStyle w:val="40"/>
              <w:spacing w:line="360" w:lineRule="auto"/>
              <w:rPr>
                <w:rFonts w:hint="eastAsia" w:ascii="宋体" w:hAnsi="宋体" w:eastAsia="宋体" w:cs="宋体"/>
                <w:color w:val="auto"/>
                <w:sz w:val="21"/>
                <w:szCs w:val="21"/>
                <w:highlight w:val="none"/>
              </w:rPr>
            </w:pPr>
          </w:p>
        </w:tc>
        <w:tc>
          <w:tcPr>
            <w:tcW w:w="2037" w:type="dxa"/>
            <w:tcBorders>
              <w:top w:val="single" w:color="auto" w:sz="6" w:space="0"/>
              <w:left w:val="single" w:color="auto" w:sz="6" w:space="0"/>
              <w:bottom w:val="single" w:color="auto" w:sz="6" w:space="0"/>
              <w:right w:val="single" w:color="auto" w:sz="6" w:space="0"/>
            </w:tcBorders>
          </w:tcPr>
          <w:p w14:paraId="133AA7AA">
            <w:pPr>
              <w:pStyle w:val="40"/>
              <w:spacing w:line="360" w:lineRule="auto"/>
              <w:rPr>
                <w:rFonts w:hint="eastAsia" w:ascii="宋体" w:hAnsi="宋体" w:eastAsia="宋体" w:cs="宋体"/>
                <w:color w:val="auto"/>
                <w:sz w:val="21"/>
                <w:szCs w:val="21"/>
                <w:highlight w:val="none"/>
              </w:rPr>
            </w:pPr>
          </w:p>
        </w:tc>
      </w:tr>
      <w:tr w14:paraId="122728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06882E74">
            <w:pPr>
              <w:pStyle w:val="40"/>
              <w:spacing w:line="360" w:lineRule="auto"/>
              <w:rPr>
                <w:rFonts w:hint="eastAsia" w:ascii="宋体" w:hAnsi="宋体" w:eastAsia="宋体" w:cs="宋体"/>
                <w:color w:val="auto"/>
                <w:sz w:val="21"/>
                <w:szCs w:val="21"/>
                <w:highlight w:val="none"/>
              </w:rPr>
            </w:pPr>
          </w:p>
        </w:tc>
        <w:tc>
          <w:tcPr>
            <w:tcW w:w="1293" w:type="dxa"/>
            <w:tcBorders>
              <w:top w:val="single" w:color="auto" w:sz="6" w:space="0"/>
              <w:left w:val="single" w:color="auto" w:sz="6" w:space="0"/>
              <w:bottom w:val="single" w:color="auto" w:sz="6" w:space="0"/>
              <w:right w:val="single" w:color="auto" w:sz="6" w:space="0"/>
            </w:tcBorders>
          </w:tcPr>
          <w:p w14:paraId="5B80A87A">
            <w:pPr>
              <w:pStyle w:val="40"/>
              <w:spacing w:line="360" w:lineRule="auto"/>
              <w:rPr>
                <w:rFonts w:hint="eastAsia" w:ascii="宋体" w:hAnsi="宋体" w:eastAsia="宋体" w:cs="宋体"/>
                <w:color w:val="auto"/>
                <w:sz w:val="21"/>
                <w:szCs w:val="21"/>
                <w:highlight w:val="none"/>
              </w:rPr>
            </w:pPr>
          </w:p>
        </w:tc>
        <w:tc>
          <w:tcPr>
            <w:tcW w:w="1575" w:type="dxa"/>
            <w:tcBorders>
              <w:top w:val="single" w:color="auto" w:sz="6" w:space="0"/>
              <w:left w:val="single" w:color="auto" w:sz="6" w:space="0"/>
              <w:bottom w:val="single" w:color="auto" w:sz="6" w:space="0"/>
              <w:right w:val="single" w:color="auto" w:sz="6" w:space="0"/>
            </w:tcBorders>
          </w:tcPr>
          <w:p w14:paraId="6779301C">
            <w:pPr>
              <w:pStyle w:val="40"/>
              <w:spacing w:line="360" w:lineRule="auto"/>
              <w:rPr>
                <w:rFonts w:hint="eastAsia" w:ascii="宋体" w:hAnsi="宋体" w:eastAsia="宋体" w:cs="宋体"/>
                <w:color w:val="auto"/>
                <w:sz w:val="21"/>
                <w:szCs w:val="21"/>
                <w:highlight w:val="none"/>
              </w:rPr>
            </w:pPr>
          </w:p>
        </w:tc>
        <w:tc>
          <w:tcPr>
            <w:tcW w:w="1260" w:type="dxa"/>
            <w:tcBorders>
              <w:top w:val="single" w:color="auto" w:sz="6" w:space="0"/>
              <w:left w:val="single" w:color="auto" w:sz="6" w:space="0"/>
              <w:bottom w:val="single" w:color="auto" w:sz="6" w:space="0"/>
              <w:right w:val="single" w:color="auto" w:sz="6" w:space="0"/>
            </w:tcBorders>
          </w:tcPr>
          <w:p w14:paraId="69CFC87E">
            <w:pPr>
              <w:pStyle w:val="40"/>
              <w:spacing w:line="360" w:lineRule="auto"/>
              <w:rPr>
                <w:rFonts w:hint="eastAsia" w:ascii="宋体" w:hAnsi="宋体" w:eastAsia="宋体" w:cs="宋体"/>
                <w:color w:val="auto"/>
                <w:sz w:val="21"/>
                <w:szCs w:val="21"/>
                <w:highlight w:val="none"/>
              </w:rPr>
            </w:pPr>
          </w:p>
        </w:tc>
        <w:tc>
          <w:tcPr>
            <w:tcW w:w="1452" w:type="dxa"/>
            <w:tcBorders>
              <w:top w:val="single" w:color="auto" w:sz="6" w:space="0"/>
              <w:left w:val="single" w:color="auto" w:sz="6" w:space="0"/>
              <w:bottom w:val="single" w:color="auto" w:sz="6" w:space="0"/>
              <w:right w:val="single" w:color="auto" w:sz="6" w:space="0"/>
            </w:tcBorders>
          </w:tcPr>
          <w:p w14:paraId="0E88CF34">
            <w:pPr>
              <w:pStyle w:val="40"/>
              <w:spacing w:line="360" w:lineRule="auto"/>
              <w:rPr>
                <w:rFonts w:hint="eastAsia" w:ascii="宋体" w:hAnsi="宋体" w:eastAsia="宋体" w:cs="宋体"/>
                <w:color w:val="auto"/>
                <w:sz w:val="21"/>
                <w:szCs w:val="21"/>
                <w:highlight w:val="none"/>
              </w:rPr>
            </w:pPr>
          </w:p>
        </w:tc>
        <w:tc>
          <w:tcPr>
            <w:tcW w:w="1383" w:type="dxa"/>
            <w:tcBorders>
              <w:top w:val="single" w:color="auto" w:sz="6" w:space="0"/>
              <w:left w:val="single" w:color="auto" w:sz="6" w:space="0"/>
              <w:bottom w:val="single" w:color="auto" w:sz="6" w:space="0"/>
              <w:right w:val="single" w:color="auto" w:sz="6" w:space="0"/>
            </w:tcBorders>
          </w:tcPr>
          <w:p w14:paraId="20D977F0">
            <w:pPr>
              <w:pStyle w:val="40"/>
              <w:spacing w:line="360" w:lineRule="auto"/>
              <w:rPr>
                <w:rFonts w:hint="eastAsia" w:ascii="宋体" w:hAnsi="宋体" w:eastAsia="宋体" w:cs="宋体"/>
                <w:color w:val="auto"/>
                <w:sz w:val="21"/>
                <w:szCs w:val="21"/>
                <w:highlight w:val="none"/>
              </w:rPr>
            </w:pPr>
          </w:p>
        </w:tc>
        <w:tc>
          <w:tcPr>
            <w:tcW w:w="2037" w:type="dxa"/>
            <w:tcBorders>
              <w:top w:val="single" w:color="auto" w:sz="6" w:space="0"/>
              <w:left w:val="single" w:color="auto" w:sz="6" w:space="0"/>
              <w:bottom w:val="single" w:color="auto" w:sz="6" w:space="0"/>
              <w:right w:val="single" w:color="auto" w:sz="6" w:space="0"/>
            </w:tcBorders>
          </w:tcPr>
          <w:p w14:paraId="62AAC55B">
            <w:pPr>
              <w:pStyle w:val="40"/>
              <w:spacing w:line="360" w:lineRule="auto"/>
              <w:rPr>
                <w:rFonts w:hint="eastAsia" w:ascii="宋体" w:hAnsi="宋体" w:eastAsia="宋体" w:cs="宋体"/>
                <w:color w:val="auto"/>
                <w:sz w:val="21"/>
                <w:szCs w:val="21"/>
                <w:highlight w:val="none"/>
              </w:rPr>
            </w:pPr>
          </w:p>
        </w:tc>
      </w:tr>
      <w:tr w14:paraId="283BAB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179ABE07">
            <w:pPr>
              <w:pStyle w:val="40"/>
              <w:spacing w:line="360" w:lineRule="auto"/>
              <w:rPr>
                <w:rFonts w:hint="eastAsia" w:ascii="宋体" w:hAnsi="宋体" w:eastAsia="宋体" w:cs="宋体"/>
                <w:color w:val="auto"/>
                <w:sz w:val="21"/>
                <w:szCs w:val="21"/>
                <w:highlight w:val="none"/>
              </w:rPr>
            </w:pPr>
          </w:p>
        </w:tc>
        <w:tc>
          <w:tcPr>
            <w:tcW w:w="1293" w:type="dxa"/>
            <w:tcBorders>
              <w:top w:val="single" w:color="auto" w:sz="6" w:space="0"/>
              <w:left w:val="single" w:color="auto" w:sz="6" w:space="0"/>
              <w:bottom w:val="single" w:color="auto" w:sz="6" w:space="0"/>
              <w:right w:val="single" w:color="auto" w:sz="6" w:space="0"/>
            </w:tcBorders>
          </w:tcPr>
          <w:p w14:paraId="7B2CDB2B">
            <w:pPr>
              <w:pStyle w:val="40"/>
              <w:spacing w:line="360" w:lineRule="auto"/>
              <w:rPr>
                <w:rFonts w:hint="eastAsia" w:ascii="宋体" w:hAnsi="宋体" w:eastAsia="宋体" w:cs="宋体"/>
                <w:color w:val="auto"/>
                <w:sz w:val="21"/>
                <w:szCs w:val="21"/>
                <w:highlight w:val="none"/>
              </w:rPr>
            </w:pPr>
          </w:p>
        </w:tc>
        <w:tc>
          <w:tcPr>
            <w:tcW w:w="1575" w:type="dxa"/>
            <w:tcBorders>
              <w:top w:val="single" w:color="auto" w:sz="6" w:space="0"/>
              <w:left w:val="single" w:color="auto" w:sz="6" w:space="0"/>
              <w:bottom w:val="single" w:color="auto" w:sz="6" w:space="0"/>
              <w:right w:val="single" w:color="auto" w:sz="6" w:space="0"/>
            </w:tcBorders>
          </w:tcPr>
          <w:p w14:paraId="3E26F0C8">
            <w:pPr>
              <w:pStyle w:val="40"/>
              <w:spacing w:line="360" w:lineRule="auto"/>
              <w:rPr>
                <w:rFonts w:hint="eastAsia" w:ascii="宋体" w:hAnsi="宋体" w:eastAsia="宋体" w:cs="宋体"/>
                <w:color w:val="auto"/>
                <w:sz w:val="21"/>
                <w:szCs w:val="21"/>
                <w:highlight w:val="none"/>
              </w:rPr>
            </w:pPr>
          </w:p>
        </w:tc>
        <w:tc>
          <w:tcPr>
            <w:tcW w:w="1260" w:type="dxa"/>
            <w:tcBorders>
              <w:top w:val="single" w:color="auto" w:sz="6" w:space="0"/>
              <w:left w:val="single" w:color="auto" w:sz="6" w:space="0"/>
              <w:bottom w:val="single" w:color="auto" w:sz="6" w:space="0"/>
              <w:right w:val="single" w:color="auto" w:sz="6" w:space="0"/>
            </w:tcBorders>
          </w:tcPr>
          <w:p w14:paraId="21DF2BAE">
            <w:pPr>
              <w:pStyle w:val="40"/>
              <w:spacing w:line="360" w:lineRule="auto"/>
              <w:rPr>
                <w:rFonts w:hint="eastAsia" w:ascii="宋体" w:hAnsi="宋体" w:eastAsia="宋体" w:cs="宋体"/>
                <w:color w:val="auto"/>
                <w:sz w:val="21"/>
                <w:szCs w:val="21"/>
                <w:highlight w:val="none"/>
              </w:rPr>
            </w:pPr>
          </w:p>
        </w:tc>
        <w:tc>
          <w:tcPr>
            <w:tcW w:w="1452" w:type="dxa"/>
            <w:tcBorders>
              <w:top w:val="single" w:color="auto" w:sz="6" w:space="0"/>
              <w:left w:val="single" w:color="auto" w:sz="6" w:space="0"/>
              <w:bottom w:val="single" w:color="auto" w:sz="6" w:space="0"/>
              <w:right w:val="single" w:color="auto" w:sz="6" w:space="0"/>
            </w:tcBorders>
          </w:tcPr>
          <w:p w14:paraId="49D6AF87">
            <w:pPr>
              <w:pStyle w:val="40"/>
              <w:spacing w:line="360" w:lineRule="auto"/>
              <w:rPr>
                <w:rFonts w:hint="eastAsia" w:ascii="宋体" w:hAnsi="宋体" w:eastAsia="宋体" w:cs="宋体"/>
                <w:color w:val="auto"/>
                <w:sz w:val="21"/>
                <w:szCs w:val="21"/>
                <w:highlight w:val="none"/>
              </w:rPr>
            </w:pPr>
          </w:p>
        </w:tc>
        <w:tc>
          <w:tcPr>
            <w:tcW w:w="1383" w:type="dxa"/>
            <w:tcBorders>
              <w:top w:val="single" w:color="auto" w:sz="6" w:space="0"/>
              <w:left w:val="single" w:color="auto" w:sz="6" w:space="0"/>
              <w:bottom w:val="single" w:color="auto" w:sz="6" w:space="0"/>
              <w:right w:val="single" w:color="auto" w:sz="6" w:space="0"/>
            </w:tcBorders>
          </w:tcPr>
          <w:p w14:paraId="1401F553">
            <w:pPr>
              <w:pStyle w:val="40"/>
              <w:spacing w:line="360" w:lineRule="auto"/>
              <w:rPr>
                <w:rFonts w:hint="eastAsia" w:ascii="宋体" w:hAnsi="宋体" w:eastAsia="宋体" w:cs="宋体"/>
                <w:color w:val="auto"/>
                <w:sz w:val="21"/>
                <w:szCs w:val="21"/>
                <w:highlight w:val="none"/>
              </w:rPr>
            </w:pPr>
          </w:p>
        </w:tc>
        <w:tc>
          <w:tcPr>
            <w:tcW w:w="2037" w:type="dxa"/>
            <w:tcBorders>
              <w:top w:val="single" w:color="auto" w:sz="6" w:space="0"/>
              <w:left w:val="single" w:color="auto" w:sz="6" w:space="0"/>
              <w:bottom w:val="single" w:color="auto" w:sz="6" w:space="0"/>
              <w:right w:val="single" w:color="auto" w:sz="6" w:space="0"/>
            </w:tcBorders>
          </w:tcPr>
          <w:p w14:paraId="55CAD83F">
            <w:pPr>
              <w:pStyle w:val="40"/>
              <w:spacing w:line="360" w:lineRule="auto"/>
              <w:rPr>
                <w:rFonts w:hint="eastAsia" w:ascii="宋体" w:hAnsi="宋体" w:eastAsia="宋体" w:cs="宋体"/>
                <w:color w:val="auto"/>
                <w:sz w:val="21"/>
                <w:szCs w:val="21"/>
                <w:highlight w:val="none"/>
              </w:rPr>
            </w:pPr>
          </w:p>
        </w:tc>
      </w:tr>
      <w:tr w14:paraId="72CF0F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771A808B">
            <w:pPr>
              <w:pStyle w:val="40"/>
              <w:spacing w:line="360" w:lineRule="auto"/>
              <w:rPr>
                <w:rFonts w:hint="eastAsia" w:ascii="宋体" w:hAnsi="宋体" w:eastAsia="宋体" w:cs="宋体"/>
                <w:color w:val="auto"/>
                <w:sz w:val="21"/>
                <w:szCs w:val="21"/>
                <w:highlight w:val="none"/>
              </w:rPr>
            </w:pPr>
          </w:p>
        </w:tc>
        <w:tc>
          <w:tcPr>
            <w:tcW w:w="1293" w:type="dxa"/>
            <w:tcBorders>
              <w:top w:val="single" w:color="auto" w:sz="6" w:space="0"/>
              <w:left w:val="single" w:color="auto" w:sz="6" w:space="0"/>
              <w:bottom w:val="single" w:color="auto" w:sz="6" w:space="0"/>
              <w:right w:val="single" w:color="auto" w:sz="6" w:space="0"/>
            </w:tcBorders>
          </w:tcPr>
          <w:p w14:paraId="072722F6">
            <w:pPr>
              <w:pStyle w:val="40"/>
              <w:spacing w:line="360" w:lineRule="auto"/>
              <w:rPr>
                <w:rFonts w:hint="eastAsia" w:ascii="宋体" w:hAnsi="宋体" w:eastAsia="宋体" w:cs="宋体"/>
                <w:color w:val="auto"/>
                <w:sz w:val="21"/>
                <w:szCs w:val="21"/>
                <w:highlight w:val="none"/>
              </w:rPr>
            </w:pPr>
          </w:p>
        </w:tc>
        <w:tc>
          <w:tcPr>
            <w:tcW w:w="1575" w:type="dxa"/>
            <w:tcBorders>
              <w:top w:val="single" w:color="auto" w:sz="6" w:space="0"/>
              <w:left w:val="single" w:color="auto" w:sz="6" w:space="0"/>
              <w:bottom w:val="single" w:color="auto" w:sz="6" w:space="0"/>
              <w:right w:val="single" w:color="auto" w:sz="6" w:space="0"/>
            </w:tcBorders>
          </w:tcPr>
          <w:p w14:paraId="24B0AF1D">
            <w:pPr>
              <w:pStyle w:val="40"/>
              <w:spacing w:line="360" w:lineRule="auto"/>
              <w:rPr>
                <w:rFonts w:hint="eastAsia" w:ascii="宋体" w:hAnsi="宋体" w:eastAsia="宋体" w:cs="宋体"/>
                <w:color w:val="auto"/>
                <w:sz w:val="21"/>
                <w:szCs w:val="21"/>
                <w:highlight w:val="none"/>
              </w:rPr>
            </w:pPr>
          </w:p>
        </w:tc>
        <w:tc>
          <w:tcPr>
            <w:tcW w:w="1260" w:type="dxa"/>
            <w:tcBorders>
              <w:top w:val="single" w:color="auto" w:sz="6" w:space="0"/>
              <w:left w:val="single" w:color="auto" w:sz="6" w:space="0"/>
              <w:bottom w:val="single" w:color="auto" w:sz="6" w:space="0"/>
              <w:right w:val="single" w:color="auto" w:sz="6" w:space="0"/>
            </w:tcBorders>
          </w:tcPr>
          <w:p w14:paraId="799EC131">
            <w:pPr>
              <w:pStyle w:val="40"/>
              <w:spacing w:line="360" w:lineRule="auto"/>
              <w:rPr>
                <w:rFonts w:hint="eastAsia" w:ascii="宋体" w:hAnsi="宋体" w:eastAsia="宋体" w:cs="宋体"/>
                <w:color w:val="auto"/>
                <w:sz w:val="21"/>
                <w:szCs w:val="21"/>
                <w:highlight w:val="none"/>
              </w:rPr>
            </w:pPr>
          </w:p>
        </w:tc>
        <w:tc>
          <w:tcPr>
            <w:tcW w:w="1452" w:type="dxa"/>
            <w:tcBorders>
              <w:top w:val="single" w:color="auto" w:sz="6" w:space="0"/>
              <w:left w:val="single" w:color="auto" w:sz="6" w:space="0"/>
              <w:bottom w:val="single" w:color="auto" w:sz="6" w:space="0"/>
              <w:right w:val="single" w:color="auto" w:sz="6" w:space="0"/>
            </w:tcBorders>
          </w:tcPr>
          <w:p w14:paraId="326D1640">
            <w:pPr>
              <w:pStyle w:val="40"/>
              <w:spacing w:line="360" w:lineRule="auto"/>
              <w:rPr>
                <w:rFonts w:hint="eastAsia" w:ascii="宋体" w:hAnsi="宋体" w:eastAsia="宋体" w:cs="宋体"/>
                <w:color w:val="auto"/>
                <w:sz w:val="21"/>
                <w:szCs w:val="21"/>
                <w:highlight w:val="none"/>
              </w:rPr>
            </w:pPr>
          </w:p>
        </w:tc>
        <w:tc>
          <w:tcPr>
            <w:tcW w:w="1383" w:type="dxa"/>
            <w:tcBorders>
              <w:top w:val="single" w:color="auto" w:sz="6" w:space="0"/>
              <w:left w:val="single" w:color="auto" w:sz="6" w:space="0"/>
              <w:bottom w:val="single" w:color="auto" w:sz="6" w:space="0"/>
              <w:right w:val="single" w:color="auto" w:sz="6" w:space="0"/>
            </w:tcBorders>
          </w:tcPr>
          <w:p w14:paraId="7A9F459E">
            <w:pPr>
              <w:pStyle w:val="40"/>
              <w:spacing w:line="360" w:lineRule="auto"/>
              <w:rPr>
                <w:rFonts w:hint="eastAsia" w:ascii="宋体" w:hAnsi="宋体" w:eastAsia="宋体" w:cs="宋体"/>
                <w:color w:val="auto"/>
                <w:sz w:val="21"/>
                <w:szCs w:val="21"/>
                <w:highlight w:val="none"/>
              </w:rPr>
            </w:pPr>
          </w:p>
        </w:tc>
        <w:tc>
          <w:tcPr>
            <w:tcW w:w="2037" w:type="dxa"/>
            <w:tcBorders>
              <w:top w:val="single" w:color="auto" w:sz="6" w:space="0"/>
              <w:left w:val="single" w:color="auto" w:sz="6" w:space="0"/>
              <w:bottom w:val="single" w:color="auto" w:sz="6" w:space="0"/>
              <w:right w:val="single" w:color="auto" w:sz="6" w:space="0"/>
            </w:tcBorders>
          </w:tcPr>
          <w:p w14:paraId="3F81ADC8">
            <w:pPr>
              <w:pStyle w:val="40"/>
              <w:spacing w:line="360" w:lineRule="auto"/>
              <w:rPr>
                <w:rFonts w:hint="eastAsia" w:ascii="宋体" w:hAnsi="宋体" w:eastAsia="宋体" w:cs="宋体"/>
                <w:color w:val="auto"/>
                <w:sz w:val="21"/>
                <w:szCs w:val="21"/>
                <w:highlight w:val="none"/>
              </w:rPr>
            </w:pPr>
          </w:p>
        </w:tc>
      </w:tr>
    </w:tbl>
    <w:p w14:paraId="33F762C3">
      <w:pPr>
        <w:autoSpaceDE w:val="0"/>
        <w:autoSpaceDN w:val="0"/>
        <w:adjustRightInd w:val="0"/>
        <w:spacing w:beforeLines="50"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要求：</w:t>
      </w:r>
    </w:p>
    <w:p w14:paraId="1308D9C0">
      <w:pPr>
        <w:autoSpaceDE w:val="0"/>
        <w:autoSpaceDN w:val="0"/>
        <w:adjustRightInd w:val="0"/>
        <w:spacing w:beforeLines="50" w:line="360" w:lineRule="auto"/>
        <w:ind w:firstLine="424" w:firstLineChars="202"/>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业绩证明应提供证明材料（合同复印件可只提供首页、含金额页、盖章页并加盖投标人公章）；</w:t>
      </w:r>
    </w:p>
    <w:p w14:paraId="15F41893">
      <w:pPr>
        <w:spacing w:line="360" w:lineRule="auto"/>
        <w:ind w:firstLine="424" w:firstLineChars="202"/>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报价供应商可按此表格式复制。</w:t>
      </w:r>
    </w:p>
    <w:p w14:paraId="4B8D8118">
      <w:pPr>
        <w:spacing w:line="360" w:lineRule="auto"/>
        <w:rPr>
          <w:rFonts w:hint="eastAsia" w:ascii="宋体" w:hAnsi="宋体" w:eastAsia="宋体" w:cs="宋体"/>
          <w:color w:val="auto"/>
          <w:sz w:val="21"/>
          <w:szCs w:val="21"/>
          <w:highlight w:val="none"/>
        </w:rPr>
      </w:pPr>
    </w:p>
    <w:p w14:paraId="7A3CFF46">
      <w:pPr>
        <w:spacing w:line="360" w:lineRule="auto"/>
        <w:rPr>
          <w:rFonts w:hint="eastAsia" w:ascii="宋体" w:hAnsi="宋体" w:eastAsia="宋体" w:cs="宋体"/>
          <w:color w:val="auto"/>
          <w:sz w:val="21"/>
          <w:szCs w:val="21"/>
          <w:highlight w:val="none"/>
        </w:rPr>
      </w:pPr>
    </w:p>
    <w:p w14:paraId="62CF67A6">
      <w:pPr>
        <w:spacing w:line="360" w:lineRule="auto"/>
        <w:ind w:left="42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投标人名称（盖章）：</w:t>
      </w:r>
    </w:p>
    <w:p w14:paraId="18677911">
      <w:pPr>
        <w:spacing w:line="360" w:lineRule="auto"/>
        <w:ind w:left="420"/>
        <w:rPr>
          <w:rFonts w:hint="eastAsia" w:ascii="宋体" w:hAnsi="宋体" w:eastAsia="宋体" w:cs="宋体"/>
          <w:color w:val="auto"/>
          <w:sz w:val="21"/>
          <w:szCs w:val="21"/>
          <w:highlight w:val="none"/>
        </w:rPr>
      </w:pPr>
    </w:p>
    <w:p w14:paraId="54F91FBB">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p>
    <w:p w14:paraId="2A9BE03D">
      <w:pPr>
        <w:spacing w:line="360" w:lineRule="auto"/>
        <w:rPr>
          <w:rFonts w:hint="eastAsia" w:ascii="宋体" w:hAnsi="宋体" w:eastAsia="宋体" w:cs="宋体"/>
          <w:color w:val="auto"/>
          <w:sz w:val="21"/>
          <w:szCs w:val="21"/>
          <w:highlight w:val="none"/>
        </w:rPr>
      </w:pPr>
    </w:p>
    <w:p w14:paraId="1B1AA481">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p>
    <w:p w14:paraId="4794EF28">
      <w:pPr>
        <w:spacing w:line="360" w:lineRule="auto"/>
        <w:jc w:val="center"/>
        <w:rPr>
          <w:rFonts w:hint="eastAsia" w:ascii="宋体" w:hAnsi="宋体" w:eastAsia="宋体" w:cs="宋体"/>
          <w:snapToGrid w:val="0"/>
          <w:color w:val="auto"/>
          <w:kern w:val="0"/>
          <w:sz w:val="21"/>
          <w:szCs w:val="21"/>
          <w:highlight w:val="none"/>
        </w:rPr>
      </w:pPr>
    </w:p>
    <w:p w14:paraId="0F26FD98">
      <w:pPr>
        <w:pStyle w:val="41"/>
        <w:tabs>
          <w:tab w:val="left" w:pos="1050"/>
        </w:tabs>
        <w:spacing w:line="360" w:lineRule="auto"/>
        <w:rPr>
          <w:rFonts w:hint="eastAsia" w:ascii="宋体" w:hAnsi="宋体" w:eastAsia="宋体" w:cs="宋体"/>
          <w:b/>
          <w:color w:val="auto"/>
          <w:sz w:val="28"/>
          <w:highlight w:val="none"/>
        </w:rPr>
      </w:pPr>
    </w:p>
    <w:p w14:paraId="2E907184">
      <w:pPr>
        <w:pStyle w:val="41"/>
        <w:tabs>
          <w:tab w:val="left" w:pos="1050"/>
        </w:tabs>
        <w:spacing w:line="360" w:lineRule="auto"/>
        <w:rPr>
          <w:rFonts w:hint="eastAsia" w:ascii="宋体" w:hAnsi="宋体" w:eastAsia="宋体" w:cs="宋体"/>
          <w:b/>
          <w:color w:val="auto"/>
          <w:sz w:val="28"/>
          <w:highlight w:val="none"/>
        </w:rPr>
      </w:pPr>
    </w:p>
    <w:p w14:paraId="205646D1">
      <w:pPr>
        <w:pStyle w:val="41"/>
        <w:tabs>
          <w:tab w:val="left" w:pos="1050"/>
        </w:tabs>
        <w:spacing w:line="360" w:lineRule="auto"/>
        <w:outlineLvl w:val="9"/>
        <w:rPr>
          <w:rFonts w:hint="default" w:ascii="宋体" w:hAnsi="宋体" w:eastAsia="宋体" w:cs="宋体"/>
          <w:color w:val="auto"/>
          <w:sz w:val="24"/>
          <w:highlight w:val="none"/>
          <w:lang w:val="en-US" w:eastAsia="zh-CN"/>
        </w:rPr>
      </w:pPr>
      <w:r>
        <w:rPr>
          <w:rFonts w:hint="eastAsia" w:ascii="宋体" w:hAnsi="宋体" w:eastAsia="宋体" w:cs="宋体"/>
          <w:b/>
          <w:color w:val="auto"/>
          <w:sz w:val="28"/>
          <w:highlight w:val="none"/>
        </w:rPr>
        <w:t>附件</w:t>
      </w:r>
      <w:r>
        <w:rPr>
          <w:rFonts w:hint="eastAsia" w:ascii="宋体" w:hAnsi="宋体" w:cs="宋体"/>
          <w:b/>
          <w:color w:val="auto"/>
          <w:sz w:val="28"/>
          <w:highlight w:val="none"/>
          <w:lang w:val="en-US" w:eastAsia="zh-CN"/>
        </w:rPr>
        <w:t>14</w:t>
      </w:r>
    </w:p>
    <w:p w14:paraId="6A02617D">
      <w:pPr>
        <w:snapToGrid w:val="0"/>
        <w:spacing w:beforeLines="50" w:after="50"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资信及商务需求响应表</w:t>
      </w:r>
    </w:p>
    <w:p w14:paraId="728F2F3E">
      <w:pPr>
        <w:spacing w:line="360" w:lineRule="auto"/>
        <w:ind w:left="481" w:leftChars="229" w:firstLine="949" w:firstLineChars="450"/>
        <w:rPr>
          <w:rFonts w:hint="eastAsia" w:ascii="宋体" w:hAnsi="宋体" w:eastAsia="宋体" w:cs="宋体"/>
          <w:b/>
          <w:color w:val="auto"/>
          <w:sz w:val="21"/>
          <w:szCs w:val="21"/>
          <w:highlight w:val="none"/>
        </w:rPr>
      </w:pPr>
    </w:p>
    <w:tbl>
      <w:tblPr>
        <w:tblStyle w:val="21"/>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029"/>
        <w:gridCol w:w="1541"/>
        <w:gridCol w:w="1365"/>
        <w:gridCol w:w="2625"/>
      </w:tblGrid>
      <w:tr w14:paraId="5D665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trPr>
        <w:tc>
          <w:tcPr>
            <w:tcW w:w="735" w:type="dxa"/>
            <w:vAlign w:val="center"/>
          </w:tcPr>
          <w:p w14:paraId="566E1C7E">
            <w:pPr>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2029" w:type="dxa"/>
            <w:vAlign w:val="center"/>
          </w:tcPr>
          <w:p w14:paraId="6248C1CA">
            <w:pPr>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内容</w:t>
            </w:r>
          </w:p>
        </w:tc>
        <w:tc>
          <w:tcPr>
            <w:tcW w:w="1541" w:type="dxa"/>
            <w:vAlign w:val="center"/>
          </w:tcPr>
          <w:p w14:paraId="27633AC5">
            <w:pPr>
              <w:spacing w:line="360" w:lineRule="auto"/>
              <w:ind w:left="53" w:leftChars="25" w:firstLine="211" w:firstLineChars="1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招标需求</w:t>
            </w:r>
          </w:p>
        </w:tc>
        <w:tc>
          <w:tcPr>
            <w:tcW w:w="1365" w:type="dxa"/>
            <w:vAlign w:val="center"/>
          </w:tcPr>
          <w:p w14:paraId="5E889E98">
            <w:pPr>
              <w:spacing w:line="360" w:lineRule="auto"/>
              <w:ind w:left="152"/>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是否响应</w:t>
            </w:r>
          </w:p>
        </w:tc>
        <w:tc>
          <w:tcPr>
            <w:tcW w:w="2625" w:type="dxa"/>
            <w:vAlign w:val="center"/>
          </w:tcPr>
          <w:p w14:paraId="08619760">
            <w:pPr>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投标人的承诺或说明</w:t>
            </w:r>
          </w:p>
        </w:tc>
      </w:tr>
      <w:tr w14:paraId="74F4B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14:paraId="0F2F065D">
            <w:pPr>
              <w:spacing w:line="360" w:lineRule="auto"/>
              <w:rPr>
                <w:rFonts w:hint="eastAsia" w:ascii="宋体" w:hAnsi="宋体" w:eastAsia="宋体" w:cs="宋体"/>
                <w:color w:val="auto"/>
                <w:sz w:val="21"/>
                <w:szCs w:val="21"/>
                <w:highlight w:val="none"/>
              </w:rPr>
            </w:pPr>
          </w:p>
        </w:tc>
        <w:tc>
          <w:tcPr>
            <w:tcW w:w="2029" w:type="dxa"/>
            <w:shd w:val="clear" w:color="auto" w:fill="auto"/>
            <w:vAlign w:val="top"/>
          </w:tcPr>
          <w:p w14:paraId="6C699468">
            <w:pPr>
              <w:snapToGrid w:val="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服务时间及地点</w:t>
            </w:r>
          </w:p>
        </w:tc>
        <w:tc>
          <w:tcPr>
            <w:tcW w:w="1541" w:type="dxa"/>
            <w:vAlign w:val="center"/>
          </w:tcPr>
          <w:p w14:paraId="036B4850">
            <w:pPr>
              <w:spacing w:line="360" w:lineRule="auto"/>
              <w:rPr>
                <w:rFonts w:hint="eastAsia" w:ascii="宋体" w:hAnsi="宋体" w:eastAsia="宋体" w:cs="宋体"/>
                <w:color w:val="auto"/>
                <w:sz w:val="21"/>
                <w:szCs w:val="21"/>
                <w:highlight w:val="none"/>
              </w:rPr>
            </w:pPr>
          </w:p>
        </w:tc>
        <w:tc>
          <w:tcPr>
            <w:tcW w:w="1365" w:type="dxa"/>
            <w:vAlign w:val="center"/>
          </w:tcPr>
          <w:p w14:paraId="16F95DBE">
            <w:pPr>
              <w:spacing w:line="360" w:lineRule="auto"/>
              <w:rPr>
                <w:rFonts w:hint="eastAsia" w:ascii="宋体" w:hAnsi="宋体" w:eastAsia="宋体" w:cs="宋体"/>
                <w:color w:val="auto"/>
                <w:sz w:val="21"/>
                <w:szCs w:val="21"/>
                <w:highlight w:val="none"/>
              </w:rPr>
            </w:pPr>
          </w:p>
        </w:tc>
        <w:tc>
          <w:tcPr>
            <w:tcW w:w="2625" w:type="dxa"/>
            <w:vAlign w:val="center"/>
          </w:tcPr>
          <w:p w14:paraId="29968C53">
            <w:pPr>
              <w:spacing w:line="360" w:lineRule="auto"/>
              <w:rPr>
                <w:rFonts w:hint="eastAsia" w:ascii="宋体" w:hAnsi="宋体" w:eastAsia="宋体" w:cs="宋体"/>
                <w:color w:val="auto"/>
                <w:sz w:val="21"/>
                <w:szCs w:val="21"/>
                <w:highlight w:val="none"/>
              </w:rPr>
            </w:pPr>
          </w:p>
        </w:tc>
      </w:tr>
      <w:tr w14:paraId="4AEE5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5B333573">
            <w:pPr>
              <w:spacing w:line="360" w:lineRule="auto"/>
              <w:rPr>
                <w:rFonts w:hint="eastAsia" w:ascii="宋体" w:hAnsi="宋体" w:eastAsia="宋体" w:cs="宋体"/>
                <w:color w:val="auto"/>
                <w:sz w:val="21"/>
                <w:szCs w:val="21"/>
                <w:highlight w:val="none"/>
              </w:rPr>
            </w:pPr>
          </w:p>
        </w:tc>
        <w:tc>
          <w:tcPr>
            <w:tcW w:w="2029" w:type="dxa"/>
            <w:shd w:val="clear" w:color="auto" w:fill="auto"/>
            <w:vAlign w:val="top"/>
          </w:tcPr>
          <w:p w14:paraId="4DF663AB">
            <w:pPr>
              <w:snapToGrid w:val="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付款条件</w:t>
            </w:r>
          </w:p>
        </w:tc>
        <w:tc>
          <w:tcPr>
            <w:tcW w:w="1541" w:type="dxa"/>
            <w:vAlign w:val="center"/>
          </w:tcPr>
          <w:p w14:paraId="17A29982">
            <w:pPr>
              <w:spacing w:line="360" w:lineRule="auto"/>
              <w:rPr>
                <w:rFonts w:hint="eastAsia" w:ascii="宋体" w:hAnsi="宋体" w:eastAsia="宋体" w:cs="宋体"/>
                <w:color w:val="auto"/>
                <w:sz w:val="21"/>
                <w:szCs w:val="21"/>
                <w:highlight w:val="none"/>
              </w:rPr>
            </w:pPr>
          </w:p>
        </w:tc>
        <w:tc>
          <w:tcPr>
            <w:tcW w:w="1365" w:type="dxa"/>
            <w:vAlign w:val="center"/>
          </w:tcPr>
          <w:p w14:paraId="670D30D1">
            <w:pPr>
              <w:spacing w:line="360" w:lineRule="auto"/>
              <w:rPr>
                <w:rFonts w:hint="eastAsia" w:ascii="宋体" w:hAnsi="宋体" w:eastAsia="宋体" w:cs="宋体"/>
                <w:color w:val="auto"/>
                <w:sz w:val="21"/>
                <w:szCs w:val="21"/>
                <w:highlight w:val="none"/>
              </w:rPr>
            </w:pPr>
          </w:p>
        </w:tc>
        <w:tc>
          <w:tcPr>
            <w:tcW w:w="2625" w:type="dxa"/>
            <w:vAlign w:val="center"/>
          </w:tcPr>
          <w:p w14:paraId="74CA9BE1">
            <w:pPr>
              <w:spacing w:line="360" w:lineRule="auto"/>
              <w:rPr>
                <w:rFonts w:hint="eastAsia" w:ascii="宋体" w:hAnsi="宋体" w:eastAsia="宋体" w:cs="宋体"/>
                <w:color w:val="auto"/>
                <w:sz w:val="21"/>
                <w:szCs w:val="21"/>
                <w:highlight w:val="none"/>
              </w:rPr>
            </w:pPr>
          </w:p>
        </w:tc>
      </w:tr>
      <w:tr w14:paraId="5BC85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4ECDBC68">
            <w:pPr>
              <w:spacing w:line="360" w:lineRule="auto"/>
              <w:rPr>
                <w:rFonts w:hint="eastAsia" w:ascii="宋体" w:hAnsi="宋体" w:eastAsia="宋体" w:cs="宋体"/>
                <w:color w:val="auto"/>
                <w:sz w:val="21"/>
                <w:szCs w:val="21"/>
                <w:highlight w:val="none"/>
              </w:rPr>
            </w:pPr>
          </w:p>
        </w:tc>
        <w:tc>
          <w:tcPr>
            <w:tcW w:w="2029" w:type="dxa"/>
            <w:shd w:val="clear" w:color="auto" w:fill="auto"/>
            <w:vAlign w:val="top"/>
          </w:tcPr>
          <w:p w14:paraId="45B7569E">
            <w:pPr>
              <w:snapToGrid w:val="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w:t>
            </w:r>
          </w:p>
        </w:tc>
        <w:tc>
          <w:tcPr>
            <w:tcW w:w="1541" w:type="dxa"/>
            <w:vAlign w:val="center"/>
          </w:tcPr>
          <w:p w14:paraId="1597C2C4">
            <w:pPr>
              <w:spacing w:line="360" w:lineRule="auto"/>
              <w:rPr>
                <w:rFonts w:hint="eastAsia" w:ascii="宋体" w:hAnsi="宋体" w:eastAsia="宋体" w:cs="宋体"/>
                <w:color w:val="auto"/>
                <w:sz w:val="21"/>
                <w:szCs w:val="21"/>
                <w:highlight w:val="none"/>
              </w:rPr>
            </w:pPr>
          </w:p>
        </w:tc>
        <w:tc>
          <w:tcPr>
            <w:tcW w:w="1365" w:type="dxa"/>
            <w:vAlign w:val="center"/>
          </w:tcPr>
          <w:p w14:paraId="0FE8BCBD">
            <w:pPr>
              <w:spacing w:line="360" w:lineRule="auto"/>
              <w:rPr>
                <w:rFonts w:hint="eastAsia" w:ascii="宋体" w:hAnsi="宋体" w:eastAsia="宋体" w:cs="宋体"/>
                <w:color w:val="auto"/>
                <w:sz w:val="21"/>
                <w:szCs w:val="21"/>
                <w:highlight w:val="none"/>
              </w:rPr>
            </w:pPr>
          </w:p>
        </w:tc>
        <w:tc>
          <w:tcPr>
            <w:tcW w:w="2625" w:type="dxa"/>
            <w:vAlign w:val="center"/>
          </w:tcPr>
          <w:p w14:paraId="242AD928">
            <w:pPr>
              <w:spacing w:line="360" w:lineRule="auto"/>
              <w:rPr>
                <w:rFonts w:hint="eastAsia" w:ascii="宋体" w:hAnsi="宋体" w:eastAsia="宋体" w:cs="宋体"/>
                <w:color w:val="auto"/>
                <w:sz w:val="21"/>
                <w:szCs w:val="21"/>
                <w:highlight w:val="none"/>
              </w:rPr>
            </w:pPr>
          </w:p>
        </w:tc>
      </w:tr>
      <w:tr w14:paraId="4F641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06E649E7">
            <w:pPr>
              <w:spacing w:line="360" w:lineRule="auto"/>
              <w:rPr>
                <w:rFonts w:hint="eastAsia" w:ascii="宋体" w:hAnsi="宋体" w:eastAsia="宋体" w:cs="宋体"/>
                <w:color w:val="auto"/>
                <w:sz w:val="21"/>
                <w:szCs w:val="21"/>
                <w:highlight w:val="none"/>
              </w:rPr>
            </w:pPr>
          </w:p>
        </w:tc>
        <w:tc>
          <w:tcPr>
            <w:tcW w:w="2029" w:type="dxa"/>
            <w:vAlign w:val="top"/>
          </w:tcPr>
          <w:p w14:paraId="77934D96">
            <w:pPr>
              <w:snapToGrid w:val="0"/>
              <w:rPr>
                <w:rFonts w:hint="eastAsia" w:ascii="宋体" w:hAnsi="宋体" w:eastAsia="宋体" w:cs="宋体"/>
                <w:color w:val="auto"/>
                <w:sz w:val="21"/>
                <w:szCs w:val="21"/>
                <w:highlight w:val="none"/>
              </w:rPr>
            </w:pPr>
          </w:p>
        </w:tc>
        <w:tc>
          <w:tcPr>
            <w:tcW w:w="1541" w:type="dxa"/>
            <w:vAlign w:val="center"/>
          </w:tcPr>
          <w:p w14:paraId="39B5400C">
            <w:pPr>
              <w:spacing w:line="360" w:lineRule="auto"/>
              <w:rPr>
                <w:rFonts w:hint="eastAsia" w:ascii="宋体" w:hAnsi="宋体" w:eastAsia="宋体" w:cs="宋体"/>
                <w:color w:val="auto"/>
                <w:sz w:val="21"/>
                <w:szCs w:val="21"/>
                <w:highlight w:val="none"/>
              </w:rPr>
            </w:pPr>
          </w:p>
        </w:tc>
        <w:tc>
          <w:tcPr>
            <w:tcW w:w="1365" w:type="dxa"/>
            <w:vAlign w:val="center"/>
          </w:tcPr>
          <w:p w14:paraId="43607476">
            <w:pPr>
              <w:spacing w:line="360" w:lineRule="auto"/>
              <w:rPr>
                <w:rFonts w:hint="eastAsia" w:ascii="宋体" w:hAnsi="宋体" w:eastAsia="宋体" w:cs="宋体"/>
                <w:color w:val="auto"/>
                <w:sz w:val="21"/>
                <w:szCs w:val="21"/>
                <w:highlight w:val="none"/>
              </w:rPr>
            </w:pPr>
          </w:p>
        </w:tc>
        <w:tc>
          <w:tcPr>
            <w:tcW w:w="2625" w:type="dxa"/>
            <w:vAlign w:val="center"/>
          </w:tcPr>
          <w:p w14:paraId="0B5ADC91">
            <w:pPr>
              <w:spacing w:line="360" w:lineRule="auto"/>
              <w:rPr>
                <w:rFonts w:hint="eastAsia" w:ascii="宋体" w:hAnsi="宋体" w:eastAsia="宋体" w:cs="宋体"/>
                <w:color w:val="auto"/>
                <w:sz w:val="21"/>
                <w:szCs w:val="21"/>
                <w:highlight w:val="none"/>
              </w:rPr>
            </w:pPr>
          </w:p>
        </w:tc>
      </w:tr>
      <w:tr w14:paraId="41D0E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735" w:type="dxa"/>
            <w:vAlign w:val="center"/>
          </w:tcPr>
          <w:p w14:paraId="25CCA7B8">
            <w:pPr>
              <w:spacing w:line="360" w:lineRule="auto"/>
              <w:rPr>
                <w:rFonts w:hint="eastAsia" w:ascii="宋体" w:hAnsi="宋体" w:eastAsia="宋体" w:cs="宋体"/>
                <w:color w:val="auto"/>
                <w:sz w:val="21"/>
                <w:szCs w:val="21"/>
                <w:highlight w:val="none"/>
              </w:rPr>
            </w:pPr>
          </w:p>
        </w:tc>
        <w:tc>
          <w:tcPr>
            <w:tcW w:w="2029" w:type="dxa"/>
            <w:vAlign w:val="top"/>
          </w:tcPr>
          <w:p w14:paraId="31B44270">
            <w:pPr>
              <w:snapToGrid w:val="0"/>
              <w:rPr>
                <w:rFonts w:hint="eastAsia" w:ascii="宋体" w:hAnsi="宋体" w:eastAsia="宋体" w:cs="宋体"/>
                <w:color w:val="auto"/>
                <w:sz w:val="21"/>
                <w:szCs w:val="21"/>
                <w:highlight w:val="none"/>
              </w:rPr>
            </w:pPr>
          </w:p>
        </w:tc>
        <w:tc>
          <w:tcPr>
            <w:tcW w:w="1541" w:type="dxa"/>
            <w:vAlign w:val="center"/>
          </w:tcPr>
          <w:p w14:paraId="28392EC1">
            <w:pPr>
              <w:spacing w:line="360" w:lineRule="auto"/>
              <w:rPr>
                <w:rFonts w:hint="eastAsia" w:ascii="宋体" w:hAnsi="宋体" w:eastAsia="宋体" w:cs="宋体"/>
                <w:color w:val="auto"/>
                <w:sz w:val="21"/>
                <w:szCs w:val="21"/>
                <w:highlight w:val="none"/>
              </w:rPr>
            </w:pPr>
          </w:p>
        </w:tc>
        <w:tc>
          <w:tcPr>
            <w:tcW w:w="1365" w:type="dxa"/>
            <w:vAlign w:val="center"/>
          </w:tcPr>
          <w:p w14:paraId="32A6B65E">
            <w:pPr>
              <w:spacing w:line="360" w:lineRule="auto"/>
              <w:rPr>
                <w:rFonts w:hint="eastAsia" w:ascii="宋体" w:hAnsi="宋体" w:eastAsia="宋体" w:cs="宋体"/>
                <w:color w:val="auto"/>
                <w:sz w:val="21"/>
                <w:szCs w:val="21"/>
                <w:highlight w:val="none"/>
              </w:rPr>
            </w:pPr>
          </w:p>
        </w:tc>
        <w:tc>
          <w:tcPr>
            <w:tcW w:w="2625" w:type="dxa"/>
            <w:vAlign w:val="center"/>
          </w:tcPr>
          <w:p w14:paraId="09F573F2">
            <w:pPr>
              <w:spacing w:line="360" w:lineRule="auto"/>
              <w:rPr>
                <w:rFonts w:hint="eastAsia" w:ascii="宋体" w:hAnsi="宋体" w:eastAsia="宋体" w:cs="宋体"/>
                <w:color w:val="auto"/>
                <w:sz w:val="21"/>
                <w:szCs w:val="21"/>
                <w:highlight w:val="none"/>
              </w:rPr>
            </w:pPr>
          </w:p>
        </w:tc>
      </w:tr>
      <w:tr w14:paraId="6BA8C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14:paraId="63198584">
            <w:pPr>
              <w:spacing w:line="360" w:lineRule="auto"/>
              <w:rPr>
                <w:rFonts w:hint="eastAsia" w:ascii="宋体" w:hAnsi="宋体" w:eastAsia="宋体" w:cs="宋体"/>
                <w:color w:val="auto"/>
                <w:sz w:val="21"/>
                <w:szCs w:val="21"/>
                <w:highlight w:val="none"/>
              </w:rPr>
            </w:pPr>
          </w:p>
        </w:tc>
        <w:tc>
          <w:tcPr>
            <w:tcW w:w="2029" w:type="dxa"/>
          </w:tcPr>
          <w:p w14:paraId="3EDC358E">
            <w:pPr>
              <w:snapToGrid w:val="0"/>
              <w:spacing w:line="360" w:lineRule="auto"/>
              <w:rPr>
                <w:rFonts w:hint="eastAsia" w:ascii="宋体" w:hAnsi="宋体" w:eastAsia="宋体" w:cs="宋体"/>
                <w:color w:val="auto"/>
                <w:sz w:val="21"/>
                <w:szCs w:val="21"/>
                <w:highlight w:val="none"/>
              </w:rPr>
            </w:pPr>
          </w:p>
        </w:tc>
        <w:tc>
          <w:tcPr>
            <w:tcW w:w="1541" w:type="dxa"/>
            <w:vAlign w:val="center"/>
          </w:tcPr>
          <w:p w14:paraId="57D5C0C5">
            <w:pPr>
              <w:spacing w:line="360" w:lineRule="auto"/>
              <w:rPr>
                <w:rFonts w:hint="eastAsia" w:ascii="宋体" w:hAnsi="宋体" w:eastAsia="宋体" w:cs="宋体"/>
                <w:color w:val="auto"/>
                <w:sz w:val="21"/>
                <w:szCs w:val="21"/>
                <w:highlight w:val="none"/>
              </w:rPr>
            </w:pPr>
          </w:p>
        </w:tc>
        <w:tc>
          <w:tcPr>
            <w:tcW w:w="1365" w:type="dxa"/>
            <w:vAlign w:val="center"/>
          </w:tcPr>
          <w:p w14:paraId="355E9287">
            <w:pPr>
              <w:spacing w:line="360" w:lineRule="auto"/>
              <w:rPr>
                <w:rFonts w:hint="eastAsia" w:ascii="宋体" w:hAnsi="宋体" w:eastAsia="宋体" w:cs="宋体"/>
                <w:color w:val="auto"/>
                <w:sz w:val="21"/>
                <w:szCs w:val="21"/>
                <w:highlight w:val="none"/>
              </w:rPr>
            </w:pPr>
          </w:p>
        </w:tc>
        <w:tc>
          <w:tcPr>
            <w:tcW w:w="2625" w:type="dxa"/>
            <w:vAlign w:val="center"/>
          </w:tcPr>
          <w:p w14:paraId="32BF058B">
            <w:pPr>
              <w:spacing w:line="360" w:lineRule="auto"/>
              <w:rPr>
                <w:rFonts w:hint="eastAsia" w:ascii="宋体" w:hAnsi="宋体" w:eastAsia="宋体" w:cs="宋体"/>
                <w:color w:val="auto"/>
                <w:sz w:val="21"/>
                <w:szCs w:val="21"/>
                <w:highlight w:val="none"/>
              </w:rPr>
            </w:pPr>
          </w:p>
        </w:tc>
      </w:tr>
    </w:tbl>
    <w:p w14:paraId="7727A3FF">
      <w:pPr>
        <w:spacing w:line="360" w:lineRule="auto"/>
        <w:ind w:left="420"/>
        <w:rPr>
          <w:rFonts w:hint="eastAsia" w:ascii="宋体" w:hAnsi="宋体" w:eastAsia="宋体" w:cs="宋体"/>
          <w:color w:val="auto"/>
          <w:sz w:val="21"/>
          <w:szCs w:val="21"/>
          <w:highlight w:val="none"/>
        </w:rPr>
      </w:pPr>
    </w:p>
    <w:p w14:paraId="43749691">
      <w:pPr>
        <w:spacing w:line="360" w:lineRule="auto"/>
        <w:ind w:left="42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投标人名称（盖章）：</w:t>
      </w:r>
    </w:p>
    <w:p w14:paraId="14C57B8C">
      <w:pPr>
        <w:spacing w:line="360" w:lineRule="auto"/>
        <w:ind w:left="420"/>
        <w:rPr>
          <w:rFonts w:hint="eastAsia" w:ascii="宋体" w:hAnsi="宋体" w:eastAsia="宋体" w:cs="宋体"/>
          <w:color w:val="auto"/>
          <w:sz w:val="21"/>
          <w:szCs w:val="21"/>
          <w:highlight w:val="none"/>
        </w:rPr>
      </w:pPr>
    </w:p>
    <w:p w14:paraId="52EA2F4C">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p>
    <w:p w14:paraId="2E6BBDB8">
      <w:pPr>
        <w:spacing w:line="360" w:lineRule="auto"/>
        <w:ind w:firstLine="435"/>
        <w:rPr>
          <w:rFonts w:hint="eastAsia" w:ascii="宋体" w:hAnsi="宋体" w:eastAsia="宋体" w:cs="宋体"/>
          <w:color w:val="auto"/>
          <w:sz w:val="21"/>
          <w:szCs w:val="21"/>
          <w:highlight w:val="none"/>
        </w:rPr>
      </w:pPr>
    </w:p>
    <w:p w14:paraId="1FE636CF">
      <w:pPr>
        <w:spacing w:line="360" w:lineRule="auto"/>
        <w:ind w:firstLine="435"/>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日期：</w:t>
      </w:r>
    </w:p>
    <w:p w14:paraId="544D24A0">
      <w:pPr>
        <w:tabs>
          <w:tab w:val="left" w:pos="2460"/>
        </w:tabs>
        <w:spacing w:line="360" w:lineRule="auto"/>
        <w:ind w:firstLine="435"/>
        <w:rPr>
          <w:rFonts w:hint="eastAsia" w:ascii="宋体" w:hAnsi="宋体" w:eastAsia="宋体" w:cs="宋体"/>
          <w:b/>
          <w:color w:val="auto"/>
          <w:sz w:val="28"/>
          <w:highlight w:val="none"/>
        </w:rPr>
      </w:pPr>
    </w:p>
    <w:p w14:paraId="23635985">
      <w:pPr>
        <w:tabs>
          <w:tab w:val="left" w:pos="2460"/>
        </w:tabs>
        <w:spacing w:line="360" w:lineRule="auto"/>
        <w:ind w:firstLine="435"/>
        <w:rPr>
          <w:rFonts w:hint="eastAsia" w:ascii="宋体" w:hAnsi="宋体" w:eastAsia="宋体" w:cs="宋体"/>
          <w:b/>
          <w:color w:val="auto"/>
          <w:sz w:val="28"/>
          <w:highlight w:val="none"/>
        </w:rPr>
      </w:pPr>
    </w:p>
    <w:p w14:paraId="709431DB">
      <w:pPr>
        <w:tabs>
          <w:tab w:val="left" w:pos="2460"/>
        </w:tabs>
        <w:spacing w:line="360" w:lineRule="auto"/>
        <w:ind w:firstLine="435"/>
        <w:rPr>
          <w:rFonts w:hint="eastAsia" w:ascii="宋体" w:hAnsi="宋体" w:eastAsia="宋体" w:cs="宋体"/>
          <w:b/>
          <w:color w:val="auto"/>
          <w:sz w:val="28"/>
          <w:highlight w:val="none"/>
        </w:rPr>
      </w:pPr>
    </w:p>
    <w:p w14:paraId="0F6480ED">
      <w:pPr>
        <w:pStyle w:val="7"/>
        <w:rPr>
          <w:rFonts w:hint="eastAsia" w:ascii="宋体" w:hAnsi="宋体" w:eastAsia="宋体" w:cs="宋体"/>
          <w:b/>
          <w:color w:val="auto"/>
          <w:sz w:val="28"/>
          <w:highlight w:val="none"/>
        </w:rPr>
      </w:pPr>
    </w:p>
    <w:p w14:paraId="0F1A6C8B">
      <w:pPr>
        <w:pStyle w:val="7"/>
        <w:rPr>
          <w:rFonts w:hint="eastAsia" w:ascii="宋体" w:hAnsi="宋体" w:eastAsia="宋体" w:cs="宋体"/>
          <w:b/>
          <w:color w:val="auto"/>
          <w:sz w:val="28"/>
          <w:highlight w:val="none"/>
        </w:rPr>
      </w:pPr>
    </w:p>
    <w:p w14:paraId="62F23ED6">
      <w:pPr>
        <w:tabs>
          <w:tab w:val="left" w:pos="2460"/>
        </w:tabs>
        <w:spacing w:line="360" w:lineRule="auto"/>
        <w:rPr>
          <w:rFonts w:hint="eastAsia" w:ascii="宋体" w:hAnsi="宋体" w:eastAsia="宋体" w:cs="宋体"/>
          <w:b/>
          <w:color w:val="auto"/>
          <w:sz w:val="28"/>
          <w:highlight w:val="none"/>
        </w:rPr>
      </w:pPr>
    </w:p>
    <w:p w14:paraId="3020D821">
      <w:pPr>
        <w:rPr>
          <w:rFonts w:hint="eastAsia" w:ascii="宋体" w:hAnsi="宋体" w:eastAsia="宋体" w:cs="宋体"/>
          <w:color w:val="auto"/>
          <w:highlight w:val="none"/>
        </w:rPr>
      </w:pPr>
    </w:p>
    <w:p w14:paraId="6A1C95DC">
      <w:pPr>
        <w:pStyle w:val="7"/>
        <w:rPr>
          <w:rFonts w:hint="eastAsia" w:ascii="宋体" w:hAnsi="宋体" w:eastAsia="宋体" w:cs="宋体"/>
          <w:color w:val="auto"/>
          <w:highlight w:val="none"/>
        </w:rPr>
      </w:pPr>
    </w:p>
    <w:p w14:paraId="114C72B7">
      <w:pPr>
        <w:tabs>
          <w:tab w:val="left" w:pos="2460"/>
        </w:tabs>
        <w:spacing w:line="360" w:lineRule="auto"/>
        <w:outlineLvl w:val="9"/>
        <w:rPr>
          <w:rFonts w:hint="eastAsia" w:ascii="宋体" w:hAnsi="宋体" w:eastAsia="宋体" w:cs="宋体"/>
          <w:b/>
          <w:color w:val="auto"/>
          <w:sz w:val="28"/>
          <w:highlight w:val="none"/>
        </w:rPr>
      </w:pPr>
      <w:r>
        <w:rPr>
          <w:rFonts w:hint="eastAsia" w:ascii="宋体" w:hAnsi="宋体" w:eastAsia="宋体" w:cs="宋体"/>
          <w:b/>
          <w:color w:val="auto"/>
          <w:sz w:val="28"/>
          <w:highlight w:val="none"/>
        </w:rPr>
        <w:t>附件1</w:t>
      </w:r>
      <w:r>
        <w:rPr>
          <w:rFonts w:hint="eastAsia" w:ascii="宋体" w:hAnsi="宋体" w:cs="宋体"/>
          <w:b/>
          <w:color w:val="auto"/>
          <w:sz w:val="28"/>
          <w:highlight w:val="none"/>
          <w:lang w:val="en-US" w:eastAsia="zh-CN"/>
        </w:rPr>
        <w:t>5</w:t>
      </w:r>
      <w:r>
        <w:rPr>
          <w:rFonts w:hint="eastAsia" w:ascii="宋体" w:hAnsi="宋体" w:eastAsia="宋体" w:cs="宋体"/>
          <w:b/>
          <w:color w:val="auto"/>
          <w:sz w:val="28"/>
          <w:highlight w:val="none"/>
        </w:rPr>
        <w:tab/>
      </w:r>
    </w:p>
    <w:p w14:paraId="5DCD12C7">
      <w:pPr>
        <w:spacing w:line="360" w:lineRule="auto"/>
        <w:ind w:firstLine="435"/>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售后服务情况表</w:t>
      </w:r>
    </w:p>
    <w:p w14:paraId="4227963F">
      <w:pPr>
        <w:spacing w:line="360" w:lineRule="auto"/>
        <w:ind w:firstLine="435"/>
        <w:jc w:val="center"/>
        <w:rPr>
          <w:rFonts w:hint="eastAsia" w:ascii="宋体" w:hAnsi="宋体" w:eastAsia="宋体" w:cs="宋体"/>
          <w:b/>
          <w:color w:val="auto"/>
          <w:sz w:val="36"/>
          <w:szCs w:val="36"/>
          <w:highlight w:val="none"/>
        </w:rPr>
      </w:pPr>
    </w:p>
    <w:tbl>
      <w:tblPr>
        <w:tblStyle w:val="21"/>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355"/>
        <w:gridCol w:w="4061"/>
        <w:gridCol w:w="1373"/>
      </w:tblGrid>
      <w:tr w14:paraId="3AC634D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18" w:hRule="atLeast"/>
          <w:jc w:val="center"/>
        </w:trPr>
        <w:tc>
          <w:tcPr>
            <w:tcW w:w="739" w:type="dxa"/>
            <w:tcBorders>
              <w:top w:val="single" w:color="auto" w:sz="4" w:space="0"/>
            </w:tcBorders>
            <w:vAlign w:val="center"/>
          </w:tcPr>
          <w:p w14:paraId="35DD515C">
            <w:pPr>
              <w:pStyle w:val="42"/>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2355" w:type="dxa"/>
            <w:tcBorders>
              <w:top w:val="single" w:color="auto" w:sz="4" w:space="0"/>
            </w:tcBorders>
            <w:vAlign w:val="center"/>
          </w:tcPr>
          <w:p w14:paraId="2851DC43">
            <w:pPr>
              <w:pStyle w:val="42"/>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w:t>
            </w:r>
          </w:p>
        </w:tc>
        <w:tc>
          <w:tcPr>
            <w:tcW w:w="4061" w:type="dxa"/>
            <w:tcBorders>
              <w:top w:val="single" w:color="auto" w:sz="4" w:space="0"/>
            </w:tcBorders>
            <w:vAlign w:val="center"/>
          </w:tcPr>
          <w:p w14:paraId="4832D292">
            <w:pPr>
              <w:pStyle w:val="42"/>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投标人情况</w:t>
            </w:r>
          </w:p>
        </w:tc>
        <w:tc>
          <w:tcPr>
            <w:tcW w:w="1373" w:type="dxa"/>
            <w:tcBorders>
              <w:top w:val="single" w:color="auto" w:sz="4" w:space="0"/>
            </w:tcBorders>
            <w:vAlign w:val="center"/>
          </w:tcPr>
          <w:p w14:paraId="0ED77DC0">
            <w:pPr>
              <w:pStyle w:val="42"/>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备注</w:t>
            </w:r>
          </w:p>
        </w:tc>
      </w:tr>
      <w:tr w14:paraId="3363D00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2392" w:hRule="atLeast"/>
          <w:jc w:val="center"/>
        </w:trPr>
        <w:tc>
          <w:tcPr>
            <w:tcW w:w="739" w:type="dxa"/>
            <w:vAlign w:val="center"/>
          </w:tcPr>
          <w:p w14:paraId="396EABCA">
            <w:pPr>
              <w:pStyle w:val="42"/>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w:t>
            </w:r>
          </w:p>
        </w:tc>
        <w:tc>
          <w:tcPr>
            <w:tcW w:w="2355" w:type="dxa"/>
            <w:vAlign w:val="center"/>
          </w:tcPr>
          <w:p w14:paraId="4911571F">
            <w:pPr>
              <w:pStyle w:val="42"/>
              <w:widowControl/>
              <w:spacing w:line="360" w:lineRule="auto"/>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服务期</w:t>
            </w:r>
            <w:r>
              <w:rPr>
                <w:rFonts w:hint="eastAsia" w:ascii="宋体" w:hAnsi="宋体" w:eastAsia="宋体" w:cs="宋体"/>
                <w:bCs/>
                <w:color w:val="auto"/>
                <w:sz w:val="21"/>
                <w:szCs w:val="21"/>
                <w:highlight w:val="none"/>
              </w:rPr>
              <w:t>内售后服务情况(服务方式、服务网点、售后服务的内容和措施等等，可用附页和宣传材料)</w:t>
            </w:r>
          </w:p>
        </w:tc>
        <w:tc>
          <w:tcPr>
            <w:tcW w:w="4061" w:type="dxa"/>
          </w:tcPr>
          <w:p w14:paraId="723B008F">
            <w:pPr>
              <w:pStyle w:val="42"/>
              <w:spacing w:line="360" w:lineRule="auto"/>
              <w:rPr>
                <w:rFonts w:hint="eastAsia" w:ascii="宋体" w:hAnsi="宋体" w:eastAsia="宋体" w:cs="宋体"/>
                <w:bCs/>
                <w:color w:val="auto"/>
                <w:sz w:val="21"/>
                <w:szCs w:val="21"/>
                <w:highlight w:val="none"/>
              </w:rPr>
            </w:pPr>
          </w:p>
        </w:tc>
        <w:tc>
          <w:tcPr>
            <w:tcW w:w="1373" w:type="dxa"/>
          </w:tcPr>
          <w:p w14:paraId="67DE50F8">
            <w:pPr>
              <w:pStyle w:val="42"/>
              <w:spacing w:line="360" w:lineRule="auto"/>
              <w:rPr>
                <w:rFonts w:hint="eastAsia" w:ascii="宋体" w:hAnsi="宋体" w:eastAsia="宋体" w:cs="宋体"/>
                <w:bCs/>
                <w:color w:val="auto"/>
                <w:sz w:val="21"/>
                <w:szCs w:val="21"/>
                <w:highlight w:val="none"/>
              </w:rPr>
            </w:pPr>
          </w:p>
        </w:tc>
      </w:tr>
      <w:tr w14:paraId="75E7E5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80" w:hRule="exact"/>
          <w:jc w:val="center"/>
        </w:trPr>
        <w:tc>
          <w:tcPr>
            <w:tcW w:w="739" w:type="dxa"/>
            <w:vAlign w:val="center"/>
          </w:tcPr>
          <w:p w14:paraId="55570416">
            <w:pPr>
              <w:pStyle w:val="42"/>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w:t>
            </w:r>
          </w:p>
        </w:tc>
        <w:tc>
          <w:tcPr>
            <w:tcW w:w="2355" w:type="dxa"/>
            <w:vAlign w:val="center"/>
          </w:tcPr>
          <w:p w14:paraId="54AEDEDB">
            <w:pPr>
              <w:pStyle w:val="42"/>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服务期满后</w:t>
            </w:r>
            <w:r>
              <w:rPr>
                <w:rFonts w:hint="eastAsia" w:ascii="宋体" w:hAnsi="宋体" w:eastAsia="宋体" w:cs="宋体"/>
                <w:bCs/>
                <w:color w:val="auto"/>
                <w:sz w:val="21"/>
                <w:szCs w:val="21"/>
                <w:highlight w:val="none"/>
              </w:rPr>
              <w:t>售后服务</w:t>
            </w:r>
          </w:p>
        </w:tc>
        <w:tc>
          <w:tcPr>
            <w:tcW w:w="4061" w:type="dxa"/>
          </w:tcPr>
          <w:p w14:paraId="3C1F3147">
            <w:pPr>
              <w:pStyle w:val="42"/>
              <w:widowControl/>
              <w:spacing w:line="360" w:lineRule="auto"/>
              <w:jc w:val="left"/>
              <w:rPr>
                <w:rFonts w:hint="eastAsia" w:ascii="宋体" w:hAnsi="宋体" w:eastAsia="宋体" w:cs="宋体"/>
                <w:bCs/>
                <w:color w:val="auto"/>
                <w:sz w:val="21"/>
                <w:szCs w:val="21"/>
                <w:highlight w:val="none"/>
              </w:rPr>
            </w:pPr>
          </w:p>
          <w:p w14:paraId="199C68CE">
            <w:pPr>
              <w:pStyle w:val="42"/>
              <w:widowControl/>
              <w:spacing w:line="360" w:lineRule="auto"/>
              <w:jc w:val="left"/>
              <w:rPr>
                <w:rFonts w:hint="eastAsia" w:ascii="宋体" w:hAnsi="宋体" w:eastAsia="宋体" w:cs="宋体"/>
                <w:bCs/>
                <w:color w:val="auto"/>
                <w:sz w:val="21"/>
                <w:szCs w:val="21"/>
                <w:highlight w:val="none"/>
              </w:rPr>
            </w:pPr>
          </w:p>
          <w:p w14:paraId="372766CB">
            <w:pPr>
              <w:pStyle w:val="42"/>
              <w:spacing w:line="360" w:lineRule="auto"/>
              <w:rPr>
                <w:rFonts w:hint="eastAsia" w:ascii="宋体" w:hAnsi="宋体" w:eastAsia="宋体" w:cs="宋体"/>
                <w:bCs/>
                <w:color w:val="auto"/>
                <w:sz w:val="21"/>
                <w:szCs w:val="21"/>
                <w:highlight w:val="none"/>
              </w:rPr>
            </w:pPr>
          </w:p>
        </w:tc>
        <w:tc>
          <w:tcPr>
            <w:tcW w:w="1373" w:type="dxa"/>
          </w:tcPr>
          <w:p w14:paraId="5E1FB07A">
            <w:pPr>
              <w:pStyle w:val="42"/>
              <w:widowControl/>
              <w:spacing w:line="360" w:lineRule="auto"/>
              <w:jc w:val="left"/>
              <w:rPr>
                <w:rFonts w:hint="eastAsia" w:ascii="宋体" w:hAnsi="宋体" w:eastAsia="宋体" w:cs="宋体"/>
                <w:bCs/>
                <w:color w:val="auto"/>
                <w:sz w:val="21"/>
                <w:szCs w:val="21"/>
                <w:highlight w:val="none"/>
              </w:rPr>
            </w:pPr>
          </w:p>
          <w:p w14:paraId="6715E5B8">
            <w:pPr>
              <w:pStyle w:val="42"/>
              <w:widowControl/>
              <w:spacing w:line="360" w:lineRule="auto"/>
              <w:jc w:val="left"/>
              <w:rPr>
                <w:rFonts w:hint="eastAsia" w:ascii="宋体" w:hAnsi="宋体" w:eastAsia="宋体" w:cs="宋体"/>
                <w:bCs/>
                <w:color w:val="auto"/>
                <w:sz w:val="21"/>
                <w:szCs w:val="21"/>
                <w:highlight w:val="none"/>
              </w:rPr>
            </w:pPr>
          </w:p>
          <w:p w14:paraId="6CCDDAF9">
            <w:pPr>
              <w:pStyle w:val="42"/>
              <w:spacing w:line="360" w:lineRule="auto"/>
              <w:rPr>
                <w:rFonts w:hint="eastAsia" w:ascii="宋体" w:hAnsi="宋体" w:eastAsia="宋体" w:cs="宋体"/>
                <w:bCs/>
                <w:color w:val="auto"/>
                <w:sz w:val="21"/>
                <w:szCs w:val="21"/>
                <w:highlight w:val="none"/>
              </w:rPr>
            </w:pPr>
          </w:p>
        </w:tc>
      </w:tr>
      <w:tr w14:paraId="5CA067D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620" w:hRule="exact"/>
          <w:jc w:val="center"/>
        </w:trPr>
        <w:tc>
          <w:tcPr>
            <w:tcW w:w="739" w:type="dxa"/>
            <w:shd w:val="clear" w:color="auto" w:fill="auto"/>
            <w:vAlign w:val="center"/>
          </w:tcPr>
          <w:p w14:paraId="6C58D56F">
            <w:pPr>
              <w:pStyle w:val="42"/>
              <w:widowControl/>
              <w:spacing w:line="360" w:lineRule="auto"/>
              <w:jc w:val="left"/>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rPr>
              <w:t>……</w:t>
            </w:r>
          </w:p>
        </w:tc>
        <w:tc>
          <w:tcPr>
            <w:tcW w:w="2355" w:type="dxa"/>
            <w:shd w:val="clear" w:color="auto" w:fill="auto"/>
            <w:vAlign w:val="center"/>
          </w:tcPr>
          <w:p w14:paraId="5432553D">
            <w:pPr>
              <w:pStyle w:val="42"/>
              <w:widowControl/>
              <w:spacing w:line="360" w:lineRule="auto"/>
              <w:jc w:val="left"/>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rPr>
              <w:t>……</w:t>
            </w:r>
          </w:p>
        </w:tc>
        <w:tc>
          <w:tcPr>
            <w:tcW w:w="4061" w:type="dxa"/>
          </w:tcPr>
          <w:p w14:paraId="2D2DD925">
            <w:pPr>
              <w:pStyle w:val="42"/>
              <w:widowControl/>
              <w:spacing w:line="360" w:lineRule="auto"/>
              <w:jc w:val="left"/>
              <w:rPr>
                <w:rFonts w:hint="eastAsia" w:ascii="宋体" w:hAnsi="宋体" w:eastAsia="宋体" w:cs="宋体"/>
                <w:bCs/>
                <w:i/>
                <w:color w:val="auto"/>
                <w:sz w:val="21"/>
                <w:szCs w:val="21"/>
                <w:highlight w:val="none"/>
              </w:rPr>
            </w:pPr>
          </w:p>
          <w:p w14:paraId="5E383613">
            <w:pPr>
              <w:pStyle w:val="42"/>
              <w:widowControl/>
              <w:spacing w:line="360" w:lineRule="auto"/>
              <w:jc w:val="left"/>
              <w:rPr>
                <w:rFonts w:hint="eastAsia" w:ascii="宋体" w:hAnsi="宋体" w:eastAsia="宋体" w:cs="宋体"/>
                <w:bCs/>
                <w:i/>
                <w:color w:val="auto"/>
                <w:sz w:val="21"/>
                <w:szCs w:val="21"/>
                <w:highlight w:val="none"/>
              </w:rPr>
            </w:pPr>
          </w:p>
        </w:tc>
        <w:tc>
          <w:tcPr>
            <w:tcW w:w="1373" w:type="dxa"/>
          </w:tcPr>
          <w:p w14:paraId="41164E45">
            <w:pPr>
              <w:pStyle w:val="42"/>
              <w:widowControl/>
              <w:spacing w:line="360" w:lineRule="auto"/>
              <w:jc w:val="left"/>
              <w:rPr>
                <w:rFonts w:hint="eastAsia" w:ascii="宋体" w:hAnsi="宋体" w:eastAsia="宋体" w:cs="宋体"/>
                <w:bCs/>
                <w:i/>
                <w:color w:val="auto"/>
                <w:sz w:val="21"/>
                <w:szCs w:val="21"/>
                <w:highlight w:val="none"/>
              </w:rPr>
            </w:pPr>
          </w:p>
          <w:p w14:paraId="28B3E838">
            <w:pPr>
              <w:pStyle w:val="42"/>
              <w:widowControl/>
              <w:spacing w:line="360" w:lineRule="auto"/>
              <w:jc w:val="left"/>
              <w:rPr>
                <w:rFonts w:hint="eastAsia" w:ascii="宋体" w:hAnsi="宋体" w:eastAsia="宋体" w:cs="宋体"/>
                <w:bCs/>
                <w:i/>
                <w:color w:val="auto"/>
                <w:sz w:val="21"/>
                <w:szCs w:val="21"/>
                <w:highlight w:val="none"/>
              </w:rPr>
            </w:pPr>
          </w:p>
          <w:p w14:paraId="22E6ABFF">
            <w:pPr>
              <w:pStyle w:val="42"/>
              <w:widowControl/>
              <w:spacing w:line="360" w:lineRule="auto"/>
              <w:jc w:val="left"/>
              <w:rPr>
                <w:rFonts w:hint="eastAsia" w:ascii="宋体" w:hAnsi="宋体" w:eastAsia="宋体" w:cs="宋体"/>
                <w:bCs/>
                <w:i/>
                <w:color w:val="auto"/>
                <w:sz w:val="21"/>
                <w:szCs w:val="21"/>
                <w:highlight w:val="none"/>
              </w:rPr>
            </w:pPr>
          </w:p>
        </w:tc>
      </w:tr>
      <w:tr w14:paraId="33F4322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39" w:type="dxa"/>
            <w:tcBorders>
              <w:bottom w:val="single" w:color="auto" w:sz="4" w:space="0"/>
            </w:tcBorders>
            <w:vAlign w:val="center"/>
          </w:tcPr>
          <w:p w14:paraId="7B4BDBA1">
            <w:pPr>
              <w:pStyle w:val="42"/>
              <w:widowControl/>
              <w:spacing w:line="360" w:lineRule="auto"/>
              <w:jc w:val="left"/>
              <w:rPr>
                <w:rFonts w:hint="eastAsia" w:ascii="宋体" w:hAnsi="宋体" w:eastAsia="宋体" w:cs="宋体"/>
                <w:bCs/>
                <w:color w:val="auto"/>
                <w:sz w:val="21"/>
                <w:szCs w:val="21"/>
                <w:highlight w:val="none"/>
              </w:rPr>
            </w:pPr>
          </w:p>
        </w:tc>
        <w:tc>
          <w:tcPr>
            <w:tcW w:w="2355" w:type="dxa"/>
            <w:tcBorders>
              <w:bottom w:val="single" w:color="auto" w:sz="4" w:space="0"/>
            </w:tcBorders>
            <w:vAlign w:val="center"/>
          </w:tcPr>
          <w:p w14:paraId="22B408B3">
            <w:pPr>
              <w:pStyle w:val="42"/>
              <w:widowControl/>
              <w:spacing w:line="360" w:lineRule="auto"/>
              <w:jc w:val="left"/>
              <w:rPr>
                <w:rFonts w:hint="eastAsia" w:ascii="宋体" w:hAnsi="宋体" w:eastAsia="宋体" w:cs="宋体"/>
                <w:bCs/>
                <w:color w:val="auto"/>
                <w:sz w:val="21"/>
                <w:szCs w:val="21"/>
                <w:highlight w:val="none"/>
              </w:rPr>
            </w:pPr>
          </w:p>
        </w:tc>
        <w:tc>
          <w:tcPr>
            <w:tcW w:w="4061" w:type="dxa"/>
            <w:tcBorders>
              <w:bottom w:val="single" w:color="auto" w:sz="4" w:space="0"/>
            </w:tcBorders>
          </w:tcPr>
          <w:p w14:paraId="191E9832">
            <w:pPr>
              <w:pStyle w:val="42"/>
              <w:widowControl/>
              <w:spacing w:line="360" w:lineRule="auto"/>
              <w:jc w:val="left"/>
              <w:rPr>
                <w:rFonts w:hint="eastAsia" w:ascii="宋体" w:hAnsi="宋体" w:eastAsia="宋体" w:cs="宋体"/>
                <w:bCs/>
                <w:color w:val="auto"/>
                <w:sz w:val="21"/>
                <w:szCs w:val="21"/>
                <w:highlight w:val="none"/>
              </w:rPr>
            </w:pPr>
          </w:p>
        </w:tc>
        <w:tc>
          <w:tcPr>
            <w:tcW w:w="1373" w:type="dxa"/>
            <w:tcBorders>
              <w:bottom w:val="single" w:color="auto" w:sz="4" w:space="0"/>
            </w:tcBorders>
          </w:tcPr>
          <w:p w14:paraId="4C1B10CD">
            <w:pPr>
              <w:pStyle w:val="42"/>
              <w:widowControl/>
              <w:spacing w:line="360" w:lineRule="auto"/>
              <w:jc w:val="left"/>
              <w:rPr>
                <w:rFonts w:hint="eastAsia" w:ascii="宋体" w:hAnsi="宋体" w:eastAsia="宋体" w:cs="宋体"/>
                <w:bCs/>
                <w:color w:val="auto"/>
                <w:sz w:val="21"/>
                <w:szCs w:val="21"/>
                <w:highlight w:val="none"/>
              </w:rPr>
            </w:pPr>
          </w:p>
        </w:tc>
      </w:tr>
    </w:tbl>
    <w:p w14:paraId="7AFE6805">
      <w:pPr>
        <w:spacing w:line="360" w:lineRule="auto"/>
        <w:ind w:left="420"/>
        <w:rPr>
          <w:rFonts w:hint="eastAsia" w:ascii="宋体" w:hAnsi="宋体" w:eastAsia="宋体" w:cs="宋体"/>
          <w:color w:val="auto"/>
          <w:sz w:val="21"/>
          <w:szCs w:val="21"/>
          <w:highlight w:val="none"/>
        </w:rPr>
      </w:pPr>
    </w:p>
    <w:p w14:paraId="6EBB0812">
      <w:pPr>
        <w:spacing w:line="360" w:lineRule="auto"/>
        <w:ind w:left="420"/>
        <w:rPr>
          <w:rFonts w:hint="eastAsia" w:ascii="宋体" w:hAnsi="宋体" w:eastAsia="宋体" w:cs="宋体"/>
          <w:color w:val="auto"/>
          <w:sz w:val="21"/>
          <w:szCs w:val="21"/>
          <w:highlight w:val="none"/>
        </w:rPr>
      </w:pPr>
    </w:p>
    <w:p w14:paraId="533020F5">
      <w:pPr>
        <w:spacing w:line="360" w:lineRule="auto"/>
        <w:rPr>
          <w:rFonts w:hint="eastAsia" w:ascii="宋体" w:hAnsi="宋体" w:eastAsia="宋体" w:cs="宋体"/>
          <w:color w:val="auto"/>
          <w:sz w:val="21"/>
          <w:szCs w:val="21"/>
          <w:highlight w:val="none"/>
        </w:rPr>
      </w:pPr>
    </w:p>
    <w:p w14:paraId="52C9A7AA">
      <w:pPr>
        <w:spacing w:line="360" w:lineRule="auto"/>
        <w:ind w:left="420"/>
        <w:rPr>
          <w:rFonts w:hint="eastAsia" w:ascii="宋体" w:hAnsi="宋体" w:eastAsia="宋体" w:cs="宋体"/>
          <w:color w:val="auto"/>
          <w:sz w:val="21"/>
          <w:szCs w:val="21"/>
          <w:highlight w:val="none"/>
        </w:rPr>
      </w:pPr>
    </w:p>
    <w:p w14:paraId="0CAF6DE2">
      <w:pPr>
        <w:spacing w:line="360" w:lineRule="auto"/>
        <w:ind w:left="42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投标人名称（盖章）：</w:t>
      </w:r>
    </w:p>
    <w:p w14:paraId="69E968F3">
      <w:pPr>
        <w:spacing w:line="360" w:lineRule="auto"/>
        <w:ind w:left="420"/>
        <w:rPr>
          <w:rFonts w:hint="eastAsia" w:ascii="宋体" w:hAnsi="宋体" w:eastAsia="宋体" w:cs="宋体"/>
          <w:color w:val="auto"/>
          <w:sz w:val="21"/>
          <w:szCs w:val="21"/>
          <w:highlight w:val="none"/>
        </w:rPr>
      </w:pPr>
    </w:p>
    <w:p w14:paraId="77FAB1A5">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p>
    <w:p w14:paraId="6AB63938">
      <w:pPr>
        <w:spacing w:line="360" w:lineRule="auto"/>
        <w:rPr>
          <w:rFonts w:hint="eastAsia" w:ascii="宋体" w:hAnsi="宋体" w:eastAsia="宋体" w:cs="宋体"/>
          <w:color w:val="auto"/>
          <w:sz w:val="21"/>
          <w:szCs w:val="21"/>
          <w:highlight w:val="none"/>
        </w:rPr>
      </w:pPr>
    </w:p>
    <w:p w14:paraId="64DEAD94">
      <w:pPr>
        <w:spacing w:line="360" w:lineRule="auto"/>
        <w:ind w:firstLine="435"/>
        <w:rPr>
          <w:rFonts w:hint="eastAsia" w:ascii="宋体" w:hAnsi="宋体" w:eastAsia="宋体" w:cs="宋体"/>
          <w:color w:val="auto"/>
          <w:sz w:val="24"/>
          <w:highlight w:val="none"/>
          <w:u w:val="single"/>
        </w:rPr>
      </w:pPr>
      <w:r>
        <w:rPr>
          <w:rFonts w:hint="eastAsia" w:ascii="宋体" w:hAnsi="宋体" w:eastAsia="宋体" w:cs="宋体"/>
          <w:color w:val="auto"/>
          <w:sz w:val="21"/>
          <w:szCs w:val="21"/>
          <w:highlight w:val="none"/>
        </w:rPr>
        <w:t>日期：</w:t>
      </w:r>
    </w:p>
    <w:p w14:paraId="3EE5E582">
      <w:pPr>
        <w:spacing w:line="360" w:lineRule="auto"/>
        <w:ind w:firstLine="435"/>
        <w:rPr>
          <w:rFonts w:hint="eastAsia" w:ascii="宋体" w:hAnsi="宋体" w:eastAsia="宋体" w:cs="宋体"/>
          <w:color w:val="auto"/>
          <w:sz w:val="24"/>
          <w:highlight w:val="none"/>
          <w:u w:val="single"/>
        </w:rPr>
      </w:pPr>
    </w:p>
    <w:p w14:paraId="6CBC82AB">
      <w:pPr>
        <w:pStyle w:val="43"/>
        <w:spacing w:line="360" w:lineRule="auto"/>
        <w:rPr>
          <w:rFonts w:hint="eastAsia" w:ascii="宋体" w:hAnsi="宋体" w:eastAsia="宋体" w:cs="宋体"/>
          <w:b/>
          <w:color w:val="auto"/>
          <w:sz w:val="28"/>
          <w:szCs w:val="28"/>
          <w:highlight w:val="none"/>
        </w:rPr>
      </w:pPr>
    </w:p>
    <w:p w14:paraId="0A3234F3">
      <w:pPr>
        <w:spacing w:line="360" w:lineRule="auto"/>
        <w:ind w:right="-110"/>
        <w:jc w:val="left"/>
        <w:rPr>
          <w:rFonts w:hint="eastAsia" w:ascii="宋体" w:hAnsi="宋体" w:eastAsia="宋体" w:cs="宋体"/>
          <w:b/>
          <w:color w:val="auto"/>
          <w:sz w:val="28"/>
          <w:highlight w:val="none"/>
        </w:rPr>
      </w:pPr>
    </w:p>
    <w:p w14:paraId="7BE77E63">
      <w:pPr>
        <w:spacing w:line="360" w:lineRule="auto"/>
        <w:ind w:right="-110"/>
        <w:jc w:val="left"/>
        <w:outlineLvl w:val="9"/>
        <w:rPr>
          <w:rFonts w:hint="eastAsia" w:ascii="宋体" w:hAnsi="宋体" w:eastAsia="宋体" w:cs="宋体"/>
          <w:b/>
          <w:color w:val="auto"/>
          <w:sz w:val="28"/>
          <w:highlight w:val="none"/>
        </w:rPr>
        <w:sectPr>
          <w:pgSz w:w="11906" w:h="16838"/>
          <w:pgMar w:top="1440" w:right="1800" w:bottom="1440" w:left="1800" w:header="851" w:footer="992" w:gutter="0"/>
          <w:pgNumType w:fmt="decimal"/>
          <w:cols w:space="425" w:num="1"/>
          <w:docGrid w:type="lines" w:linePitch="312" w:charSpace="0"/>
        </w:sectPr>
      </w:pPr>
    </w:p>
    <w:p w14:paraId="119F20E1">
      <w:pPr>
        <w:spacing w:line="360" w:lineRule="auto"/>
        <w:ind w:right="-110"/>
        <w:jc w:val="left"/>
        <w:outlineLvl w:val="9"/>
        <w:rPr>
          <w:rFonts w:hint="eastAsia" w:ascii="宋体" w:hAnsi="宋体" w:eastAsia="宋体" w:cs="宋体"/>
          <w:color w:val="auto"/>
          <w:spacing w:val="40"/>
          <w:sz w:val="52"/>
          <w:szCs w:val="52"/>
          <w:highlight w:val="none"/>
          <w:lang w:val="en-US" w:eastAsia="zh-CN"/>
        </w:rPr>
      </w:pPr>
      <w:r>
        <w:rPr>
          <w:rFonts w:hint="eastAsia" w:ascii="宋体" w:hAnsi="宋体" w:eastAsia="宋体" w:cs="宋体"/>
          <w:b/>
          <w:color w:val="auto"/>
          <w:sz w:val="28"/>
          <w:highlight w:val="none"/>
        </w:rPr>
        <w:t>附件</w:t>
      </w:r>
      <w:r>
        <w:rPr>
          <w:rFonts w:hint="eastAsia" w:ascii="宋体" w:hAnsi="宋体" w:cs="宋体"/>
          <w:b/>
          <w:color w:val="auto"/>
          <w:sz w:val="28"/>
          <w:highlight w:val="none"/>
          <w:lang w:val="en-US" w:eastAsia="zh-CN"/>
        </w:rPr>
        <w:t>16</w:t>
      </w:r>
      <w:r>
        <w:rPr>
          <w:rFonts w:hint="eastAsia" w:ascii="宋体" w:hAnsi="宋体" w:eastAsia="宋体" w:cs="宋体"/>
          <w:b/>
          <w:color w:val="auto"/>
          <w:sz w:val="28"/>
          <w:highlight w:val="none"/>
          <w:lang w:val="en-US" w:eastAsia="zh-CN"/>
        </w:rPr>
        <w:t xml:space="preserve">                                       </w:t>
      </w:r>
      <w:r>
        <w:rPr>
          <w:rFonts w:hint="eastAsia" w:ascii="宋体" w:hAnsi="宋体" w:eastAsia="宋体" w:cs="宋体"/>
          <w:b/>
          <w:color w:val="auto"/>
          <w:sz w:val="28"/>
          <w:highlight w:val="none"/>
          <w:u w:val="single"/>
        </w:rPr>
        <w:t xml:space="preserve">     </w:t>
      </w:r>
      <w:r>
        <w:rPr>
          <w:rFonts w:hint="eastAsia" w:ascii="宋体" w:hAnsi="宋体" w:eastAsia="宋体" w:cs="宋体"/>
          <w:bCs/>
          <w:color w:val="auto"/>
          <w:sz w:val="24"/>
          <w:highlight w:val="none"/>
        </w:rPr>
        <w:t>本</w:t>
      </w:r>
    </w:p>
    <w:p w14:paraId="33738E25">
      <w:pPr>
        <w:spacing w:line="360" w:lineRule="auto"/>
        <w:ind w:right="-110"/>
        <w:jc w:val="center"/>
        <w:rPr>
          <w:rFonts w:hint="eastAsia" w:ascii="宋体" w:hAnsi="宋体" w:eastAsia="宋体" w:cs="宋体"/>
          <w:color w:val="auto"/>
          <w:spacing w:val="40"/>
          <w:sz w:val="52"/>
          <w:szCs w:val="52"/>
          <w:highlight w:val="none"/>
        </w:rPr>
      </w:pPr>
      <w:r>
        <w:rPr>
          <w:rFonts w:hint="eastAsia" w:ascii="宋体" w:hAnsi="宋体" w:eastAsia="宋体" w:cs="宋体"/>
          <w:color w:val="auto"/>
          <w:spacing w:val="40"/>
          <w:sz w:val="52"/>
          <w:szCs w:val="52"/>
          <w:highlight w:val="none"/>
        </w:rPr>
        <w:t>项目名称</w:t>
      </w:r>
    </w:p>
    <w:p w14:paraId="69C5B3D1">
      <w:pPr>
        <w:spacing w:beforeLines="100" w:line="360" w:lineRule="auto"/>
        <w:ind w:right="-108"/>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项目编号：（标段）</w:t>
      </w:r>
    </w:p>
    <w:p w14:paraId="120ED0EB">
      <w:pPr>
        <w:spacing w:after="100" w:afterAutospacing="1" w:line="360" w:lineRule="auto"/>
        <w:ind w:right="-108"/>
        <w:jc w:val="center"/>
        <w:rPr>
          <w:rFonts w:hint="eastAsia" w:ascii="宋体" w:hAnsi="宋体" w:eastAsia="宋体" w:cs="宋体"/>
          <w:b/>
          <w:color w:val="auto"/>
          <w:spacing w:val="40"/>
          <w:sz w:val="84"/>
          <w:szCs w:val="84"/>
          <w:highlight w:val="none"/>
        </w:rPr>
      </w:pPr>
    </w:p>
    <w:p w14:paraId="127BECC3">
      <w:pPr>
        <w:spacing w:after="100" w:afterAutospacing="1" w:line="360" w:lineRule="auto"/>
        <w:ind w:right="-108"/>
        <w:jc w:val="center"/>
        <w:rPr>
          <w:rFonts w:hint="eastAsia" w:ascii="宋体" w:hAnsi="宋体" w:eastAsia="宋体" w:cs="宋体"/>
          <w:b/>
          <w:color w:val="auto"/>
          <w:spacing w:val="40"/>
          <w:sz w:val="84"/>
          <w:szCs w:val="84"/>
          <w:highlight w:val="none"/>
        </w:rPr>
      </w:pPr>
      <w:r>
        <w:rPr>
          <w:rFonts w:hint="eastAsia" w:ascii="宋体" w:hAnsi="宋体" w:eastAsia="宋体" w:cs="宋体"/>
          <w:b/>
          <w:color w:val="auto"/>
          <w:spacing w:val="40"/>
          <w:sz w:val="84"/>
          <w:szCs w:val="84"/>
          <w:highlight w:val="none"/>
        </w:rPr>
        <w:t>报</w:t>
      </w:r>
    </w:p>
    <w:p w14:paraId="1BFA7851">
      <w:pPr>
        <w:spacing w:after="100" w:afterAutospacing="1" w:line="360" w:lineRule="auto"/>
        <w:ind w:right="-108"/>
        <w:jc w:val="center"/>
        <w:rPr>
          <w:rFonts w:hint="eastAsia" w:ascii="宋体" w:hAnsi="宋体" w:eastAsia="宋体" w:cs="宋体"/>
          <w:b/>
          <w:color w:val="auto"/>
          <w:spacing w:val="40"/>
          <w:sz w:val="84"/>
          <w:szCs w:val="84"/>
          <w:highlight w:val="none"/>
        </w:rPr>
      </w:pPr>
      <w:r>
        <w:rPr>
          <w:rFonts w:hint="eastAsia" w:ascii="宋体" w:hAnsi="宋体" w:eastAsia="宋体" w:cs="宋体"/>
          <w:b/>
          <w:color w:val="auto"/>
          <w:spacing w:val="40"/>
          <w:sz w:val="84"/>
          <w:szCs w:val="84"/>
          <w:highlight w:val="none"/>
        </w:rPr>
        <w:t>价</w:t>
      </w:r>
    </w:p>
    <w:p w14:paraId="25FDB772">
      <w:pPr>
        <w:spacing w:after="100" w:afterAutospacing="1" w:line="360" w:lineRule="auto"/>
        <w:ind w:right="-108"/>
        <w:jc w:val="center"/>
        <w:rPr>
          <w:rFonts w:hint="eastAsia" w:ascii="宋体" w:hAnsi="宋体" w:eastAsia="宋体" w:cs="宋体"/>
          <w:b/>
          <w:color w:val="auto"/>
          <w:spacing w:val="40"/>
          <w:sz w:val="84"/>
          <w:szCs w:val="84"/>
          <w:highlight w:val="none"/>
        </w:rPr>
      </w:pPr>
      <w:r>
        <w:rPr>
          <w:rFonts w:hint="eastAsia" w:ascii="宋体" w:hAnsi="宋体" w:eastAsia="宋体" w:cs="宋体"/>
          <w:b/>
          <w:color w:val="auto"/>
          <w:spacing w:val="40"/>
          <w:sz w:val="84"/>
          <w:szCs w:val="84"/>
          <w:highlight w:val="none"/>
        </w:rPr>
        <w:t>文</w:t>
      </w:r>
    </w:p>
    <w:p w14:paraId="11503267">
      <w:pPr>
        <w:spacing w:after="100" w:afterAutospacing="1" w:line="360" w:lineRule="auto"/>
        <w:ind w:right="-108"/>
        <w:jc w:val="center"/>
        <w:rPr>
          <w:rFonts w:hint="eastAsia" w:ascii="宋体" w:hAnsi="宋体" w:eastAsia="宋体" w:cs="宋体"/>
          <w:b/>
          <w:color w:val="auto"/>
          <w:spacing w:val="40"/>
          <w:sz w:val="84"/>
          <w:szCs w:val="84"/>
          <w:highlight w:val="none"/>
        </w:rPr>
      </w:pPr>
      <w:r>
        <w:rPr>
          <w:rFonts w:hint="eastAsia" w:ascii="宋体" w:hAnsi="宋体" w:eastAsia="宋体" w:cs="宋体"/>
          <w:b/>
          <w:color w:val="auto"/>
          <w:spacing w:val="40"/>
          <w:sz w:val="84"/>
          <w:szCs w:val="84"/>
          <w:highlight w:val="none"/>
        </w:rPr>
        <w:t>件</w:t>
      </w:r>
    </w:p>
    <w:p w14:paraId="4E6AFF42">
      <w:pPr>
        <w:spacing w:line="360" w:lineRule="auto"/>
        <w:ind w:right="532"/>
        <w:jc w:val="center"/>
        <w:rPr>
          <w:rFonts w:hint="eastAsia" w:ascii="宋体" w:hAnsi="宋体" w:eastAsia="宋体" w:cs="宋体"/>
          <w:color w:val="auto"/>
          <w:sz w:val="36"/>
          <w:szCs w:val="36"/>
          <w:highlight w:val="none"/>
        </w:rPr>
      </w:pPr>
    </w:p>
    <w:p w14:paraId="6726C3C7">
      <w:pPr>
        <w:spacing w:line="360" w:lineRule="auto"/>
        <w:ind w:right="532"/>
        <w:rPr>
          <w:rFonts w:hint="eastAsia" w:ascii="宋体" w:hAnsi="宋体" w:eastAsia="宋体" w:cs="宋体"/>
          <w:color w:val="auto"/>
          <w:sz w:val="36"/>
          <w:szCs w:val="36"/>
          <w:highlight w:val="none"/>
        </w:rPr>
      </w:pPr>
    </w:p>
    <w:p w14:paraId="2FF0C529">
      <w:pPr>
        <w:spacing w:line="360" w:lineRule="auto"/>
        <w:ind w:right="532" w:firstLine="720" w:firstLineChars="2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供应商全称（公章）：</w:t>
      </w:r>
    </w:p>
    <w:p w14:paraId="6205E277">
      <w:pPr>
        <w:spacing w:line="360" w:lineRule="auto"/>
        <w:ind w:right="-108" w:firstLine="720" w:firstLineChars="2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地址：</w:t>
      </w:r>
    </w:p>
    <w:p w14:paraId="62FAF673">
      <w:pPr>
        <w:spacing w:line="360" w:lineRule="auto"/>
        <w:ind w:right="-108" w:firstLine="720" w:firstLineChars="2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时间：</w:t>
      </w:r>
    </w:p>
    <w:p w14:paraId="3F464237">
      <w:pPr>
        <w:spacing w:line="360" w:lineRule="auto"/>
        <w:ind w:right="-108"/>
        <w:jc w:val="center"/>
        <w:rPr>
          <w:rFonts w:hint="eastAsia" w:ascii="宋体" w:hAnsi="宋体" w:eastAsia="宋体" w:cs="宋体"/>
          <w:b/>
          <w:color w:val="auto"/>
          <w:sz w:val="36"/>
          <w:szCs w:val="32"/>
          <w:highlight w:val="none"/>
        </w:rPr>
      </w:pPr>
    </w:p>
    <w:p w14:paraId="6513CFF9">
      <w:pPr>
        <w:keepNext w:val="0"/>
        <w:keepLines w:val="0"/>
        <w:pageBreakBefore w:val="0"/>
        <w:widowControl w:val="0"/>
        <w:kinsoku/>
        <w:wordWrap/>
        <w:overflowPunct/>
        <w:topLinePunct w:val="0"/>
        <w:autoSpaceDE/>
        <w:autoSpaceDN/>
        <w:bidi w:val="0"/>
        <w:adjustRightInd/>
        <w:snapToGrid/>
        <w:spacing w:line="360" w:lineRule="auto"/>
        <w:ind w:right="-108"/>
        <w:jc w:val="center"/>
        <w:textAlignment w:val="auto"/>
        <w:outlineLvl w:val="1"/>
        <w:rPr>
          <w:rFonts w:hint="eastAsia" w:ascii="宋体" w:hAnsi="宋体" w:eastAsia="宋体" w:cs="宋体"/>
          <w:b/>
          <w:color w:val="auto"/>
          <w:sz w:val="36"/>
          <w:szCs w:val="32"/>
          <w:highlight w:val="none"/>
        </w:rPr>
      </w:pPr>
      <w:r>
        <w:rPr>
          <w:rFonts w:hint="eastAsia" w:ascii="宋体" w:hAnsi="宋体" w:eastAsia="宋体" w:cs="宋体"/>
          <w:b/>
          <w:color w:val="auto"/>
          <w:sz w:val="36"/>
          <w:szCs w:val="32"/>
          <w:highlight w:val="none"/>
        </w:rPr>
        <w:t>报价文件目录</w:t>
      </w:r>
    </w:p>
    <w:p w14:paraId="0A558E64">
      <w:pPr>
        <w:snapToGrid w:val="0"/>
        <w:spacing w:line="360" w:lineRule="auto"/>
        <w:rPr>
          <w:rFonts w:hint="eastAsia" w:ascii="宋体" w:hAnsi="宋体" w:eastAsia="宋体" w:cs="宋体"/>
          <w:color w:val="auto"/>
          <w:sz w:val="24"/>
          <w:highlight w:val="none"/>
        </w:rPr>
      </w:pPr>
    </w:p>
    <w:p w14:paraId="160ABB31">
      <w:pPr>
        <w:snapToGrid w:val="0"/>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1、开标一览表（附件1</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按标段填写</w:t>
      </w:r>
      <w:r>
        <w:rPr>
          <w:rFonts w:hint="eastAsia" w:ascii="宋体" w:hAnsi="宋体" w:cs="宋体"/>
          <w:color w:val="auto"/>
          <w:sz w:val="21"/>
          <w:szCs w:val="21"/>
          <w:highlight w:val="none"/>
          <w:lang w:eastAsia="zh-CN"/>
        </w:rPr>
        <w:t>）</w:t>
      </w:r>
    </w:p>
    <w:p w14:paraId="5ABB97D2">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2、针对报价投标人认为其他需要说明的；</w:t>
      </w:r>
    </w:p>
    <w:p w14:paraId="7467A831">
      <w:pPr>
        <w:spacing w:line="360" w:lineRule="auto"/>
        <w:rPr>
          <w:rFonts w:hint="eastAsia" w:ascii="宋体" w:hAnsi="宋体" w:eastAsia="宋体" w:cs="宋体"/>
          <w:b/>
          <w:color w:val="auto"/>
          <w:sz w:val="21"/>
          <w:szCs w:val="21"/>
          <w:highlight w:val="none"/>
        </w:rPr>
      </w:pPr>
    </w:p>
    <w:p w14:paraId="01426F90">
      <w:pPr>
        <w:spacing w:line="360" w:lineRule="auto"/>
        <w:ind w:left="480"/>
        <w:rPr>
          <w:rFonts w:hint="eastAsia" w:ascii="宋体" w:hAnsi="宋体" w:eastAsia="宋体" w:cs="宋体"/>
          <w:b/>
          <w:color w:val="auto"/>
          <w:sz w:val="21"/>
          <w:szCs w:val="21"/>
          <w:highlight w:val="none"/>
        </w:rPr>
      </w:pPr>
    </w:p>
    <w:p w14:paraId="335DFA5C">
      <w:pPr>
        <w:spacing w:line="360" w:lineRule="auto"/>
        <w:ind w:left="480"/>
        <w:rPr>
          <w:rFonts w:hint="eastAsia" w:ascii="宋体" w:hAnsi="宋体" w:eastAsia="宋体" w:cs="宋体"/>
          <w:b/>
          <w:color w:val="auto"/>
          <w:sz w:val="28"/>
          <w:highlight w:val="none"/>
        </w:rPr>
      </w:pPr>
    </w:p>
    <w:p w14:paraId="407E26D5">
      <w:pPr>
        <w:spacing w:line="360" w:lineRule="auto"/>
        <w:ind w:left="480"/>
        <w:rPr>
          <w:rFonts w:hint="eastAsia" w:ascii="宋体" w:hAnsi="宋体" w:eastAsia="宋体" w:cs="宋体"/>
          <w:b/>
          <w:color w:val="auto"/>
          <w:sz w:val="28"/>
          <w:highlight w:val="none"/>
        </w:rPr>
      </w:pPr>
    </w:p>
    <w:p w14:paraId="6CA2D6C7">
      <w:pPr>
        <w:spacing w:line="360" w:lineRule="auto"/>
        <w:ind w:left="480"/>
        <w:rPr>
          <w:rFonts w:hint="eastAsia" w:ascii="宋体" w:hAnsi="宋体" w:eastAsia="宋体" w:cs="宋体"/>
          <w:b/>
          <w:color w:val="auto"/>
          <w:sz w:val="28"/>
          <w:highlight w:val="none"/>
        </w:rPr>
      </w:pPr>
    </w:p>
    <w:p w14:paraId="6D94A5DE">
      <w:pPr>
        <w:spacing w:line="360" w:lineRule="auto"/>
        <w:ind w:left="480"/>
        <w:rPr>
          <w:rFonts w:hint="eastAsia" w:ascii="宋体" w:hAnsi="宋体" w:eastAsia="宋体" w:cs="宋体"/>
          <w:b/>
          <w:color w:val="auto"/>
          <w:sz w:val="28"/>
          <w:highlight w:val="none"/>
        </w:rPr>
      </w:pPr>
    </w:p>
    <w:p w14:paraId="659677AF">
      <w:pPr>
        <w:spacing w:line="360" w:lineRule="auto"/>
        <w:ind w:left="480"/>
        <w:rPr>
          <w:rFonts w:hint="eastAsia" w:ascii="宋体" w:hAnsi="宋体" w:eastAsia="宋体" w:cs="宋体"/>
          <w:b/>
          <w:color w:val="auto"/>
          <w:sz w:val="28"/>
          <w:highlight w:val="none"/>
        </w:rPr>
      </w:pPr>
    </w:p>
    <w:p w14:paraId="50C8A7E3">
      <w:pPr>
        <w:spacing w:line="360" w:lineRule="auto"/>
        <w:ind w:left="480"/>
        <w:rPr>
          <w:rFonts w:hint="eastAsia" w:ascii="宋体" w:hAnsi="宋体" w:eastAsia="宋体" w:cs="宋体"/>
          <w:b/>
          <w:color w:val="auto"/>
          <w:sz w:val="28"/>
          <w:highlight w:val="none"/>
        </w:rPr>
      </w:pPr>
    </w:p>
    <w:p w14:paraId="69965876">
      <w:pPr>
        <w:spacing w:line="360" w:lineRule="auto"/>
        <w:ind w:left="480"/>
        <w:rPr>
          <w:rFonts w:hint="eastAsia" w:ascii="宋体" w:hAnsi="宋体" w:eastAsia="宋体" w:cs="宋体"/>
          <w:b/>
          <w:color w:val="auto"/>
          <w:sz w:val="28"/>
          <w:highlight w:val="none"/>
        </w:rPr>
      </w:pPr>
    </w:p>
    <w:p w14:paraId="203AEE78">
      <w:pPr>
        <w:spacing w:line="360" w:lineRule="auto"/>
        <w:ind w:left="480"/>
        <w:rPr>
          <w:rFonts w:hint="eastAsia" w:ascii="宋体" w:hAnsi="宋体" w:eastAsia="宋体" w:cs="宋体"/>
          <w:b/>
          <w:color w:val="auto"/>
          <w:sz w:val="28"/>
          <w:highlight w:val="none"/>
        </w:rPr>
      </w:pPr>
    </w:p>
    <w:p w14:paraId="3CE767FF">
      <w:pPr>
        <w:spacing w:line="360" w:lineRule="auto"/>
        <w:ind w:left="480"/>
        <w:rPr>
          <w:rFonts w:hint="eastAsia" w:ascii="宋体" w:hAnsi="宋体" w:eastAsia="宋体" w:cs="宋体"/>
          <w:b/>
          <w:color w:val="auto"/>
          <w:sz w:val="28"/>
          <w:highlight w:val="none"/>
        </w:rPr>
      </w:pPr>
    </w:p>
    <w:p w14:paraId="5450FE9E">
      <w:pPr>
        <w:spacing w:line="360" w:lineRule="auto"/>
        <w:ind w:left="480"/>
        <w:rPr>
          <w:rFonts w:hint="eastAsia" w:ascii="宋体" w:hAnsi="宋体" w:eastAsia="宋体" w:cs="宋体"/>
          <w:b/>
          <w:color w:val="auto"/>
          <w:sz w:val="28"/>
          <w:highlight w:val="none"/>
        </w:rPr>
      </w:pPr>
    </w:p>
    <w:p w14:paraId="4FF13FF5">
      <w:pPr>
        <w:spacing w:line="360" w:lineRule="auto"/>
        <w:ind w:left="480"/>
        <w:rPr>
          <w:rFonts w:hint="eastAsia" w:ascii="宋体" w:hAnsi="宋体" w:eastAsia="宋体" w:cs="宋体"/>
          <w:b/>
          <w:color w:val="auto"/>
          <w:sz w:val="28"/>
          <w:highlight w:val="none"/>
        </w:rPr>
      </w:pPr>
    </w:p>
    <w:p w14:paraId="6EE4DE39">
      <w:pPr>
        <w:spacing w:line="360" w:lineRule="auto"/>
        <w:ind w:left="480"/>
        <w:rPr>
          <w:rFonts w:hint="eastAsia" w:ascii="宋体" w:hAnsi="宋体" w:eastAsia="宋体" w:cs="宋体"/>
          <w:b/>
          <w:color w:val="auto"/>
          <w:sz w:val="28"/>
          <w:highlight w:val="none"/>
        </w:rPr>
      </w:pPr>
    </w:p>
    <w:p w14:paraId="761D99DD">
      <w:pPr>
        <w:pStyle w:val="7"/>
        <w:rPr>
          <w:rFonts w:hint="eastAsia" w:ascii="宋体" w:hAnsi="宋体" w:eastAsia="宋体" w:cs="宋体"/>
          <w:color w:val="auto"/>
          <w:highlight w:val="none"/>
        </w:rPr>
      </w:pPr>
    </w:p>
    <w:p w14:paraId="29208749">
      <w:pPr>
        <w:spacing w:line="360" w:lineRule="auto"/>
        <w:ind w:left="480"/>
        <w:rPr>
          <w:rFonts w:hint="eastAsia" w:ascii="宋体" w:hAnsi="宋体" w:eastAsia="宋体" w:cs="宋体"/>
          <w:b/>
          <w:color w:val="auto"/>
          <w:sz w:val="28"/>
          <w:highlight w:val="none"/>
        </w:rPr>
      </w:pPr>
    </w:p>
    <w:p w14:paraId="02315509">
      <w:pPr>
        <w:spacing w:line="360" w:lineRule="auto"/>
        <w:ind w:left="480"/>
        <w:rPr>
          <w:rFonts w:hint="eastAsia" w:ascii="宋体" w:hAnsi="宋体" w:eastAsia="宋体" w:cs="宋体"/>
          <w:b/>
          <w:color w:val="auto"/>
          <w:sz w:val="28"/>
          <w:highlight w:val="none"/>
        </w:rPr>
      </w:pPr>
    </w:p>
    <w:p w14:paraId="0C6698FC">
      <w:pPr>
        <w:pStyle w:val="7"/>
        <w:rPr>
          <w:rFonts w:hint="eastAsia" w:ascii="宋体" w:hAnsi="宋体" w:eastAsia="宋体" w:cs="宋体"/>
          <w:color w:val="auto"/>
          <w:highlight w:val="none"/>
        </w:rPr>
      </w:pPr>
    </w:p>
    <w:p w14:paraId="71306E40">
      <w:pPr>
        <w:spacing w:line="360" w:lineRule="auto"/>
        <w:outlineLvl w:val="9"/>
        <w:rPr>
          <w:rFonts w:hint="eastAsia" w:ascii="宋体" w:hAnsi="宋体" w:eastAsia="宋体" w:cs="宋体"/>
          <w:b/>
          <w:color w:val="auto"/>
          <w:sz w:val="28"/>
          <w:highlight w:val="none"/>
        </w:rPr>
        <w:sectPr>
          <w:pgSz w:w="11906" w:h="16838"/>
          <w:pgMar w:top="1440" w:right="1800" w:bottom="1440" w:left="1800" w:header="851" w:footer="992" w:gutter="0"/>
          <w:pgNumType w:fmt="decimal"/>
          <w:cols w:space="425" w:num="1"/>
          <w:docGrid w:type="lines" w:linePitch="312" w:charSpace="0"/>
        </w:sectPr>
      </w:pPr>
    </w:p>
    <w:p w14:paraId="7DA007FA">
      <w:pPr>
        <w:spacing w:line="360" w:lineRule="auto"/>
        <w:outlineLvl w:val="9"/>
        <w:rPr>
          <w:rFonts w:hint="eastAsia" w:ascii="宋体" w:hAnsi="宋体" w:eastAsia="宋体" w:cs="宋体"/>
          <w:b/>
          <w:color w:val="auto"/>
          <w:sz w:val="28"/>
          <w:highlight w:val="none"/>
          <w:lang w:val="en-US" w:eastAsia="zh-CN"/>
        </w:rPr>
      </w:pPr>
      <w:r>
        <w:rPr>
          <w:rFonts w:hint="eastAsia" w:ascii="宋体" w:hAnsi="宋体" w:eastAsia="宋体" w:cs="宋体"/>
          <w:b/>
          <w:color w:val="auto"/>
          <w:sz w:val="28"/>
          <w:highlight w:val="none"/>
        </w:rPr>
        <w:t>附件1</w:t>
      </w:r>
      <w:r>
        <w:rPr>
          <w:rFonts w:hint="eastAsia" w:ascii="宋体" w:hAnsi="宋体" w:cs="宋体"/>
          <w:b/>
          <w:color w:val="auto"/>
          <w:sz w:val="28"/>
          <w:highlight w:val="none"/>
          <w:lang w:val="en-US" w:eastAsia="zh-CN"/>
        </w:rPr>
        <w:t>6</w:t>
      </w:r>
    </w:p>
    <w:p w14:paraId="2CA35D4B">
      <w:pPr>
        <w:spacing w:line="360" w:lineRule="auto"/>
        <w:ind w:left="-2" w:hanging="2"/>
        <w:jc w:val="center"/>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开标一览表</w:t>
      </w:r>
      <w:r>
        <w:rPr>
          <w:rFonts w:hint="eastAsia" w:ascii="宋体" w:hAnsi="宋体" w:cs="宋体"/>
          <w:b/>
          <w:color w:val="auto"/>
          <w:sz w:val="32"/>
          <w:szCs w:val="32"/>
          <w:highlight w:val="none"/>
          <w:lang w:eastAsia="zh-CN"/>
        </w:rPr>
        <w:t>（</w:t>
      </w:r>
      <w:r>
        <w:rPr>
          <w:rFonts w:hint="eastAsia" w:ascii="宋体" w:hAnsi="宋体" w:cs="宋体"/>
          <w:b/>
          <w:color w:val="auto"/>
          <w:sz w:val="32"/>
          <w:szCs w:val="32"/>
          <w:highlight w:val="none"/>
          <w:lang w:val="en-US" w:eastAsia="zh-CN"/>
        </w:rPr>
        <w:t>标段一</w:t>
      </w:r>
      <w:r>
        <w:rPr>
          <w:rFonts w:hint="eastAsia" w:ascii="宋体" w:hAnsi="宋体" w:cs="宋体"/>
          <w:b/>
          <w:color w:val="auto"/>
          <w:sz w:val="32"/>
          <w:szCs w:val="32"/>
          <w:highlight w:val="none"/>
          <w:lang w:eastAsia="zh-CN"/>
        </w:rPr>
        <w:t>）</w:t>
      </w:r>
    </w:p>
    <w:p w14:paraId="60B37274">
      <w:pPr>
        <w:spacing w:line="360" w:lineRule="auto"/>
        <w:ind w:left="-2" w:hanging="2"/>
        <w:jc w:val="center"/>
        <w:rPr>
          <w:rFonts w:hint="eastAsia" w:ascii="宋体" w:hAnsi="宋体" w:eastAsia="宋体" w:cs="宋体"/>
          <w:b/>
          <w:color w:val="auto"/>
          <w:sz w:val="32"/>
          <w:szCs w:val="32"/>
          <w:highlight w:val="none"/>
        </w:rPr>
      </w:pPr>
    </w:p>
    <w:p w14:paraId="7C3A360D">
      <w:pPr>
        <w:pStyle w:val="11"/>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项目编号：</w:t>
      </w:r>
    </w:p>
    <w:p w14:paraId="6D968DA5">
      <w:pPr>
        <w:pStyle w:val="46"/>
        <w:spacing w:line="360" w:lineRule="auto"/>
        <w:ind w:right="480"/>
        <w:jc w:val="left"/>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项目名称：</w:t>
      </w:r>
      <w:r>
        <w:rPr>
          <w:rFonts w:hint="eastAsia" w:ascii="宋体" w:hAnsi="宋体" w:eastAsia="宋体" w:cs="宋体"/>
          <w:color w:val="auto"/>
          <w:sz w:val="21"/>
          <w:szCs w:val="21"/>
          <w:highlight w:val="none"/>
        </w:rPr>
        <w:t xml:space="preserve">                                     [货币单位：人民币元]</w:t>
      </w:r>
    </w:p>
    <w:tbl>
      <w:tblPr>
        <w:tblStyle w:val="22"/>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3"/>
        <w:gridCol w:w="1625"/>
        <w:gridCol w:w="2140"/>
        <w:gridCol w:w="1602"/>
        <w:gridCol w:w="2099"/>
      </w:tblGrid>
      <w:tr w14:paraId="0C075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618" w:type="pct"/>
            <w:noWrap w:val="0"/>
            <w:vAlign w:val="center"/>
          </w:tcPr>
          <w:p w14:paraId="703ADAF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heme="minorEastAsia" w:hAnsiTheme="minorEastAsia" w:eastAsiaTheme="minorEastAsia" w:cstheme="minorEastAsia"/>
                <w:b/>
                <w:bCs/>
                <w:color w:val="auto"/>
                <w:sz w:val="24"/>
                <w:szCs w:val="24"/>
                <w:highlight w:val="none"/>
                <w:vertAlign w:val="baseline"/>
                <w:lang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标段号</w:t>
            </w:r>
          </w:p>
        </w:tc>
        <w:tc>
          <w:tcPr>
            <w:tcW w:w="954" w:type="pct"/>
            <w:noWrap w:val="0"/>
            <w:vAlign w:val="center"/>
          </w:tcPr>
          <w:p w14:paraId="2B4FF8D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heme="minorEastAsia" w:hAnsiTheme="minorEastAsia" w:eastAsiaTheme="minorEastAsia" w:cstheme="minorEastAsia"/>
                <w:b/>
                <w:bCs/>
                <w:color w:val="auto"/>
                <w:sz w:val="24"/>
                <w:szCs w:val="24"/>
                <w:highlight w:val="none"/>
                <w:vertAlign w:val="baseline"/>
                <w:lang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名称</w:t>
            </w:r>
          </w:p>
        </w:tc>
        <w:tc>
          <w:tcPr>
            <w:tcW w:w="1256" w:type="pct"/>
            <w:noWrap w:val="0"/>
            <w:vAlign w:val="center"/>
          </w:tcPr>
          <w:p w14:paraId="1457AAB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heme="minorEastAsia" w:hAnsiTheme="minorEastAsia" w:eastAsiaTheme="minorEastAsia" w:cstheme="minorEastAsia"/>
                <w:b/>
                <w:bCs/>
                <w:color w:val="auto"/>
                <w:sz w:val="24"/>
                <w:szCs w:val="24"/>
                <w:highlight w:val="none"/>
                <w:vertAlign w:val="baseline"/>
                <w:lang w:eastAsia="zh-CN"/>
              </w:rPr>
            </w:pPr>
            <w:r>
              <w:rPr>
                <w:rFonts w:hint="eastAsia" w:asciiTheme="minorEastAsia" w:hAnsiTheme="minorEastAsia" w:eastAsiaTheme="minorEastAsia" w:cstheme="minorEastAsia"/>
                <w:b/>
                <w:bCs/>
                <w:color w:val="auto"/>
                <w:sz w:val="24"/>
                <w:szCs w:val="24"/>
                <w:highlight w:val="none"/>
                <w:vertAlign w:val="baseline"/>
                <w:lang w:eastAsia="zh-CN"/>
              </w:rPr>
              <w:t>人数（暂估）</w:t>
            </w:r>
          </w:p>
        </w:tc>
        <w:tc>
          <w:tcPr>
            <w:tcW w:w="940" w:type="pct"/>
            <w:noWrap w:val="0"/>
            <w:vAlign w:val="center"/>
          </w:tcPr>
          <w:p w14:paraId="5920192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heme="minorEastAsia" w:hAnsiTheme="minorEastAsia" w:eastAsiaTheme="minorEastAsia" w:cstheme="minorEastAsia"/>
                <w:b/>
                <w:bCs/>
                <w:color w:val="auto"/>
                <w:sz w:val="24"/>
                <w:szCs w:val="24"/>
                <w:highlight w:val="none"/>
                <w:vertAlign w:val="baseline"/>
                <w:lang w:val="en-US"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 xml:space="preserve">投标报价 </w:t>
            </w:r>
          </w:p>
        </w:tc>
        <w:tc>
          <w:tcPr>
            <w:tcW w:w="1230" w:type="pct"/>
            <w:noWrap w:val="0"/>
            <w:vAlign w:val="center"/>
          </w:tcPr>
          <w:p w14:paraId="2A0DF65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heme="minorEastAsia" w:hAnsiTheme="minorEastAsia" w:eastAsiaTheme="minorEastAsia" w:cstheme="minorEastAsia"/>
                <w:b/>
                <w:bCs/>
                <w:color w:val="auto"/>
                <w:sz w:val="24"/>
                <w:szCs w:val="24"/>
                <w:highlight w:val="none"/>
                <w:vertAlign w:val="baseline"/>
                <w:lang w:val="en-US"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 xml:space="preserve">小计 </w:t>
            </w:r>
          </w:p>
        </w:tc>
      </w:tr>
      <w:tr w14:paraId="7DC49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4" w:hRule="atLeast"/>
          <w:jc w:val="center"/>
        </w:trPr>
        <w:tc>
          <w:tcPr>
            <w:tcW w:w="618" w:type="pct"/>
            <w:noWrap w:val="0"/>
            <w:vAlign w:val="center"/>
          </w:tcPr>
          <w:p w14:paraId="75A6B6E6">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一</w:t>
            </w:r>
          </w:p>
        </w:tc>
        <w:tc>
          <w:tcPr>
            <w:tcW w:w="954" w:type="pct"/>
            <w:noWrap w:val="0"/>
            <w:vAlign w:val="center"/>
          </w:tcPr>
          <w:p w14:paraId="37DE0CED">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宋体" w:hAnsi="宋体" w:cs="宋体"/>
                <w:color w:val="auto"/>
                <w:sz w:val="21"/>
                <w:szCs w:val="21"/>
                <w:highlight w:val="none"/>
                <w:lang w:eastAsia="zh-CN"/>
              </w:rPr>
              <w:t>职工疗休养协议服务单位招标项目</w:t>
            </w:r>
          </w:p>
        </w:tc>
        <w:tc>
          <w:tcPr>
            <w:tcW w:w="1256" w:type="pct"/>
            <w:noWrap w:val="0"/>
            <w:vAlign w:val="center"/>
          </w:tcPr>
          <w:p w14:paraId="05BCB60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val="0"/>
                <w:bCs w:val="0"/>
                <w:color w:val="auto"/>
                <w:kern w:val="2"/>
                <w:sz w:val="24"/>
                <w:szCs w:val="24"/>
                <w:highlight w:val="none"/>
                <w:vertAlign w:val="baseline"/>
                <w:lang w:val="en-US" w:eastAsia="zh-CN" w:bidi="ar-SA"/>
              </w:rPr>
              <w:t>245</w:t>
            </w:r>
          </w:p>
        </w:tc>
        <w:tc>
          <w:tcPr>
            <w:tcW w:w="940" w:type="pct"/>
            <w:noWrap w:val="0"/>
            <w:vAlign w:val="center"/>
          </w:tcPr>
          <w:p w14:paraId="456E589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val="0"/>
                <w:bCs w:val="0"/>
                <w:color w:val="auto"/>
                <w:kern w:val="2"/>
                <w:sz w:val="24"/>
                <w:szCs w:val="24"/>
                <w:highlight w:val="none"/>
                <w:vertAlign w:val="baseline"/>
                <w:lang w:val="en-US" w:eastAsia="zh-CN" w:bidi="ar-SA"/>
              </w:rPr>
              <w:t>2000元/人</w:t>
            </w:r>
          </w:p>
        </w:tc>
        <w:tc>
          <w:tcPr>
            <w:tcW w:w="1230" w:type="pct"/>
            <w:noWrap w:val="0"/>
            <w:vAlign w:val="center"/>
          </w:tcPr>
          <w:p w14:paraId="3CBABB0F">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490000元</w:t>
            </w:r>
          </w:p>
        </w:tc>
      </w:tr>
      <w:tr w14:paraId="7F9A1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5000" w:type="pct"/>
            <w:gridSpan w:val="5"/>
            <w:noWrap w:val="0"/>
            <w:vAlign w:val="center"/>
          </w:tcPr>
          <w:p w14:paraId="38AB9547">
            <w:pPr>
              <w:spacing w:line="360" w:lineRule="auto"/>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合计人民币：大写：人民币肆拾玖万元整</w:t>
            </w:r>
          </w:p>
          <w:p w14:paraId="47F1863C">
            <w:pPr>
              <w:spacing w:line="360" w:lineRule="auto"/>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小写：490000元</w:t>
            </w:r>
          </w:p>
        </w:tc>
      </w:tr>
    </w:tbl>
    <w:p w14:paraId="67940CC1">
      <w:pPr>
        <w:pStyle w:val="46"/>
        <w:spacing w:line="360" w:lineRule="auto"/>
        <w:ind w:right="480"/>
        <w:jc w:val="left"/>
        <w:rPr>
          <w:rFonts w:hint="eastAsia" w:ascii="宋体" w:hAnsi="宋体" w:eastAsia="宋体" w:cs="宋体"/>
          <w:color w:val="auto"/>
          <w:sz w:val="21"/>
          <w:szCs w:val="21"/>
          <w:highlight w:val="none"/>
        </w:rPr>
      </w:pPr>
    </w:p>
    <w:p w14:paraId="0CA19560">
      <w:pPr>
        <w:spacing w:line="360" w:lineRule="auto"/>
        <w:rPr>
          <w:rFonts w:hint="eastAsia" w:ascii="宋体" w:hAnsi="宋体" w:eastAsia="宋体" w:cs="宋体"/>
          <w:color w:val="auto"/>
          <w:sz w:val="24"/>
          <w:highlight w:val="none"/>
        </w:rPr>
      </w:pPr>
      <w:r>
        <w:rPr>
          <w:rFonts w:hint="eastAsia" w:ascii="宋体" w:hAnsi="宋体" w:eastAsia="宋体" w:cs="宋体"/>
          <w:b/>
          <w:color w:val="auto"/>
          <w:szCs w:val="21"/>
          <w:highlight w:val="none"/>
        </w:rPr>
        <w:t>填报要求：</w:t>
      </w:r>
    </w:p>
    <w:p w14:paraId="72397757">
      <w:pPr>
        <w:pStyle w:val="5"/>
        <w:spacing w:line="360" w:lineRule="auto"/>
        <w:ind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sz w:val="21"/>
          <w:szCs w:val="21"/>
          <w:highlight w:val="none"/>
        </w:rPr>
        <w:t>投标总报价</w:t>
      </w:r>
      <w:r>
        <w:rPr>
          <w:rFonts w:hint="eastAsia" w:ascii="宋体" w:hAnsi="宋体" w:eastAsia="宋体" w:cs="宋体"/>
          <w:color w:val="auto"/>
          <w:sz w:val="21"/>
          <w:szCs w:val="21"/>
          <w:highlight w:val="none"/>
          <w:lang w:val="en-US" w:eastAsia="zh-CN"/>
        </w:rPr>
        <w:t>包括所有人员的人工费、交通费、住宿费、伙食费、办公设施费、管理费、利润、税金、合同包含的所有风险责任等各项费用及不可预见费等所需的全部费用</w:t>
      </w:r>
      <w:r>
        <w:rPr>
          <w:rFonts w:hint="eastAsia" w:ascii="宋体" w:hAnsi="宋体" w:eastAsia="宋体" w:cs="宋体"/>
          <w:color w:val="auto"/>
          <w:kern w:val="0"/>
          <w:szCs w:val="21"/>
          <w:highlight w:val="none"/>
        </w:rPr>
        <w:t>。</w:t>
      </w:r>
    </w:p>
    <w:p w14:paraId="695C86FA">
      <w:pPr>
        <w:spacing w:line="360" w:lineRule="auto"/>
        <w:ind w:firstLine="420" w:firstLineChars="200"/>
        <w:rPr>
          <w:rFonts w:hint="eastAsia" w:ascii="宋体" w:hAnsi="宋体" w:eastAsia="宋体" w:cs="宋体"/>
          <w:b/>
          <w:i/>
          <w:color w:val="auto"/>
          <w:szCs w:val="21"/>
          <w:highlight w:val="none"/>
          <w:u w:val="single"/>
        </w:rPr>
      </w:pP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报价一经涂改，应在涂改处加盖单位公章，或者由法定代表人或全权代表</w:t>
      </w:r>
      <w:r>
        <w:rPr>
          <w:rFonts w:hint="eastAsia" w:ascii="宋体" w:hAnsi="宋体" w:eastAsia="宋体" w:cs="宋体"/>
          <w:color w:val="auto"/>
          <w:kern w:val="0"/>
          <w:szCs w:val="21"/>
          <w:highlight w:val="none"/>
          <w:lang w:eastAsia="zh-CN"/>
        </w:rPr>
        <w:t>签字</w:t>
      </w:r>
      <w:r>
        <w:rPr>
          <w:rFonts w:hint="eastAsia" w:ascii="宋体" w:hAnsi="宋体" w:eastAsia="宋体" w:cs="宋体"/>
          <w:color w:val="auto"/>
          <w:kern w:val="0"/>
          <w:szCs w:val="21"/>
          <w:highlight w:val="none"/>
        </w:rPr>
        <w:t>或盖章，否则其投标作无效标处理。</w:t>
      </w:r>
    </w:p>
    <w:p w14:paraId="052241AD">
      <w:pPr>
        <w:spacing w:line="360" w:lineRule="auto"/>
        <w:ind w:left="420"/>
        <w:rPr>
          <w:rFonts w:hint="eastAsia" w:ascii="宋体" w:hAnsi="宋体" w:eastAsia="宋体" w:cs="宋体"/>
          <w:color w:val="auto"/>
          <w:sz w:val="21"/>
          <w:szCs w:val="21"/>
          <w:highlight w:val="none"/>
        </w:rPr>
      </w:pPr>
    </w:p>
    <w:p w14:paraId="76A3B3F9">
      <w:pPr>
        <w:spacing w:line="360" w:lineRule="auto"/>
        <w:ind w:left="42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投标人名称（盖章）：</w:t>
      </w:r>
    </w:p>
    <w:p w14:paraId="1734E5E7">
      <w:pPr>
        <w:spacing w:line="360" w:lineRule="auto"/>
        <w:ind w:left="420"/>
        <w:rPr>
          <w:rFonts w:hint="eastAsia" w:ascii="宋体" w:hAnsi="宋体" w:eastAsia="宋体" w:cs="宋体"/>
          <w:color w:val="auto"/>
          <w:sz w:val="21"/>
          <w:szCs w:val="21"/>
          <w:highlight w:val="none"/>
        </w:rPr>
      </w:pPr>
    </w:p>
    <w:p w14:paraId="485CCBF3">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w:t>
      </w:r>
      <w:r>
        <w:rPr>
          <w:rFonts w:hint="eastAsia" w:ascii="宋体" w:hAnsi="宋体" w:eastAsia="宋体" w:cs="宋体"/>
          <w:color w:val="auto"/>
          <w:sz w:val="21"/>
          <w:szCs w:val="21"/>
          <w:highlight w:val="none"/>
        </w:rPr>
        <w:t>（签字或盖章）：</w:t>
      </w:r>
    </w:p>
    <w:p w14:paraId="0C48663B">
      <w:pPr>
        <w:spacing w:line="360" w:lineRule="auto"/>
        <w:rPr>
          <w:rFonts w:hint="eastAsia" w:ascii="宋体" w:hAnsi="宋体" w:eastAsia="宋体" w:cs="宋体"/>
          <w:color w:val="auto"/>
          <w:sz w:val="21"/>
          <w:szCs w:val="21"/>
          <w:highlight w:val="none"/>
        </w:rPr>
      </w:pPr>
    </w:p>
    <w:p w14:paraId="40062AC8">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p>
    <w:p w14:paraId="59F13830">
      <w:pPr>
        <w:spacing w:line="360" w:lineRule="auto"/>
        <w:ind w:left="-2" w:hanging="2"/>
        <w:jc w:val="center"/>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开标一览表</w:t>
      </w:r>
      <w:r>
        <w:rPr>
          <w:rFonts w:hint="eastAsia" w:ascii="宋体" w:hAnsi="宋体" w:cs="宋体"/>
          <w:b/>
          <w:color w:val="auto"/>
          <w:sz w:val="32"/>
          <w:szCs w:val="32"/>
          <w:highlight w:val="none"/>
          <w:lang w:eastAsia="zh-CN"/>
        </w:rPr>
        <w:t>（</w:t>
      </w:r>
      <w:r>
        <w:rPr>
          <w:rFonts w:hint="eastAsia" w:ascii="宋体" w:hAnsi="宋体" w:cs="宋体"/>
          <w:b/>
          <w:color w:val="auto"/>
          <w:sz w:val="32"/>
          <w:szCs w:val="32"/>
          <w:highlight w:val="none"/>
          <w:lang w:val="en-US" w:eastAsia="zh-CN"/>
        </w:rPr>
        <w:t>标段二</w:t>
      </w:r>
      <w:r>
        <w:rPr>
          <w:rFonts w:hint="eastAsia" w:ascii="宋体" w:hAnsi="宋体" w:cs="宋体"/>
          <w:b/>
          <w:color w:val="auto"/>
          <w:sz w:val="32"/>
          <w:szCs w:val="32"/>
          <w:highlight w:val="none"/>
          <w:lang w:eastAsia="zh-CN"/>
        </w:rPr>
        <w:t>）</w:t>
      </w:r>
    </w:p>
    <w:p w14:paraId="1161B877">
      <w:pPr>
        <w:spacing w:line="360" w:lineRule="auto"/>
        <w:ind w:left="-2" w:hanging="2"/>
        <w:jc w:val="center"/>
        <w:rPr>
          <w:rFonts w:hint="eastAsia" w:ascii="宋体" w:hAnsi="宋体" w:eastAsia="宋体" w:cs="宋体"/>
          <w:b/>
          <w:color w:val="auto"/>
          <w:sz w:val="32"/>
          <w:szCs w:val="32"/>
          <w:highlight w:val="none"/>
        </w:rPr>
      </w:pPr>
    </w:p>
    <w:p w14:paraId="5AC098F4">
      <w:pPr>
        <w:pStyle w:val="11"/>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项目编号：</w:t>
      </w:r>
    </w:p>
    <w:p w14:paraId="4CB3B970">
      <w:pPr>
        <w:pStyle w:val="46"/>
        <w:spacing w:line="360" w:lineRule="auto"/>
        <w:ind w:right="480"/>
        <w:jc w:val="left"/>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项目名称：</w:t>
      </w:r>
      <w:r>
        <w:rPr>
          <w:rFonts w:hint="eastAsia" w:ascii="宋体" w:hAnsi="宋体" w:eastAsia="宋体" w:cs="宋体"/>
          <w:color w:val="auto"/>
          <w:sz w:val="21"/>
          <w:szCs w:val="21"/>
          <w:highlight w:val="none"/>
        </w:rPr>
        <w:t xml:space="preserve">                                     [货币单位：人民币元]</w:t>
      </w:r>
    </w:p>
    <w:tbl>
      <w:tblPr>
        <w:tblStyle w:val="22"/>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3"/>
        <w:gridCol w:w="1625"/>
        <w:gridCol w:w="2140"/>
        <w:gridCol w:w="1602"/>
        <w:gridCol w:w="2099"/>
      </w:tblGrid>
      <w:tr w14:paraId="0E676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618" w:type="pct"/>
            <w:noWrap w:val="0"/>
            <w:vAlign w:val="center"/>
          </w:tcPr>
          <w:p w14:paraId="5390DAC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heme="minorEastAsia" w:hAnsiTheme="minorEastAsia" w:eastAsiaTheme="minorEastAsia" w:cstheme="minorEastAsia"/>
                <w:b/>
                <w:bCs/>
                <w:color w:val="auto"/>
                <w:sz w:val="24"/>
                <w:szCs w:val="24"/>
                <w:highlight w:val="none"/>
                <w:vertAlign w:val="baseline"/>
                <w:lang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标段号</w:t>
            </w:r>
          </w:p>
        </w:tc>
        <w:tc>
          <w:tcPr>
            <w:tcW w:w="954" w:type="pct"/>
            <w:noWrap w:val="0"/>
            <w:vAlign w:val="center"/>
          </w:tcPr>
          <w:p w14:paraId="0AA5EC7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heme="minorEastAsia" w:hAnsiTheme="minorEastAsia" w:eastAsiaTheme="minorEastAsia" w:cstheme="minorEastAsia"/>
                <w:b/>
                <w:bCs/>
                <w:color w:val="auto"/>
                <w:sz w:val="24"/>
                <w:szCs w:val="24"/>
                <w:highlight w:val="none"/>
                <w:vertAlign w:val="baseline"/>
                <w:lang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名称</w:t>
            </w:r>
          </w:p>
        </w:tc>
        <w:tc>
          <w:tcPr>
            <w:tcW w:w="1256" w:type="pct"/>
            <w:noWrap w:val="0"/>
            <w:vAlign w:val="center"/>
          </w:tcPr>
          <w:p w14:paraId="5170930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heme="minorEastAsia" w:hAnsiTheme="minorEastAsia" w:eastAsiaTheme="minorEastAsia" w:cstheme="minorEastAsia"/>
                <w:b/>
                <w:bCs/>
                <w:color w:val="auto"/>
                <w:sz w:val="24"/>
                <w:szCs w:val="24"/>
                <w:highlight w:val="none"/>
                <w:vertAlign w:val="baseline"/>
                <w:lang w:eastAsia="zh-CN"/>
              </w:rPr>
            </w:pPr>
            <w:r>
              <w:rPr>
                <w:rFonts w:hint="eastAsia" w:asciiTheme="minorEastAsia" w:hAnsiTheme="minorEastAsia" w:eastAsiaTheme="minorEastAsia" w:cstheme="minorEastAsia"/>
                <w:b/>
                <w:bCs/>
                <w:color w:val="auto"/>
                <w:sz w:val="24"/>
                <w:szCs w:val="24"/>
                <w:highlight w:val="none"/>
                <w:vertAlign w:val="baseline"/>
                <w:lang w:eastAsia="zh-CN"/>
              </w:rPr>
              <w:t>人数（暂估）</w:t>
            </w:r>
          </w:p>
        </w:tc>
        <w:tc>
          <w:tcPr>
            <w:tcW w:w="940" w:type="pct"/>
            <w:noWrap w:val="0"/>
            <w:vAlign w:val="center"/>
          </w:tcPr>
          <w:p w14:paraId="169DAAA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heme="minorEastAsia" w:hAnsiTheme="minorEastAsia" w:eastAsiaTheme="minorEastAsia" w:cstheme="minorEastAsia"/>
                <w:b/>
                <w:bCs/>
                <w:color w:val="auto"/>
                <w:sz w:val="24"/>
                <w:szCs w:val="24"/>
                <w:highlight w:val="none"/>
                <w:vertAlign w:val="baseline"/>
                <w:lang w:val="en-US"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 xml:space="preserve">投标报价 </w:t>
            </w:r>
          </w:p>
        </w:tc>
        <w:tc>
          <w:tcPr>
            <w:tcW w:w="1230" w:type="pct"/>
            <w:noWrap w:val="0"/>
            <w:vAlign w:val="center"/>
          </w:tcPr>
          <w:p w14:paraId="19AB80B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heme="minorEastAsia" w:hAnsiTheme="minorEastAsia" w:eastAsiaTheme="minorEastAsia" w:cstheme="minorEastAsia"/>
                <w:b/>
                <w:bCs/>
                <w:color w:val="auto"/>
                <w:sz w:val="24"/>
                <w:szCs w:val="24"/>
                <w:highlight w:val="none"/>
                <w:vertAlign w:val="baseline"/>
                <w:lang w:val="en-US"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 xml:space="preserve">小计 </w:t>
            </w:r>
          </w:p>
        </w:tc>
      </w:tr>
      <w:tr w14:paraId="208B9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4" w:hRule="atLeast"/>
          <w:jc w:val="center"/>
        </w:trPr>
        <w:tc>
          <w:tcPr>
            <w:tcW w:w="618" w:type="pct"/>
            <w:noWrap w:val="0"/>
            <w:vAlign w:val="center"/>
          </w:tcPr>
          <w:p w14:paraId="567EFC90">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二</w:t>
            </w:r>
          </w:p>
        </w:tc>
        <w:tc>
          <w:tcPr>
            <w:tcW w:w="954" w:type="pct"/>
            <w:noWrap w:val="0"/>
            <w:vAlign w:val="center"/>
          </w:tcPr>
          <w:p w14:paraId="3FD2CFE3">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宋体" w:hAnsi="宋体" w:cs="宋体"/>
                <w:color w:val="auto"/>
                <w:sz w:val="21"/>
                <w:szCs w:val="21"/>
                <w:highlight w:val="none"/>
                <w:lang w:eastAsia="zh-CN"/>
              </w:rPr>
              <w:t>职工疗休养协议服务单位招标项目</w:t>
            </w:r>
          </w:p>
        </w:tc>
        <w:tc>
          <w:tcPr>
            <w:tcW w:w="1256" w:type="pct"/>
            <w:noWrap w:val="0"/>
            <w:vAlign w:val="center"/>
          </w:tcPr>
          <w:p w14:paraId="294CBC3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val="0"/>
                <w:bCs w:val="0"/>
                <w:color w:val="auto"/>
                <w:kern w:val="2"/>
                <w:sz w:val="24"/>
                <w:szCs w:val="24"/>
                <w:highlight w:val="none"/>
                <w:vertAlign w:val="baseline"/>
                <w:lang w:val="en-US" w:eastAsia="zh-CN" w:bidi="ar-SA"/>
              </w:rPr>
              <w:t>245</w:t>
            </w:r>
          </w:p>
        </w:tc>
        <w:tc>
          <w:tcPr>
            <w:tcW w:w="940" w:type="pct"/>
            <w:noWrap w:val="0"/>
            <w:vAlign w:val="center"/>
          </w:tcPr>
          <w:p w14:paraId="66EF35F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val="0"/>
                <w:bCs w:val="0"/>
                <w:color w:val="auto"/>
                <w:kern w:val="2"/>
                <w:sz w:val="24"/>
                <w:szCs w:val="24"/>
                <w:highlight w:val="none"/>
                <w:vertAlign w:val="baseline"/>
                <w:lang w:val="en-US" w:eastAsia="zh-CN" w:bidi="ar-SA"/>
              </w:rPr>
              <w:t>2000元/人</w:t>
            </w:r>
          </w:p>
        </w:tc>
        <w:tc>
          <w:tcPr>
            <w:tcW w:w="1230" w:type="pct"/>
            <w:noWrap w:val="0"/>
            <w:vAlign w:val="center"/>
          </w:tcPr>
          <w:p w14:paraId="0F4CDED6">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490000元</w:t>
            </w:r>
          </w:p>
        </w:tc>
      </w:tr>
      <w:tr w14:paraId="7E48E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5000" w:type="pct"/>
            <w:gridSpan w:val="5"/>
            <w:noWrap w:val="0"/>
            <w:vAlign w:val="center"/>
          </w:tcPr>
          <w:p w14:paraId="3326B599">
            <w:pPr>
              <w:spacing w:line="360" w:lineRule="auto"/>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合计人民币：大写：人民币肆拾玖万元整</w:t>
            </w:r>
          </w:p>
          <w:p w14:paraId="47B95636">
            <w:pPr>
              <w:spacing w:line="360" w:lineRule="auto"/>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小写：490000元</w:t>
            </w:r>
          </w:p>
        </w:tc>
      </w:tr>
    </w:tbl>
    <w:p w14:paraId="051D129A">
      <w:pPr>
        <w:pStyle w:val="46"/>
        <w:spacing w:line="360" w:lineRule="auto"/>
        <w:ind w:right="480"/>
        <w:jc w:val="left"/>
        <w:rPr>
          <w:rFonts w:hint="eastAsia" w:ascii="宋体" w:hAnsi="宋体" w:eastAsia="宋体" w:cs="宋体"/>
          <w:color w:val="auto"/>
          <w:sz w:val="21"/>
          <w:szCs w:val="21"/>
          <w:highlight w:val="none"/>
        </w:rPr>
      </w:pPr>
    </w:p>
    <w:p w14:paraId="1F66353F">
      <w:pPr>
        <w:spacing w:line="360" w:lineRule="auto"/>
        <w:rPr>
          <w:rFonts w:hint="eastAsia" w:ascii="宋体" w:hAnsi="宋体" w:eastAsia="宋体" w:cs="宋体"/>
          <w:color w:val="auto"/>
          <w:sz w:val="24"/>
          <w:highlight w:val="none"/>
        </w:rPr>
      </w:pPr>
      <w:r>
        <w:rPr>
          <w:rFonts w:hint="eastAsia" w:ascii="宋体" w:hAnsi="宋体" w:eastAsia="宋体" w:cs="宋体"/>
          <w:b/>
          <w:color w:val="auto"/>
          <w:szCs w:val="21"/>
          <w:highlight w:val="none"/>
        </w:rPr>
        <w:t>填报要求：</w:t>
      </w:r>
    </w:p>
    <w:p w14:paraId="4B8B8AAB">
      <w:pPr>
        <w:pStyle w:val="5"/>
        <w:spacing w:line="360" w:lineRule="auto"/>
        <w:ind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sz w:val="21"/>
          <w:szCs w:val="21"/>
          <w:highlight w:val="none"/>
        </w:rPr>
        <w:t>投标总报价</w:t>
      </w:r>
      <w:r>
        <w:rPr>
          <w:rFonts w:hint="eastAsia" w:ascii="宋体" w:hAnsi="宋体" w:eastAsia="宋体" w:cs="宋体"/>
          <w:color w:val="auto"/>
          <w:sz w:val="21"/>
          <w:szCs w:val="21"/>
          <w:highlight w:val="none"/>
          <w:lang w:val="en-US" w:eastAsia="zh-CN"/>
        </w:rPr>
        <w:t>包括所有人员的人工费、交通费、住宿费、伙食费、办公设施费、管理费、利润、税金、合同包含的所有风险责任等各项费用及不可预见费等所需的全部费用</w:t>
      </w:r>
      <w:r>
        <w:rPr>
          <w:rFonts w:hint="eastAsia" w:ascii="宋体" w:hAnsi="宋体" w:eastAsia="宋体" w:cs="宋体"/>
          <w:color w:val="auto"/>
          <w:kern w:val="0"/>
          <w:szCs w:val="21"/>
          <w:highlight w:val="none"/>
        </w:rPr>
        <w:t>。</w:t>
      </w:r>
    </w:p>
    <w:p w14:paraId="39E09FF7">
      <w:pPr>
        <w:spacing w:line="360" w:lineRule="auto"/>
        <w:ind w:firstLine="420" w:firstLineChars="200"/>
        <w:rPr>
          <w:rFonts w:hint="eastAsia" w:ascii="宋体" w:hAnsi="宋体" w:eastAsia="宋体" w:cs="宋体"/>
          <w:b/>
          <w:i/>
          <w:color w:val="auto"/>
          <w:szCs w:val="21"/>
          <w:highlight w:val="none"/>
          <w:u w:val="single"/>
        </w:rPr>
      </w:pP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报价一经涂改，应在涂改处加盖单位公章，或者由法定代表人或全权代表</w:t>
      </w:r>
      <w:r>
        <w:rPr>
          <w:rFonts w:hint="eastAsia" w:ascii="宋体" w:hAnsi="宋体" w:eastAsia="宋体" w:cs="宋体"/>
          <w:color w:val="auto"/>
          <w:kern w:val="0"/>
          <w:szCs w:val="21"/>
          <w:highlight w:val="none"/>
          <w:lang w:eastAsia="zh-CN"/>
        </w:rPr>
        <w:t>签字</w:t>
      </w:r>
      <w:r>
        <w:rPr>
          <w:rFonts w:hint="eastAsia" w:ascii="宋体" w:hAnsi="宋体" w:eastAsia="宋体" w:cs="宋体"/>
          <w:color w:val="auto"/>
          <w:kern w:val="0"/>
          <w:szCs w:val="21"/>
          <w:highlight w:val="none"/>
        </w:rPr>
        <w:t>或盖章，否则其投标作无效标处理。</w:t>
      </w:r>
    </w:p>
    <w:p w14:paraId="10E04746">
      <w:pPr>
        <w:spacing w:line="360" w:lineRule="auto"/>
        <w:ind w:left="420"/>
        <w:rPr>
          <w:rFonts w:hint="eastAsia" w:ascii="宋体" w:hAnsi="宋体" w:eastAsia="宋体" w:cs="宋体"/>
          <w:color w:val="auto"/>
          <w:sz w:val="21"/>
          <w:szCs w:val="21"/>
          <w:highlight w:val="none"/>
        </w:rPr>
      </w:pPr>
    </w:p>
    <w:p w14:paraId="3F6C3FEA">
      <w:pPr>
        <w:spacing w:line="360" w:lineRule="auto"/>
        <w:ind w:left="42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投标人名称（盖章）：</w:t>
      </w:r>
    </w:p>
    <w:p w14:paraId="0115C239">
      <w:pPr>
        <w:spacing w:line="360" w:lineRule="auto"/>
        <w:ind w:left="420"/>
        <w:rPr>
          <w:rFonts w:hint="eastAsia" w:ascii="宋体" w:hAnsi="宋体" w:eastAsia="宋体" w:cs="宋体"/>
          <w:color w:val="auto"/>
          <w:sz w:val="21"/>
          <w:szCs w:val="21"/>
          <w:highlight w:val="none"/>
        </w:rPr>
      </w:pPr>
    </w:p>
    <w:p w14:paraId="3AACEB55">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w:t>
      </w:r>
      <w:r>
        <w:rPr>
          <w:rFonts w:hint="eastAsia" w:ascii="宋体" w:hAnsi="宋体" w:eastAsia="宋体" w:cs="宋体"/>
          <w:color w:val="auto"/>
          <w:sz w:val="21"/>
          <w:szCs w:val="21"/>
          <w:highlight w:val="none"/>
        </w:rPr>
        <w:t>（签字或盖章）：</w:t>
      </w:r>
    </w:p>
    <w:p w14:paraId="3F1CF43A">
      <w:pPr>
        <w:spacing w:line="360" w:lineRule="auto"/>
        <w:rPr>
          <w:rFonts w:hint="eastAsia" w:ascii="宋体" w:hAnsi="宋体" w:eastAsia="宋体" w:cs="宋体"/>
          <w:color w:val="auto"/>
          <w:sz w:val="21"/>
          <w:szCs w:val="21"/>
          <w:highlight w:val="none"/>
        </w:rPr>
      </w:pPr>
    </w:p>
    <w:p w14:paraId="09D351D6">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p>
    <w:p w14:paraId="1D5DF83B">
      <w:pPr>
        <w:spacing w:line="360" w:lineRule="auto"/>
        <w:rPr>
          <w:rFonts w:hint="eastAsia" w:ascii="宋体" w:hAnsi="宋体" w:eastAsia="宋体" w:cs="宋体"/>
          <w:b/>
          <w:color w:val="auto"/>
          <w:sz w:val="28"/>
          <w:highlight w:val="none"/>
        </w:rPr>
      </w:pP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C28243">
    <w:pPr>
      <w:pStyle w:val="1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972185" cy="147955"/>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A3B0C21">
                          <w:pPr>
                            <w:pStyle w:val="14"/>
                          </w:pPr>
                          <w:r>
                            <w:rPr>
                              <w:rFonts w:hint="eastAsia"/>
                            </w:rPr>
                            <w:fldChar w:fldCharType="begin"/>
                          </w:r>
                          <w:r>
                            <w:rPr>
                              <w:rFonts w:hint="eastAsia"/>
                            </w:rPr>
                            <w:instrText xml:space="preserve"> PAGE  \* MERGEFORMAT </w:instrText>
                          </w:r>
                          <w:r>
                            <w:rPr>
                              <w:rFonts w:hint="eastAsia"/>
                            </w:rPr>
                            <w:fldChar w:fldCharType="separate"/>
                          </w:r>
                          <w:r>
                            <w:t>- 43 -</w:t>
                          </w:r>
                          <w:r>
                            <w:rPr>
                              <w:rFonts w:hint="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1.65pt;width:76.55pt;mso-position-horizontal:center;mso-position-horizontal-relative:margin;mso-wrap-style:none;z-index:251660288;mso-width-relative:page;mso-height-relative:page;" filled="f" stroked="f" coordsize="21600,21600" o:gfxdata="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EDF8ZnSAAAABAEAAA8AAAAAAAAAAQAgAAAAIgAAAGRycy9kb3ducmV2Lnht&#10;bFBLAQIUABQAAAAIAIdO4kC1WXqyOAIAAG8EAAAOAAAAAAAAAAEAIAAAACEBAABkcnMvZTJvRG9j&#10;LnhtbFBLBQYAAAAABgAGAFkBAADLBQAAAAA=&#10;">
              <v:fill on="f" focussize="0,0"/>
              <v:stroke on="f" weight="0.5pt"/>
              <v:imagedata o:title=""/>
              <o:lock v:ext="edit" aspectratio="f"/>
              <v:textbox inset="0mm,0mm,0mm,0mm" style="mso-fit-shape-to-text:t;">
                <w:txbxContent>
                  <w:p w14:paraId="0A3B0C21">
                    <w:pPr>
                      <w:pStyle w:val="14"/>
                    </w:pPr>
                    <w:r>
                      <w:rPr>
                        <w:rFonts w:hint="eastAsia"/>
                      </w:rPr>
                      <w:fldChar w:fldCharType="begin"/>
                    </w:r>
                    <w:r>
                      <w:rPr>
                        <w:rFonts w:hint="eastAsia"/>
                      </w:rPr>
                      <w:instrText xml:space="preserve"> PAGE  \* MERGEFORMAT </w:instrText>
                    </w:r>
                    <w:r>
                      <w:rPr>
                        <w:rFonts w:hint="eastAsia"/>
                      </w:rPr>
                      <w:fldChar w:fldCharType="separate"/>
                    </w:r>
                    <w:r>
                      <w:t>- 43 -</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399E88">
    <w:pPr>
      <w:pStyle w:val="1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990FA3">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- 5 -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1990FA3">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- 5 -</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93B3B">
    <w:pPr>
      <w:rPr>
        <w:i w:val="0"/>
        <w:iCs/>
      </w:rPr>
    </w:pPr>
    <w:r>
      <w:rPr>
        <w:rFonts w:hint="eastAsia"/>
        <w:b/>
        <w:i w:val="0"/>
        <w:iCs/>
        <w:color w:val="000000"/>
        <w:kern w:val="0"/>
        <w:sz w:val="18"/>
        <w:u w:val="single"/>
      </w:rPr>
      <w:t>政府采购招标文件</w:t>
    </w:r>
    <w:r>
      <w:rPr>
        <w:b/>
        <w:i w:val="0"/>
        <w:iCs/>
        <w:color w:val="000000"/>
        <w:kern w:val="0"/>
        <w:sz w:val="18"/>
        <w:u w:val="single"/>
      </w:rPr>
      <w:t>--</w:t>
    </w:r>
    <w:r>
      <w:rPr>
        <w:rFonts w:hint="eastAsia"/>
        <w:b/>
        <w:i w:val="0"/>
        <w:iCs/>
        <w:color w:val="000000"/>
        <w:kern w:val="0"/>
        <w:sz w:val="18"/>
        <w:u w:val="single"/>
        <w:lang w:val="en-US" w:eastAsia="zh-CN"/>
      </w:rPr>
      <w:t>职工疗休养协议服务单位招标项目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1C5659">
    <w:pPr>
      <w:pStyle w:val="1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EADBEB"/>
    <w:multiLevelType w:val="singleLevel"/>
    <w:tmpl w:val="84EADBEB"/>
    <w:lvl w:ilvl="0" w:tentative="0">
      <w:start w:val="1"/>
      <w:numFmt w:val="chineseCounting"/>
      <w:suff w:val="nothing"/>
      <w:lvlText w:val="%1、"/>
      <w:lvlJc w:val="left"/>
      <w:rPr>
        <w:rFonts w:hint="eastAsia"/>
      </w:rPr>
    </w:lvl>
  </w:abstractNum>
  <w:abstractNum w:abstractNumId="1">
    <w:nsid w:val="AAB889E4"/>
    <w:multiLevelType w:val="singleLevel"/>
    <w:tmpl w:val="AAB889E4"/>
    <w:lvl w:ilvl="0" w:tentative="0">
      <w:start w:val="1"/>
      <w:numFmt w:val="decimal"/>
      <w:suff w:val="nothing"/>
      <w:lvlText w:val="%1、"/>
      <w:lvlJc w:val="left"/>
    </w:lvl>
  </w:abstractNum>
  <w:abstractNum w:abstractNumId="2">
    <w:nsid w:val="B4489103"/>
    <w:multiLevelType w:val="singleLevel"/>
    <w:tmpl w:val="B4489103"/>
    <w:lvl w:ilvl="0" w:tentative="0">
      <w:start w:val="1"/>
      <w:numFmt w:val="decimal"/>
      <w:suff w:val="nothing"/>
      <w:lvlText w:val="%1、"/>
      <w:lvlJc w:val="left"/>
      <w:pPr>
        <w:ind w:left="525" w:firstLine="0"/>
      </w:pPr>
    </w:lvl>
  </w:abstractNum>
  <w:abstractNum w:abstractNumId="3">
    <w:nsid w:val="BC4CEA67"/>
    <w:multiLevelType w:val="singleLevel"/>
    <w:tmpl w:val="BC4CEA67"/>
    <w:lvl w:ilvl="0" w:tentative="0">
      <w:start w:val="1"/>
      <w:numFmt w:val="decimal"/>
      <w:suff w:val="nothing"/>
      <w:lvlText w:val="%1、"/>
      <w:lvlJc w:val="left"/>
    </w:lvl>
  </w:abstractNum>
  <w:abstractNum w:abstractNumId="4">
    <w:nsid w:val="D7C6AC5C"/>
    <w:multiLevelType w:val="singleLevel"/>
    <w:tmpl w:val="D7C6AC5C"/>
    <w:lvl w:ilvl="0" w:tentative="0">
      <w:start w:val="1"/>
      <w:numFmt w:val="decimal"/>
      <w:suff w:val="nothing"/>
      <w:lvlText w:val="%1、"/>
      <w:lvlJc w:val="left"/>
    </w:lvl>
  </w:abstractNum>
  <w:abstractNum w:abstractNumId="5">
    <w:nsid w:val="F7F444E1"/>
    <w:multiLevelType w:val="singleLevel"/>
    <w:tmpl w:val="F7F444E1"/>
    <w:lvl w:ilvl="0" w:tentative="0">
      <w:start w:val="1"/>
      <w:numFmt w:val="decimal"/>
      <w:suff w:val="nothing"/>
      <w:lvlText w:val="%1、"/>
      <w:lvlJc w:val="left"/>
    </w:lvl>
  </w:abstractNum>
  <w:abstractNum w:abstractNumId="6">
    <w:nsid w:val="074EBC84"/>
    <w:multiLevelType w:val="singleLevel"/>
    <w:tmpl w:val="074EBC84"/>
    <w:lvl w:ilvl="0" w:tentative="0">
      <w:start w:val="1"/>
      <w:numFmt w:val="decimal"/>
      <w:suff w:val="nothing"/>
      <w:lvlText w:val="%1、"/>
      <w:lvlJc w:val="left"/>
    </w:lvl>
  </w:abstractNum>
  <w:abstractNum w:abstractNumId="7">
    <w:nsid w:val="0D6FB796"/>
    <w:multiLevelType w:val="singleLevel"/>
    <w:tmpl w:val="0D6FB796"/>
    <w:lvl w:ilvl="0" w:tentative="0">
      <w:start w:val="1"/>
      <w:numFmt w:val="decimal"/>
      <w:suff w:val="nothing"/>
      <w:lvlText w:val="%1、"/>
      <w:lvlJc w:val="left"/>
    </w:lvl>
  </w:abstractNum>
  <w:abstractNum w:abstractNumId="8">
    <w:nsid w:val="10A78E89"/>
    <w:multiLevelType w:val="singleLevel"/>
    <w:tmpl w:val="10A78E89"/>
    <w:lvl w:ilvl="0" w:tentative="0">
      <w:start w:val="1"/>
      <w:numFmt w:val="decimal"/>
      <w:suff w:val="nothing"/>
      <w:lvlText w:val="%1、"/>
      <w:lvlJc w:val="left"/>
    </w:lvl>
  </w:abstractNum>
  <w:abstractNum w:abstractNumId="9">
    <w:nsid w:val="2E288925"/>
    <w:multiLevelType w:val="singleLevel"/>
    <w:tmpl w:val="2E288925"/>
    <w:lvl w:ilvl="0" w:tentative="0">
      <w:start w:val="1"/>
      <w:numFmt w:val="decimal"/>
      <w:suff w:val="nothing"/>
      <w:lvlText w:val="%1、"/>
      <w:lvlJc w:val="left"/>
    </w:lvl>
  </w:abstractNum>
  <w:abstractNum w:abstractNumId="10">
    <w:nsid w:val="471E06A1"/>
    <w:multiLevelType w:val="singleLevel"/>
    <w:tmpl w:val="471E06A1"/>
    <w:lvl w:ilvl="0" w:tentative="0">
      <w:start w:val="1"/>
      <w:numFmt w:val="japaneseCounting"/>
      <w:lvlText w:val="%1、"/>
      <w:lvlJc w:val="left"/>
      <w:pPr>
        <w:tabs>
          <w:tab w:val="left" w:pos="960"/>
        </w:tabs>
        <w:ind w:left="960" w:hanging="600"/>
      </w:pPr>
      <w:rPr>
        <w:rFonts w:hint="eastAsia" w:cs="Times New Roman"/>
      </w:rPr>
    </w:lvl>
  </w:abstractNum>
  <w:num w:numId="1">
    <w:abstractNumId w:val="10"/>
  </w:num>
  <w:num w:numId="2">
    <w:abstractNumId w:val="1"/>
  </w:num>
  <w:num w:numId="3">
    <w:abstractNumId w:val="8"/>
  </w:num>
  <w:num w:numId="4">
    <w:abstractNumId w:val="9"/>
  </w:num>
  <w:num w:numId="5">
    <w:abstractNumId w:val="7"/>
  </w:num>
  <w:num w:numId="6">
    <w:abstractNumId w:val="4"/>
  </w:num>
  <w:num w:numId="7">
    <w:abstractNumId w:val="5"/>
  </w:num>
  <w:num w:numId="8">
    <w:abstractNumId w:val="3"/>
  </w:num>
  <w:num w:numId="9">
    <w:abstractNumId w:val="6"/>
  </w:num>
  <w:num w:numId="10">
    <w:abstractNumId w:val="2"/>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M3MGY4ODYxYTJmOGU5MjE1YjUzOGFlOWUyNmI5YTkifQ=="/>
  </w:docVars>
  <w:rsids>
    <w:rsidRoot w:val="00BE3149"/>
    <w:rsid w:val="0008396C"/>
    <w:rsid w:val="003C6577"/>
    <w:rsid w:val="00532108"/>
    <w:rsid w:val="009C6908"/>
    <w:rsid w:val="009E7B9B"/>
    <w:rsid w:val="00BE3149"/>
    <w:rsid w:val="00D27694"/>
    <w:rsid w:val="00E04ED8"/>
    <w:rsid w:val="00FF74E6"/>
    <w:rsid w:val="014268E1"/>
    <w:rsid w:val="016D4C32"/>
    <w:rsid w:val="017C3457"/>
    <w:rsid w:val="01AB06FD"/>
    <w:rsid w:val="02033DFA"/>
    <w:rsid w:val="021F2997"/>
    <w:rsid w:val="02380D19"/>
    <w:rsid w:val="0263032B"/>
    <w:rsid w:val="02640231"/>
    <w:rsid w:val="043F7FC4"/>
    <w:rsid w:val="061934E9"/>
    <w:rsid w:val="066E153A"/>
    <w:rsid w:val="068423A8"/>
    <w:rsid w:val="073A3E1D"/>
    <w:rsid w:val="08390248"/>
    <w:rsid w:val="084A3762"/>
    <w:rsid w:val="08822F00"/>
    <w:rsid w:val="09125675"/>
    <w:rsid w:val="093730CF"/>
    <w:rsid w:val="09381616"/>
    <w:rsid w:val="094B2DCA"/>
    <w:rsid w:val="09D451C6"/>
    <w:rsid w:val="09E03F7D"/>
    <w:rsid w:val="09F33DD0"/>
    <w:rsid w:val="09FA67D3"/>
    <w:rsid w:val="0AF64F0D"/>
    <w:rsid w:val="0C3C5E3F"/>
    <w:rsid w:val="0CA644D6"/>
    <w:rsid w:val="0D1F4CD0"/>
    <w:rsid w:val="0D434630"/>
    <w:rsid w:val="0D4A420F"/>
    <w:rsid w:val="0D502FCF"/>
    <w:rsid w:val="0DF85C89"/>
    <w:rsid w:val="0F7E6199"/>
    <w:rsid w:val="0FE74D1C"/>
    <w:rsid w:val="10452B67"/>
    <w:rsid w:val="10667FE4"/>
    <w:rsid w:val="109F2C30"/>
    <w:rsid w:val="121665CB"/>
    <w:rsid w:val="1262442D"/>
    <w:rsid w:val="129D3FA9"/>
    <w:rsid w:val="12EC03CE"/>
    <w:rsid w:val="12F17558"/>
    <w:rsid w:val="12F55A85"/>
    <w:rsid w:val="140034B3"/>
    <w:rsid w:val="148836A9"/>
    <w:rsid w:val="14B84A16"/>
    <w:rsid w:val="153A0A52"/>
    <w:rsid w:val="15782F5D"/>
    <w:rsid w:val="158E7346"/>
    <w:rsid w:val="15AE730C"/>
    <w:rsid w:val="15D11224"/>
    <w:rsid w:val="16403DB7"/>
    <w:rsid w:val="168339D9"/>
    <w:rsid w:val="171D6CDD"/>
    <w:rsid w:val="17461D47"/>
    <w:rsid w:val="17B9072C"/>
    <w:rsid w:val="17D2330C"/>
    <w:rsid w:val="18156985"/>
    <w:rsid w:val="19CE3838"/>
    <w:rsid w:val="19E91112"/>
    <w:rsid w:val="19FE7400"/>
    <w:rsid w:val="1A6B1E69"/>
    <w:rsid w:val="1B561DD8"/>
    <w:rsid w:val="1BCC21E4"/>
    <w:rsid w:val="1C136AA7"/>
    <w:rsid w:val="1C6D212E"/>
    <w:rsid w:val="1C7E5C21"/>
    <w:rsid w:val="1CC61F19"/>
    <w:rsid w:val="1CCC7197"/>
    <w:rsid w:val="1CE74F29"/>
    <w:rsid w:val="1D465475"/>
    <w:rsid w:val="1DA83DED"/>
    <w:rsid w:val="1DBA6EF1"/>
    <w:rsid w:val="1EB63606"/>
    <w:rsid w:val="1EF07297"/>
    <w:rsid w:val="1F1245CA"/>
    <w:rsid w:val="1F162724"/>
    <w:rsid w:val="1F323A94"/>
    <w:rsid w:val="1F585823"/>
    <w:rsid w:val="201C7B31"/>
    <w:rsid w:val="20914375"/>
    <w:rsid w:val="20B74641"/>
    <w:rsid w:val="20ED3C16"/>
    <w:rsid w:val="218642E0"/>
    <w:rsid w:val="224700DF"/>
    <w:rsid w:val="22500B0D"/>
    <w:rsid w:val="22EB672F"/>
    <w:rsid w:val="23D6517B"/>
    <w:rsid w:val="23D8012C"/>
    <w:rsid w:val="23E36615"/>
    <w:rsid w:val="23FD5C1B"/>
    <w:rsid w:val="242A1FE5"/>
    <w:rsid w:val="242B382A"/>
    <w:rsid w:val="244D0DE2"/>
    <w:rsid w:val="24961C00"/>
    <w:rsid w:val="257E2CDC"/>
    <w:rsid w:val="25C5310A"/>
    <w:rsid w:val="25F57137"/>
    <w:rsid w:val="260A73EB"/>
    <w:rsid w:val="26151D6C"/>
    <w:rsid w:val="261734BA"/>
    <w:rsid w:val="26606CC7"/>
    <w:rsid w:val="266C3097"/>
    <w:rsid w:val="27453C23"/>
    <w:rsid w:val="28DF5DEA"/>
    <w:rsid w:val="29265027"/>
    <w:rsid w:val="29F110DF"/>
    <w:rsid w:val="2A5728D1"/>
    <w:rsid w:val="2CDD2C0B"/>
    <w:rsid w:val="2D580808"/>
    <w:rsid w:val="2D697997"/>
    <w:rsid w:val="2ED77AD3"/>
    <w:rsid w:val="2EFA2366"/>
    <w:rsid w:val="2F7B1BB4"/>
    <w:rsid w:val="30275C8C"/>
    <w:rsid w:val="30EB3632"/>
    <w:rsid w:val="31200E86"/>
    <w:rsid w:val="317E55D7"/>
    <w:rsid w:val="31B14689"/>
    <w:rsid w:val="323740AF"/>
    <w:rsid w:val="32BD7223"/>
    <w:rsid w:val="32E75CE4"/>
    <w:rsid w:val="32E94054"/>
    <w:rsid w:val="33045A0E"/>
    <w:rsid w:val="33413EC8"/>
    <w:rsid w:val="334C40D6"/>
    <w:rsid w:val="346924F4"/>
    <w:rsid w:val="34772ADD"/>
    <w:rsid w:val="35083428"/>
    <w:rsid w:val="35173E74"/>
    <w:rsid w:val="35723362"/>
    <w:rsid w:val="36365E7F"/>
    <w:rsid w:val="36D706BD"/>
    <w:rsid w:val="36FC614A"/>
    <w:rsid w:val="374657D5"/>
    <w:rsid w:val="375E3075"/>
    <w:rsid w:val="37923D04"/>
    <w:rsid w:val="37D96314"/>
    <w:rsid w:val="37EE586E"/>
    <w:rsid w:val="389654BC"/>
    <w:rsid w:val="389B23EA"/>
    <w:rsid w:val="395522EA"/>
    <w:rsid w:val="3A316D41"/>
    <w:rsid w:val="3A666E97"/>
    <w:rsid w:val="3A7A6F1E"/>
    <w:rsid w:val="3ADE5E41"/>
    <w:rsid w:val="3C77021F"/>
    <w:rsid w:val="3E41042A"/>
    <w:rsid w:val="3E6972FC"/>
    <w:rsid w:val="3F012022"/>
    <w:rsid w:val="3F95513E"/>
    <w:rsid w:val="400E0E9A"/>
    <w:rsid w:val="402C7485"/>
    <w:rsid w:val="4033575D"/>
    <w:rsid w:val="409C6EC9"/>
    <w:rsid w:val="41656E5F"/>
    <w:rsid w:val="427256D6"/>
    <w:rsid w:val="42AD1E40"/>
    <w:rsid w:val="42C97E11"/>
    <w:rsid w:val="431E5B9D"/>
    <w:rsid w:val="434C2833"/>
    <w:rsid w:val="4364349F"/>
    <w:rsid w:val="44157670"/>
    <w:rsid w:val="44337C1C"/>
    <w:rsid w:val="44DF6F7F"/>
    <w:rsid w:val="45DC44DD"/>
    <w:rsid w:val="46615B41"/>
    <w:rsid w:val="476C394E"/>
    <w:rsid w:val="47C11F07"/>
    <w:rsid w:val="47E6400B"/>
    <w:rsid w:val="48CC67D7"/>
    <w:rsid w:val="49246D1C"/>
    <w:rsid w:val="496F3A60"/>
    <w:rsid w:val="4A4275CD"/>
    <w:rsid w:val="4B261513"/>
    <w:rsid w:val="4BFD7FF6"/>
    <w:rsid w:val="4C5F1AE8"/>
    <w:rsid w:val="4C9243B0"/>
    <w:rsid w:val="4CF72E0A"/>
    <w:rsid w:val="4CFF42F7"/>
    <w:rsid w:val="4DFA74A7"/>
    <w:rsid w:val="4E164181"/>
    <w:rsid w:val="4E3623E0"/>
    <w:rsid w:val="4E7D040D"/>
    <w:rsid w:val="4EF20F2C"/>
    <w:rsid w:val="4F695714"/>
    <w:rsid w:val="4F751FDB"/>
    <w:rsid w:val="4FCF0F45"/>
    <w:rsid w:val="50AB3FDD"/>
    <w:rsid w:val="512F48CB"/>
    <w:rsid w:val="51376036"/>
    <w:rsid w:val="51B42C71"/>
    <w:rsid w:val="51F438E6"/>
    <w:rsid w:val="52103381"/>
    <w:rsid w:val="5223437A"/>
    <w:rsid w:val="52981B2E"/>
    <w:rsid w:val="539063B7"/>
    <w:rsid w:val="54206A1C"/>
    <w:rsid w:val="54576450"/>
    <w:rsid w:val="54CF56D2"/>
    <w:rsid w:val="5542113A"/>
    <w:rsid w:val="555236FD"/>
    <w:rsid w:val="5647442E"/>
    <w:rsid w:val="566A1031"/>
    <w:rsid w:val="567459BC"/>
    <w:rsid w:val="576854F7"/>
    <w:rsid w:val="5801790F"/>
    <w:rsid w:val="580B08CE"/>
    <w:rsid w:val="59BD2FCE"/>
    <w:rsid w:val="59C00238"/>
    <w:rsid w:val="59E424A2"/>
    <w:rsid w:val="5A201958"/>
    <w:rsid w:val="5A2118E4"/>
    <w:rsid w:val="5BB23588"/>
    <w:rsid w:val="5C314E44"/>
    <w:rsid w:val="5CC35C70"/>
    <w:rsid w:val="5D634E68"/>
    <w:rsid w:val="5E482992"/>
    <w:rsid w:val="5E802598"/>
    <w:rsid w:val="5EC17F8C"/>
    <w:rsid w:val="5FE071C5"/>
    <w:rsid w:val="601B6DA8"/>
    <w:rsid w:val="60306A6C"/>
    <w:rsid w:val="60484F6C"/>
    <w:rsid w:val="618020D7"/>
    <w:rsid w:val="61CC6311"/>
    <w:rsid w:val="62902BCA"/>
    <w:rsid w:val="62FC766B"/>
    <w:rsid w:val="6394251A"/>
    <w:rsid w:val="63971026"/>
    <w:rsid w:val="64A11290"/>
    <w:rsid w:val="652B6918"/>
    <w:rsid w:val="65A61D93"/>
    <w:rsid w:val="65EA56BD"/>
    <w:rsid w:val="664E3797"/>
    <w:rsid w:val="66950943"/>
    <w:rsid w:val="66966875"/>
    <w:rsid w:val="66B01A27"/>
    <w:rsid w:val="66E62AEE"/>
    <w:rsid w:val="67BF6058"/>
    <w:rsid w:val="67CE326A"/>
    <w:rsid w:val="68A5736D"/>
    <w:rsid w:val="69703D8E"/>
    <w:rsid w:val="6A0000E9"/>
    <w:rsid w:val="6A341737"/>
    <w:rsid w:val="6A4200C0"/>
    <w:rsid w:val="6AD211AF"/>
    <w:rsid w:val="6B0242A5"/>
    <w:rsid w:val="6B8867A0"/>
    <w:rsid w:val="6C837317"/>
    <w:rsid w:val="6CCC0796"/>
    <w:rsid w:val="6D3D2C47"/>
    <w:rsid w:val="6D643BB1"/>
    <w:rsid w:val="6DA724FC"/>
    <w:rsid w:val="6E3E606D"/>
    <w:rsid w:val="6E45575C"/>
    <w:rsid w:val="6F52577A"/>
    <w:rsid w:val="6FA462B1"/>
    <w:rsid w:val="6FB47993"/>
    <w:rsid w:val="70AC2C7E"/>
    <w:rsid w:val="70C3769A"/>
    <w:rsid w:val="70D7550E"/>
    <w:rsid w:val="71D23A68"/>
    <w:rsid w:val="71DF5AF3"/>
    <w:rsid w:val="720C7DC2"/>
    <w:rsid w:val="72A92AD7"/>
    <w:rsid w:val="73CD34FD"/>
    <w:rsid w:val="73DC7D64"/>
    <w:rsid w:val="74114753"/>
    <w:rsid w:val="742D2858"/>
    <w:rsid w:val="748266FC"/>
    <w:rsid w:val="7537199C"/>
    <w:rsid w:val="75D44605"/>
    <w:rsid w:val="760C3834"/>
    <w:rsid w:val="767D593D"/>
    <w:rsid w:val="76A809D6"/>
    <w:rsid w:val="76E605BF"/>
    <w:rsid w:val="770A7D21"/>
    <w:rsid w:val="78BA7D06"/>
    <w:rsid w:val="78E41C51"/>
    <w:rsid w:val="79845717"/>
    <w:rsid w:val="79B969C0"/>
    <w:rsid w:val="79E635AB"/>
    <w:rsid w:val="79F97C93"/>
    <w:rsid w:val="7A58452D"/>
    <w:rsid w:val="7A8A0DB7"/>
    <w:rsid w:val="7B1D1782"/>
    <w:rsid w:val="7B376CA9"/>
    <w:rsid w:val="7B447CBA"/>
    <w:rsid w:val="7BAA7A6F"/>
    <w:rsid w:val="7BEB0099"/>
    <w:rsid w:val="7C4F57E3"/>
    <w:rsid w:val="7DBD0412"/>
    <w:rsid w:val="7E2131B9"/>
    <w:rsid w:val="7E4E7602"/>
    <w:rsid w:val="7E6047E5"/>
    <w:rsid w:val="7F401B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qFormat="1" w:uiPriority="0"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autoRedefine/>
    <w:qFormat/>
    <w:uiPriority w:val="0"/>
    <w:pPr>
      <w:keepNext/>
      <w:spacing w:line="360" w:lineRule="auto"/>
      <w:jc w:val="center"/>
      <w:outlineLvl w:val="0"/>
    </w:pPr>
    <w:rPr>
      <w:rFonts w:ascii="Arial" w:hAnsi="Arial" w:eastAsia="华文中宋"/>
      <w:b/>
      <w:color w:val="000000"/>
      <w:sz w:val="32"/>
    </w:rPr>
  </w:style>
  <w:style w:type="paragraph" w:styleId="4">
    <w:name w:val="heading 2"/>
    <w:basedOn w:val="1"/>
    <w:next w:val="1"/>
    <w:qFormat/>
    <w:uiPriority w:val="0"/>
    <w:pPr>
      <w:keepNext/>
      <w:keepLines/>
      <w:widowControl/>
      <w:spacing w:before="260" w:after="260" w:line="416" w:lineRule="auto"/>
      <w:jc w:val="left"/>
      <w:outlineLvl w:val="1"/>
    </w:pPr>
    <w:rPr>
      <w:rFonts w:ascii="Arial" w:hAnsi="Arial" w:eastAsia="黑体"/>
      <w:b/>
      <w:bCs/>
      <w:sz w:val="32"/>
      <w:szCs w:val="32"/>
    </w:rPr>
  </w:style>
  <w:style w:type="character" w:default="1" w:styleId="23">
    <w:name w:val="Default Paragraph Font"/>
    <w:semiHidden/>
    <w:unhideWhenUsed/>
    <w:qFormat/>
    <w:uiPriority w:val="1"/>
  </w:style>
  <w:style w:type="table" w:default="1" w:styleId="21">
    <w:name w:val="Normal Table"/>
    <w:autoRedefine/>
    <w:semiHidden/>
    <w:unhideWhenUsed/>
    <w:qFormat/>
    <w:uiPriority w:val="99"/>
    <w:tblPr>
      <w:tblCellMar>
        <w:top w:w="0" w:type="dxa"/>
        <w:left w:w="108" w:type="dxa"/>
        <w:bottom w:w="0" w:type="dxa"/>
        <w:right w:w="108" w:type="dxa"/>
      </w:tblCellMar>
    </w:tblPr>
  </w:style>
  <w:style w:type="paragraph" w:customStyle="1" w:styleId="2">
    <w:name w:val="[Normal]"/>
    <w:autoRedefine/>
    <w:qFormat/>
    <w:uiPriority w:val="0"/>
    <w:rPr>
      <w:rFonts w:ascii="宋体" w:hAnsi="宋体" w:eastAsia="宋体" w:cs="Times New Roman"/>
      <w:sz w:val="24"/>
      <w:szCs w:val="22"/>
      <w:lang w:val="zh-CN" w:eastAsia="zh-CN" w:bidi="ar-SA"/>
    </w:rPr>
  </w:style>
  <w:style w:type="paragraph" w:styleId="5">
    <w:name w:val="Normal Indent"/>
    <w:basedOn w:val="1"/>
    <w:autoRedefine/>
    <w:qFormat/>
    <w:uiPriority w:val="0"/>
    <w:pPr>
      <w:ind w:firstLine="420"/>
    </w:pPr>
    <w:rPr>
      <w:szCs w:val="20"/>
    </w:rPr>
  </w:style>
  <w:style w:type="paragraph" w:styleId="6">
    <w:name w:val="annotation text"/>
    <w:basedOn w:val="1"/>
    <w:qFormat/>
    <w:uiPriority w:val="0"/>
    <w:pPr>
      <w:jc w:val="left"/>
    </w:pPr>
  </w:style>
  <w:style w:type="paragraph" w:styleId="7">
    <w:name w:val="Body Text"/>
    <w:basedOn w:val="1"/>
    <w:next w:val="8"/>
    <w:link w:val="30"/>
    <w:autoRedefine/>
    <w:semiHidden/>
    <w:unhideWhenUsed/>
    <w:qFormat/>
    <w:uiPriority w:val="99"/>
    <w:pPr>
      <w:spacing w:after="120"/>
    </w:pPr>
  </w:style>
  <w:style w:type="paragraph" w:styleId="8">
    <w:name w:val="Body Text First Indent"/>
    <w:basedOn w:val="7"/>
    <w:next w:val="1"/>
    <w:autoRedefine/>
    <w:qFormat/>
    <w:uiPriority w:val="0"/>
    <w:pPr>
      <w:ind w:firstLine="420" w:firstLineChars="100"/>
    </w:pPr>
  </w:style>
  <w:style w:type="paragraph" w:styleId="9">
    <w:name w:val="Body Text Indent"/>
    <w:basedOn w:val="1"/>
    <w:next w:val="1"/>
    <w:link w:val="31"/>
    <w:autoRedefine/>
    <w:qFormat/>
    <w:uiPriority w:val="99"/>
    <w:pPr>
      <w:spacing w:after="120"/>
      <w:ind w:left="420" w:leftChars="200"/>
    </w:pPr>
  </w:style>
  <w:style w:type="paragraph" w:styleId="10">
    <w:name w:val="Block Text"/>
    <w:basedOn w:val="1"/>
    <w:autoRedefine/>
    <w:qFormat/>
    <w:uiPriority w:val="0"/>
    <w:pPr>
      <w:adjustRightInd w:val="0"/>
      <w:snapToGrid w:val="0"/>
      <w:spacing w:line="360" w:lineRule="auto"/>
      <w:ind w:left="567" w:leftChars="270" w:rightChars="-150" w:firstLine="480" w:firstLineChars="200"/>
    </w:pPr>
    <w:rPr>
      <w:rFonts w:ascii="宋体"/>
      <w:sz w:val="24"/>
    </w:rPr>
  </w:style>
  <w:style w:type="paragraph" w:styleId="11">
    <w:name w:val="Plain Text"/>
    <w:basedOn w:val="1"/>
    <w:next w:val="12"/>
    <w:autoRedefine/>
    <w:qFormat/>
    <w:uiPriority w:val="0"/>
    <w:rPr>
      <w:rFonts w:ascii="宋体" w:hAnsi="Courier New" w:cstheme="minorBidi"/>
    </w:rPr>
  </w:style>
  <w:style w:type="paragraph" w:styleId="12">
    <w:name w:val="Date"/>
    <w:basedOn w:val="1"/>
    <w:next w:val="1"/>
    <w:autoRedefine/>
    <w:qFormat/>
    <w:uiPriority w:val="99"/>
    <w:pPr>
      <w:ind w:left="2500" w:leftChars="2500"/>
    </w:pPr>
    <w:rPr>
      <w:rFonts w:ascii="Calibri" w:hAnsi="Calibri" w:eastAsia="楷体_GB2312"/>
      <w:sz w:val="32"/>
      <w:szCs w:val="22"/>
    </w:rPr>
  </w:style>
  <w:style w:type="paragraph" w:styleId="13">
    <w:name w:val="Balloon Text"/>
    <w:basedOn w:val="1"/>
    <w:link w:val="32"/>
    <w:autoRedefine/>
    <w:semiHidden/>
    <w:unhideWhenUsed/>
    <w:qFormat/>
    <w:uiPriority w:val="99"/>
    <w:rPr>
      <w:sz w:val="18"/>
      <w:szCs w:val="18"/>
    </w:rPr>
  </w:style>
  <w:style w:type="paragraph" w:styleId="14">
    <w:name w:val="footer"/>
    <w:basedOn w:val="1"/>
    <w:link w:val="29"/>
    <w:autoRedefine/>
    <w:semiHidden/>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15">
    <w:name w:val="header"/>
    <w:basedOn w:val="1"/>
    <w:link w:val="28"/>
    <w:autoRedefine/>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16">
    <w:name w:val="toc 1"/>
    <w:basedOn w:val="1"/>
    <w:next w:val="1"/>
    <w:autoRedefine/>
    <w:qFormat/>
    <w:uiPriority w:val="39"/>
    <w:pPr>
      <w:widowControl/>
      <w:tabs>
        <w:tab w:val="right" w:leader="dot" w:pos="9060"/>
      </w:tabs>
      <w:spacing w:before="120" w:after="120"/>
      <w:jc w:val="left"/>
    </w:pPr>
    <w:rPr>
      <w:b/>
      <w:bCs/>
      <w:caps/>
      <w:kern w:val="0"/>
      <w:sz w:val="24"/>
      <w:szCs w:val="24"/>
      <w:lang w:eastAsia="en-US" w:bidi="en-US"/>
    </w:rPr>
  </w:style>
  <w:style w:type="paragraph" w:styleId="17">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0" w:lineRule="atLeast"/>
      <w:jc w:val="left"/>
    </w:pPr>
    <w:rPr>
      <w:rFonts w:ascii="Arial" w:hAnsi="Arial" w:cs="Arial"/>
      <w:kern w:val="0"/>
      <w:szCs w:val="21"/>
    </w:rPr>
  </w:style>
  <w:style w:type="paragraph" w:styleId="1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19">
    <w:name w:val="Title"/>
    <w:basedOn w:val="1"/>
    <w:next w:val="1"/>
    <w:autoRedefine/>
    <w:qFormat/>
    <w:uiPriority w:val="0"/>
    <w:pPr>
      <w:autoSpaceDE w:val="0"/>
      <w:autoSpaceDN w:val="0"/>
      <w:adjustRightInd w:val="0"/>
      <w:spacing w:before="240" w:after="60"/>
      <w:jc w:val="center"/>
      <w:outlineLvl w:val="0"/>
    </w:pPr>
    <w:rPr>
      <w:rFonts w:ascii="Cambria" w:hAnsi="Cambria"/>
      <w:b/>
      <w:color w:val="000000"/>
      <w:kern w:val="0"/>
      <w:sz w:val="32"/>
      <w:szCs w:val="32"/>
    </w:rPr>
  </w:style>
  <w:style w:type="paragraph" w:styleId="20">
    <w:name w:val="Body Text First Indent 2"/>
    <w:basedOn w:val="9"/>
    <w:next w:val="1"/>
    <w:autoRedefine/>
    <w:qFormat/>
    <w:uiPriority w:val="0"/>
    <w:pPr>
      <w:ind w:firstLine="420"/>
    </w:p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autoRedefine/>
    <w:qFormat/>
    <w:uiPriority w:val="0"/>
    <w:rPr>
      <w:rFonts w:ascii="Tahoma" w:hAnsi="Tahoma" w:cs="Tahoma"/>
      <w:b/>
      <w:sz w:val="24"/>
    </w:rPr>
  </w:style>
  <w:style w:type="character" w:styleId="25">
    <w:name w:val="page number"/>
    <w:basedOn w:val="23"/>
    <w:autoRedefine/>
    <w:qFormat/>
    <w:uiPriority w:val="0"/>
  </w:style>
  <w:style w:type="character" w:styleId="26">
    <w:name w:val="Hyperlink"/>
    <w:autoRedefine/>
    <w:unhideWhenUsed/>
    <w:qFormat/>
    <w:uiPriority w:val="0"/>
    <w:rPr>
      <w:color w:val="0000FF"/>
      <w:u w:val="single"/>
    </w:rPr>
  </w:style>
  <w:style w:type="paragraph" w:customStyle="1" w:styleId="27">
    <w:name w:val="正文首行缩进1"/>
    <w:basedOn w:val="7"/>
    <w:autoRedefine/>
    <w:qFormat/>
    <w:uiPriority w:val="0"/>
    <w:pPr>
      <w:ind w:firstLine="420" w:firstLineChars="100"/>
    </w:pPr>
  </w:style>
  <w:style w:type="character" w:customStyle="1" w:styleId="28">
    <w:name w:val="页眉 Char"/>
    <w:basedOn w:val="23"/>
    <w:link w:val="15"/>
    <w:autoRedefine/>
    <w:semiHidden/>
    <w:qFormat/>
    <w:uiPriority w:val="99"/>
    <w:rPr>
      <w:sz w:val="18"/>
      <w:szCs w:val="18"/>
    </w:rPr>
  </w:style>
  <w:style w:type="character" w:customStyle="1" w:styleId="29">
    <w:name w:val="页脚 Char"/>
    <w:basedOn w:val="23"/>
    <w:link w:val="14"/>
    <w:autoRedefine/>
    <w:semiHidden/>
    <w:qFormat/>
    <w:uiPriority w:val="99"/>
    <w:rPr>
      <w:sz w:val="18"/>
      <w:szCs w:val="18"/>
    </w:rPr>
  </w:style>
  <w:style w:type="character" w:customStyle="1" w:styleId="30">
    <w:name w:val="正文文本 Char"/>
    <w:basedOn w:val="23"/>
    <w:link w:val="7"/>
    <w:autoRedefine/>
    <w:semiHidden/>
    <w:qFormat/>
    <w:uiPriority w:val="99"/>
    <w:rPr>
      <w:rFonts w:ascii="Times New Roman" w:hAnsi="Times New Roman" w:eastAsia="宋体" w:cs="Times New Roman"/>
      <w:szCs w:val="24"/>
    </w:rPr>
  </w:style>
  <w:style w:type="character" w:customStyle="1" w:styleId="31">
    <w:name w:val="正文文本缩进 Char"/>
    <w:basedOn w:val="23"/>
    <w:link w:val="9"/>
    <w:autoRedefine/>
    <w:qFormat/>
    <w:uiPriority w:val="99"/>
    <w:rPr>
      <w:rFonts w:ascii="Times New Roman" w:hAnsi="Times New Roman" w:eastAsia="宋体" w:cs="Times New Roman"/>
      <w:szCs w:val="24"/>
    </w:rPr>
  </w:style>
  <w:style w:type="character" w:customStyle="1" w:styleId="32">
    <w:name w:val="批注框文本 Char"/>
    <w:basedOn w:val="23"/>
    <w:link w:val="13"/>
    <w:autoRedefine/>
    <w:semiHidden/>
    <w:qFormat/>
    <w:uiPriority w:val="99"/>
    <w:rPr>
      <w:rFonts w:ascii="Times New Roman" w:hAnsi="Times New Roman" w:eastAsia="宋体" w:cs="Times New Roman"/>
      <w:sz w:val="18"/>
      <w:szCs w:val="18"/>
    </w:rPr>
  </w:style>
  <w:style w:type="character" w:customStyle="1" w:styleId="33">
    <w:name w:val="无"/>
    <w:autoRedefine/>
    <w:qFormat/>
    <w:uiPriority w:val="99"/>
  </w:style>
  <w:style w:type="paragraph" w:customStyle="1" w:styleId="34">
    <w:name w:val="表格文字"/>
    <w:basedOn w:val="1"/>
    <w:next w:val="7"/>
    <w:autoRedefine/>
    <w:qFormat/>
    <w:uiPriority w:val="99"/>
    <w:pPr>
      <w:adjustRightInd w:val="0"/>
      <w:spacing w:line="420" w:lineRule="atLeast"/>
      <w:jc w:val="left"/>
      <w:textAlignment w:val="baseline"/>
    </w:pPr>
    <w:rPr>
      <w:kern w:val="0"/>
    </w:rPr>
  </w:style>
  <w:style w:type="paragraph" w:customStyle="1" w:styleId="35">
    <w:name w:val="正文_8_0_0"/>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6">
    <w:name w:val="正文_10_0"/>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7">
    <w:name w:val="reader-word-layer"/>
    <w:basedOn w:val="1"/>
    <w:autoRedefine/>
    <w:qFormat/>
    <w:uiPriority w:val="99"/>
    <w:pPr>
      <w:widowControl/>
      <w:spacing w:before="100" w:beforeAutospacing="1" w:after="100" w:afterAutospacing="1"/>
      <w:jc w:val="left"/>
    </w:pPr>
    <w:rPr>
      <w:rFonts w:ascii="宋体" w:hAnsi="宋体" w:cs="宋体"/>
      <w:kern w:val="0"/>
      <w:sz w:val="24"/>
    </w:rPr>
  </w:style>
  <w:style w:type="paragraph" w:customStyle="1" w:styleId="38">
    <w:name w:val="正文_3_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正文_14"/>
    <w:autoRedefine/>
    <w:qFormat/>
    <w:uiPriority w:val="99"/>
    <w:rPr>
      <w:rFonts w:ascii="Times New Roman" w:hAnsi="Times New Roman" w:eastAsia="宋体" w:cs="Times New Roman"/>
      <w:sz w:val="21"/>
      <w:szCs w:val="22"/>
      <w:lang w:val="en-US" w:eastAsia="zh-CN" w:bidi="ar-SA"/>
    </w:rPr>
  </w:style>
  <w:style w:type="paragraph" w:customStyle="1" w:styleId="40">
    <w:name w:val="正文_4"/>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正文_5"/>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正文_1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纯文本_3"/>
    <w:basedOn w:val="42"/>
    <w:autoRedefine/>
    <w:qFormat/>
    <w:uiPriority w:val="99"/>
    <w:pPr>
      <w:widowControl/>
      <w:jc w:val="left"/>
    </w:pPr>
    <w:rPr>
      <w:rFonts w:ascii="宋体" w:hAnsi="Courier New"/>
      <w:szCs w:val="21"/>
    </w:rPr>
  </w:style>
  <w:style w:type="paragraph" w:customStyle="1" w:styleId="44">
    <w:name w:val="纯文本_0_1"/>
    <w:basedOn w:val="1"/>
    <w:autoRedefine/>
    <w:qFormat/>
    <w:uiPriority w:val="99"/>
    <w:pPr>
      <w:widowControl/>
      <w:jc w:val="left"/>
    </w:pPr>
    <w:rPr>
      <w:rFonts w:ascii="宋体" w:hAnsi="Courier New"/>
      <w:szCs w:val="21"/>
    </w:rPr>
  </w:style>
  <w:style w:type="paragraph" w:customStyle="1" w:styleId="45">
    <w:name w:val="正文_17"/>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正文_2_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_6"/>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Normal_15"/>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9">
    <w:name w:val="正文1"/>
    <w:next w:val="1"/>
    <w:autoRedefine/>
    <w:qFormat/>
    <w:uiPriority w:val="0"/>
    <w:pPr>
      <w:widowControl w:val="0"/>
      <w:adjustRightInd w:val="0"/>
      <w:spacing w:line="240" w:lineRule="atLeast"/>
      <w:jc w:val="both"/>
    </w:pPr>
    <w:rPr>
      <w:rFonts w:ascii="宋体" w:hAnsi="Times New Roman" w:eastAsia="宋体" w:cs="Times New Roman"/>
      <w:sz w:val="34"/>
      <w:lang w:val="en-US" w:eastAsia="zh-CN" w:bidi="ar-SA"/>
    </w:rPr>
  </w:style>
  <w:style w:type="paragraph" w:customStyle="1" w:styleId="50">
    <w:name w:val="p0"/>
    <w:basedOn w:val="1"/>
    <w:autoRedefine/>
    <w:qFormat/>
    <w:uiPriority w:val="0"/>
    <w:pPr>
      <w:widowControl/>
    </w:pPr>
    <w:rPr>
      <w:rFonts w:ascii="Calibri" w:hAnsi="Calibri" w:cs="宋体"/>
      <w:kern w:val="0"/>
      <w:szCs w:val="21"/>
    </w:rPr>
  </w:style>
  <w:style w:type="paragraph" w:styleId="51">
    <w:name w:val="List Paragraph"/>
    <w:basedOn w:val="1"/>
    <w:autoRedefine/>
    <w:qFormat/>
    <w:uiPriority w:val="0"/>
    <w:pPr>
      <w:ind w:firstLine="420" w:firstLineChars="200"/>
    </w:pPr>
    <w:rPr>
      <w:szCs w:val="24"/>
    </w:rPr>
  </w:style>
  <w:style w:type="paragraph" w:customStyle="1" w:styleId="52">
    <w:name w:val="纯文本1"/>
    <w:basedOn w:val="49"/>
    <w:autoRedefine/>
    <w:qFormat/>
    <w:uiPriority w:val="0"/>
    <w:pPr>
      <w:widowControl/>
      <w:jc w:val="left"/>
    </w:pPr>
    <w:rPr>
      <w:rFonts w:ascii="宋体" w:hAnsi="Courier New"/>
      <w:szCs w:val="20"/>
    </w:rPr>
  </w:style>
  <w:style w:type="paragraph" w:customStyle="1" w:styleId="53">
    <w:name w:val="正文（首行缩进2字符）"/>
    <w:basedOn w:val="1"/>
    <w:autoRedefine/>
    <w:qFormat/>
    <w:uiPriority w:val="0"/>
    <w:pPr>
      <w:ind w:firstLine="480" w:firstLineChars="200"/>
    </w:pPr>
    <w:rPr>
      <w:sz w:val="24"/>
      <w:szCs w:val="20"/>
    </w:rPr>
  </w:style>
  <w:style w:type="character" w:customStyle="1" w:styleId="54">
    <w:name w:val="NormalCharacter"/>
    <w:autoRedefine/>
    <w:semiHidden/>
    <w:qFormat/>
    <w:uiPriority w:val="0"/>
  </w:style>
  <w:style w:type="paragraph" w:customStyle="1" w:styleId="55">
    <w:name w:val="正文2"/>
    <w:basedOn w:val="1"/>
    <w:autoRedefine/>
    <w:qFormat/>
    <w:uiPriority w:val="0"/>
    <w:pPr>
      <w:spacing w:before="156" w:line="360" w:lineRule="auto"/>
      <w:ind w:firstLine="510" w:firstLineChars="200"/>
    </w:pPr>
    <w:rPr>
      <w:sz w:val="24"/>
      <w:szCs w:val="20"/>
    </w:rPr>
  </w:style>
  <w:style w:type="table" w:customStyle="1" w:styleId="5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67</Pages>
  <Words>25997</Words>
  <Characters>27934</Characters>
  <Lines>1</Lines>
  <Paragraphs>1</Paragraphs>
  <TotalTime>28</TotalTime>
  <ScaleCrop>false</ScaleCrop>
  <LinksUpToDate>false</LinksUpToDate>
  <CharactersWithSpaces>28087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2020-03-20T03:00:00Z</dcterms:created>
  <dc:creator>苏彬</dc:creator>
  <cp:lastModifiedBy>招标代理-小管</cp:lastModifiedBy>
  <dcterms:modified xsi:type="dcterms:W3CDTF">2025-04-14T05:46:36Z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32CC3657A07F4DBFBD11319E01DCEFD8_13</vt:lpwstr>
  </property>
  <property fmtid="{D5CDD505-2E9C-101B-9397-08002B2CF9AE}" pid="4" name="commondata">
    <vt:lpwstr>eyJoZGlkIjoiNmNiNWQzMTIyZDkyNWQ5MzYxMmQ5MTE1ZmU3YjE0M2QifQ==</vt:lpwstr>
  </property>
  <property fmtid="{D5CDD505-2E9C-101B-9397-08002B2CF9AE}" pid="5" name="KSOTemplateDocerSaveRecord">
    <vt:lpwstr>eyJoZGlkIjoiZTM3MGY4ODYxYTJmOGU5MjE1YjUzOGFlOWUyNmI5YTkiLCJ1c2VySWQiOiIxMjYyNTcxMzQxIn0=</vt:lpwstr>
  </property>
</Properties>
</file>