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3EF45F61">
      <w:pPr>
        <w:rPr>
          <w:rFonts w:hint="eastAsia" w:ascii="宋体" w:hAnsi="宋体" w:eastAsia="宋体" w:cs="宋体"/>
          <w:color w:val="auto"/>
          <w:highlight w:val="none"/>
        </w:rPr>
      </w:pPr>
    </w:p>
    <w:p w14:paraId="2A28B19C">
      <w:pPr>
        <w:pStyle w:val="9"/>
        <w:jc w:val="center"/>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0" distR="0" simplePos="0" relativeHeight="251659264" behindDoc="1" locked="0" layoutInCell="1" allowOverlap="1">
            <wp:simplePos x="0" y="0"/>
            <wp:positionH relativeFrom="column">
              <wp:posOffset>239395</wp:posOffset>
            </wp:positionH>
            <wp:positionV relativeFrom="paragraph">
              <wp:posOffset>194945</wp:posOffset>
            </wp:positionV>
            <wp:extent cx="5488940" cy="2279015"/>
            <wp:effectExtent l="0" t="0" r="0" b="6985"/>
            <wp:wrapTight wrapText="bothSides">
              <wp:wrapPolygon>
                <wp:start x="7946" y="0"/>
                <wp:lineTo x="7696" y="602"/>
                <wp:lineTo x="7596" y="1204"/>
                <wp:lineTo x="7596" y="12879"/>
                <wp:lineTo x="8546" y="13481"/>
                <wp:lineTo x="10795" y="13481"/>
                <wp:lineTo x="0" y="15889"/>
                <wp:lineTo x="0" y="17333"/>
                <wp:lineTo x="10795" y="17333"/>
                <wp:lineTo x="7696" y="18296"/>
                <wp:lineTo x="7197" y="18537"/>
                <wp:lineTo x="7047" y="19740"/>
                <wp:lineTo x="6947" y="21305"/>
                <wp:lineTo x="7097" y="21425"/>
                <wp:lineTo x="7497" y="21425"/>
                <wp:lineTo x="13644" y="21425"/>
                <wp:lineTo x="14493" y="21425"/>
                <wp:lineTo x="14743" y="21305"/>
                <wp:lineTo x="14693" y="18657"/>
                <wp:lineTo x="14293" y="18416"/>
                <wp:lineTo x="10795" y="17333"/>
                <wp:lineTo x="21540" y="17333"/>
                <wp:lineTo x="21540" y="15889"/>
                <wp:lineTo x="17892" y="15166"/>
                <wp:lineTo x="16143" y="14685"/>
                <wp:lineTo x="10795" y="13481"/>
                <wp:lineTo x="12944" y="13481"/>
                <wp:lineTo x="13994" y="12879"/>
                <wp:lineTo x="13994" y="1444"/>
                <wp:lineTo x="13844" y="602"/>
                <wp:lineTo x="13594" y="0"/>
                <wp:lineTo x="7946" y="0"/>
              </wp:wrapPolygon>
            </wp:wrapTight>
            <wp:docPr id="5" name="图片 0" descr="永安A4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永安A4封面.png"/>
                    <pic:cNvPicPr>
                      <a:picLocks noChangeAspect="1"/>
                    </pic:cNvPicPr>
                  </pic:nvPicPr>
                  <pic:blipFill>
                    <a:blip r:embed="rId10" cstate="print"/>
                    <a:stretch>
                      <a:fillRect/>
                    </a:stretch>
                  </pic:blipFill>
                  <pic:spPr>
                    <a:xfrm>
                      <a:off x="0" y="0"/>
                      <a:ext cx="5488940" cy="2279015"/>
                    </a:xfrm>
                    <a:prstGeom prst="rect">
                      <a:avLst/>
                    </a:prstGeom>
                  </pic:spPr>
                </pic:pic>
              </a:graphicData>
            </a:graphic>
          </wp:anchor>
        </w:drawing>
      </w:r>
    </w:p>
    <w:p w14:paraId="3D1BCA76">
      <w:pPr>
        <w:pStyle w:val="9"/>
        <w:jc w:val="center"/>
        <w:rPr>
          <w:rFonts w:hint="eastAsia" w:ascii="宋体" w:hAnsi="宋体" w:eastAsia="宋体" w:cs="宋体"/>
          <w:color w:val="auto"/>
          <w:highlight w:val="none"/>
        </w:rPr>
      </w:pPr>
    </w:p>
    <w:p w14:paraId="2894187C">
      <w:pPr>
        <w:pStyle w:val="9"/>
        <w:jc w:val="center"/>
        <w:rPr>
          <w:rFonts w:hint="eastAsia" w:ascii="宋体" w:hAnsi="宋体" w:eastAsia="宋体" w:cs="宋体"/>
          <w:color w:val="auto"/>
          <w:highlight w:val="none"/>
        </w:rPr>
      </w:pPr>
    </w:p>
    <w:p w14:paraId="60F8BB28">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hint="eastAsia" w:ascii="宋体" w:hAnsi="宋体" w:eastAsia="宋体" w:cs="宋体"/>
          <w:b/>
          <w:color w:val="auto"/>
          <w:kern w:val="0"/>
          <w:sz w:val="84"/>
          <w:szCs w:val="84"/>
          <w:highlight w:val="none"/>
        </w:rPr>
      </w:pPr>
      <w:r>
        <w:rPr>
          <w:rFonts w:hint="eastAsia" w:ascii="宋体" w:hAnsi="宋体" w:eastAsia="宋体" w:cs="宋体"/>
          <w:b/>
          <w:color w:val="auto"/>
          <w:kern w:val="0"/>
          <w:sz w:val="84"/>
          <w:szCs w:val="84"/>
          <w:highlight w:val="none"/>
        </w:rPr>
        <w:t xml:space="preserve"> </w:t>
      </w:r>
    </w:p>
    <w:p w14:paraId="704E5316">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hint="eastAsia" w:ascii="宋体" w:hAnsi="宋体" w:eastAsia="宋体" w:cs="宋体"/>
          <w:b/>
          <w:color w:val="auto"/>
          <w:kern w:val="0"/>
          <w:sz w:val="84"/>
          <w:szCs w:val="84"/>
          <w:highlight w:val="none"/>
        </w:rPr>
      </w:pPr>
    </w:p>
    <w:p w14:paraId="5D1D78EE">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hint="eastAsia" w:ascii="宋体" w:hAnsi="宋体" w:eastAsia="宋体" w:cs="宋体"/>
          <w:b/>
          <w:color w:val="auto"/>
          <w:kern w:val="0"/>
          <w:sz w:val="72"/>
          <w:szCs w:val="72"/>
          <w:highlight w:val="none"/>
        </w:rPr>
      </w:pPr>
    </w:p>
    <w:p w14:paraId="66BA8AF9">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hAnsi="宋体" w:eastAsia="宋体" w:cs="宋体"/>
          <w:b/>
          <w:color w:val="auto"/>
          <w:kern w:val="0"/>
          <w:sz w:val="72"/>
          <w:szCs w:val="72"/>
          <w:highlight w:val="none"/>
        </w:rPr>
      </w:pPr>
      <w:r>
        <w:rPr>
          <w:rFonts w:hint="eastAsia" w:ascii="宋体" w:hAnsi="宋体" w:eastAsia="宋体" w:cs="宋体"/>
          <w:b/>
          <w:color w:val="auto"/>
          <w:kern w:val="0"/>
          <w:sz w:val="72"/>
          <w:szCs w:val="72"/>
          <w:highlight w:val="none"/>
        </w:rPr>
        <w:t xml:space="preserve">   政府采购招标文件</w:t>
      </w:r>
    </w:p>
    <w:p w14:paraId="2C8BB84B">
      <w:pPr>
        <w:spacing w:line="360" w:lineRule="auto"/>
        <w:jc w:val="center"/>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32"/>
          <w:szCs w:val="32"/>
          <w:highlight w:val="none"/>
        </w:rPr>
        <w:t>（电子招投标方式）</w:t>
      </w:r>
    </w:p>
    <w:p w14:paraId="729A7195">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color w:val="auto"/>
          <w:kern w:val="0"/>
          <w:sz w:val="28"/>
          <w:szCs w:val="28"/>
          <w:highlight w:val="none"/>
        </w:rPr>
        <w:t>项目编号：</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lang w:eastAsia="zh-CN"/>
        </w:rPr>
        <w:t>tzya2025-lq01</w:t>
      </w:r>
      <w:r>
        <w:rPr>
          <w:rFonts w:hint="eastAsia" w:ascii="宋体" w:hAnsi="宋体" w:eastAsia="宋体" w:cs="宋体"/>
          <w:color w:val="auto"/>
          <w:kern w:val="0"/>
          <w:sz w:val="28"/>
          <w:szCs w:val="28"/>
          <w:highlight w:val="none"/>
          <w:u w:val="single"/>
        </w:rPr>
        <w:t xml:space="preserve"> </w:t>
      </w:r>
    </w:p>
    <w:p w14:paraId="657D6302">
      <w:pPr>
        <w:pStyle w:val="9"/>
        <w:jc w:val="center"/>
        <w:rPr>
          <w:rFonts w:hint="eastAsia" w:ascii="宋体" w:hAnsi="宋体" w:eastAsia="宋体" w:cs="宋体"/>
          <w:color w:val="auto"/>
          <w:highlight w:val="none"/>
        </w:rPr>
      </w:pPr>
    </w:p>
    <w:p w14:paraId="7C2BD0D1">
      <w:pPr>
        <w:pStyle w:val="9"/>
        <w:jc w:val="center"/>
        <w:rPr>
          <w:rFonts w:hint="eastAsia" w:ascii="宋体" w:hAnsi="宋体" w:eastAsia="宋体" w:cs="宋体"/>
          <w:color w:val="auto"/>
          <w:highlight w:val="none"/>
        </w:rPr>
      </w:pPr>
    </w:p>
    <w:p w14:paraId="47BD42D4">
      <w:pPr>
        <w:spacing w:line="360" w:lineRule="auto"/>
        <w:ind w:left="1405" w:hanging="1405" w:hangingChars="500"/>
        <w:jc w:val="center"/>
        <w:rPr>
          <w:rFonts w:hint="eastAsia" w:ascii="宋体" w:hAnsi="宋体" w:eastAsia="宋体" w:cs="宋体"/>
          <w:color w:val="auto"/>
          <w:highlight w:val="none"/>
          <w:lang w:eastAsia="zh-CN"/>
        </w:rPr>
      </w:pPr>
      <w:r>
        <w:rPr>
          <w:rFonts w:hint="eastAsia" w:ascii="宋体" w:hAnsi="宋体" w:eastAsia="宋体" w:cs="宋体"/>
          <w:b/>
          <w:bCs/>
          <w:color w:val="auto"/>
          <w:kern w:val="0"/>
          <w:sz w:val="28"/>
          <w:szCs w:val="28"/>
          <w:highlight w:val="none"/>
        </w:rPr>
        <w:t>采购项目：</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lang w:eastAsia="zh-CN"/>
        </w:rPr>
        <w:t>路桥区2025-2027年粮油种植面积核查服务项目</w:t>
      </w:r>
    </w:p>
    <w:p w14:paraId="61999D47">
      <w:pPr>
        <w:spacing w:line="360" w:lineRule="auto"/>
        <w:jc w:val="center"/>
        <w:rPr>
          <w:rFonts w:hint="eastAsia" w:ascii="宋体" w:hAnsi="宋体" w:eastAsia="宋体" w:cs="宋体"/>
          <w:color w:val="auto"/>
          <w:kern w:val="0"/>
          <w:sz w:val="28"/>
          <w:szCs w:val="28"/>
          <w:highlight w:val="none"/>
          <w:u w:val="single"/>
          <w:lang w:eastAsia="zh-CN"/>
        </w:rPr>
      </w:pPr>
      <w:r>
        <w:rPr>
          <w:rFonts w:hint="eastAsia" w:ascii="宋体" w:hAnsi="宋体" w:eastAsia="宋体" w:cs="宋体"/>
          <w:b/>
          <w:bCs/>
          <w:color w:val="auto"/>
          <w:kern w:val="0"/>
          <w:sz w:val="28"/>
          <w:szCs w:val="28"/>
          <w:highlight w:val="none"/>
        </w:rPr>
        <w:t>采 购 人：</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lang w:eastAsia="zh-CN"/>
        </w:rPr>
        <w:t>台州市路桥区农业农村和水利局</w:t>
      </w:r>
    </w:p>
    <w:p w14:paraId="2D10C170">
      <w:pPr>
        <w:pStyle w:val="9"/>
        <w:rPr>
          <w:rFonts w:hint="eastAsia" w:ascii="宋体" w:hAnsi="宋体" w:eastAsia="宋体" w:cs="宋体"/>
          <w:color w:val="auto"/>
          <w:highlight w:val="none"/>
        </w:rPr>
      </w:pPr>
    </w:p>
    <w:p w14:paraId="3122398A">
      <w:pPr>
        <w:pStyle w:val="9"/>
        <w:rPr>
          <w:rFonts w:hint="eastAsia" w:ascii="宋体" w:hAnsi="宋体" w:eastAsia="宋体" w:cs="宋体"/>
          <w:color w:val="auto"/>
          <w:highlight w:val="none"/>
        </w:rPr>
      </w:pPr>
    </w:p>
    <w:p w14:paraId="22F9A578">
      <w:pPr>
        <w:pStyle w:val="9"/>
        <w:rPr>
          <w:rFonts w:hint="eastAsia" w:ascii="宋体" w:hAnsi="宋体" w:eastAsia="宋体" w:cs="宋体"/>
          <w:color w:val="auto"/>
          <w:highlight w:val="none"/>
        </w:rPr>
      </w:pPr>
    </w:p>
    <w:p w14:paraId="0D78D9AB">
      <w:pPr>
        <w:spacing w:line="360" w:lineRule="auto"/>
        <w:ind w:firstLine="1405" w:firstLineChars="500"/>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rPr>
        <w:t>采购代理机构：</w:t>
      </w:r>
      <w:r>
        <w:rPr>
          <w:rFonts w:hint="eastAsia" w:ascii="宋体" w:hAnsi="宋体" w:eastAsia="宋体" w:cs="宋体"/>
          <w:color w:val="auto"/>
          <w:kern w:val="0"/>
          <w:sz w:val="28"/>
          <w:szCs w:val="28"/>
          <w:highlight w:val="none"/>
        </w:rPr>
        <w:t>台州永安工程咨询有限公司</w:t>
      </w:r>
    </w:p>
    <w:p w14:paraId="5D79B7F7">
      <w:pPr>
        <w:pStyle w:val="9"/>
        <w:rPr>
          <w:rFonts w:hint="eastAsia" w:ascii="宋体" w:hAnsi="宋体" w:eastAsia="宋体" w:cs="宋体"/>
          <w:color w:val="auto"/>
          <w:highlight w:val="none"/>
        </w:rPr>
      </w:pPr>
    </w:p>
    <w:p w14:paraId="0400D86B">
      <w:pPr>
        <w:pStyle w:val="9"/>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 w:val="28"/>
          <w:szCs w:val="28"/>
          <w:highlight w:val="none"/>
        </w:rPr>
        <w:t>二○</w:t>
      </w:r>
      <w:r>
        <w:rPr>
          <w:rFonts w:hint="eastAsia" w:ascii="宋体" w:hAnsi="宋体" w:eastAsia="宋体" w:cs="宋体"/>
          <w:color w:val="auto"/>
          <w:kern w:val="0"/>
          <w:sz w:val="28"/>
          <w:szCs w:val="28"/>
          <w:highlight w:val="none"/>
          <w:lang w:eastAsia="zh-CN"/>
        </w:rPr>
        <w:t>二五年一月</w:t>
      </w:r>
    </w:p>
    <w:p w14:paraId="656DE795">
      <w:pPr>
        <w:pStyle w:val="9"/>
        <w:jc w:val="center"/>
        <w:rPr>
          <w:rFonts w:hint="eastAsia" w:ascii="宋体" w:hAnsi="宋体" w:eastAsia="宋体" w:cs="宋体"/>
          <w:color w:val="auto"/>
          <w:kern w:val="0"/>
          <w:szCs w:val="21"/>
          <w:highlight w:val="none"/>
        </w:rPr>
      </w:pPr>
    </w:p>
    <w:p w14:paraId="5C6D3E48">
      <w:pPr>
        <w:pStyle w:val="9"/>
        <w:rPr>
          <w:rFonts w:hint="eastAsia" w:ascii="宋体" w:hAnsi="宋体" w:eastAsia="宋体" w:cs="宋体"/>
          <w:color w:val="auto"/>
          <w:highlight w:val="none"/>
        </w:rPr>
      </w:pPr>
    </w:p>
    <w:p w14:paraId="41196E5D">
      <w:pPr>
        <w:spacing w:line="360" w:lineRule="auto"/>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14:paraId="0E66D50A">
      <w:pPr>
        <w:spacing w:line="360" w:lineRule="auto"/>
        <w:rPr>
          <w:rFonts w:hint="eastAsia" w:ascii="宋体" w:hAnsi="宋体" w:eastAsia="宋体" w:cs="宋体"/>
          <w:color w:val="auto"/>
          <w:sz w:val="28"/>
          <w:szCs w:val="28"/>
          <w:highlight w:val="none"/>
        </w:rPr>
      </w:pPr>
    </w:p>
    <w:p w14:paraId="3EACE401">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公开招标采购公告</w:t>
      </w:r>
    </w:p>
    <w:p w14:paraId="5CCD4446">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投标人须知</w:t>
      </w:r>
    </w:p>
    <w:p w14:paraId="3B73C9AD">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评标办法及评分标准</w:t>
      </w:r>
    </w:p>
    <w:p w14:paraId="1E220967">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公开招标需求</w:t>
      </w:r>
    </w:p>
    <w:p w14:paraId="4F506115">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政府采购合同主要条款</w:t>
      </w:r>
    </w:p>
    <w:p w14:paraId="72D2C852">
      <w:pPr>
        <w:numPr>
          <w:ilvl w:val="0"/>
          <w:numId w:val="2"/>
        </w:numPr>
        <w:spacing w:line="360" w:lineRule="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投标文件格式附件</w:t>
      </w:r>
    </w:p>
    <w:p w14:paraId="1EFA9B1F">
      <w:pPr>
        <w:pStyle w:val="9"/>
        <w:jc w:val="center"/>
        <w:rPr>
          <w:rFonts w:hint="eastAsia" w:ascii="宋体" w:hAnsi="宋体" w:eastAsia="宋体" w:cs="宋体"/>
          <w:color w:val="auto"/>
          <w:highlight w:val="none"/>
        </w:rPr>
      </w:pPr>
    </w:p>
    <w:p w14:paraId="5EAEEF14">
      <w:pPr>
        <w:pStyle w:val="9"/>
        <w:jc w:val="center"/>
        <w:rPr>
          <w:rFonts w:hint="eastAsia" w:ascii="宋体" w:hAnsi="宋体" w:eastAsia="宋体" w:cs="宋体"/>
          <w:color w:val="auto"/>
          <w:highlight w:val="none"/>
        </w:rPr>
      </w:pPr>
    </w:p>
    <w:p w14:paraId="2A3291E2">
      <w:pPr>
        <w:pStyle w:val="9"/>
        <w:jc w:val="center"/>
        <w:rPr>
          <w:rFonts w:hint="eastAsia" w:ascii="宋体" w:hAnsi="宋体" w:eastAsia="宋体" w:cs="宋体"/>
          <w:color w:val="auto"/>
          <w:highlight w:val="none"/>
        </w:rPr>
      </w:pPr>
    </w:p>
    <w:p w14:paraId="20B96EC9">
      <w:pPr>
        <w:pStyle w:val="9"/>
        <w:jc w:val="center"/>
        <w:rPr>
          <w:rFonts w:hint="eastAsia" w:ascii="宋体" w:hAnsi="宋体" w:eastAsia="宋体" w:cs="宋体"/>
          <w:color w:val="auto"/>
          <w:highlight w:val="none"/>
        </w:rPr>
      </w:pPr>
    </w:p>
    <w:p w14:paraId="218D9D2A">
      <w:pPr>
        <w:pStyle w:val="9"/>
        <w:jc w:val="center"/>
        <w:rPr>
          <w:rFonts w:hint="eastAsia" w:ascii="宋体" w:hAnsi="宋体" w:eastAsia="宋体" w:cs="宋体"/>
          <w:color w:val="auto"/>
          <w:highlight w:val="none"/>
        </w:rPr>
      </w:pPr>
    </w:p>
    <w:p w14:paraId="2FB8093B">
      <w:pPr>
        <w:pStyle w:val="9"/>
        <w:jc w:val="center"/>
        <w:rPr>
          <w:rFonts w:hint="eastAsia" w:ascii="宋体" w:hAnsi="宋体" w:eastAsia="宋体" w:cs="宋体"/>
          <w:color w:val="auto"/>
          <w:highlight w:val="none"/>
        </w:rPr>
      </w:pPr>
    </w:p>
    <w:p w14:paraId="79BE53C6">
      <w:pPr>
        <w:pStyle w:val="9"/>
        <w:jc w:val="center"/>
        <w:rPr>
          <w:rFonts w:hint="eastAsia" w:ascii="宋体" w:hAnsi="宋体" w:eastAsia="宋体" w:cs="宋体"/>
          <w:color w:val="auto"/>
          <w:highlight w:val="none"/>
        </w:rPr>
      </w:pPr>
    </w:p>
    <w:p w14:paraId="790BC87A">
      <w:pPr>
        <w:pStyle w:val="9"/>
        <w:jc w:val="center"/>
        <w:rPr>
          <w:rFonts w:hint="eastAsia" w:ascii="宋体" w:hAnsi="宋体" w:eastAsia="宋体" w:cs="宋体"/>
          <w:color w:val="auto"/>
          <w:highlight w:val="none"/>
        </w:rPr>
      </w:pPr>
    </w:p>
    <w:p w14:paraId="46998007">
      <w:pPr>
        <w:pStyle w:val="9"/>
        <w:jc w:val="center"/>
        <w:rPr>
          <w:rFonts w:hint="eastAsia" w:ascii="宋体" w:hAnsi="宋体" w:eastAsia="宋体" w:cs="宋体"/>
          <w:color w:val="auto"/>
          <w:highlight w:val="none"/>
        </w:rPr>
      </w:pPr>
    </w:p>
    <w:p w14:paraId="26DD476B">
      <w:pPr>
        <w:pStyle w:val="9"/>
        <w:jc w:val="center"/>
        <w:rPr>
          <w:rFonts w:hint="eastAsia" w:ascii="宋体" w:hAnsi="宋体" w:eastAsia="宋体" w:cs="宋体"/>
          <w:color w:val="auto"/>
          <w:highlight w:val="none"/>
        </w:rPr>
      </w:pPr>
    </w:p>
    <w:p w14:paraId="4124B567">
      <w:pPr>
        <w:pStyle w:val="9"/>
        <w:jc w:val="center"/>
        <w:rPr>
          <w:rFonts w:hint="eastAsia" w:ascii="宋体" w:hAnsi="宋体" w:eastAsia="宋体" w:cs="宋体"/>
          <w:color w:val="auto"/>
          <w:highlight w:val="none"/>
        </w:rPr>
      </w:pPr>
    </w:p>
    <w:p w14:paraId="4026F87B">
      <w:pPr>
        <w:pStyle w:val="9"/>
        <w:jc w:val="center"/>
        <w:rPr>
          <w:rFonts w:hint="eastAsia" w:ascii="宋体" w:hAnsi="宋体" w:eastAsia="宋体" w:cs="宋体"/>
          <w:color w:val="auto"/>
          <w:highlight w:val="none"/>
        </w:rPr>
      </w:pPr>
    </w:p>
    <w:p w14:paraId="38600E91">
      <w:pPr>
        <w:pStyle w:val="9"/>
        <w:jc w:val="center"/>
        <w:rPr>
          <w:rFonts w:hint="eastAsia" w:ascii="宋体" w:hAnsi="宋体" w:eastAsia="宋体" w:cs="宋体"/>
          <w:color w:val="auto"/>
          <w:highlight w:val="none"/>
        </w:rPr>
      </w:pPr>
    </w:p>
    <w:p w14:paraId="4DEACD0E">
      <w:pPr>
        <w:pStyle w:val="9"/>
        <w:jc w:val="center"/>
        <w:rPr>
          <w:rFonts w:hint="eastAsia" w:ascii="宋体" w:hAnsi="宋体" w:eastAsia="宋体" w:cs="宋体"/>
          <w:color w:val="auto"/>
          <w:highlight w:val="none"/>
        </w:rPr>
      </w:pPr>
    </w:p>
    <w:p w14:paraId="0E8FDE89">
      <w:pPr>
        <w:pStyle w:val="9"/>
        <w:jc w:val="center"/>
        <w:rPr>
          <w:rFonts w:hint="eastAsia" w:ascii="宋体" w:hAnsi="宋体" w:eastAsia="宋体" w:cs="宋体"/>
          <w:color w:val="auto"/>
          <w:highlight w:val="none"/>
        </w:rPr>
      </w:pPr>
    </w:p>
    <w:p w14:paraId="1B03FC3E">
      <w:pPr>
        <w:pStyle w:val="9"/>
        <w:jc w:val="center"/>
        <w:rPr>
          <w:rFonts w:hint="eastAsia" w:ascii="宋体" w:hAnsi="宋体" w:eastAsia="宋体" w:cs="宋体"/>
          <w:color w:val="auto"/>
          <w:highlight w:val="none"/>
        </w:rPr>
      </w:pPr>
    </w:p>
    <w:p w14:paraId="3DFB7052">
      <w:pPr>
        <w:pStyle w:val="9"/>
        <w:jc w:val="center"/>
        <w:rPr>
          <w:rFonts w:hint="eastAsia" w:ascii="宋体" w:hAnsi="宋体" w:eastAsia="宋体" w:cs="宋体"/>
          <w:color w:val="auto"/>
          <w:highlight w:val="none"/>
        </w:rPr>
      </w:pPr>
    </w:p>
    <w:p w14:paraId="671EBC8C">
      <w:pPr>
        <w:pStyle w:val="9"/>
        <w:rPr>
          <w:rFonts w:hint="eastAsia" w:ascii="宋体" w:hAnsi="宋体" w:eastAsia="宋体" w:cs="宋体"/>
          <w:color w:val="auto"/>
          <w:highlight w:val="none"/>
        </w:rPr>
      </w:pPr>
    </w:p>
    <w:p w14:paraId="3DDB543C">
      <w:pPr>
        <w:tabs>
          <w:tab w:val="left" w:pos="180"/>
          <w:tab w:val="left" w:pos="360"/>
          <w:tab w:val="left" w:pos="540"/>
          <w:tab w:val="left" w:pos="8280"/>
        </w:tabs>
        <w:autoSpaceDE w:val="0"/>
        <w:autoSpaceDN w:val="0"/>
        <w:adjustRightInd w:val="0"/>
        <w:spacing w:line="360" w:lineRule="auto"/>
        <w:ind w:right="23"/>
        <w:jc w:val="center"/>
        <w:outlineLvl w:val="0"/>
        <w:rPr>
          <w:rFonts w:hint="eastAsia" w:ascii="宋体" w:hAnsi="宋体" w:eastAsia="宋体" w:cs="宋体"/>
          <w:b/>
          <w:color w:val="auto"/>
          <w:kern w:val="0"/>
          <w:sz w:val="36"/>
          <w:szCs w:val="36"/>
          <w:highlight w:val="none"/>
        </w:rPr>
        <w:sectPr>
          <w:headerReference r:id="rId3" w:type="default"/>
          <w:footerReference r:id="rId4" w:type="default"/>
          <w:pgSz w:w="11906" w:h="16838"/>
          <w:pgMar w:top="1440" w:right="1440" w:bottom="1440" w:left="1803" w:header="851" w:footer="992" w:gutter="0"/>
          <w:pgNumType w:fmt="decimal"/>
          <w:cols w:space="0" w:num="1"/>
          <w:docGrid w:type="lines" w:linePitch="325" w:charSpace="0"/>
        </w:sectPr>
      </w:pPr>
    </w:p>
    <w:p w14:paraId="42766FFB">
      <w:pPr>
        <w:tabs>
          <w:tab w:val="left" w:pos="180"/>
          <w:tab w:val="left" w:pos="360"/>
          <w:tab w:val="left" w:pos="540"/>
          <w:tab w:val="left" w:pos="8280"/>
        </w:tabs>
        <w:autoSpaceDE w:val="0"/>
        <w:autoSpaceDN w:val="0"/>
        <w:adjustRightInd w:val="0"/>
        <w:spacing w:line="360" w:lineRule="auto"/>
        <w:ind w:right="23"/>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第一章 公开</w:t>
      </w:r>
      <w:r>
        <w:rPr>
          <w:rFonts w:hint="eastAsia" w:ascii="宋体" w:hAnsi="宋体" w:eastAsia="宋体" w:cs="宋体"/>
          <w:b/>
          <w:color w:val="auto"/>
          <w:sz w:val="36"/>
          <w:szCs w:val="36"/>
          <w:highlight w:val="none"/>
        </w:rPr>
        <w:t>招标采购公告</w:t>
      </w:r>
    </w:p>
    <w:p w14:paraId="5F6A5F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根据《中华人民共和国政府采购法》、《中华人民共和国政府采购法实施条例》和财政部令第87号《政府采购货物和服务招标投标管理办法》等有关规定, 受</w:t>
      </w:r>
      <w:r>
        <w:rPr>
          <w:rFonts w:hint="eastAsia" w:ascii="宋体" w:hAnsi="宋体" w:eastAsia="宋体" w:cs="宋体"/>
          <w:b/>
          <w:bCs/>
          <w:color w:val="auto"/>
          <w:szCs w:val="21"/>
          <w:highlight w:val="none"/>
          <w:lang w:eastAsia="zh-CN"/>
        </w:rPr>
        <w:t>台州市路桥区农业农村和水利局</w:t>
      </w:r>
      <w:r>
        <w:rPr>
          <w:rFonts w:hint="eastAsia" w:ascii="宋体" w:hAnsi="宋体" w:eastAsia="宋体" w:cs="宋体"/>
          <w:color w:val="auto"/>
          <w:szCs w:val="21"/>
          <w:highlight w:val="none"/>
        </w:rPr>
        <w:t>委托，现就其</w:t>
      </w:r>
      <w:r>
        <w:rPr>
          <w:rFonts w:hint="eastAsia" w:ascii="宋体" w:hAnsi="宋体" w:eastAsia="宋体" w:cs="宋体"/>
          <w:b/>
          <w:bCs/>
          <w:color w:val="auto"/>
          <w:szCs w:val="21"/>
          <w:highlight w:val="none"/>
          <w:lang w:eastAsia="zh-CN"/>
        </w:rPr>
        <w:t>路桥区2025-2027年粮油种植面积核查服务项目</w:t>
      </w:r>
      <w:r>
        <w:rPr>
          <w:rFonts w:hint="eastAsia" w:ascii="宋体" w:hAnsi="宋体" w:eastAsia="宋体" w:cs="宋体"/>
          <w:color w:val="auto"/>
          <w:szCs w:val="21"/>
          <w:highlight w:val="none"/>
        </w:rPr>
        <w:t>进行公开招标采购，欢迎合格供应商前来投标。</w:t>
      </w:r>
    </w:p>
    <w:p w14:paraId="562AB5D7">
      <w:p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一、项目编号：</w:t>
      </w:r>
      <w:r>
        <w:rPr>
          <w:rFonts w:hint="eastAsia" w:ascii="宋体" w:hAnsi="宋体" w:eastAsia="宋体" w:cs="宋体"/>
          <w:b/>
          <w:bCs/>
          <w:color w:val="auto"/>
          <w:szCs w:val="21"/>
          <w:highlight w:val="none"/>
          <w:lang w:eastAsia="zh-CN"/>
        </w:rPr>
        <w:t>tzya2025-lq01</w:t>
      </w:r>
    </w:p>
    <w:p w14:paraId="22A75B65">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二、招标项目概况：</w:t>
      </w:r>
    </w:p>
    <w:tbl>
      <w:tblPr>
        <w:tblStyle w:val="24"/>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30"/>
        <w:gridCol w:w="1290"/>
        <w:gridCol w:w="680"/>
        <w:gridCol w:w="694"/>
        <w:gridCol w:w="1717"/>
        <w:gridCol w:w="2396"/>
      </w:tblGrid>
      <w:tr w14:paraId="357E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25" w:type="dxa"/>
            <w:vAlign w:val="center"/>
          </w:tcPr>
          <w:p w14:paraId="0E0748D5">
            <w:pPr>
              <w:tabs>
                <w:tab w:val="left" w:pos="8280"/>
              </w:tabs>
              <w:autoSpaceDE w:val="0"/>
              <w:autoSpaceDN w:val="0"/>
              <w:adjustRightInd w:val="0"/>
              <w:ind w:right="25"/>
              <w:jc w:val="center"/>
              <w:rPr>
                <w:rFonts w:hint="eastAsia" w:ascii="宋体" w:hAnsi="宋体" w:eastAsia="宋体" w:cs="宋体"/>
                <w:b/>
                <w:color w:val="auto"/>
                <w:szCs w:val="21"/>
                <w:highlight w:val="none"/>
              </w:rPr>
            </w:pPr>
            <w:bookmarkStart w:id="0" w:name="EBc3c9f0bc06b6413d849824fe98ba274c"/>
            <w:r>
              <w:rPr>
                <w:rFonts w:hint="eastAsia" w:ascii="宋体" w:hAnsi="宋体" w:eastAsia="宋体" w:cs="宋体"/>
                <w:b/>
                <w:color w:val="auto"/>
                <w:szCs w:val="21"/>
                <w:highlight w:val="none"/>
              </w:rPr>
              <w:t>序号</w:t>
            </w:r>
          </w:p>
        </w:tc>
        <w:tc>
          <w:tcPr>
            <w:tcW w:w="2030" w:type="dxa"/>
            <w:vAlign w:val="center"/>
          </w:tcPr>
          <w:p w14:paraId="28397FCC">
            <w:pPr>
              <w:tabs>
                <w:tab w:val="left" w:pos="8280"/>
              </w:tabs>
              <w:autoSpaceDE w:val="0"/>
              <w:autoSpaceDN w:val="0"/>
              <w:adjustRightInd w:val="0"/>
              <w:ind w:right="25"/>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项目名称</w:t>
            </w:r>
          </w:p>
        </w:tc>
        <w:tc>
          <w:tcPr>
            <w:tcW w:w="1290" w:type="dxa"/>
            <w:vAlign w:val="center"/>
          </w:tcPr>
          <w:p w14:paraId="5ADB2BA3">
            <w:pPr>
              <w:tabs>
                <w:tab w:val="left" w:pos="8280"/>
              </w:tabs>
              <w:autoSpaceDE w:val="0"/>
              <w:autoSpaceDN w:val="0"/>
              <w:adjustRightInd w:val="0"/>
              <w:ind w:right="25"/>
              <w:jc w:val="center"/>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简要技术要求</w:t>
            </w:r>
          </w:p>
        </w:tc>
        <w:tc>
          <w:tcPr>
            <w:tcW w:w="680" w:type="dxa"/>
            <w:vAlign w:val="center"/>
          </w:tcPr>
          <w:p w14:paraId="36E23F6D">
            <w:pPr>
              <w:tabs>
                <w:tab w:val="left" w:pos="8280"/>
              </w:tabs>
              <w:autoSpaceDE w:val="0"/>
              <w:autoSpaceDN w:val="0"/>
              <w:adjustRightInd w:val="0"/>
              <w:ind w:right="25"/>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数量</w:t>
            </w:r>
          </w:p>
        </w:tc>
        <w:tc>
          <w:tcPr>
            <w:tcW w:w="694" w:type="dxa"/>
            <w:vAlign w:val="center"/>
          </w:tcPr>
          <w:p w14:paraId="12A16A5C">
            <w:pPr>
              <w:tabs>
                <w:tab w:val="left" w:pos="8280"/>
              </w:tabs>
              <w:autoSpaceDE w:val="0"/>
              <w:autoSpaceDN w:val="0"/>
              <w:adjustRightInd w:val="0"/>
              <w:ind w:right="25"/>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单位</w:t>
            </w:r>
          </w:p>
        </w:tc>
        <w:tc>
          <w:tcPr>
            <w:tcW w:w="1717" w:type="dxa"/>
            <w:vAlign w:val="center"/>
          </w:tcPr>
          <w:p w14:paraId="01D220F1">
            <w:pPr>
              <w:tabs>
                <w:tab w:val="left" w:pos="8280"/>
              </w:tabs>
              <w:autoSpaceDE w:val="0"/>
              <w:autoSpaceDN w:val="0"/>
              <w:adjustRightInd w:val="0"/>
              <w:ind w:right="25"/>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预算</w:t>
            </w:r>
            <w:r>
              <w:rPr>
                <w:rFonts w:hint="eastAsia" w:ascii="宋体" w:hAnsi="宋体" w:eastAsia="宋体" w:cs="宋体"/>
                <w:b/>
                <w:color w:val="auto"/>
                <w:szCs w:val="21"/>
                <w:highlight w:val="none"/>
                <w:lang w:val="en-US" w:eastAsia="zh-CN"/>
              </w:rPr>
              <w:t>/最高限价</w:t>
            </w:r>
          </w:p>
          <w:p w14:paraId="1D032321">
            <w:pPr>
              <w:tabs>
                <w:tab w:val="left" w:pos="8280"/>
              </w:tabs>
              <w:autoSpaceDE w:val="0"/>
              <w:autoSpaceDN w:val="0"/>
              <w:adjustRightInd w:val="0"/>
              <w:ind w:right="25" w:rightChars="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（万元）</w:t>
            </w:r>
          </w:p>
        </w:tc>
        <w:tc>
          <w:tcPr>
            <w:tcW w:w="2396" w:type="dxa"/>
            <w:vAlign w:val="center"/>
          </w:tcPr>
          <w:p w14:paraId="7FB428ED">
            <w:pPr>
              <w:tabs>
                <w:tab w:val="left" w:pos="8280"/>
              </w:tabs>
              <w:autoSpaceDE w:val="0"/>
              <w:autoSpaceDN w:val="0"/>
              <w:adjustRightInd w:val="0"/>
              <w:ind w:right="25"/>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14:paraId="6E59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25" w:type="dxa"/>
            <w:vAlign w:val="center"/>
          </w:tcPr>
          <w:p w14:paraId="7A6976B7">
            <w:pPr>
              <w:tabs>
                <w:tab w:val="left" w:pos="8280"/>
              </w:tabs>
              <w:autoSpaceDE w:val="0"/>
              <w:autoSpaceDN w:val="0"/>
              <w:adjustRightInd w:val="0"/>
              <w:ind w:right="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030" w:type="dxa"/>
            <w:vAlign w:val="center"/>
          </w:tcPr>
          <w:p w14:paraId="128A7FE6">
            <w:pPr>
              <w:tabs>
                <w:tab w:val="left" w:pos="8280"/>
              </w:tabs>
              <w:autoSpaceDE w:val="0"/>
              <w:autoSpaceDN w:val="0"/>
              <w:adjustRightInd w:val="0"/>
              <w:ind w:right="25"/>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路桥区2025-2027年粮油种植面积核查服务项目</w:t>
            </w:r>
          </w:p>
        </w:tc>
        <w:tc>
          <w:tcPr>
            <w:tcW w:w="1290" w:type="dxa"/>
            <w:vAlign w:val="center"/>
          </w:tcPr>
          <w:p w14:paraId="5BC4D5BD">
            <w:pPr>
              <w:tabs>
                <w:tab w:val="left" w:pos="8280"/>
              </w:tabs>
              <w:autoSpaceDE w:val="0"/>
              <w:autoSpaceDN w:val="0"/>
              <w:adjustRightInd w:val="0"/>
              <w:ind w:right="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详见项目需求</w:t>
            </w:r>
          </w:p>
        </w:tc>
        <w:tc>
          <w:tcPr>
            <w:tcW w:w="680" w:type="dxa"/>
            <w:vAlign w:val="center"/>
          </w:tcPr>
          <w:p w14:paraId="057D0BD6">
            <w:pPr>
              <w:tabs>
                <w:tab w:val="left" w:pos="8280"/>
              </w:tabs>
              <w:autoSpaceDE w:val="0"/>
              <w:autoSpaceDN w:val="0"/>
              <w:adjustRightInd w:val="0"/>
              <w:ind w:right="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694" w:type="dxa"/>
            <w:vAlign w:val="center"/>
          </w:tcPr>
          <w:p w14:paraId="7BED7A39">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w:t>
            </w:r>
          </w:p>
        </w:tc>
        <w:tc>
          <w:tcPr>
            <w:tcW w:w="1717" w:type="dxa"/>
            <w:vAlign w:val="center"/>
          </w:tcPr>
          <w:p w14:paraId="5EEE2641">
            <w:pPr>
              <w:tabs>
                <w:tab w:val="left" w:pos="8280"/>
              </w:tabs>
              <w:autoSpaceDE w:val="0"/>
              <w:autoSpaceDN w:val="0"/>
              <w:adjustRightInd w:val="0"/>
              <w:ind w:right="25"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150（三年）</w:t>
            </w:r>
          </w:p>
        </w:tc>
        <w:tc>
          <w:tcPr>
            <w:tcW w:w="2396" w:type="dxa"/>
            <w:vAlign w:val="center"/>
          </w:tcPr>
          <w:p w14:paraId="56E62261">
            <w:pPr>
              <w:tabs>
                <w:tab w:val="left" w:pos="8280"/>
              </w:tabs>
              <w:autoSpaceDE w:val="0"/>
              <w:autoSpaceDN w:val="0"/>
              <w:adjustRightInd w:val="0"/>
              <w:ind w:right="25"/>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三年，第二年或第三年财政预算金额未达到原合同金额或者第二年或第三年财政预算未通过的，第二年或第三年合同的约定自动失效。</w:t>
            </w:r>
          </w:p>
        </w:tc>
      </w:tr>
      <w:bookmarkEnd w:id="0"/>
    </w:tbl>
    <w:p w14:paraId="739880B7">
      <w:pPr>
        <w:widowControl/>
        <w:tabs>
          <w:tab w:val="left" w:pos="0"/>
        </w:tabs>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u w:val="single"/>
        </w:rPr>
        <w:t>本项目采用“电子交易”的方式提交投标文件（</w:t>
      </w:r>
      <w:r>
        <w:rPr>
          <w:rFonts w:hint="eastAsia" w:ascii="宋体" w:hAnsi="宋体" w:eastAsia="宋体" w:cs="宋体"/>
          <w:b/>
          <w:color w:val="auto"/>
          <w:sz w:val="21"/>
          <w:szCs w:val="21"/>
          <w:highlight w:val="none"/>
          <w:u w:val="single"/>
          <w:lang w:val="en-US" w:eastAsia="zh-CN"/>
        </w:rPr>
        <w:t>还可以</w:t>
      </w:r>
      <w:r>
        <w:rPr>
          <w:rFonts w:hint="eastAsia" w:ascii="宋体" w:hAnsi="宋体" w:eastAsia="宋体" w:cs="宋体"/>
          <w:b/>
          <w:color w:val="auto"/>
          <w:szCs w:val="21"/>
          <w:highlight w:val="none"/>
          <w:u w:val="single"/>
        </w:rPr>
        <w:t>提供备份投标文件），请各投标人按照要求进行。</w:t>
      </w:r>
    </w:p>
    <w:p w14:paraId="748E7792">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三、合格投标人的资格条件：</w:t>
      </w:r>
    </w:p>
    <w:p w14:paraId="3A3DC06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（一）符合《中华人民共和国政府采购法》第二十二条及其他法律、行政法规规定的对投标主体的要求。未被“信用中国”（www.creditchina.gov.cn）、中国政府采购网（www.ccgp.gov.cn）列入失信被执行人、</w:t>
      </w:r>
      <w:r>
        <w:rPr>
          <w:rFonts w:hint="eastAsia" w:ascii="宋体" w:hAnsi="宋体" w:eastAsia="宋体" w:cs="宋体"/>
          <w:b/>
          <w:color w:val="auto"/>
          <w:szCs w:val="21"/>
          <w:highlight w:val="none"/>
          <w:lang w:eastAsia="zh-CN"/>
        </w:rPr>
        <w:t>重大税收违法失信主体</w:t>
      </w:r>
      <w:r>
        <w:rPr>
          <w:rFonts w:hint="eastAsia" w:ascii="宋体" w:hAnsi="宋体" w:eastAsia="宋体" w:cs="宋体"/>
          <w:b/>
          <w:color w:val="auto"/>
          <w:szCs w:val="21"/>
          <w:highlight w:val="none"/>
        </w:rPr>
        <w:t>、政府采购严重违法失信行为记录名单。</w:t>
      </w:r>
    </w:p>
    <w:p w14:paraId="64E33C5E">
      <w:pPr>
        <w:spacing w:line="360" w:lineRule="auto"/>
        <w:ind w:firstLine="422" w:firstLineChars="200"/>
        <w:rPr>
          <w:rFonts w:hint="eastAsia" w:ascii="宋体" w:hAnsi="宋体" w:eastAsia="宋体" w:cs="宋体"/>
          <w:b/>
          <w:bCs w:val="0"/>
          <w:color w:val="auto"/>
          <w:sz w:val="21"/>
          <w:szCs w:val="21"/>
          <w:highlight w:val="none"/>
          <w:shd w:val="clear" w:color="auto" w:fill="auto"/>
          <w:lang w:val="en-US" w:eastAsia="zh-CN"/>
        </w:rPr>
      </w:pPr>
      <w:r>
        <w:rPr>
          <w:rFonts w:hint="eastAsia" w:ascii="宋体" w:hAnsi="宋体" w:eastAsia="宋体" w:cs="宋体"/>
          <w:b/>
          <w:bCs w:val="0"/>
          <w:color w:val="auto"/>
          <w:sz w:val="21"/>
          <w:szCs w:val="21"/>
          <w:highlight w:val="none"/>
          <w:shd w:val="clear" w:color="auto" w:fill="auto"/>
        </w:rPr>
        <w:t>（二）</w:t>
      </w:r>
      <w:r>
        <w:rPr>
          <w:rFonts w:hint="eastAsia" w:ascii="宋体" w:hAnsi="宋体" w:eastAsia="宋体" w:cs="宋体"/>
          <w:b/>
          <w:bCs w:val="0"/>
          <w:color w:val="auto"/>
          <w:sz w:val="21"/>
          <w:szCs w:val="21"/>
          <w:highlight w:val="none"/>
          <w:shd w:val="clear" w:color="auto" w:fill="auto"/>
          <w:lang w:val="en-US" w:eastAsia="zh-CN"/>
        </w:rPr>
        <w:t>本项目供应商特定资格要求</w:t>
      </w:r>
    </w:p>
    <w:p w14:paraId="1CA674A9">
      <w:pPr>
        <w:spacing w:line="360" w:lineRule="auto"/>
        <w:ind w:firstLine="632" w:firstLineChars="300"/>
        <w:rPr>
          <w:rFonts w:hint="eastAsia" w:ascii="宋体" w:hAnsi="宋体" w:eastAsia="宋体" w:cs="宋体"/>
          <w:b/>
          <w:bCs w:val="0"/>
          <w:color w:val="auto"/>
          <w:sz w:val="21"/>
          <w:szCs w:val="21"/>
          <w:highlight w:val="none"/>
          <w:shd w:val="clear" w:color="auto" w:fill="auto"/>
        </w:rPr>
      </w:pPr>
      <w:r>
        <w:rPr>
          <w:rFonts w:hint="eastAsia" w:ascii="宋体" w:hAnsi="宋体" w:eastAsia="宋体" w:cs="宋体"/>
          <w:b/>
          <w:bCs w:val="0"/>
          <w:color w:val="auto"/>
          <w:sz w:val="21"/>
          <w:szCs w:val="21"/>
          <w:highlight w:val="none"/>
          <w:shd w:val="clear" w:color="auto" w:fill="auto"/>
          <w:lang w:eastAsia="zh-CN"/>
        </w:rPr>
        <w:t>（</w:t>
      </w:r>
      <w:r>
        <w:rPr>
          <w:rFonts w:hint="eastAsia" w:ascii="宋体" w:hAnsi="宋体" w:eastAsia="宋体" w:cs="宋体"/>
          <w:b/>
          <w:bCs w:val="0"/>
          <w:color w:val="auto"/>
          <w:sz w:val="21"/>
          <w:szCs w:val="21"/>
          <w:highlight w:val="none"/>
          <w:shd w:val="clear" w:color="auto" w:fill="auto"/>
          <w:lang w:val="en-US" w:eastAsia="zh-CN"/>
        </w:rPr>
        <w:t>1</w:t>
      </w:r>
      <w:r>
        <w:rPr>
          <w:rFonts w:hint="eastAsia" w:ascii="宋体" w:hAnsi="宋体" w:eastAsia="宋体" w:cs="宋体"/>
          <w:b/>
          <w:bCs w:val="0"/>
          <w:color w:val="auto"/>
          <w:sz w:val="21"/>
          <w:szCs w:val="21"/>
          <w:highlight w:val="none"/>
          <w:shd w:val="clear" w:color="auto" w:fill="auto"/>
          <w:lang w:eastAsia="zh-CN"/>
        </w:rPr>
        <w:t>）</w:t>
      </w:r>
      <w:r>
        <w:rPr>
          <w:rFonts w:hint="eastAsia" w:ascii="宋体" w:hAnsi="宋体" w:eastAsia="宋体" w:cs="宋体"/>
          <w:b/>
          <w:bCs w:val="0"/>
          <w:color w:val="auto"/>
          <w:sz w:val="21"/>
          <w:szCs w:val="21"/>
          <w:highlight w:val="none"/>
          <w:shd w:val="clear" w:color="auto" w:fill="auto"/>
        </w:rPr>
        <w:t>本项目不接受联合体投标。</w:t>
      </w:r>
    </w:p>
    <w:p w14:paraId="30CB3B2E">
      <w:pPr>
        <w:spacing w:line="360" w:lineRule="auto"/>
        <w:ind w:firstLine="422" w:firstLineChars="200"/>
        <w:rPr>
          <w:rFonts w:hint="eastAsia" w:ascii="宋体" w:hAnsi="宋体" w:eastAsia="宋体" w:cs="宋体"/>
          <w:b/>
          <w:bCs w:val="0"/>
          <w:color w:val="auto"/>
          <w:sz w:val="21"/>
          <w:szCs w:val="21"/>
          <w:highlight w:val="none"/>
          <w:shd w:val="clear" w:color="auto" w:fill="auto"/>
        </w:rPr>
      </w:pPr>
      <w:r>
        <w:rPr>
          <w:rFonts w:hint="eastAsia" w:ascii="宋体" w:hAnsi="宋体" w:eastAsia="宋体" w:cs="宋体"/>
          <w:b/>
          <w:bCs w:val="0"/>
          <w:color w:val="auto"/>
          <w:sz w:val="21"/>
          <w:szCs w:val="21"/>
          <w:highlight w:val="none"/>
          <w:lang w:val="en-US" w:eastAsia="zh-CN"/>
        </w:rPr>
        <w:t>（三）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参与投标的，联合体各方均须满足该条款。）电子交易平台运营机构，以及与该机构有直接控股或者管理关系可能影响采购公正性的任何单位和个人，不得在该平台进行的政府采购项目电子交易中投标、响应和代理政府采购项目。</w:t>
      </w:r>
    </w:p>
    <w:p w14:paraId="4E2242B9">
      <w:pPr>
        <w:snapToGrid w:val="0"/>
        <w:spacing w:line="360" w:lineRule="auto"/>
        <w:ind w:firstLine="498" w:firstLineChars="236"/>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四、招标文件获取的方式、时间:</w:t>
      </w:r>
    </w:p>
    <w:p w14:paraId="1170E0D5">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w:t>
      </w:r>
      <w:r>
        <w:rPr>
          <w:rFonts w:hint="eastAsia" w:ascii="宋体" w:hAnsi="宋体" w:eastAsia="宋体" w:cs="宋体"/>
          <w:b/>
          <w:color w:val="auto"/>
          <w:szCs w:val="21"/>
          <w:highlight w:val="none"/>
        </w:rPr>
        <w:t>本项目招标文件实行“浙江政府采购网”</w:t>
      </w:r>
      <w:r>
        <w:rPr>
          <w:rStyle w:val="27"/>
          <w:rFonts w:hint="eastAsia" w:ascii="宋体" w:hAnsi="宋体" w:eastAsia="宋体" w:cs="宋体"/>
          <w:color w:val="auto"/>
          <w:sz w:val="21"/>
          <w:szCs w:val="21"/>
          <w:highlight w:val="none"/>
        </w:rPr>
        <w:t>（http://zfcg.czt.zj.gov.cn）</w:t>
      </w:r>
      <w:r>
        <w:rPr>
          <w:rFonts w:hint="eastAsia" w:ascii="宋体" w:hAnsi="宋体" w:eastAsia="宋体" w:cs="宋体"/>
          <w:b/>
          <w:color w:val="auto"/>
          <w:szCs w:val="21"/>
          <w:highlight w:val="none"/>
        </w:rPr>
        <w:t>在线获取，不提供招标文件纸质版。供应商获取招标文件前应先完成“浙江政府采购网”的账号注册。</w:t>
      </w:r>
    </w:p>
    <w:p w14:paraId="7A098211">
      <w:pPr>
        <w:spacing w:line="360" w:lineRule="auto"/>
        <w:ind w:firstLine="422" w:firstLineChars="200"/>
        <w:rPr>
          <w:rStyle w:val="27"/>
          <w:rFonts w:hint="eastAsia" w:ascii="宋体" w:hAnsi="宋体" w:eastAsia="宋体" w:cs="宋体"/>
          <w:color w:val="auto"/>
          <w:sz w:val="21"/>
          <w:szCs w:val="21"/>
          <w:highlight w:val="none"/>
        </w:rPr>
      </w:pPr>
      <w:r>
        <w:rPr>
          <w:rFonts w:hint="eastAsia" w:ascii="宋体" w:hAnsi="宋体" w:eastAsia="宋体" w:cs="宋体"/>
          <w:b/>
          <w:bCs/>
          <w:color w:val="auto"/>
          <w:szCs w:val="21"/>
          <w:highlight w:val="none"/>
        </w:rPr>
        <w:t>2、获取</w:t>
      </w:r>
      <w:r>
        <w:rPr>
          <w:rStyle w:val="27"/>
          <w:rFonts w:hint="eastAsia" w:ascii="宋体" w:hAnsi="宋体" w:eastAsia="宋体" w:cs="宋体"/>
          <w:color w:val="auto"/>
          <w:sz w:val="21"/>
          <w:szCs w:val="21"/>
          <w:highlight w:val="none"/>
        </w:rPr>
        <w:t>方式：潜在供应商登陆政府采购云平台，在线申请获取招标文件</w:t>
      </w:r>
      <w:r>
        <w:rPr>
          <w:rStyle w:val="27"/>
          <w:rFonts w:hint="eastAsia" w:ascii="宋体" w:hAnsi="宋体" w:eastAsia="宋体" w:cs="宋体"/>
          <w:b w:val="0"/>
          <w:bCs/>
          <w:color w:val="auto"/>
          <w:sz w:val="21"/>
          <w:szCs w:val="21"/>
          <w:highlight w:val="none"/>
        </w:rPr>
        <w:t>（进入“项目采购”应用，在获取招标文件菜单中选择项目，申请获取招标文件，本项目招标文件不收取工本费；</w:t>
      </w:r>
      <w:r>
        <w:rPr>
          <w:rStyle w:val="27"/>
          <w:rFonts w:hint="eastAsia" w:ascii="宋体" w:hAnsi="宋体" w:eastAsia="宋体" w:cs="宋体"/>
          <w:b w:val="0"/>
          <w:bCs/>
          <w:color w:val="auto"/>
          <w:sz w:val="21"/>
          <w:szCs w:val="21"/>
          <w:highlight w:val="none"/>
          <w:u w:val="single"/>
        </w:rPr>
        <w:t>仅需浏览招标文件的供应商可点击“游客，浏览招标文件”直接下载招标文件浏览</w:t>
      </w:r>
      <w:r>
        <w:rPr>
          <w:rStyle w:val="27"/>
          <w:rFonts w:hint="eastAsia" w:ascii="宋体" w:hAnsi="宋体" w:eastAsia="宋体" w:cs="宋体"/>
          <w:b w:val="0"/>
          <w:bCs/>
          <w:color w:val="auto"/>
          <w:sz w:val="21"/>
          <w:szCs w:val="21"/>
          <w:highlight w:val="none"/>
        </w:rPr>
        <w:t>）；</w:t>
      </w:r>
    </w:p>
    <w:p w14:paraId="4D944E73">
      <w:pPr>
        <w:spacing w:line="360" w:lineRule="auto"/>
        <w:ind w:firstLine="422" w:firstLineChars="200"/>
        <w:rPr>
          <w:rFonts w:hint="eastAsia" w:ascii="宋体" w:hAnsi="宋体" w:eastAsia="宋体" w:cs="宋体"/>
          <w:color w:val="auto"/>
          <w:szCs w:val="21"/>
          <w:highlight w:val="none"/>
        </w:rPr>
      </w:pPr>
      <w:r>
        <w:rPr>
          <w:rStyle w:val="27"/>
          <w:rFonts w:hint="eastAsia" w:ascii="宋体" w:hAnsi="宋体" w:eastAsia="宋体" w:cs="宋体"/>
          <w:color w:val="auto"/>
          <w:sz w:val="21"/>
          <w:szCs w:val="21"/>
          <w:highlight w:val="none"/>
        </w:rPr>
        <w:t>3、</w:t>
      </w:r>
      <w:r>
        <w:rPr>
          <w:rFonts w:hint="eastAsia" w:ascii="宋体" w:hAnsi="宋体" w:eastAsia="宋体" w:cs="宋体"/>
          <w:b/>
          <w:bCs/>
          <w:color w:val="auto"/>
          <w:szCs w:val="21"/>
          <w:highlight w:val="none"/>
        </w:rPr>
        <w:t>获取（公告）时间</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lang w:eastAsia="zh-CN"/>
        </w:rPr>
        <w:t>自本公告发布之日起至投标文件递交截止时间止；</w:t>
      </w:r>
    </w:p>
    <w:p w14:paraId="76E3D8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Style w:val="27"/>
          <w:rFonts w:hint="eastAsia" w:ascii="宋体" w:hAnsi="宋体" w:eastAsia="宋体" w:cs="宋体"/>
          <w:b w:val="0"/>
          <w:color w:val="auto"/>
          <w:sz w:val="21"/>
          <w:szCs w:val="21"/>
          <w:highlight w:val="none"/>
        </w:rPr>
        <w:t>供应商网上报名操作指南：“浙江政府采购网-办事指南-省采中心-网上报名”（http://zfcg.czt.zj.gov.cn/bs_other/2018-03-30/12002.html）。</w:t>
      </w:r>
    </w:p>
    <w:p w14:paraId="6E947B2A">
      <w:pPr>
        <w:pStyle w:val="20"/>
        <w:spacing w:before="0" w:beforeAutospacing="0" w:after="0" w:afterAutospacing="0" w:line="360" w:lineRule="auto"/>
        <w:ind w:firstLine="480"/>
        <w:rPr>
          <w:rFonts w:hint="eastAsia" w:ascii="宋体" w:hAnsi="宋体" w:eastAsia="宋体" w:cs="宋体"/>
          <w:color w:val="auto"/>
          <w:sz w:val="21"/>
          <w:szCs w:val="21"/>
          <w:highlight w:val="none"/>
        </w:rPr>
      </w:pPr>
      <w:r>
        <w:rPr>
          <w:rStyle w:val="27"/>
          <w:rFonts w:hint="eastAsia" w:ascii="宋体" w:hAnsi="宋体" w:eastAsia="宋体" w:cs="宋体"/>
          <w:b w:val="0"/>
          <w:color w:val="auto"/>
          <w:sz w:val="21"/>
          <w:szCs w:val="21"/>
          <w:highlight w:val="none"/>
        </w:rPr>
        <w:t>5、供应商获取招标文件时须提交的文件资料：无；</w:t>
      </w:r>
    </w:p>
    <w:p w14:paraId="5E2A3CBE">
      <w:pPr>
        <w:pStyle w:val="20"/>
        <w:spacing w:before="0" w:beforeAutospacing="0" w:after="0" w:afterAutospacing="0" w:line="360" w:lineRule="auto"/>
        <w:ind w:firstLine="480"/>
        <w:rPr>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6、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798ED19A">
      <w:pPr>
        <w:pStyle w:val="20"/>
        <w:spacing w:before="0" w:beforeAutospacing="0" w:after="0" w:afterAutospacing="0" w:line="360" w:lineRule="auto"/>
        <w:ind w:firstLine="480"/>
        <w:rPr>
          <w:rStyle w:val="27"/>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注：请供应商按上述要求获取招标文件，如未在“政府采购云平台”系统内完成相关流程，引起的投标无效责任自</w:t>
      </w:r>
      <w:bookmarkStart w:id="2" w:name="_GoBack"/>
      <w:bookmarkEnd w:id="2"/>
      <w:r>
        <w:rPr>
          <w:rStyle w:val="27"/>
          <w:rFonts w:hint="eastAsia" w:ascii="宋体" w:hAnsi="宋体" w:eastAsia="宋体" w:cs="宋体"/>
          <w:color w:val="auto"/>
          <w:sz w:val="21"/>
          <w:szCs w:val="21"/>
          <w:highlight w:val="none"/>
        </w:rPr>
        <w:t>负。</w:t>
      </w:r>
    </w:p>
    <w:p w14:paraId="7117E30C">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五、招标答疑会</w:t>
      </w:r>
    </w:p>
    <w:p w14:paraId="4A05C69F">
      <w:pPr>
        <w:spacing w:line="360" w:lineRule="auto"/>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p w14:paraId="378EF9B0">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六、投标须知：</w:t>
      </w:r>
    </w:p>
    <w:p w14:paraId="6D23C704">
      <w:pPr>
        <w:pStyle w:val="54"/>
        <w:snapToGrid w:val="0"/>
        <w:spacing w:line="360" w:lineRule="auto"/>
        <w:ind w:firstLine="373" w:firstLineChars="177"/>
        <w:rPr>
          <w:rFonts w:hint="eastAsia" w:ascii="宋体" w:hAnsi="宋体" w:eastAsia="宋体" w:cs="宋体"/>
          <w:color w:val="auto"/>
          <w:highlight w:val="none"/>
        </w:rPr>
      </w:pPr>
      <w:r>
        <w:rPr>
          <w:rFonts w:hint="eastAsia" w:ascii="宋体" w:hAnsi="宋体" w:eastAsia="宋体" w:cs="宋体"/>
          <w:b/>
          <w:bCs/>
          <w:color w:val="auto"/>
          <w:highlight w:val="none"/>
        </w:rPr>
        <w:t>1、投标截止时间与地点</w:t>
      </w:r>
      <w:r>
        <w:rPr>
          <w:rFonts w:hint="eastAsia" w:ascii="宋体" w:hAnsi="宋体" w:eastAsia="宋体" w:cs="宋体"/>
          <w:color w:val="auto"/>
          <w:highlight w:val="none"/>
        </w:rPr>
        <w:t>：</w:t>
      </w:r>
      <w:r>
        <w:rPr>
          <w:rFonts w:hint="eastAsia" w:ascii="宋体" w:hAnsi="宋体" w:cs="宋体"/>
          <w:color w:val="auto"/>
          <w:highlight w:val="none"/>
          <w:lang w:eastAsia="zh-CN"/>
        </w:rPr>
        <w:t>2025年2月12日14:00</w:t>
      </w:r>
      <w:r>
        <w:rPr>
          <w:rFonts w:hint="eastAsia" w:ascii="宋体" w:hAnsi="宋体" w:eastAsia="宋体" w:cs="宋体"/>
          <w:color w:val="auto"/>
          <w:highlight w:val="none"/>
          <w:lang w:eastAsia="zh-CN"/>
        </w:rPr>
        <w:t>整</w:t>
      </w:r>
      <w:r>
        <w:rPr>
          <w:rFonts w:hint="eastAsia" w:ascii="宋体" w:hAnsi="宋体" w:eastAsia="宋体" w:cs="宋体"/>
          <w:color w:val="auto"/>
          <w:highlight w:val="none"/>
        </w:rPr>
        <w:t xml:space="preserve">，地点：通过“政府采购云平台（www.zcygov.cn）”实行在线投标响应   </w:t>
      </w:r>
    </w:p>
    <w:p w14:paraId="2AD86E90">
      <w:pPr>
        <w:pStyle w:val="54"/>
        <w:snapToGrid w:val="0"/>
        <w:spacing w:line="360" w:lineRule="auto"/>
        <w:ind w:firstLine="373" w:firstLineChars="177"/>
        <w:rPr>
          <w:rFonts w:hint="eastAsia" w:ascii="宋体" w:hAnsi="宋体" w:eastAsia="宋体" w:cs="宋体"/>
          <w:color w:val="auto"/>
          <w:highlight w:val="none"/>
        </w:rPr>
      </w:pPr>
      <w:r>
        <w:rPr>
          <w:rFonts w:hint="eastAsia" w:ascii="宋体" w:hAnsi="宋体" w:eastAsia="宋体" w:cs="宋体"/>
          <w:b/>
          <w:bCs/>
          <w:color w:val="auto"/>
          <w:highlight w:val="none"/>
        </w:rPr>
        <w:t>2、开标时间及地点</w:t>
      </w:r>
      <w:r>
        <w:rPr>
          <w:rFonts w:hint="eastAsia" w:ascii="宋体" w:hAnsi="宋体" w:eastAsia="宋体" w:cs="宋体"/>
          <w:color w:val="auto"/>
          <w:highlight w:val="none"/>
        </w:rPr>
        <w:t>：</w:t>
      </w:r>
      <w:r>
        <w:rPr>
          <w:rFonts w:hint="eastAsia" w:ascii="宋体" w:hAnsi="宋体" w:cs="宋体"/>
          <w:color w:val="auto"/>
          <w:highlight w:val="none"/>
          <w:lang w:eastAsia="zh-CN"/>
        </w:rPr>
        <w:t>2025年2月12日14:00</w:t>
      </w:r>
      <w:r>
        <w:rPr>
          <w:rFonts w:hint="eastAsia" w:ascii="宋体" w:hAnsi="宋体" w:eastAsia="宋体" w:cs="宋体"/>
          <w:color w:val="auto"/>
          <w:highlight w:val="none"/>
          <w:lang w:eastAsia="zh-CN"/>
        </w:rPr>
        <w:t>整</w:t>
      </w:r>
      <w:r>
        <w:rPr>
          <w:rFonts w:hint="eastAsia" w:ascii="宋体" w:hAnsi="宋体" w:eastAsia="宋体" w:cs="宋体"/>
          <w:color w:val="auto"/>
          <w:highlight w:val="none"/>
        </w:rPr>
        <w:t>，地点：</w:t>
      </w:r>
      <w:r>
        <w:rPr>
          <w:rFonts w:hint="eastAsia" w:ascii="宋体" w:hAnsi="宋体" w:eastAsia="宋体" w:cs="宋体"/>
          <w:color w:val="auto"/>
          <w:kern w:val="2"/>
          <w:szCs w:val="24"/>
          <w:highlight w:val="none"/>
        </w:rPr>
        <w:t>通过“政府采购云平台（www.zcygov.cn）”实行在线投标响应</w:t>
      </w:r>
    </w:p>
    <w:p w14:paraId="1382F734">
      <w:pPr>
        <w:pStyle w:val="54"/>
        <w:snapToGrid w:val="0"/>
        <w:spacing w:line="360" w:lineRule="auto"/>
        <w:ind w:firstLine="373" w:firstLineChars="177"/>
        <w:rPr>
          <w:rFonts w:hint="eastAsia" w:ascii="宋体" w:hAnsi="宋体" w:eastAsia="宋体" w:cs="宋体"/>
          <w:color w:val="auto"/>
          <w:highlight w:val="none"/>
        </w:rPr>
      </w:pPr>
      <w:r>
        <w:rPr>
          <w:rFonts w:hint="eastAsia" w:ascii="宋体" w:hAnsi="宋体" w:eastAsia="宋体" w:cs="宋体"/>
          <w:b/>
          <w:bCs/>
          <w:color w:val="auto"/>
          <w:highlight w:val="none"/>
        </w:rPr>
        <w:t>3、解密截止时间</w:t>
      </w:r>
      <w:r>
        <w:rPr>
          <w:rFonts w:hint="eastAsia" w:ascii="宋体" w:hAnsi="宋体" w:eastAsia="宋体" w:cs="宋体"/>
          <w:color w:val="auto"/>
          <w:highlight w:val="none"/>
        </w:rPr>
        <w:t>：</w:t>
      </w:r>
      <w:r>
        <w:rPr>
          <w:rFonts w:hint="eastAsia" w:ascii="宋体" w:hAnsi="宋体" w:cs="宋体"/>
          <w:color w:val="auto"/>
          <w:sz w:val="21"/>
          <w:szCs w:val="21"/>
          <w:highlight w:val="none"/>
          <w:lang w:eastAsia="zh-CN"/>
        </w:rPr>
        <w:t>2025年2月12日</w:t>
      </w:r>
      <w:r>
        <w:rPr>
          <w:rFonts w:hint="eastAsia" w:ascii="宋体" w:hAnsi="宋体" w:cs="宋体"/>
          <w:color w:val="auto"/>
          <w:sz w:val="21"/>
          <w:szCs w:val="21"/>
          <w:highlight w:val="none"/>
          <w:lang w:val="en-US" w:eastAsia="zh-CN"/>
        </w:rPr>
        <w:t>14:30</w:t>
      </w:r>
      <w:r>
        <w:rPr>
          <w:rFonts w:hint="eastAsia" w:ascii="宋体" w:hAnsi="宋体" w:eastAsia="宋体" w:cs="宋体"/>
          <w:color w:val="auto"/>
          <w:sz w:val="21"/>
          <w:szCs w:val="21"/>
          <w:highlight w:val="none"/>
          <w:lang w:eastAsia="zh-CN"/>
        </w:rPr>
        <w:t>整</w:t>
      </w:r>
    </w:p>
    <w:p w14:paraId="570FB9B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七、在线投标响应（电子投标）说明</w:t>
      </w:r>
    </w:p>
    <w:p w14:paraId="51F9CC6E">
      <w:pPr>
        <w:pStyle w:val="13"/>
        <w:wordWrap w:val="0"/>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1、本项目通过“政府采购云平台（www.zcygov.cn）”实行在线投标响应（电子投标），供应商应先安装“</w:t>
      </w:r>
      <w:r>
        <w:rPr>
          <w:rFonts w:hint="eastAsia" w:ascii="宋体" w:hAnsi="宋体" w:eastAsia="宋体" w:cs="宋体"/>
          <w:b/>
          <w:bCs/>
          <w:color w:val="auto"/>
          <w:kern w:val="0"/>
          <w:szCs w:val="21"/>
          <w:highlight w:val="none"/>
          <w:lang w:eastAsia="zh-CN"/>
        </w:rPr>
        <w:t>政采云电子投标客户端</w:t>
      </w:r>
      <w:r>
        <w:rPr>
          <w:rFonts w:hint="eastAsia" w:ascii="宋体" w:hAnsi="宋体" w:eastAsia="宋体" w:cs="宋体"/>
          <w:b/>
          <w:bCs/>
          <w:color w:val="auto"/>
          <w:kern w:val="0"/>
          <w:szCs w:val="21"/>
          <w:highlight w:val="none"/>
        </w:rPr>
        <w:t>”，并按照本招标文件和“政府采购云平台”的要求，通过“</w:t>
      </w:r>
      <w:r>
        <w:rPr>
          <w:rFonts w:hint="eastAsia" w:ascii="宋体" w:hAnsi="宋体" w:eastAsia="宋体" w:cs="宋体"/>
          <w:b/>
          <w:bCs/>
          <w:color w:val="auto"/>
          <w:kern w:val="0"/>
          <w:szCs w:val="21"/>
          <w:highlight w:val="none"/>
          <w:lang w:eastAsia="zh-CN"/>
        </w:rPr>
        <w:t>政采云电子投标客户端</w:t>
      </w:r>
      <w:r>
        <w:rPr>
          <w:rFonts w:hint="eastAsia" w:ascii="宋体" w:hAnsi="宋体" w:eastAsia="宋体" w:cs="宋体"/>
          <w:b/>
          <w:bCs/>
          <w:color w:val="auto"/>
          <w:kern w:val="0"/>
          <w:szCs w:val="21"/>
          <w:highlight w:val="none"/>
        </w:rPr>
        <w:t>”编制并加密投标文件。</w:t>
      </w:r>
      <w:r>
        <w:rPr>
          <w:rFonts w:hint="eastAsia" w:ascii="宋体" w:hAnsi="宋体" w:eastAsia="宋体" w:cs="宋体"/>
          <w:color w:val="auto"/>
          <w:sz w:val="21"/>
          <w:szCs w:val="21"/>
          <w:highlight w:val="none"/>
        </w:rPr>
        <w:t>▲</w:t>
      </w:r>
      <w:r>
        <w:rPr>
          <w:rFonts w:hint="eastAsia" w:ascii="宋体" w:hAnsi="宋体" w:eastAsia="宋体" w:cs="宋体"/>
          <w:b/>
          <w:bCs/>
          <w:color w:val="auto"/>
          <w:kern w:val="0"/>
          <w:szCs w:val="21"/>
          <w:highlight w:val="none"/>
        </w:rPr>
        <w:t>供应商未按规定加密的投标文件，“政府采购云平台”将予以拒收。</w:t>
      </w:r>
    </w:p>
    <w:p w14:paraId="32F15661">
      <w:pPr>
        <w:pStyle w:val="13"/>
        <w:wordWrap w:val="0"/>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eastAsia="zh-CN"/>
        </w:rPr>
        <w:t>政采云电子投标客户端</w:t>
      </w:r>
      <w:r>
        <w:rPr>
          <w:rFonts w:hint="eastAsia" w:ascii="宋体" w:hAnsi="宋体" w:eastAsia="宋体" w:cs="宋体"/>
          <w:b/>
          <w:bCs/>
          <w:color w:val="auto"/>
          <w:kern w:val="0"/>
          <w:szCs w:val="21"/>
          <w:highlight w:val="none"/>
        </w:rPr>
        <w:t>”请自行前往“浙江政府采购网-下载专区-电子交易客户端”进行下载；电子投标具体操作流程详见《供应商项目采购-电子招投标操作指南》；通过“政府采购云平台”参与在线投标时如遇平台技术问题详询</w:t>
      </w:r>
      <w:r>
        <w:rPr>
          <w:rFonts w:hint="eastAsia" w:ascii="宋体" w:hAnsi="宋体" w:eastAsia="宋体" w:cs="宋体"/>
          <w:b/>
          <w:bCs/>
          <w:color w:val="auto"/>
          <w:kern w:val="0"/>
          <w:szCs w:val="21"/>
          <w:highlight w:val="none"/>
          <w:lang w:val="en-US" w:eastAsia="zh-CN"/>
        </w:rPr>
        <w:t>95763</w:t>
      </w:r>
      <w:r>
        <w:rPr>
          <w:rFonts w:hint="eastAsia" w:ascii="宋体" w:hAnsi="宋体" w:eastAsia="宋体" w:cs="宋体"/>
          <w:b/>
          <w:bCs/>
          <w:color w:val="auto"/>
          <w:kern w:val="0"/>
          <w:szCs w:val="21"/>
          <w:highlight w:val="none"/>
        </w:rPr>
        <w:t>。</w:t>
      </w:r>
    </w:p>
    <w:p w14:paraId="42C981BB">
      <w:pPr>
        <w:pStyle w:val="54"/>
        <w:snapToGrid w:val="0"/>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2、为确保网上操作合法、有效和安全，投标供应商应当在投标截止时间前完成在“政府采购云平台”的身份认证，确保在电子投标过程中能够对相关数据电文进行加密和使用电子签章。使用“</w:t>
      </w:r>
      <w:r>
        <w:rPr>
          <w:rFonts w:hint="eastAsia" w:ascii="宋体" w:hAnsi="宋体" w:eastAsia="宋体" w:cs="宋体"/>
          <w:b/>
          <w:bCs/>
          <w:color w:val="auto"/>
          <w:highlight w:val="none"/>
          <w:lang w:eastAsia="zh-CN"/>
        </w:rPr>
        <w:t>政采云电子投标客户端</w:t>
      </w:r>
      <w:r>
        <w:rPr>
          <w:rFonts w:hint="eastAsia" w:ascii="宋体" w:hAnsi="宋体" w:eastAsia="宋体" w:cs="宋体"/>
          <w:b/>
          <w:bCs/>
          <w:color w:val="auto"/>
          <w:highlight w:val="none"/>
        </w:rPr>
        <w:t>”需要提前申领CA数字证书，申领流程请自行前往“浙江政府采购网-下载专区-电子交易客户端-</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"http://zfcg.czt.zj.gov.cn/bidClientTemplate/2019-05-27/12945.html" \o "CA驱动和申领流程"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t>CA驱动和申领流程</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t>”进行查阅；</w:t>
      </w:r>
    </w:p>
    <w:p w14:paraId="49D46552">
      <w:pPr>
        <w:pStyle w:val="13"/>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3、投标人通过政府采购云平台电子投标工具制作投标文件，电子投标工具请供应商自行前往浙江政府采购网下载并安装，（下载网址：https://zfcg.czt.zj.gov.cn/bidClientTemplate/2021-11-01/12975.html?utm=web-government-front.a2eab82.0.0.19c58540c14611ed94855fb6758c26ac），电子投标具体流程文档详见网址：</w:t>
      </w:r>
      <w:r>
        <w:rPr>
          <w:rFonts w:hint="eastAsia" w:ascii="宋体" w:hAnsi="宋体" w:eastAsia="宋体" w:cs="宋体"/>
          <w:b/>
          <w:bCs/>
          <w:color w:val="auto"/>
          <w:kern w:val="0"/>
          <w:szCs w:val="21"/>
          <w:highlight w:val="none"/>
        </w:rPr>
        <w:fldChar w:fldCharType="begin"/>
      </w:r>
      <w:r>
        <w:rPr>
          <w:rFonts w:hint="eastAsia" w:ascii="宋体" w:hAnsi="宋体" w:eastAsia="宋体" w:cs="宋体"/>
          <w:b/>
          <w:bCs/>
          <w:color w:val="auto"/>
          <w:kern w:val="0"/>
          <w:szCs w:val="21"/>
          <w:highlight w:val="none"/>
        </w:rPr>
        <w:instrText xml:space="preserve"> HYPERLINK "https://service.zcygov.cn/#/knowledges/CW1EtGwBFdiHxlNd6I3m/6IMVAG0BFdiHx" </w:instrText>
      </w:r>
      <w:r>
        <w:rPr>
          <w:rFonts w:hint="eastAsia" w:ascii="宋体" w:hAnsi="宋体" w:eastAsia="宋体" w:cs="宋体"/>
          <w:b/>
          <w:bCs/>
          <w:color w:val="auto"/>
          <w:kern w:val="0"/>
          <w:szCs w:val="21"/>
          <w:highlight w:val="none"/>
        </w:rPr>
        <w:fldChar w:fldCharType="separate"/>
      </w:r>
      <w:r>
        <w:rPr>
          <w:rFonts w:hint="eastAsia" w:ascii="宋体" w:hAnsi="宋体" w:eastAsia="宋体" w:cs="宋体"/>
          <w:b/>
          <w:bCs/>
          <w:color w:val="auto"/>
          <w:kern w:val="0"/>
          <w:szCs w:val="21"/>
          <w:highlight w:val="none"/>
        </w:rPr>
        <w:t>https://service.zcygov.cn/#/knowledges/CW1EtGwBFdiHxlNd6I3m/6IMVAG0BFdiHx</w:t>
      </w:r>
      <w:r>
        <w:rPr>
          <w:rFonts w:hint="eastAsia" w:ascii="宋体" w:hAnsi="宋体" w:eastAsia="宋体" w:cs="宋体"/>
          <w:b/>
          <w:bCs/>
          <w:color w:val="auto"/>
          <w:kern w:val="0"/>
          <w:szCs w:val="21"/>
          <w:highlight w:val="none"/>
        </w:rPr>
        <w:fldChar w:fldCharType="end"/>
      </w:r>
    </w:p>
    <w:p w14:paraId="462DCC95">
      <w:pPr>
        <w:pStyle w:val="13"/>
        <w:adjustRightInd w:val="0"/>
        <w:snapToGrid w:val="0"/>
        <w:spacing w:line="360" w:lineRule="auto"/>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lNdQ8Na?keyword=%E6%8A%95%E6%A0%87。</w:t>
      </w:r>
    </w:p>
    <w:p w14:paraId="1587BADF">
      <w:pPr>
        <w:pStyle w:val="13"/>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投标供应商应当在投标截止时间前，将生成的“电子加密投标文件”上传递交至“政府采购云平台”。投标截止时间前可以补充、修改或者撤回电子投标文件。补充或者修改电子投标文件的，应当先行撤回原文件，补充、修改后重新传输递交。投标截止时间前未完成传输的，视为撤回投标文件。</w:t>
      </w:r>
    </w:p>
    <w:p w14:paraId="055F304D">
      <w:pPr>
        <w:pStyle w:val="13"/>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5、</w:t>
      </w:r>
      <w:r>
        <w:rPr>
          <w:rFonts w:hint="eastAsia" w:ascii="宋体" w:hAnsi="宋体" w:eastAsia="宋体" w:cs="宋体"/>
          <w:b/>
          <w:bCs/>
          <w:color w:val="auto"/>
          <w:kern w:val="0"/>
          <w:sz w:val="21"/>
          <w:szCs w:val="21"/>
          <w:highlight w:val="none"/>
          <w:lang w:val="en-US" w:eastAsia="zh-CN" w:bidi="ar-SA"/>
        </w:rPr>
        <w:t>供应商同时还可以提供经政采云平台加密处理的、</w:t>
      </w:r>
      <w:r>
        <w:rPr>
          <w:rFonts w:hint="eastAsia" w:ascii="宋体" w:hAnsi="宋体" w:eastAsia="宋体" w:cs="宋体"/>
          <w:b/>
          <w:bCs/>
          <w:color w:val="auto"/>
          <w:kern w:val="2"/>
          <w:sz w:val="21"/>
          <w:szCs w:val="21"/>
          <w:highlight w:val="none"/>
          <w:lang w:val="en-US" w:eastAsia="zh-CN" w:bidi="ar-SA"/>
        </w:rPr>
        <w:t>以介质（U盘）存储的数据电文形式的备份</w:t>
      </w:r>
      <w:r>
        <w:rPr>
          <w:rFonts w:hint="eastAsia" w:ascii="宋体" w:hAnsi="宋体" w:eastAsia="宋体" w:cs="宋体"/>
          <w:b/>
          <w:bCs/>
          <w:color w:val="auto"/>
          <w:kern w:val="0"/>
          <w:sz w:val="21"/>
          <w:szCs w:val="21"/>
          <w:highlight w:val="none"/>
          <w:lang w:val="en-US" w:eastAsia="zh-CN" w:bidi="ar-SA"/>
        </w:rPr>
        <w:t>投标文件（不强制要求，未递交备份文件的风险由供应商自行承担）。备份投标文件应当在投标截止时间前送达并按要求密封（备份投标文件在密封袋的封口处加盖投标人公章、法定代表人代表或授权委托代理人印章或签字。封皮上写明项目编号、标项、招标项目名称、投标人名称，并注明“投标文件名称”、“开标时启封”字样）并</w:t>
      </w:r>
      <w:r>
        <w:rPr>
          <w:rFonts w:hint="eastAsia" w:ascii="宋体" w:hAnsi="宋体" w:eastAsia="宋体" w:cs="宋体"/>
          <w:b/>
          <w:bCs/>
          <w:color w:val="auto"/>
          <w:kern w:val="2"/>
          <w:sz w:val="21"/>
          <w:szCs w:val="21"/>
          <w:highlight w:val="none"/>
          <w:lang w:val="en-US" w:eastAsia="zh-CN" w:bidi="ar-SA"/>
        </w:rPr>
        <w:t>建议采用顺丰邮寄（或直接递交）</w:t>
      </w:r>
      <w:r>
        <w:rPr>
          <w:rFonts w:hint="eastAsia" w:ascii="宋体" w:hAnsi="宋体" w:eastAsia="宋体" w:cs="宋体"/>
          <w:b/>
          <w:bCs/>
          <w:color w:val="auto"/>
          <w:kern w:val="0"/>
          <w:sz w:val="21"/>
          <w:szCs w:val="21"/>
          <w:highlight w:val="none"/>
          <w:lang w:val="en-US" w:eastAsia="zh-CN" w:bidi="ar-SA"/>
        </w:rPr>
        <w:t>到</w:t>
      </w:r>
      <w:r>
        <w:rPr>
          <w:rFonts w:hint="eastAsia" w:ascii="宋体" w:hAnsi="宋体" w:eastAsia="宋体" w:cs="宋体"/>
          <w:b/>
          <w:bCs/>
          <w:color w:val="auto"/>
          <w:sz w:val="21"/>
          <w:szCs w:val="21"/>
          <w:highlight w:val="none"/>
          <w:lang w:eastAsia="zh-CN"/>
        </w:rPr>
        <w:t>台州市椒江区中环世纪6幢801室（交通银行台州分行楼上）</w:t>
      </w:r>
      <w:r>
        <w:rPr>
          <w:rFonts w:hint="eastAsia" w:ascii="宋体" w:hAnsi="宋体" w:eastAsia="宋体" w:cs="宋体"/>
          <w:b/>
          <w:bCs/>
          <w:color w:val="auto"/>
          <w:sz w:val="21"/>
          <w:szCs w:val="21"/>
          <w:highlight w:val="none"/>
          <w:lang w:val="en-US" w:eastAsia="zh-CN"/>
        </w:rPr>
        <w:t>收件人：俞雅琪；联系电话：15757696186</w:t>
      </w:r>
      <w:r>
        <w:rPr>
          <w:rFonts w:hint="eastAsia" w:ascii="宋体" w:hAnsi="宋体" w:eastAsia="宋体" w:cs="宋体"/>
          <w:b/>
          <w:bCs/>
          <w:color w:val="auto"/>
          <w:kern w:val="0"/>
          <w:sz w:val="21"/>
          <w:szCs w:val="21"/>
          <w:highlight w:val="none"/>
          <w:lang w:val="en-US" w:eastAsia="zh-CN" w:bidi="ar-SA"/>
        </w:rPr>
        <w:t>，逾期寄达、到付或未按要求密封将被拒收。</w:t>
      </w:r>
    </w:p>
    <w:p w14:paraId="125C6ABA">
      <w:pPr>
        <w:pStyle w:val="13"/>
        <w:adjustRightInd w:val="0"/>
        <w:snapToGrid w:val="0"/>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b/>
          <w:bCs/>
          <w:color w:val="auto"/>
          <w:kern w:val="0"/>
          <w:szCs w:val="21"/>
          <w:highlight w:val="none"/>
        </w:rPr>
        <w:t>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w:t>
      </w:r>
      <w:r>
        <w:rPr>
          <w:rFonts w:hint="eastAsia" w:ascii="宋体" w:hAnsi="宋体" w:eastAsia="宋体" w:cs="宋体"/>
          <w:b/>
          <w:bCs/>
          <w:color w:val="auto"/>
          <w:kern w:val="0"/>
          <w:sz w:val="21"/>
          <w:szCs w:val="21"/>
          <w:highlight w:val="none"/>
          <w:lang w:val="en-US" w:eastAsia="zh-CN" w:bidi="ar-SA"/>
        </w:rPr>
        <w:t>▲</w:t>
      </w:r>
      <w:r>
        <w:rPr>
          <w:rFonts w:hint="eastAsia" w:ascii="宋体" w:hAnsi="宋体" w:eastAsia="宋体" w:cs="宋体"/>
          <w:b/>
          <w:bCs/>
          <w:color w:val="auto"/>
          <w:kern w:val="0"/>
          <w:szCs w:val="21"/>
          <w:highlight w:val="none"/>
        </w:rPr>
        <w:t>投标供应商仅递交备份投标文件的，投标无效。</w:t>
      </w:r>
    </w:p>
    <w:p w14:paraId="3C2A7068">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color w:val="auto"/>
          <w:highlight w:val="none"/>
        </w:rPr>
      </w:pPr>
      <w:r>
        <w:rPr>
          <w:rFonts w:hint="eastAsia" w:ascii="宋体" w:hAnsi="宋体" w:eastAsia="宋体" w:cs="宋体"/>
          <w:b/>
          <w:bCs/>
          <w:color w:val="auto"/>
          <w:kern w:val="0"/>
          <w:sz w:val="21"/>
          <w:szCs w:val="21"/>
          <w:highlight w:val="none"/>
          <w:lang w:val="en-US" w:eastAsia="zh-CN" w:bidi="ar-SA"/>
        </w:rPr>
        <w:t>7、在政府采购活动中，供应商提供的货物、工程或者服务符合下列情形的，享受本办法规定的中小企业扶持政策： ①在货物采购项目中，货物由中小企业制造，即货物由中小企业生产且使用该中小企业商号或者注册商标； ②在工程采购项目中，工程由中小企业承建，即工程施工单位为中小企业； ③在服务采购项目中，服务由中小企业承接，即提供服务的人员为中小企业依照《中华人民共和国劳动合同法》 订立劳动合同的从业人员。 在货物采购项目中，供应商提供的货物既有中小企业制 造货物，也有大型企业制造货物的，不享受本办法规定的中 小企业扶持政策。 以联合体形式参加政府采购活动，联合体各方均为中小 企业的，联合体视同中小企业。其中，联合体各方均为小微 企业的，联合体视同小微企业。</w:t>
      </w:r>
    </w:p>
    <w:p w14:paraId="657344A5">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八、投标人信用信息查询渠道及截止时点、信用信息查询记录和证据留存的具体方式、信用信息的使用规则：</w:t>
      </w:r>
    </w:p>
    <w:p w14:paraId="4E6062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1、查询渠道：“信用中国”（www.creditchina.gov.cn）、“中国政府采购网”（www.ccgp.gov.cn）、“浙江政府采购网（</w:t>
      </w:r>
      <w:r>
        <w:rPr>
          <w:rFonts w:hint="eastAsia" w:ascii="宋体" w:hAnsi="宋体" w:eastAsia="宋体" w:cs="宋体"/>
          <w:color w:val="auto"/>
          <w:kern w:val="0"/>
          <w:szCs w:val="21"/>
          <w:highlight w:val="none"/>
        </w:rPr>
        <w:t>http://zfcg.czt.zj.gov.cn</w:t>
      </w:r>
      <w:r>
        <w:rPr>
          <w:rFonts w:hint="eastAsia" w:ascii="宋体" w:hAnsi="宋体" w:eastAsia="宋体" w:cs="宋体"/>
          <w:color w:val="auto"/>
          <w:szCs w:val="21"/>
          <w:highlight w:val="none"/>
        </w:rPr>
        <w:t>）。</w:t>
      </w:r>
    </w:p>
    <w:p w14:paraId="76CD32F8">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2、信用信息查询的截止时点：开标后评标前。</w:t>
      </w:r>
    </w:p>
    <w:p w14:paraId="18DE03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3、信用信息查询记录和证据留存的具体方式：由采购代理机构在规定查询时间内打印信用信息查询记录并归入项目档案。</w:t>
      </w:r>
    </w:p>
    <w:p w14:paraId="21B952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4、信用信息的使用规则：对列入失信被执行人、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、政府采购严重违法失信行为记录名单及其他不符合《中华人民共和国政府采购法》第二十二条规定条件的供应商，将被拒绝其参与政府采购活动。</w:t>
      </w:r>
    </w:p>
    <w:p w14:paraId="06A4C700">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九</w:t>
      </w:r>
      <w:r>
        <w:rPr>
          <w:rFonts w:hint="eastAsia" w:ascii="宋体" w:hAnsi="宋体" w:eastAsia="宋体" w:cs="宋体"/>
          <w:b/>
          <w:bCs/>
          <w:color w:val="auto"/>
          <w:szCs w:val="21"/>
          <w:highlight w:val="none"/>
        </w:rPr>
        <w:t>、相关注意事项：</w:t>
      </w:r>
    </w:p>
    <w:p w14:paraId="237E1B74">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《浙江省财政厅关于进一步发挥政府采购政策功能全力推动经济稳进提质的通知》 (浙财采监</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2022</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3号)、《浙江省财政厅关于进一步促进政府采购公平竞争打造最优营商环境的通知》(浙财采监</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2021</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22号))、《浙江省财政厅关于进一步加大政府采购支持中小企业力度助力扎实稳住经济的通知》 (浙财采监</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2022</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8号)已分别于2022年1月29日、2022年2月1日和2022年7月1日开始实施，此前有关规定与上述文件内容不一致的，按上述文件要求执行。</w:t>
      </w:r>
    </w:p>
    <w:p w14:paraId="5C7CD486">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根据《浙江省财政厅关于进一步促进政府采购公平竞争打造最优营商环境的通知》 浙财采监</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2021</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t>22号)文件关于“健全行政裁决机制”要求，鼓励供应商在线提起询问，路径为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政采云-项目采购-询问质疑投诉-询问列表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鼓励供应商在线提起质疑，路径为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政采云-项目采购-询问质疑投诉-质疑列表。质疑供应商对在线质疑答复不满意的，可在线提起投诉，路径为:浙江政府服务网-政府采购投诉处理-在线办理。</w:t>
      </w:r>
    </w:p>
    <w:p w14:paraId="0D103B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、本项目公告期限为</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个工作日。供应商认为采购文件使自己的权益受到损害的，可以自</w:t>
      </w:r>
      <w:r>
        <w:rPr>
          <w:rFonts w:hint="eastAsia" w:ascii="宋体" w:hAnsi="宋体" w:eastAsia="宋体" w:cs="宋体"/>
          <w:color w:val="auto"/>
          <w:szCs w:val="21"/>
          <w:highlight w:val="none"/>
          <w:lang w:val="en-US" w:eastAsia="zh-CN"/>
        </w:rPr>
        <w:t>获取</w:t>
      </w:r>
      <w:r>
        <w:rPr>
          <w:rFonts w:hint="eastAsia" w:ascii="宋体" w:hAnsi="宋体" w:eastAsia="宋体" w:cs="宋体"/>
          <w:color w:val="auto"/>
          <w:szCs w:val="21"/>
          <w:highlight w:val="none"/>
        </w:rPr>
        <w:t>采购文件之日或采购文件公告期限届满之日起（公告期限届满后获取采购文件的，以公告期限届满之日为准）7个工作日内，</w:t>
      </w:r>
      <w:r>
        <w:rPr>
          <w:rFonts w:hint="eastAsia" w:ascii="宋体" w:hAnsi="宋体" w:eastAsia="宋体" w:cs="宋体"/>
          <w:color w:val="auto"/>
          <w:szCs w:val="21"/>
          <w:highlight w:val="none"/>
          <w:lang w:val="en-US" w:eastAsia="zh-CN"/>
        </w:rPr>
        <w:t>后续就采购</w:t>
      </w:r>
      <w:r>
        <w:rPr>
          <w:rFonts w:hint="eastAsia" w:ascii="宋体" w:hAnsi="宋体" w:eastAsia="宋体" w:cs="宋体"/>
          <w:color w:val="auto"/>
          <w:szCs w:val="21"/>
          <w:highlight w:val="none"/>
        </w:rPr>
        <w:t>过程、</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结果</w:t>
      </w:r>
      <w:r>
        <w:rPr>
          <w:rFonts w:hint="eastAsia" w:ascii="宋体" w:hAnsi="宋体" w:eastAsia="宋体" w:cs="宋体"/>
          <w:color w:val="auto"/>
          <w:szCs w:val="21"/>
          <w:highlight w:val="none"/>
          <w:lang w:val="en-US" w:eastAsia="zh-CN"/>
        </w:rPr>
        <w:t>提出质疑的，也应在同一环节一次性提出</w:t>
      </w:r>
      <w:r>
        <w:rPr>
          <w:rFonts w:hint="eastAsia" w:ascii="宋体" w:hAnsi="宋体" w:eastAsia="宋体" w:cs="宋体"/>
          <w:color w:val="auto"/>
          <w:sz w:val="21"/>
          <w:szCs w:val="21"/>
          <w:highlight w:val="none"/>
          <w:lang w:eastAsia="zh-CN"/>
        </w:rPr>
        <w:t>，以供应商</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lang w:eastAsia="zh-CN"/>
        </w:rPr>
        <w:t>提供质疑函的时间为提起质疑的时间</w:t>
      </w:r>
      <w:r>
        <w:rPr>
          <w:rFonts w:hint="eastAsia" w:ascii="宋体" w:hAnsi="宋体" w:eastAsia="宋体" w:cs="宋体"/>
          <w:color w:val="auto"/>
          <w:sz w:val="21"/>
          <w:szCs w:val="21"/>
          <w:highlight w:val="none"/>
        </w:rPr>
        <w:t>。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8311B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未进行供应商资格报名或登记（含网上报名登记）的供应商，应视为未参加政府采购活动，一般不得提出质疑，但因供应商资格条件受到限制、报名时间设定不符合有关规定等原因使供应商不能参加报名或登记的除外。</w:t>
      </w:r>
    </w:p>
    <w:p w14:paraId="3B35A75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、请各投标供应商及时办理浙江政府采购网“政府采购供应商注册”手续。</w:t>
      </w:r>
    </w:p>
    <w:p w14:paraId="583052A2">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参与政府采购项目的注册供应商，需登录浙江政府采购网（http://zfcg.czt.zj.gov.cn）进行网上获取文件；尚未注册的供应商应当先在浙江政府采购网上申请注册，注册终审通过后再进行网上获取文件。</w:t>
      </w:r>
    </w:p>
    <w:p w14:paraId="37F20474">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、本项目所有公告发布网站：“浙江政府采购网”（</w:t>
      </w:r>
      <w:r>
        <w:rPr>
          <w:rFonts w:hint="eastAsia" w:ascii="宋体" w:hAnsi="宋体" w:eastAsia="宋体" w:cs="宋体"/>
          <w:color w:val="auto"/>
          <w:kern w:val="0"/>
          <w:szCs w:val="21"/>
          <w:highlight w:val="none"/>
        </w:rPr>
        <w:t>http://zfcg.czt.zj.gov.cn）。</w:t>
      </w:r>
    </w:p>
    <w:p w14:paraId="69F30C38">
      <w:pPr>
        <w:pStyle w:val="9"/>
        <w:spacing w:after="0"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、采购文件发售截止时间之后有潜在供应商提出要求获取采购文件的允许其报名获取，但对采购文件有异议应按规定的时间提出，逾期提出的，采购组织机构可不予受理、答复。</w:t>
      </w:r>
    </w:p>
    <w:p w14:paraId="4BA638ED">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lang w:val="en-US" w:eastAsia="zh-CN"/>
        </w:rPr>
        <w:t>十</w:t>
      </w:r>
      <w:r>
        <w:rPr>
          <w:rFonts w:hint="eastAsia" w:ascii="宋体" w:hAnsi="宋体" w:eastAsia="宋体" w:cs="宋体"/>
          <w:b/>
          <w:bCs/>
          <w:color w:val="auto"/>
          <w:kern w:val="0"/>
          <w:szCs w:val="21"/>
          <w:highlight w:val="none"/>
        </w:rPr>
        <w:t>、联系方式：</w:t>
      </w:r>
    </w:p>
    <w:p w14:paraId="14F5FD20">
      <w:pPr>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rPr>
        <w:t>采购代理机构</w:t>
      </w:r>
    </w:p>
    <w:p w14:paraId="1377513B">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采购代理机构名称：</w:t>
      </w:r>
      <w:r>
        <w:rPr>
          <w:rFonts w:hint="eastAsia" w:ascii="宋体" w:hAnsi="宋体" w:eastAsia="宋体" w:cs="宋体"/>
          <w:color w:val="auto"/>
          <w:sz w:val="21"/>
          <w:szCs w:val="21"/>
          <w:highlight w:val="none"/>
          <w:lang w:eastAsia="zh-CN"/>
        </w:rPr>
        <w:t>台州永安工程咨询有限公司</w:t>
      </w:r>
    </w:p>
    <w:p w14:paraId="6835E2D6">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 xml:space="preserve"> 陈</w:t>
      </w:r>
      <w:r>
        <w:rPr>
          <w:rFonts w:hint="eastAsia" w:ascii="宋体" w:hAnsi="宋体" w:eastAsia="宋体" w:cs="宋体"/>
          <w:color w:val="auto"/>
          <w:sz w:val="21"/>
          <w:szCs w:val="21"/>
          <w:highlight w:val="none"/>
        </w:rPr>
        <w:t>女士</w:t>
      </w:r>
      <w:r>
        <w:rPr>
          <w:rFonts w:hint="eastAsia" w:ascii="宋体" w:hAnsi="宋体" w:eastAsia="宋体" w:cs="宋体"/>
          <w:color w:val="auto"/>
          <w:sz w:val="21"/>
          <w:szCs w:val="21"/>
          <w:highlight w:val="none"/>
          <w:lang w:val="en-US" w:eastAsia="zh-CN"/>
        </w:rPr>
        <w:t xml:space="preserve"> </w:t>
      </w:r>
    </w:p>
    <w:p w14:paraId="2DF40C7E">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0576-88882270，18267677445</w:t>
      </w:r>
    </w:p>
    <w:p w14:paraId="50008B4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传真：0576-88882270；</w:t>
      </w:r>
    </w:p>
    <w:p w14:paraId="0E0E971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质疑接收人：</w:t>
      </w:r>
      <w:r>
        <w:rPr>
          <w:rFonts w:hint="eastAsia" w:ascii="宋体" w:hAnsi="宋体" w:eastAsia="宋体" w:cs="宋体"/>
          <w:color w:val="auto"/>
          <w:sz w:val="21"/>
          <w:szCs w:val="21"/>
          <w:highlight w:val="none"/>
          <w:lang w:val="en-US" w:eastAsia="zh-CN"/>
        </w:rPr>
        <w:t>叶先生</w:t>
      </w:r>
    </w:p>
    <w:p w14:paraId="41D23F81">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val="en-US" w:eastAsia="zh-CN"/>
        </w:rPr>
        <w:t>13857637980</w:t>
      </w:r>
    </w:p>
    <w:p w14:paraId="05D9A595">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lang w:eastAsia="zh-CN"/>
        </w:rPr>
        <w:t>台州市椒江区中环世纪6幢801室（交通银行台州分行楼上）</w:t>
      </w:r>
    </w:p>
    <w:p w14:paraId="2E60E6A1">
      <w:pPr>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 xml:space="preserve">采购人 </w:t>
      </w:r>
    </w:p>
    <w:p w14:paraId="79FB261D">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采购人名称：</w:t>
      </w:r>
      <w:r>
        <w:rPr>
          <w:rFonts w:hint="eastAsia" w:ascii="宋体" w:hAnsi="宋体" w:eastAsia="宋体" w:cs="宋体"/>
          <w:color w:val="auto"/>
          <w:szCs w:val="21"/>
          <w:highlight w:val="none"/>
          <w:lang w:eastAsia="zh-CN"/>
        </w:rPr>
        <w:t>台州市路桥区农业农村和水利局</w:t>
      </w:r>
    </w:p>
    <w:p w14:paraId="0B7A325C">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询问联系人：</w:t>
      </w:r>
      <w:r>
        <w:rPr>
          <w:rFonts w:hint="eastAsia" w:ascii="宋体" w:hAnsi="宋体" w:eastAsia="宋体" w:cs="宋体"/>
          <w:color w:val="auto"/>
          <w:szCs w:val="21"/>
          <w:highlight w:val="none"/>
          <w:lang w:val="en-US" w:eastAsia="zh-CN"/>
        </w:rPr>
        <w:t>柳先生</w:t>
      </w:r>
      <w:r>
        <w:rPr>
          <w:rFonts w:hint="eastAsia" w:ascii="宋体" w:hAnsi="宋体" w:eastAsia="宋体" w:cs="宋体"/>
          <w:color w:val="auto"/>
          <w:szCs w:val="21"/>
          <w:highlight w:val="none"/>
        </w:rPr>
        <w:t xml:space="preserve">      询问联系电话：</w:t>
      </w:r>
      <w:r>
        <w:rPr>
          <w:rFonts w:hint="eastAsia" w:ascii="宋体" w:hAnsi="宋体" w:eastAsia="宋体" w:cs="宋体"/>
          <w:color w:val="auto"/>
          <w:sz w:val="21"/>
          <w:szCs w:val="21"/>
          <w:highlight w:val="none"/>
          <w:lang w:val="en-US" w:eastAsia="zh-CN"/>
        </w:rPr>
        <w:t>0576-82439491</w:t>
      </w:r>
    </w:p>
    <w:p w14:paraId="02643468">
      <w:pPr>
        <w:spacing w:line="360" w:lineRule="auto"/>
        <w:ind w:firstLine="420" w:firstLineChars="200"/>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质疑联系人：</w:t>
      </w:r>
      <w:r>
        <w:rPr>
          <w:rFonts w:hint="eastAsia" w:ascii="宋体" w:hAnsi="宋体" w:eastAsia="宋体" w:cs="宋体"/>
          <w:color w:val="auto"/>
          <w:szCs w:val="21"/>
          <w:highlight w:val="none"/>
          <w:lang w:val="en-US" w:eastAsia="zh-CN"/>
        </w:rPr>
        <w:t>李女士</w:t>
      </w:r>
      <w:r>
        <w:rPr>
          <w:rFonts w:hint="eastAsia" w:ascii="宋体" w:hAnsi="宋体" w:eastAsia="宋体" w:cs="宋体"/>
          <w:color w:val="auto"/>
          <w:szCs w:val="21"/>
          <w:highlight w:val="none"/>
        </w:rPr>
        <w:t xml:space="preserve">      质疑联系电话：0576-</w:t>
      </w:r>
      <w:r>
        <w:rPr>
          <w:rFonts w:hint="eastAsia" w:ascii="宋体" w:hAnsi="宋体" w:eastAsia="宋体" w:cs="宋体"/>
          <w:color w:val="auto"/>
          <w:szCs w:val="21"/>
          <w:highlight w:val="none"/>
          <w:lang w:val="en-US" w:eastAsia="zh-CN"/>
        </w:rPr>
        <w:t>82439390</w:t>
      </w:r>
    </w:p>
    <w:p w14:paraId="6881B3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采购人地址：</w:t>
      </w:r>
      <w:r>
        <w:rPr>
          <w:rFonts w:hint="eastAsia" w:ascii="宋体" w:hAnsi="宋体" w:eastAsia="宋体" w:cs="宋体"/>
          <w:color w:val="auto"/>
          <w:sz w:val="21"/>
          <w:szCs w:val="21"/>
          <w:highlight w:val="none"/>
          <w:lang w:val="en-US" w:eastAsia="zh-CN"/>
        </w:rPr>
        <w:t>台州市路桥区西路桥大道539号</w:t>
      </w:r>
    </w:p>
    <w:p w14:paraId="6F2EC3DF">
      <w:pPr>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同级政府采购监督管理部门</w:t>
      </w:r>
    </w:p>
    <w:p w14:paraId="6022DFC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同级政府采购监督管理部门名称：台州市</w:t>
      </w:r>
      <w:r>
        <w:rPr>
          <w:rFonts w:hint="eastAsia" w:ascii="宋体" w:hAnsi="宋体" w:eastAsia="宋体" w:cs="宋体"/>
          <w:color w:val="auto"/>
          <w:sz w:val="21"/>
          <w:szCs w:val="21"/>
          <w:highlight w:val="none"/>
          <w:lang w:val="en-US" w:eastAsia="zh-CN"/>
        </w:rPr>
        <w:t>路桥</w:t>
      </w:r>
      <w:r>
        <w:rPr>
          <w:rFonts w:hint="eastAsia" w:ascii="宋体" w:hAnsi="宋体" w:eastAsia="宋体" w:cs="宋体"/>
          <w:color w:val="auto"/>
          <w:sz w:val="21"/>
          <w:szCs w:val="21"/>
          <w:highlight w:val="none"/>
        </w:rPr>
        <w:t>区财政局</w:t>
      </w:r>
    </w:p>
    <w:p w14:paraId="3467DAAE">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eastAsia="zh-CN"/>
        </w:rPr>
        <w:t>王先生</w:t>
      </w:r>
    </w:p>
    <w:p w14:paraId="31DE97E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监督投诉电话：0576-82517851</w:t>
      </w:r>
    </w:p>
    <w:p w14:paraId="371B956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地址：台州市路桥区西路桥大道58号</w:t>
      </w:r>
    </w:p>
    <w:p w14:paraId="41960E47">
      <w:pPr>
        <w:pStyle w:val="10"/>
        <w:numPr>
          <w:ilvl w:val="0"/>
          <w:numId w:val="0"/>
        </w:numPr>
        <w:spacing w:line="360" w:lineRule="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银行（中标项目贷款咨询）</w:t>
      </w:r>
    </w:p>
    <w:p w14:paraId="5B913659">
      <w:pPr>
        <w:jc w:val="both"/>
        <w:rPr>
          <w:rFonts w:hint="eastAsia" w:ascii="宋体" w:hAnsi="宋体" w:eastAsia="宋体" w:cs="宋体"/>
          <w:b w:val="0"/>
          <w:bCs w:val="0"/>
          <w:color w:val="auto"/>
          <w:sz w:val="32"/>
          <w:szCs w:val="32"/>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合同履约保</w:t>
      </w:r>
      <w:r>
        <w:rPr>
          <w:rFonts w:hint="eastAsia" w:ascii="宋体" w:hAnsi="宋体" w:eastAsia="宋体" w:cs="宋体"/>
          <w:b w:val="0"/>
          <w:bCs w:val="0"/>
          <w:color w:val="auto"/>
          <w:sz w:val="21"/>
          <w:szCs w:val="21"/>
          <w:highlight w:val="none"/>
        </w:rPr>
        <w:t>函联系方式</w:t>
      </w:r>
    </w:p>
    <w:tbl>
      <w:tblPr>
        <w:tblStyle w:val="25"/>
        <w:tblW w:w="8575" w:type="dxa"/>
        <w:tblInd w:w="14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387"/>
        <w:gridCol w:w="2288"/>
        <w:gridCol w:w="1276"/>
        <w:gridCol w:w="1624"/>
      </w:tblGrid>
      <w:tr w14:paraId="5B0647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7" w:hRule="atLeast"/>
        </w:trPr>
        <w:tc>
          <w:tcPr>
            <w:tcW w:w="3387" w:type="dxa"/>
            <w:vAlign w:val="center"/>
          </w:tcPr>
          <w:p w14:paraId="5FC07A7A">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保险公司名称</w:t>
            </w:r>
          </w:p>
        </w:tc>
        <w:tc>
          <w:tcPr>
            <w:tcW w:w="2288" w:type="dxa"/>
            <w:vAlign w:val="center"/>
          </w:tcPr>
          <w:p w14:paraId="6AD185B5">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保费率</w:t>
            </w:r>
          </w:p>
        </w:tc>
        <w:tc>
          <w:tcPr>
            <w:tcW w:w="1276" w:type="dxa"/>
            <w:vAlign w:val="center"/>
          </w:tcPr>
          <w:p w14:paraId="09EFBB87">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联系人</w:t>
            </w:r>
          </w:p>
        </w:tc>
        <w:tc>
          <w:tcPr>
            <w:tcW w:w="1624" w:type="dxa"/>
            <w:vAlign w:val="center"/>
          </w:tcPr>
          <w:p w14:paraId="7EBB8A83">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联系电话</w:t>
            </w:r>
          </w:p>
        </w:tc>
      </w:tr>
      <w:tr w14:paraId="105B78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6F9F5CF9">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中国人寿财产保险股份有限公司台州中心支公司</w:t>
            </w:r>
          </w:p>
        </w:tc>
        <w:tc>
          <w:tcPr>
            <w:tcW w:w="2288" w:type="dxa"/>
            <w:vAlign w:val="center"/>
          </w:tcPr>
          <w:p w14:paraId="281996A8">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年费率1%，最低保费500元</w:t>
            </w:r>
          </w:p>
        </w:tc>
        <w:tc>
          <w:tcPr>
            <w:tcW w:w="1276" w:type="dxa"/>
            <w:vAlign w:val="center"/>
          </w:tcPr>
          <w:p w14:paraId="313C3DC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徐凌</w:t>
            </w:r>
          </w:p>
        </w:tc>
        <w:tc>
          <w:tcPr>
            <w:tcW w:w="1624" w:type="dxa"/>
            <w:vAlign w:val="center"/>
          </w:tcPr>
          <w:p w14:paraId="54B7DFC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13905168070</w:t>
            </w:r>
          </w:p>
        </w:tc>
      </w:tr>
      <w:tr w14:paraId="13B8D0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7C32A82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永诚财产保险股份有限公司台州分公司</w:t>
            </w:r>
          </w:p>
        </w:tc>
        <w:tc>
          <w:tcPr>
            <w:tcW w:w="2288" w:type="dxa"/>
            <w:vAlign w:val="center"/>
          </w:tcPr>
          <w:p w14:paraId="04FE400C">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年费率1%，最低保费1000元</w:t>
            </w:r>
          </w:p>
        </w:tc>
        <w:tc>
          <w:tcPr>
            <w:tcW w:w="1276" w:type="dxa"/>
            <w:vAlign w:val="center"/>
          </w:tcPr>
          <w:p w14:paraId="690A851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尹刚强</w:t>
            </w:r>
          </w:p>
        </w:tc>
        <w:tc>
          <w:tcPr>
            <w:tcW w:w="1624" w:type="dxa"/>
            <w:vAlign w:val="center"/>
          </w:tcPr>
          <w:p w14:paraId="1B35B88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13750668184</w:t>
            </w:r>
          </w:p>
        </w:tc>
      </w:tr>
      <w:tr w14:paraId="32E4B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7F54ED23">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华泰财产保险有限公司台州中心支公司</w:t>
            </w:r>
          </w:p>
        </w:tc>
        <w:tc>
          <w:tcPr>
            <w:tcW w:w="2288" w:type="dxa"/>
            <w:vAlign w:val="center"/>
          </w:tcPr>
          <w:p w14:paraId="13498AF0">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年费率0.5%，最低保费1000元</w:t>
            </w:r>
          </w:p>
        </w:tc>
        <w:tc>
          <w:tcPr>
            <w:tcW w:w="1276" w:type="dxa"/>
            <w:vAlign w:val="center"/>
          </w:tcPr>
          <w:p w14:paraId="48BDC79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王灵芳</w:t>
            </w:r>
          </w:p>
        </w:tc>
        <w:tc>
          <w:tcPr>
            <w:tcW w:w="1624" w:type="dxa"/>
            <w:vAlign w:val="center"/>
          </w:tcPr>
          <w:p w14:paraId="0C32A5A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88869818 13586123199</w:t>
            </w:r>
          </w:p>
        </w:tc>
      </w:tr>
      <w:tr w14:paraId="289232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34C2657A">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中国大地财产保险股份有限公司台州中心支公司</w:t>
            </w:r>
          </w:p>
        </w:tc>
        <w:tc>
          <w:tcPr>
            <w:tcW w:w="2288" w:type="dxa"/>
            <w:vAlign w:val="center"/>
          </w:tcPr>
          <w:p w14:paraId="189D56D1">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年费率1.5%，最低保费1000元</w:t>
            </w:r>
          </w:p>
        </w:tc>
        <w:tc>
          <w:tcPr>
            <w:tcW w:w="1276" w:type="dxa"/>
            <w:vAlign w:val="center"/>
          </w:tcPr>
          <w:p w14:paraId="66A41B0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徐小明</w:t>
            </w:r>
          </w:p>
        </w:tc>
        <w:tc>
          <w:tcPr>
            <w:tcW w:w="1624" w:type="dxa"/>
            <w:vAlign w:val="center"/>
          </w:tcPr>
          <w:p w14:paraId="463C514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88552788      13968603112</w:t>
            </w:r>
          </w:p>
        </w:tc>
      </w:tr>
      <w:tr w14:paraId="35DC7C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170413C7">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阳光保险台州中心支公司</w:t>
            </w:r>
          </w:p>
        </w:tc>
        <w:tc>
          <w:tcPr>
            <w:tcW w:w="2288" w:type="dxa"/>
            <w:vAlign w:val="center"/>
          </w:tcPr>
          <w:p w14:paraId="58779010">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年费率1%，最低保费500元</w:t>
            </w:r>
          </w:p>
        </w:tc>
        <w:tc>
          <w:tcPr>
            <w:tcW w:w="1276" w:type="dxa"/>
            <w:vAlign w:val="center"/>
          </w:tcPr>
          <w:p w14:paraId="25CF101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林高明</w:t>
            </w:r>
          </w:p>
        </w:tc>
        <w:tc>
          <w:tcPr>
            <w:tcW w:w="1624" w:type="dxa"/>
            <w:vAlign w:val="center"/>
          </w:tcPr>
          <w:p w14:paraId="7A50E6A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15888682693</w:t>
            </w:r>
          </w:p>
        </w:tc>
      </w:tr>
      <w:tr w14:paraId="608259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2D1DCD5A">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中华联合财产保险股份有限公司台州中心支公司</w:t>
            </w:r>
          </w:p>
        </w:tc>
        <w:tc>
          <w:tcPr>
            <w:tcW w:w="2288" w:type="dxa"/>
            <w:vAlign w:val="center"/>
          </w:tcPr>
          <w:p w14:paraId="53213BE9">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年费率2%，最低保费500元</w:t>
            </w:r>
          </w:p>
        </w:tc>
        <w:tc>
          <w:tcPr>
            <w:tcW w:w="1276" w:type="dxa"/>
            <w:vAlign w:val="center"/>
          </w:tcPr>
          <w:p w14:paraId="2B5D679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王仙高</w:t>
            </w:r>
          </w:p>
        </w:tc>
        <w:tc>
          <w:tcPr>
            <w:tcW w:w="1624" w:type="dxa"/>
            <w:vAlign w:val="center"/>
          </w:tcPr>
          <w:p w14:paraId="57B94DD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13858600221</w:t>
            </w:r>
          </w:p>
        </w:tc>
      </w:tr>
      <w:tr w14:paraId="6B6BF2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0B82617D">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中国人民财产保险股份有限公司台州中心支公司</w:t>
            </w:r>
          </w:p>
        </w:tc>
        <w:tc>
          <w:tcPr>
            <w:tcW w:w="2288" w:type="dxa"/>
            <w:vAlign w:val="center"/>
          </w:tcPr>
          <w:p w14:paraId="19CBC499">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年费率0.3%，最低保费1000元</w:t>
            </w:r>
          </w:p>
        </w:tc>
        <w:tc>
          <w:tcPr>
            <w:tcW w:w="1276" w:type="dxa"/>
            <w:vAlign w:val="center"/>
          </w:tcPr>
          <w:p w14:paraId="0966E4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王仙春</w:t>
            </w:r>
          </w:p>
        </w:tc>
        <w:tc>
          <w:tcPr>
            <w:tcW w:w="1624" w:type="dxa"/>
            <w:vAlign w:val="center"/>
          </w:tcPr>
          <w:p w14:paraId="04D3403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13515769179</w:t>
            </w:r>
          </w:p>
        </w:tc>
      </w:tr>
      <w:tr w14:paraId="64D106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2BBC66D8">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永安财产保险股份有限公司台州中心支公司</w:t>
            </w:r>
          </w:p>
        </w:tc>
        <w:tc>
          <w:tcPr>
            <w:tcW w:w="2288" w:type="dxa"/>
            <w:vAlign w:val="center"/>
          </w:tcPr>
          <w:p w14:paraId="3A36FE2C">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年费率0.3%，最低保费1000</w:t>
            </w:r>
            <w:r>
              <w:rPr>
                <w:rFonts w:hint="eastAsia" w:ascii="宋体" w:hAnsi="宋体" w:eastAsia="宋体" w:cs="宋体"/>
                <w:color w:val="auto"/>
                <w:sz w:val="21"/>
                <w:szCs w:val="21"/>
                <w:highlight w:val="none"/>
                <w:lang w:val="en-US" w:eastAsia="zh-CN"/>
              </w:rPr>
              <w:t>元</w:t>
            </w:r>
          </w:p>
        </w:tc>
        <w:tc>
          <w:tcPr>
            <w:tcW w:w="1276" w:type="dxa"/>
            <w:vAlign w:val="center"/>
          </w:tcPr>
          <w:p w14:paraId="117683A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王春宇</w:t>
            </w:r>
          </w:p>
        </w:tc>
        <w:tc>
          <w:tcPr>
            <w:tcW w:w="1624" w:type="dxa"/>
            <w:vAlign w:val="center"/>
          </w:tcPr>
          <w:p w14:paraId="57DB508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13676675331</w:t>
            </w:r>
          </w:p>
        </w:tc>
      </w:tr>
    </w:tbl>
    <w:p w14:paraId="693BF758">
      <w:pPr>
        <w:jc w:val="both"/>
        <w:rPr>
          <w:rFonts w:hint="eastAsia" w:ascii="宋体" w:hAnsi="宋体" w:eastAsia="宋体" w:cs="宋体"/>
          <w:b/>
          <w:bCs/>
          <w:color w:val="auto"/>
          <w:sz w:val="21"/>
          <w:szCs w:val="21"/>
          <w:highlight w:val="none"/>
        </w:rPr>
      </w:pPr>
    </w:p>
    <w:p w14:paraId="39E684E3">
      <w:pPr>
        <w:jc w:val="both"/>
        <w:rPr>
          <w:rFonts w:hint="eastAsia" w:ascii="宋体" w:hAnsi="宋体" w:eastAsia="宋体" w:cs="宋体"/>
          <w:b w:val="0"/>
          <w:bCs w:val="0"/>
          <w:color w:val="auto"/>
          <w:sz w:val="21"/>
          <w:szCs w:val="21"/>
          <w:highlight w:val="none"/>
        </w:rPr>
      </w:pPr>
      <w:r>
        <w:rPr>
          <w:rFonts w:hint="eastAsia" w:ascii="宋体" w:hAnsi="宋体" w:eastAsia="宋体" w:cs="宋体"/>
          <w:color w:val="auto"/>
          <w:szCs w:val="21"/>
          <w:highlight w:val="none"/>
          <w:lang w:val="en-US" w:eastAsia="zh-CN"/>
        </w:rPr>
        <w:t>（2）预付款保</w:t>
      </w:r>
      <w:r>
        <w:rPr>
          <w:rFonts w:hint="eastAsia" w:ascii="宋体" w:hAnsi="宋体" w:eastAsia="宋体" w:cs="宋体"/>
          <w:b w:val="0"/>
          <w:bCs w:val="0"/>
          <w:color w:val="auto"/>
          <w:sz w:val="21"/>
          <w:szCs w:val="21"/>
          <w:highlight w:val="none"/>
        </w:rPr>
        <w:t>函联系方式</w:t>
      </w:r>
    </w:p>
    <w:tbl>
      <w:tblPr>
        <w:tblStyle w:val="25"/>
        <w:tblW w:w="8562" w:type="dxa"/>
        <w:tblInd w:w="14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87"/>
        <w:gridCol w:w="2288"/>
        <w:gridCol w:w="1287"/>
        <w:gridCol w:w="1600"/>
      </w:tblGrid>
      <w:tr w14:paraId="54EE2B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3387" w:type="dxa"/>
            <w:vAlign w:val="center"/>
          </w:tcPr>
          <w:p w14:paraId="1B9AA2AF">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保险公司名称</w:t>
            </w:r>
          </w:p>
        </w:tc>
        <w:tc>
          <w:tcPr>
            <w:tcW w:w="2288" w:type="dxa"/>
            <w:vAlign w:val="center"/>
          </w:tcPr>
          <w:p w14:paraId="11FE4C7A">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保费率</w:t>
            </w:r>
          </w:p>
        </w:tc>
        <w:tc>
          <w:tcPr>
            <w:tcW w:w="1287" w:type="dxa"/>
            <w:vAlign w:val="center"/>
          </w:tcPr>
          <w:p w14:paraId="5DE43E33">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联系人</w:t>
            </w:r>
          </w:p>
        </w:tc>
        <w:tc>
          <w:tcPr>
            <w:tcW w:w="1600" w:type="dxa"/>
            <w:vAlign w:val="center"/>
          </w:tcPr>
          <w:p w14:paraId="276B747E">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联系电话</w:t>
            </w:r>
          </w:p>
        </w:tc>
      </w:tr>
      <w:tr w14:paraId="0F98EF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15103EE8">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中国人寿财产保险股份有限公司台州中心支公司</w:t>
            </w:r>
          </w:p>
        </w:tc>
        <w:tc>
          <w:tcPr>
            <w:tcW w:w="2288" w:type="dxa"/>
          </w:tcPr>
          <w:p w14:paraId="3A7D974A">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年费率3%，最低保费500元</w:t>
            </w:r>
          </w:p>
        </w:tc>
        <w:tc>
          <w:tcPr>
            <w:tcW w:w="1287" w:type="dxa"/>
            <w:vAlign w:val="center"/>
          </w:tcPr>
          <w:p w14:paraId="7180F1A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徐凌</w:t>
            </w:r>
          </w:p>
        </w:tc>
        <w:tc>
          <w:tcPr>
            <w:tcW w:w="1600" w:type="dxa"/>
            <w:vAlign w:val="center"/>
          </w:tcPr>
          <w:p w14:paraId="070DF03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13905168070</w:t>
            </w:r>
          </w:p>
        </w:tc>
      </w:tr>
      <w:tr w14:paraId="07C21B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4150FAA9">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阳光保险台州中心支公司</w:t>
            </w:r>
          </w:p>
        </w:tc>
        <w:tc>
          <w:tcPr>
            <w:tcW w:w="2288" w:type="dxa"/>
          </w:tcPr>
          <w:p w14:paraId="5D82DF68">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年费率1%，最低保费500元</w:t>
            </w:r>
          </w:p>
        </w:tc>
        <w:tc>
          <w:tcPr>
            <w:tcW w:w="1287" w:type="dxa"/>
            <w:vAlign w:val="center"/>
          </w:tcPr>
          <w:p w14:paraId="29AB9E6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林高明</w:t>
            </w:r>
          </w:p>
        </w:tc>
        <w:tc>
          <w:tcPr>
            <w:tcW w:w="1600" w:type="dxa"/>
            <w:vAlign w:val="center"/>
          </w:tcPr>
          <w:p w14:paraId="6CC19E8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15888682693</w:t>
            </w:r>
          </w:p>
        </w:tc>
      </w:tr>
      <w:tr w14:paraId="589194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87" w:type="dxa"/>
            <w:vAlign w:val="center"/>
          </w:tcPr>
          <w:p w14:paraId="17F7D591">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天安财产保险股份有限公司台州中心支公司</w:t>
            </w:r>
          </w:p>
        </w:tc>
        <w:tc>
          <w:tcPr>
            <w:tcW w:w="2288" w:type="dxa"/>
          </w:tcPr>
          <w:p w14:paraId="0EA63B82">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年费率1%-2%，最低保费500元</w:t>
            </w:r>
          </w:p>
        </w:tc>
        <w:tc>
          <w:tcPr>
            <w:tcW w:w="1287" w:type="dxa"/>
            <w:vAlign w:val="center"/>
          </w:tcPr>
          <w:p w14:paraId="1649D54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罗赛</w:t>
            </w:r>
          </w:p>
        </w:tc>
        <w:tc>
          <w:tcPr>
            <w:tcW w:w="1600" w:type="dxa"/>
            <w:vAlign w:val="center"/>
          </w:tcPr>
          <w:p w14:paraId="19EABF9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13736605643</w:t>
            </w:r>
          </w:p>
        </w:tc>
      </w:tr>
    </w:tbl>
    <w:p w14:paraId="73E706D1">
      <w:pPr>
        <w:pStyle w:val="65"/>
        <w:numPr>
          <w:ilvl w:val="0"/>
          <w:numId w:val="0"/>
        </w:num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银行（中标项目贷款咨询）</w:t>
      </w:r>
    </w:p>
    <w:p w14:paraId="6DD1817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中标供应商如有融资需求，可使用以下银行的政采贷服务。</w:t>
      </w:r>
    </w:p>
    <w:tbl>
      <w:tblPr>
        <w:tblStyle w:val="24"/>
        <w:tblW w:w="94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3"/>
        <w:gridCol w:w="4860"/>
        <w:gridCol w:w="1537"/>
        <w:gridCol w:w="911"/>
        <w:gridCol w:w="1433"/>
      </w:tblGrid>
      <w:tr w14:paraId="1684F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B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66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 行 名 称</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1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政采贷年利率</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41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联系人</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6A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联系电话</w:t>
            </w:r>
          </w:p>
        </w:tc>
      </w:tr>
      <w:tr w14:paraId="73DC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98F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A6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中国建设银行股份有限公司台州路桥支行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CF0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A6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徐剑鸿</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87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15167671223</w:t>
            </w:r>
          </w:p>
        </w:tc>
      </w:tr>
      <w:tr w14:paraId="3F2C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D2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DA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中国工商银行股份有限公司台州路桥支行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E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822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倪  昊</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5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15968680259</w:t>
            </w:r>
          </w:p>
        </w:tc>
      </w:tr>
      <w:tr w14:paraId="59841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BC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53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中国农业银行股份有限公司台州路桥支行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57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3.85%起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27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丁道兵</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38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13606668045</w:t>
            </w:r>
          </w:p>
        </w:tc>
      </w:tr>
      <w:tr w14:paraId="75FC2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19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F44E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中国银行股份有限公司台州市路桥区支行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1F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D6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  斌</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27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13750661198</w:t>
            </w:r>
          </w:p>
        </w:tc>
      </w:tr>
      <w:tr w14:paraId="68EA3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9A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8F1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台州银行股份有限公司</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20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CC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黄红芹</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2B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13968689000</w:t>
            </w:r>
          </w:p>
        </w:tc>
      </w:tr>
      <w:tr w14:paraId="42254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C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40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浙江泰隆商业银行股份有限公司</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5A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E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冯观凤</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8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17858683988</w:t>
            </w:r>
          </w:p>
        </w:tc>
      </w:tr>
      <w:tr w14:paraId="7648F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6E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0B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中国邮政储蓄银行股份有限公司台州市路桥区支行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D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4.35%起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CA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沈丹华</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01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13306566969</w:t>
            </w:r>
          </w:p>
        </w:tc>
      </w:tr>
      <w:tr w14:paraId="32566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8E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E3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交通银行股份有限公司台州路桥支行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6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F2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刘鲁浙</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4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15968662111</w:t>
            </w:r>
          </w:p>
        </w:tc>
      </w:tr>
      <w:tr w14:paraId="1EB6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DD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DB5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兴业银行股份有限公司台州路桥支行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308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8B4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蒋  峰</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2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13586088395</w:t>
            </w:r>
          </w:p>
        </w:tc>
      </w:tr>
      <w:tr w14:paraId="5F2C2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98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D2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中信银行股份有限公司台州路桥支行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17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4.15%起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0C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曹筱婕</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34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18105768199</w:t>
            </w:r>
          </w:p>
        </w:tc>
      </w:tr>
      <w:tr w14:paraId="29F0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1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668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浙商银行股份有限公司台州路桥小微企业专营支行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D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8E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庄道勇</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A5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13867611023</w:t>
            </w:r>
          </w:p>
        </w:tc>
      </w:tr>
      <w:tr w14:paraId="2777D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D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CF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广发银行股份有限公司台州路桥小微企业专营支行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3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5.65%</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83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林  春</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51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13858687790</w:t>
            </w:r>
          </w:p>
        </w:tc>
      </w:tr>
      <w:tr w14:paraId="1217C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5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47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平安银行股份有限公司台州路桥小微企业专营支行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72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C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李俊丽</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E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15906861025</w:t>
            </w:r>
          </w:p>
        </w:tc>
      </w:tr>
      <w:tr w14:paraId="5F3FA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D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5C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宁波银行股份有限公司台州路桥小微企业专营支行</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88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9B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李诚杰</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7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13395745558</w:t>
            </w:r>
          </w:p>
        </w:tc>
      </w:tr>
      <w:tr w14:paraId="47EF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1A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64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浙江台州路桥富民村镇银行股份有限公司</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68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83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金根灵</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5C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13157608788</w:t>
            </w:r>
          </w:p>
        </w:tc>
      </w:tr>
    </w:tbl>
    <w:p w14:paraId="7DC20818">
      <w:pPr>
        <w:keepNext w:val="0"/>
        <w:keepLines w:val="0"/>
        <w:pageBreakBefore w:val="0"/>
        <w:kinsoku/>
        <w:topLinePunct w:val="0"/>
        <w:bidi w:val="0"/>
        <w:spacing w:beforeAutospacing="0" w:afterAutospacing="0"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十</w:t>
      </w: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采购（中标）公告发布媒体：</w:t>
      </w:r>
      <w:r>
        <w:rPr>
          <w:rFonts w:hint="eastAsia" w:ascii="宋体" w:hAnsi="宋体" w:eastAsia="宋体" w:cs="宋体"/>
          <w:color w:val="auto"/>
          <w:szCs w:val="21"/>
          <w:highlight w:val="none"/>
        </w:rPr>
        <w:t>浙江政府采购网（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"http://www.zjzfcg.gov.cn/new/" </w:instrText>
      </w:r>
      <w:r>
        <w:rPr>
          <w:rFonts w:hint="eastAsia" w:ascii="宋体" w:hAnsi="宋体" w:eastAsia="宋体" w:cs="宋体"/>
          <w:color w:val="auto"/>
          <w:highlight w:val="none"/>
        </w:rPr>
        <w:fldChar w:fldCharType="separate"/>
      </w:r>
      <w:r>
        <w:rPr>
          <w:rStyle w:val="29"/>
          <w:rFonts w:hint="eastAsia" w:ascii="宋体" w:hAnsi="宋体" w:eastAsia="宋体" w:cs="宋体"/>
          <w:color w:val="auto"/>
          <w:szCs w:val="21"/>
          <w:highlight w:val="none"/>
        </w:rPr>
        <w:t>http://zfcg.czt.zj.gov.cn</w:t>
      </w:r>
      <w:r>
        <w:rPr>
          <w:rStyle w:val="29"/>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20DA4EAD">
      <w:pPr>
        <w:spacing w:line="360" w:lineRule="auto"/>
        <w:ind w:right="-252" w:rightChars="-120"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备注：请贵单位下载本次招标采购文件后，认真阅读各项内容，进行必要的准备工作，按文件的要求详细填写和编制响应文件，并按以上确定的时间、地点准时上传投标文件。</w:t>
      </w:r>
    </w:p>
    <w:p w14:paraId="0D637DFC">
      <w:pPr>
        <w:jc w:val="right"/>
        <w:rPr>
          <w:rFonts w:hint="eastAsia" w:ascii="宋体" w:hAnsi="宋体" w:eastAsia="宋体" w:cs="宋体"/>
          <w:color w:val="auto"/>
          <w:szCs w:val="21"/>
          <w:highlight w:val="none"/>
        </w:rPr>
      </w:pPr>
    </w:p>
    <w:p w14:paraId="525147F1">
      <w:pPr>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台州永安工程咨询有限公司</w:t>
      </w:r>
    </w:p>
    <w:p w14:paraId="37A03D1B">
      <w:pPr>
        <w:pStyle w:val="9"/>
        <w:jc w:val="righ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w:t>
      </w:r>
      <w:r>
        <w:rPr>
          <w:rFonts w:hint="eastAsia" w:ascii="宋体" w:hAnsi="宋体" w:eastAsia="宋体" w:cs="宋体"/>
          <w:color w:val="auto"/>
          <w:szCs w:val="21"/>
          <w:highlight w:val="none"/>
          <w:lang w:eastAsia="zh-CN"/>
        </w:rPr>
        <w:t>二五年一月</w:t>
      </w:r>
    </w:p>
    <w:p w14:paraId="778C2315">
      <w:pPr>
        <w:pStyle w:val="9"/>
        <w:jc w:val="right"/>
        <w:rPr>
          <w:rFonts w:hint="eastAsia" w:ascii="宋体" w:hAnsi="宋体" w:eastAsia="宋体" w:cs="宋体"/>
          <w:color w:val="auto"/>
          <w:szCs w:val="21"/>
          <w:highlight w:val="none"/>
        </w:rPr>
      </w:pPr>
    </w:p>
    <w:p w14:paraId="311B6808">
      <w:pPr>
        <w:pStyle w:val="9"/>
        <w:jc w:val="right"/>
        <w:rPr>
          <w:rFonts w:hint="eastAsia" w:ascii="宋体" w:hAnsi="宋体" w:eastAsia="宋体" w:cs="宋体"/>
          <w:color w:val="auto"/>
          <w:sz w:val="24"/>
          <w:highlight w:val="none"/>
        </w:rPr>
      </w:pPr>
    </w:p>
    <w:p w14:paraId="2699AEFE">
      <w:pPr>
        <w:pStyle w:val="10"/>
        <w:rPr>
          <w:rFonts w:hint="eastAsia" w:ascii="宋体" w:hAnsi="宋体" w:eastAsia="宋体" w:cs="宋体"/>
          <w:color w:val="auto"/>
          <w:sz w:val="24"/>
          <w:highlight w:val="none"/>
        </w:rPr>
      </w:pPr>
    </w:p>
    <w:p w14:paraId="0C1023A2">
      <w:pPr>
        <w:rPr>
          <w:rFonts w:hint="eastAsia" w:ascii="宋体" w:hAnsi="宋体" w:eastAsia="宋体" w:cs="宋体"/>
          <w:color w:val="auto"/>
          <w:highlight w:val="none"/>
        </w:rPr>
      </w:pPr>
    </w:p>
    <w:p w14:paraId="72D683B9">
      <w:pPr>
        <w:numPr>
          <w:ilvl w:val="0"/>
          <w:numId w:val="3"/>
        </w:numPr>
        <w:spacing w:line="360" w:lineRule="auto"/>
        <w:jc w:val="center"/>
        <w:rPr>
          <w:rFonts w:hint="eastAsia" w:ascii="宋体" w:hAnsi="宋体" w:eastAsia="宋体" w:cs="宋体"/>
          <w:b/>
          <w:color w:val="auto"/>
          <w:sz w:val="36"/>
          <w:szCs w:val="36"/>
          <w:highlight w:val="none"/>
        </w:rPr>
        <w:sectPr>
          <w:pgSz w:w="11906" w:h="16838"/>
          <w:pgMar w:top="1440" w:right="1440" w:bottom="1440" w:left="1803" w:header="851" w:footer="992" w:gutter="0"/>
          <w:pgNumType w:fmt="decimal"/>
          <w:cols w:space="0" w:num="1"/>
          <w:docGrid w:type="lines" w:linePitch="325" w:charSpace="0"/>
        </w:sectPr>
      </w:pPr>
    </w:p>
    <w:p w14:paraId="792EAC85">
      <w:pPr>
        <w:numPr>
          <w:ilvl w:val="0"/>
          <w:numId w:val="0"/>
        </w:num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 xml:space="preserve">第二章 </w:t>
      </w:r>
      <w:r>
        <w:rPr>
          <w:rFonts w:hint="eastAsia" w:ascii="宋体" w:hAnsi="宋体" w:eastAsia="宋体" w:cs="宋体"/>
          <w:b/>
          <w:color w:val="auto"/>
          <w:sz w:val="36"/>
          <w:szCs w:val="36"/>
          <w:highlight w:val="none"/>
        </w:rPr>
        <w:t>投标人须知</w:t>
      </w:r>
    </w:p>
    <w:p w14:paraId="513C265C">
      <w:pPr>
        <w:spacing w:line="360" w:lineRule="auto"/>
        <w:jc w:val="center"/>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前  附 表</w:t>
      </w:r>
    </w:p>
    <w:tbl>
      <w:tblPr>
        <w:tblStyle w:val="24"/>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23"/>
        <w:gridCol w:w="6692"/>
      </w:tblGrid>
      <w:tr w14:paraId="58EA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18" w:type="dxa"/>
            <w:vAlign w:val="center"/>
          </w:tcPr>
          <w:p w14:paraId="5CDF21A3">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2123" w:type="dxa"/>
            <w:vAlign w:val="center"/>
          </w:tcPr>
          <w:p w14:paraId="14577C46">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w:t>
            </w:r>
          </w:p>
        </w:tc>
        <w:tc>
          <w:tcPr>
            <w:tcW w:w="6692" w:type="dxa"/>
            <w:vAlign w:val="center"/>
          </w:tcPr>
          <w:p w14:paraId="690EF6A3">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内容</w:t>
            </w:r>
          </w:p>
        </w:tc>
      </w:tr>
      <w:tr w14:paraId="3E0E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8" w:type="dxa"/>
            <w:vAlign w:val="center"/>
          </w:tcPr>
          <w:p w14:paraId="2816A26D">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w:t>
            </w:r>
          </w:p>
        </w:tc>
        <w:tc>
          <w:tcPr>
            <w:tcW w:w="2123" w:type="dxa"/>
            <w:vAlign w:val="center"/>
          </w:tcPr>
          <w:p w14:paraId="77D0141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项目说明</w:t>
            </w:r>
          </w:p>
        </w:tc>
        <w:tc>
          <w:tcPr>
            <w:tcW w:w="6692" w:type="dxa"/>
            <w:vAlign w:val="center"/>
          </w:tcPr>
          <w:p w14:paraId="6BDB055F">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项目类别：服务类</w:t>
            </w:r>
          </w:p>
          <w:p w14:paraId="0F1F7080">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采购标的所属行业：根据《工业和信息化部、国家统计局、国家发展和改革委员会、财政部关于印发中小企业划型标准规定的通知》（工信部联企业[2011]300号）规定，本项目采购标的对应的中小企业划分标准所属行业为（十六）其他未列明行业。</w:t>
            </w:r>
          </w:p>
        </w:tc>
      </w:tr>
      <w:tr w14:paraId="3403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8" w:type="dxa"/>
            <w:vAlign w:val="center"/>
          </w:tcPr>
          <w:p w14:paraId="0CC761DB">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p>
        </w:tc>
        <w:tc>
          <w:tcPr>
            <w:tcW w:w="2123" w:type="dxa"/>
            <w:vAlign w:val="center"/>
          </w:tcPr>
          <w:p w14:paraId="00DEDBD2">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供应商特定资格要求</w:t>
            </w:r>
          </w:p>
        </w:tc>
        <w:tc>
          <w:tcPr>
            <w:tcW w:w="6692" w:type="dxa"/>
            <w:vAlign w:val="center"/>
          </w:tcPr>
          <w:p w14:paraId="7151E4B9">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符合招标公告资格要求的供应商</w:t>
            </w:r>
          </w:p>
        </w:tc>
      </w:tr>
      <w:tr w14:paraId="3837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8" w:type="dxa"/>
            <w:vAlign w:val="center"/>
          </w:tcPr>
          <w:p w14:paraId="4D580E5E">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c>
          <w:tcPr>
            <w:tcW w:w="2123" w:type="dxa"/>
            <w:vAlign w:val="center"/>
          </w:tcPr>
          <w:p w14:paraId="54308D34">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答疑会或现场踏勘</w:t>
            </w:r>
          </w:p>
        </w:tc>
        <w:tc>
          <w:tcPr>
            <w:tcW w:w="6692" w:type="dxa"/>
            <w:vAlign w:val="center"/>
          </w:tcPr>
          <w:p w14:paraId="673EF790">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1E47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8" w:type="dxa"/>
            <w:vAlign w:val="center"/>
          </w:tcPr>
          <w:p w14:paraId="6D8B3EF4">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2123" w:type="dxa"/>
            <w:vAlign w:val="center"/>
          </w:tcPr>
          <w:p w14:paraId="41864CF3">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组成</w:t>
            </w:r>
            <w:r>
              <w:rPr>
                <w:rFonts w:hint="eastAsia" w:ascii="宋体" w:hAnsi="宋体" w:eastAsia="宋体" w:cs="宋体"/>
                <w:color w:val="auto"/>
                <w:sz w:val="21"/>
                <w:szCs w:val="21"/>
                <w:highlight w:val="none"/>
              </w:rPr>
              <w:t>要求</w:t>
            </w:r>
          </w:p>
        </w:tc>
        <w:tc>
          <w:tcPr>
            <w:tcW w:w="6692" w:type="dxa"/>
            <w:vAlign w:val="center"/>
          </w:tcPr>
          <w:p w14:paraId="150EC172">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本项目实行电子投标，供应商应准备电子投标文件、</w:t>
            </w:r>
            <w:r>
              <w:rPr>
                <w:rFonts w:hint="eastAsia" w:ascii="宋体" w:hAnsi="宋体" w:eastAsia="宋体" w:cs="宋体"/>
                <w:color w:val="auto"/>
                <w:sz w:val="21"/>
                <w:szCs w:val="21"/>
                <w:highlight w:val="none"/>
                <w:lang w:val="en-US" w:eastAsia="zh-CN"/>
              </w:rPr>
              <w:t>还可以提供</w:t>
            </w:r>
            <w:r>
              <w:rPr>
                <w:rFonts w:hint="eastAsia" w:ascii="宋体" w:hAnsi="宋体" w:eastAsia="宋体" w:cs="宋体"/>
                <w:color w:val="auto"/>
                <w:sz w:val="21"/>
                <w:szCs w:val="21"/>
                <w:highlight w:val="none"/>
              </w:rPr>
              <w:t>以介质（U盘）存储的数据电文形式的备份投标文件</w:t>
            </w:r>
            <w:r>
              <w:rPr>
                <w:rFonts w:hint="eastAsia" w:ascii="宋体" w:hAnsi="宋体" w:eastAsia="宋体" w:cs="宋体"/>
                <w:color w:val="auto"/>
                <w:sz w:val="21"/>
                <w:szCs w:val="21"/>
                <w:highlight w:val="none"/>
                <w:lang w:eastAsia="zh-CN"/>
              </w:rPr>
              <w:t>。</w:t>
            </w:r>
          </w:p>
          <w:p w14:paraId="714424EF">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电子投标文件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指通过“</w:t>
            </w:r>
            <w:r>
              <w:rPr>
                <w:rFonts w:hint="eastAsia" w:ascii="宋体" w:hAnsi="宋体" w:eastAsia="宋体" w:cs="宋体"/>
                <w:color w:val="auto"/>
                <w:sz w:val="21"/>
                <w:szCs w:val="21"/>
                <w:highlight w:val="none"/>
                <w:lang w:eastAsia="zh-CN"/>
              </w:rPr>
              <w:t>政采云电子投标客户端</w:t>
            </w:r>
            <w:r>
              <w:rPr>
                <w:rFonts w:hint="eastAsia" w:ascii="宋体" w:hAnsi="宋体" w:eastAsia="宋体" w:cs="宋体"/>
                <w:color w:val="auto"/>
                <w:sz w:val="21"/>
                <w:szCs w:val="21"/>
                <w:highlight w:val="none"/>
              </w:rPr>
              <w:t>”完成</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文件编制后生成并加密的数据电文形式的</w:t>
            </w:r>
            <w:r>
              <w:rPr>
                <w:rFonts w:hint="eastAsia" w:ascii="宋体" w:hAnsi="宋体" w:eastAsia="宋体" w:cs="宋体"/>
                <w:color w:val="auto"/>
                <w:sz w:val="21"/>
                <w:szCs w:val="21"/>
                <w:highlight w:val="none"/>
                <w:lang w:val="en-US" w:eastAsia="zh-CN"/>
              </w:rPr>
              <w:t>电子投标</w:t>
            </w:r>
            <w:r>
              <w:rPr>
                <w:rFonts w:hint="eastAsia" w:ascii="宋体" w:hAnsi="宋体" w:eastAsia="宋体" w:cs="宋体"/>
                <w:color w:val="auto"/>
                <w:sz w:val="21"/>
                <w:szCs w:val="21"/>
                <w:highlight w:val="none"/>
              </w:rPr>
              <w:t>文件。</w:t>
            </w:r>
          </w:p>
          <w:p w14:paraId="1AAB5529">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备份</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是指“电子投标文件”同时生成的数据电文形式的电子文件（备份标书），以U盘形式提供。</w:t>
            </w:r>
          </w:p>
          <w:p w14:paraId="7A81E1AD">
            <w:pPr>
              <w:spacing w:line="24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以上两类</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文件均由资格</w:t>
            </w:r>
            <w:r>
              <w:rPr>
                <w:rFonts w:hint="eastAsia" w:ascii="宋体" w:hAnsi="宋体" w:eastAsia="宋体" w:cs="宋体"/>
                <w:color w:val="auto"/>
                <w:sz w:val="21"/>
                <w:szCs w:val="21"/>
                <w:highlight w:val="none"/>
                <w:lang w:val="en-US" w:eastAsia="zh-CN"/>
              </w:rPr>
              <w:t>证明文件</w:t>
            </w:r>
            <w:r>
              <w:rPr>
                <w:rFonts w:hint="eastAsia" w:ascii="宋体" w:hAnsi="宋体" w:eastAsia="宋体" w:cs="宋体"/>
                <w:color w:val="auto"/>
                <w:sz w:val="21"/>
                <w:szCs w:val="21"/>
                <w:highlight w:val="none"/>
              </w:rPr>
              <w:t>、商务技术文件、报价文件三部分组成。</w:t>
            </w:r>
          </w:p>
        </w:tc>
      </w:tr>
      <w:tr w14:paraId="0010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8" w:type="dxa"/>
            <w:vAlign w:val="center"/>
          </w:tcPr>
          <w:p w14:paraId="4DDB4D3A">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p>
        </w:tc>
        <w:tc>
          <w:tcPr>
            <w:tcW w:w="2123" w:type="dxa"/>
            <w:vAlign w:val="center"/>
          </w:tcPr>
          <w:p w14:paraId="17EB2BF7">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投标文件有效期</w:t>
            </w:r>
          </w:p>
        </w:tc>
        <w:tc>
          <w:tcPr>
            <w:tcW w:w="6692" w:type="dxa"/>
            <w:vAlign w:val="center"/>
          </w:tcPr>
          <w:p w14:paraId="55C73E33">
            <w:pPr>
              <w:spacing w:line="240" w:lineRule="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Cs w:val="21"/>
                <w:highlight w:val="none"/>
              </w:rPr>
              <w:t>投标有效期为90天，投标有效期从提交投标文件的截止之日起算。</w:t>
            </w:r>
          </w:p>
        </w:tc>
      </w:tr>
      <w:tr w14:paraId="250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8" w:type="dxa"/>
            <w:vAlign w:val="center"/>
          </w:tcPr>
          <w:p w14:paraId="6816E69A">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p>
        </w:tc>
        <w:tc>
          <w:tcPr>
            <w:tcW w:w="2123" w:type="dxa"/>
            <w:vAlign w:val="center"/>
          </w:tcPr>
          <w:p w14:paraId="1304A459">
            <w:pPr>
              <w:pStyle w:val="9"/>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电子投标文件的传输递交</w:t>
            </w:r>
          </w:p>
        </w:tc>
        <w:tc>
          <w:tcPr>
            <w:tcW w:w="6692" w:type="dxa"/>
            <w:vAlign w:val="center"/>
          </w:tcPr>
          <w:p w14:paraId="09D41941">
            <w:pPr>
              <w:spacing w:line="240" w:lineRule="auto"/>
              <w:rPr>
                <w:rFonts w:hint="eastAsia" w:ascii="宋体" w:hAnsi="宋体" w:eastAsia="宋体" w:cs="宋体"/>
                <w:b/>
                <w:bCs/>
                <w:color w:val="auto"/>
                <w:szCs w:val="21"/>
                <w:highlight w:val="none"/>
                <w:u w:val="single"/>
              </w:rPr>
            </w:pPr>
            <w:r>
              <w:rPr>
                <w:rFonts w:hint="eastAsia" w:ascii="宋体" w:hAnsi="宋体" w:eastAsia="宋体" w:cs="宋体"/>
                <w:b/>
                <w:bCs/>
                <w:color w:val="auto"/>
                <w:szCs w:val="21"/>
                <w:highlight w:val="none"/>
              </w:rPr>
              <w:t>截止时间：</w:t>
            </w:r>
            <w:r>
              <w:rPr>
                <w:rFonts w:hint="eastAsia" w:ascii="宋体" w:hAnsi="宋体" w:eastAsia="宋体" w:cs="宋体"/>
                <w:color w:val="auto"/>
                <w:szCs w:val="21"/>
                <w:highlight w:val="none"/>
              </w:rPr>
              <w:t xml:space="preserve"> </w:t>
            </w:r>
            <w:r>
              <w:rPr>
                <w:rFonts w:hint="eastAsia" w:ascii="宋体" w:hAnsi="宋体" w:cs="宋体"/>
                <w:b/>
                <w:bCs/>
                <w:color w:val="auto"/>
                <w:szCs w:val="21"/>
                <w:highlight w:val="none"/>
                <w:u w:val="single"/>
                <w:lang w:eastAsia="zh-CN"/>
              </w:rPr>
              <w:t>2025年2月12日14:00</w:t>
            </w:r>
            <w:r>
              <w:rPr>
                <w:rFonts w:hint="eastAsia" w:ascii="宋体" w:hAnsi="宋体" w:eastAsia="宋体" w:cs="宋体"/>
                <w:b/>
                <w:bCs/>
                <w:color w:val="auto"/>
                <w:szCs w:val="21"/>
                <w:highlight w:val="none"/>
                <w:u w:val="single"/>
                <w:lang w:eastAsia="zh-CN"/>
              </w:rPr>
              <w:t>整</w:t>
            </w:r>
          </w:p>
          <w:p w14:paraId="7E842543">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寄达的投标文件，将被拒收。</w:t>
            </w:r>
          </w:p>
        </w:tc>
      </w:tr>
      <w:tr w14:paraId="6514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8" w:type="dxa"/>
            <w:vAlign w:val="center"/>
          </w:tcPr>
          <w:p w14:paraId="1BA7C7F0">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p>
        </w:tc>
        <w:tc>
          <w:tcPr>
            <w:tcW w:w="2123" w:type="dxa"/>
            <w:vAlign w:val="center"/>
          </w:tcPr>
          <w:p w14:paraId="3E7B3C19">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备份投标文件的递交</w:t>
            </w:r>
          </w:p>
        </w:tc>
        <w:tc>
          <w:tcPr>
            <w:tcW w:w="6692" w:type="dxa"/>
            <w:vAlign w:val="center"/>
          </w:tcPr>
          <w:p w14:paraId="1CA4A12B">
            <w:pPr>
              <w:pStyle w:val="54"/>
              <w:snapToGrid w:val="0"/>
              <w:spacing w:line="240" w:lineRule="auto"/>
              <w:rPr>
                <w:rFonts w:hint="eastAsia" w:ascii="宋体" w:hAnsi="宋体" w:eastAsia="宋体" w:cs="宋体"/>
                <w:color w:val="auto"/>
                <w:kern w:val="2"/>
                <w:highlight w:val="none"/>
              </w:rPr>
            </w:pPr>
            <w:r>
              <w:rPr>
                <w:rFonts w:hint="eastAsia" w:ascii="宋体" w:hAnsi="宋体" w:eastAsia="宋体" w:cs="宋体"/>
                <w:color w:val="auto"/>
                <w:kern w:val="2"/>
                <w:highlight w:val="none"/>
              </w:rPr>
              <w:t>供应商同时还可以提供经政采云平台加密处理的、以介质（U盘）存储的数据电文形式的备份投标文件（不强制要求，未递交备份文件的风险由供应商自行承担）。递交备份</w:t>
            </w:r>
            <w:r>
              <w:rPr>
                <w:rFonts w:hint="eastAsia" w:ascii="宋体" w:hAnsi="宋体" w:eastAsia="宋体" w:cs="宋体"/>
                <w:color w:val="auto"/>
                <w:kern w:val="2"/>
                <w:highlight w:val="none"/>
                <w:lang w:val="en-US" w:eastAsia="zh-CN"/>
              </w:rPr>
              <w:t>投标</w:t>
            </w:r>
            <w:r>
              <w:rPr>
                <w:rFonts w:hint="eastAsia" w:ascii="宋体" w:hAnsi="宋体" w:eastAsia="宋体" w:cs="宋体"/>
                <w:color w:val="auto"/>
                <w:kern w:val="2"/>
                <w:highlight w:val="none"/>
              </w:rPr>
              <w:t>文件的，供应商应当在投标截止时间前按要求密封（备份投标文件在密封袋的封口处加盖投标人公章、法定代表人代表或授权委托代理人印章或签字。封皮上写明项目编号、标项、招标项目名称、投标人名称，并注明“投标文件名称”、“开标时启封”字样）并</w:t>
            </w:r>
            <w:r>
              <w:rPr>
                <w:rFonts w:hint="eastAsia" w:ascii="宋体" w:hAnsi="宋体" w:eastAsia="宋体" w:cs="宋体"/>
                <w:color w:val="auto"/>
                <w:kern w:val="2"/>
                <w:highlight w:val="none"/>
                <w:lang w:val="en-US" w:eastAsia="zh-CN"/>
              </w:rPr>
              <w:t>建议</w:t>
            </w:r>
            <w:r>
              <w:rPr>
                <w:rFonts w:hint="eastAsia" w:ascii="宋体" w:hAnsi="宋体" w:eastAsia="宋体" w:cs="宋体"/>
                <w:color w:val="auto"/>
                <w:kern w:val="2"/>
                <w:highlight w:val="none"/>
              </w:rPr>
              <w:t>顺丰邮寄或直接递交到</w:t>
            </w:r>
            <w:r>
              <w:rPr>
                <w:rFonts w:hint="eastAsia" w:ascii="宋体" w:hAnsi="宋体" w:eastAsia="宋体" w:cs="宋体"/>
                <w:b/>
                <w:bCs/>
                <w:color w:val="auto"/>
                <w:kern w:val="2"/>
                <w:highlight w:val="none"/>
              </w:rPr>
              <w:t>台州市椒江区中环世纪6幢801室（交通银行台州分行楼上）收件人：俞雅琪；联系电话：15757696186</w:t>
            </w:r>
            <w:r>
              <w:rPr>
                <w:rFonts w:hint="eastAsia" w:ascii="宋体" w:hAnsi="宋体" w:eastAsia="宋体" w:cs="宋体"/>
                <w:color w:val="auto"/>
                <w:kern w:val="2"/>
                <w:highlight w:val="none"/>
              </w:rPr>
              <w:t>，逾期寄达</w:t>
            </w:r>
            <w:r>
              <w:rPr>
                <w:rFonts w:hint="eastAsia" w:ascii="宋体" w:hAnsi="宋体" w:eastAsia="宋体" w:cs="宋体"/>
                <w:color w:val="auto"/>
                <w:kern w:val="2"/>
                <w:highlight w:val="none"/>
                <w:lang w:eastAsia="zh-CN"/>
              </w:rPr>
              <w:t>、</w:t>
            </w:r>
            <w:r>
              <w:rPr>
                <w:rFonts w:hint="eastAsia" w:ascii="宋体" w:hAnsi="宋体" w:eastAsia="宋体" w:cs="宋体"/>
                <w:color w:val="auto"/>
                <w:kern w:val="2"/>
                <w:highlight w:val="none"/>
                <w:lang w:val="en-US" w:eastAsia="zh-CN"/>
              </w:rPr>
              <w:t>到付</w:t>
            </w:r>
            <w:r>
              <w:rPr>
                <w:rFonts w:hint="eastAsia" w:ascii="宋体" w:hAnsi="宋体" w:eastAsia="宋体" w:cs="宋体"/>
                <w:color w:val="auto"/>
                <w:kern w:val="2"/>
                <w:highlight w:val="none"/>
              </w:rPr>
              <w:t>或未按要求密封将被拒收。</w:t>
            </w:r>
            <w:r>
              <w:rPr>
                <w:rFonts w:hint="eastAsia" w:ascii="宋体" w:hAnsi="宋体" w:eastAsia="宋体" w:cs="宋体"/>
                <w:color w:val="auto"/>
                <w:szCs w:val="21"/>
                <w:highlight w:val="none"/>
              </w:rPr>
              <w:t>▲</w:t>
            </w:r>
            <w:r>
              <w:rPr>
                <w:rFonts w:hint="eastAsia" w:ascii="宋体" w:hAnsi="宋体" w:eastAsia="宋体" w:cs="宋体"/>
                <w:color w:val="auto"/>
                <w:kern w:val="2"/>
                <w:highlight w:val="none"/>
              </w:rPr>
              <w:t>如投标人未在投标截止时间前完成电子投标文件的传输递交，其备份投标文件也将为无效投标文件。</w:t>
            </w:r>
          </w:p>
          <w:p w14:paraId="6E4C619C">
            <w:pPr>
              <w:spacing w:line="240" w:lineRule="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截止时间：</w:t>
            </w:r>
            <w:r>
              <w:rPr>
                <w:rFonts w:hint="eastAsia" w:ascii="宋体" w:hAnsi="宋体" w:eastAsia="宋体" w:cs="宋体"/>
                <w:b/>
                <w:bCs/>
                <w:color w:val="auto"/>
                <w:szCs w:val="21"/>
                <w:highlight w:val="none"/>
                <w:u w:val="single"/>
              </w:rPr>
              <w:t xml:space="preserve"> </w:t>
            </w:r>
            <w:r>
              <w:rPr>
                <w:rFonts w:hint="eastAsia" w:ascii="宋体" w:hAnsi="宋体" w:cs="宋体"/>
                <w:b/>
                <w:bCs/>
                <w:color w:val="auto"/>
                <w:szCs w:val="21"/>
                <w:highlight w:val="none"/>
                <w:u w:val="single"/>
                <w:lang w:eastAsia="zh-CN"/>
              </w:rPr>
              <w:t>2025年2月12日14:00</w:t>
            </w:r>
            <w:r>
              <w:rPr>
                <w:rFonts w:hint="eastAsia" w:ascii="宋体" w:hAnsi="宋体" w:eastAsia="宋体" w:cs="宋体"/>
                <w:b/>
                <w:bCs/>
                <w:color w:val="auto"/>
                <w:szCs w:val="21"/>
                <w:highlight w:val="none"/>
                <w:u w:val="single"/>
                <w:lang w:eastAsia="zh-CN"/>
              </w:rPr>
              <w:t>整</w:t>
            </w:r>
          </w:p>
        </w:tc>
      </w:tr>
      <w:tr w14:paraId="4878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8" w:type="dxa"/>
            <w:vAlign w:val="center"/>
          </w:tcPr>
          <w:p w14:paraId="43DA9F09">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p>
        </w:tc>
        <w:tc>
          <w:tcPr>
            <w:tcW w:w="2123" w:type="dxa"/>
            <w:vAlign w:val="center"/>
          </w:tcPr>
          <w:p w14:paraId="08C277FA">
            <w:pPr>
              <w:keepNext w:val="0"/>
              <w:keepLines w:val="0"/>
              <w:pageBreakBefore w:val="0"/>
              <w:kinsoku/>
              <w:wordWrap/>
              <w:overflowPunct/>
              <w:topLinePunct w:val="0"/>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备份投标文件</w:t>
            </w:r>
            <w:r>
              <w:rPr>
                <w:rFonts w:hint="eastAsia" w:ascii="宋体" w:hAnsi="宋体" w:eastAsia="宋体" w:cs="宋体"/>
                <w:color w:val="auto"/>
                <w:sz w:val="21"/>
                <w:szCs w:val="21"/>
                <w:highlight w:val="none"/>
                <w:lang w:eastAsia="zh-CN"/>
              </w:rPr>
              <w:t>份数</w:t>
            </w:r>
            <w:r>
              <w:rPr>
                <w:rFonts w:hint="eastAsia" w:ascii="宋体" w:hAnsi="宋体" w:eastAsia="宋体" w:cs="宋体"/>
                <w:color w:val="auto"/>
                <w:sz w:val="21"/>
                <w:szCs w:val="21"/>
                <w:highlight w:val="none"/>
                <w:lang w:val="en-US" w:eastAsia="zh-CN"/>
              </w:rPr>
              <w:t>及密封要求</w:t>
            </w:r>
          </w:p>
        </w:tc>
        <w:tc>
          <w:tcPr>
            <w:tcW w:w="6692" w:type="dxa"/>
            <w:vAlign w:val="center"/>
          </w:tcPr>
          <w:p w14:paraId="6083C5A7">
            <w:pPr>
              <w:pStyle w:val="20"/>
              <w:keepNext w:val="0"/>
              <w:keepLines w:val="0"/>
              <w:pageBreakBefore w:val="0"/>
              <w:numPr>
                <w:ilvl w:val="0"/>
                <w:numId w:val="0"/>
              </w:numPr>
              <w:kinsoku/>
              <w:wordWrap/>
              <w:overflowPunct/>
              <w:topLinePunct w:val="0"/>
              <w:bidi w:val="0"/>
              <w:spacing w:before="0" w:beforeAutospacing="0" w:after="0" w:afterAutospacing="0" w:line="24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一份，以U盘形式提供。</w:t>
            </w:r>
          </w:p>
          <w:p w14:paraId="1EAA5EC8">
            <w:pPr>
              <w:keepNext w:val="0"/>
              <w:keepLines w:val="0"/>
              <w:pageBreakBefore w:val="0"/>
              <w:kinsoku/>
              <w:wordWrap/>
              <w:overflowPunct/>
              <w:topLinePunct w:val="0"/>
              <w:bidi w:val="0"/>
              <w:spacing w:line="24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备份投标文件在密封袋的封口处加盖投标人公章、法定代表人代表或授权委托代理人印章或签字。封皮上写明项目编号、标项、招标项目名称、投标人名称，并注明“投标文件名称”、“开标时启封”字样</w:t>
            </w:r>
            <w:r>
              <w:rPr>
                <w:rFonts w:hint="eastAsia" w:ascii="宋体" w:hAnsi="宋体" w:eastAsia="宋体" w:cs="宋体"/>
                <w:bCs/>
                <w:color w:val="auto"/>
                <w:sz w:val="21"/>
                <w:szCs w:val="21"/>
                <w:highlight w:val="none"/>
                <w:lang w:eastAsia="zh-CN"/>
              </w:rPr>
              <w:t>。</w:t>
            </w:r>
          </w:p>
          <w:p w14:paraId="3892F6EA">
            <w:pPr>
              <w:keepNext w:val="0"/>
              <w:keepLines w:val="0"/>
              <w:pageBreakBefore w:val="0"/>
              <w:kinsoku/>
              <w:wordWrap/>
              <w:overflowPunct/>
              <w:topLinePunct w:val="0"/>
              <w:bidi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未按上述要求密封及加写标记</w:t>
            </w:r>
            <w:r>
              <w:rPr>
                <w:rFonts w:hint="eastAsia" w:ascii="宋体" w:hAnsi="宋体" w:eastAsia="宋体" w:cs="宋体"/>
                <w:color w:val="auto"/>
                <w:kern w:val="2"/>
                <w:highlight w:val="none"/>
              </w:rPr>
              <w:t>将被拒收</w:t>
            </w:r>
            <w:r>
              <w:rPr>
                <w:rFonts w:hint="eastAsia" w:ascii="宋体" w:hAnsi="宋体" w:eastAsia="宋体" w:cs="宋体"/>
                <w:bCs/>
                <w:color w:val="auto"/>
                <w:sz w:val="21"/>
                <w:szCs w:val="21"/>
                <w:highlight w:val="none"/>
              </w:rPr>
              <w:t>，采购代理机构对投标文件的误投和提前启封不负责任。</w:t>
            </w:r>
          </w:p>
          <w:p w14:paraId="6501CA20">
            <w:pPr>
              <w:keepNext w:val="0"/>
              <w:keepLines w:val="0"/>
              <w:pageBreakBefore w:val="0"/>
              <w:kinsoku/>
              <w:wordWrap/>
              <w:overflowPunct/>
              <w:topLinePunct w:val="0"/>
              <w:bidi w:val="0"/>
              <w:spacing w:line="240" w:lineRule="auto"/>
              <w:rPr>
                <w:rFonts w:hint="eastAsia" w:ascii="宋体" w:hAnsi="宋体" w:eastAsia="宋体" w:cs="宋体"/>
                <w:b/>
                <w:bCs/>
                <w:color w:val="auto"/>
                <w:szCs w:val="21"/>
                <w:highlight w:val="none"/>
              </w:rPr>
            </w:pPr>
            <w:r>
              <w:rPr>
                <w:rFonts w:hint="eastAsia" w:ascii="宋体" w:hAnsi="宋体" w:eastAsia="宋体" w:cs="宋体"/>
                <w:color w:val="auto"/>
                <w:sz w:val="21"/>
                <w:szCs w:val="21"/>
                <w:highlight w:val="none"/>
              </w:rPr>
              <w:t>如电子投标文件解密成功，则备份投标文件不再拆封。</w:t>
            </w:r>
          </w:p>
        </w:tc>
      </w:tr>
      <w:tr w14:paraId="10D3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18" w:type="dxa"/>
            <w:vAlign w:val="center"/>
          </w:tcPr>
          <w:p w14:paraId="6101E5E9">
            <w:pPr>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p>
        </w:tc>
        <w:tc>
          <w:tcPr>
            <w:tcW w:w="2123" w:type="dxa"/>
            <w:vAlign w:val="center"/>
          </w:tcPr>
          <w:p w14:paraId="739E86FD">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电子投标文件解密时间及地点</w:t>
            </w:r>
          </w:p>
        </w:tc>
        <w:tc>
          <w:tcPr>
            <w:tcW w:w="6692" w:type="dxa"/>
            <w:vAlign w:val="center"/>
          </w:tcPr>
          <w:p w14:paraId="7E13B18B">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w:t>
            </w:r>
            <w:r>
              <w:rPr>
                <w:rFonts w:hint="eastAsia" w:ascii="宋体" w:hAnsi="宋体" w:cs="宋体"/>
                <w:color w:val="auto"/>
                <w:sz w:val="21"/>
                <w:szCs w:val="21"/>
                <w:highlight w:val="none"/>
                <w:lang w:eastAsia="zh-CN"/>
              </w:rPr>
              <w:t>2025年2月12日14:00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14:30</w:t>
            </w:r>
            <w:r>
              <w:rPr>
                <w:rFonts w:hint="eastAsia" w:ascii="宋体" w:hAnsi="宋体" w:eastAsia="宋体" w:cs="宋体"/>
                <w:color w:val="auto"/>
                <w:sz w:val="21"/>
                <w:szCs w:val="21"/>
                <w:highlight w:val="none"/>
              </w:rPr>
              <w:t>（北京时间）</w:t>
            </w:r>
          </w:p>
          <w:p w14:paraId="67400180">
            <w:pPr>
              <w:pStyle w:val="53"/>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地点：</w:t>
            </w:r>
            <w:r>
              <w:rPr>
                <w:rFonts w:hint="eastAsia" w:ascii="宋体" w:hAnsi="宋体" w:eastAsia="宋体" w:cs="宋体"/>
                <w:color w:val="auto"/>
                <w:kern w:val="2"/>
                <w:sz w:val="21"/>
                <w:szCs w:val="21"/>
                <w:highlight w:val="none"/>
                <w:lang w:val="en-US" w:eastAsia="zh-CN" w:bidi="ar-SA"/>
              </w:rPr>
              <w:t>政采云平台（www.zcygov.cn）</w:t>
            </w:r>
          </w:p>
        </w:tc>
      </w:tr>
      <w:tr w14:paraId="393D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8" w:type="dxa"/>
            <w:vAlign w:val="center"/>
          </w:tcPr>
          <w:p w14:paraId="267997FA">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2123" w:type="dxa"/>
            <w:vAlign w:val="center"/>
          </w:tcPr>
          <w:p w14:paraId="4BD59F2D">
            <w:pPr>
              <w:spacing w:line="24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实质性条款</w:t>
            </w:r>
          </w:p>
        </w:tc>
        <w:tc>
          <w:tcPr>
            <w:tcW w:w="6692" w:type="dxa"/>
            <w:vAlign w:val="center"/>
          </w:tcPr>
          <w:p w14:paraId="234388E0">
            <w:pPr>
              <w:spacing w:line="24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带“</w:t>
            </w:r>
            <w:r>
              <w:rPr>
                <w:rFonts w:hint="eastAsia" w:ascii="宋体" w:hAnsi="宋体" w:eastAsia="宋体" w:cs="宋体"/>
                <w:color w:val="auto"/>
                <w:szCs w:val="21"/>
                <w:highlight w:val="none"/>
              </w:rPr>
              <w:t>▲”的条款是实质性条款，投标文件须作出实质性响应，否则作无效投标处理。</w:t>
            </w:r>
          </w:p>
        </w:tc>
      </w:tr>
      <w:tr w14:paraId="199F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18" w:type="dxa"/>
            <w:vAlign w:val="center"/>
          </w:tcPr>
          <w:p w14:paraId="36E2E9A3">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2123" w:type="dxa"/>
            <w:vAlign w:val="center"/>
          </w:tcPr>
          <w:p w14:paraId="31C824C7">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其他要求</w:t>
            </w:r>
          </w:p>
        </w:tc>
        <w:tc>
          <w:tcPr>
            <w:tcW w:w="6692" w:type="dxa"/>
            <w:vAlign w:val="center"/>
          </w:tcPr>
          <w:p w14:paraId="27AA6BAC">
            <w:pPr>
              <w:numPr>
                <w:ilvl w:val="0"/>
                <w:numId w:val="4"/>
              </w:numPr>
              <w:spacing w:line="240" w:lineRule="auto"/>
              <w:jc w:val="left"/>
              <w:rPr>
                <w:rFonts w:hint="eastAsia" w:ascii="宋体" w:hAnsi="宋体" w:eastAsia="宋体" w:cs="宋体"/>
                <w:color w:val="auto"/>
                <w:highlight w:val="none"/>
              </w:rPr>
            </w:pPr>
            <w:r>
              <w:rPr>
                <w:rFonts w:hint="eastAsia" w:ascii="宋体" w:hAnsi="宋体" w:eastAsia="宋体" w:cs="宋体"/>
                <w:color w:val="auto"/>
                <w:highlight w:val="none"/>
              </w:rPr>
              <w:t>踏勘现场时间及地点：不组织，各投标单位根据自己需要，自行前往勘察现场和周围环境，所产生的费用由投标单位自理。</w:t>
            </w:r>
          </w:p>
          <w:p w14:paraId="13E63A36">
            <w:pPr>
              <w:numPr>
                <w:ilvl w:val="0"/>
                <w:numId w:val="4"/>
              </w:numPr>
              <w:spacing w:line="24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节能产品、环保产品：无要求；</w:t>
            </w:r>
          </w:p>
          <w:p w14:paraId="74037164">
            <w:pPr>
              <w:numPr>
                <w:ilvl w:val="0"/>
                <w:numId w:val="4"/>
              </w:numPr>
              <w:spacing w:line="24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样品：无要求；</w:t>
            </w:r>
          </w:p>
          <w:p w14:paraId="118EB254">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4、现场演示：无要求</w:t>
            </w:r>
            <w:r>
              <w:rPr>
                <w:rFonts w:hint="eastAsia" w:ascii="宋体" w:hAnsi="宋体" w:eastAsia="宋体" w:cs="宋体"/>
                <w:color w:val="auto"/>
                <w:szCs w:val="21"/>
                <w:highlight w:val="none"/>
                <w:lang w:eastAsia="zh-CN"/>
              </w:rPr>
              <w:t>；</w:t>
            </w:r>
          </w:p>
          <w:p w14:paraId="4920DB34">
            <w:pPr>
              <w:numPr>
                <w:ilvl w:val="0"/>
                <w:numId w:val="0"/>
              </w:numPr>
              <w:spacing w:line="240" w:lineRule="auto"/>
              <w:ind w:leftChars="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5、履约保证金</w:t>
            </w:r>
            <w:r>
              <w:rPr>
                <w:rFonts w:hint="eastAsia" w:ascii="宋体" w:hAnsi="宋体" w:cs="宋体"/>
                <w:color w:val="auto"/>
                <w:szCs w:val="21"/>
                <w:highlight w:val="none"/>
                <w:lang w:val="en-US" w:eastAsia="zh-CN"/>
              </w:rPr>
              <w:t>：</w:t>
            </w:r>
            <w:r>
              <w:rPr>
                <w:rFonts w:hint="eastAsia" w:ascii="宋体" w:hAnsi="宋体" w:eastAsia="宋体" w:cs="宋体"/>
                <w:color w:val="auto"/>
                <w:sz w:val="21"/>
                <w:szCs w:val="21"/>
                <w:highlight w:val="none"/>
              </w:rPr>
              <w:t>中标方应在收到中标通知书后一周内向采购方提交银行、保险公司等金融机构出具的履约保函，保函</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为合同金额的1%，中标方应确保履约保函在服务期届满前均有效</w:t>
            </w:r>
            <w:r>
              <w:rPr>
                <w:rFonts w:hint="eastAsia" w:ascii="宋体" w:hAnsi="宋体" w:eastAsia="宋体" w:cs="宋体"/>
                <w:color w:val="auto"/>
                <w:szCs w:val="21"/>
                <w:highlight w:val="none"/>
              </w:rPr>
              <w:t>。</w:t>
            </w:r>
          </w:p>
        </w:tc>
      </w:tr>
      <w:tr w14:paraId="7BDF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18" w:type="dxa"/>
            <w:vAlign w:val="center"/>
          </w:tcPr>
          <w:p w14:paraId="4008020F">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2123" w:type="dxa"/>
            <w:vAlign w:val="center"/>
          </w:tcPr>
          <w:p w14:paraId="4CB34466">
            <w:pPr>
              <w:keepNext w:val="0"/>
              <w:keepLines w:val="0"/>
              <w:pageBreakBefore w:val="0"/>
              <w:kinsoku/>
              <w:wordWrap/>
              <w:overflowPunct/>
              <w:topLinePunct w:val="0"/>
              <w:bidi w:val="0"/>
              <w:spacing w:line="240" w:lineRule="auto"/>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中小企业扶持政策</w:t>
            </w:r>
          </w:p>
        </w:tc>
        <w:tc>
          <w:tcPr>
            <w:tcW w:w="6692" w:type="dxa"/>
            <w:vAlign w:val="center"/>
          </w:tcPr>
          <w:p w14:paraId="76311337">
            <w:pPr>
              <w:pStyle w:val="53"/>
              <w:spacing w:line="240" w:lineRule="auto"/>
              <w:rPr>
                <w:rFonts w:hint="eastAsia" w:ascii="宋体" w:hAnsi="宋体" w:eastAsia="宋体" w:cs="宋体"/>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依据《政府采购促进中小企业发展管理办法》（财库【2020】46号）第十二条规定，享受扶持政策获得政府采购合同的，小微企业不得将合同分包给大中型企业，中型企业不得将合同分包给大型企业，否则按违约处理。</w:t>
            </w:r>
          </w:p>
        </w:tc>
      </w:tr>
      <w:tr w14:paraId="2AE7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18" w:type="dxa"/>
            <w:vAlign w:val="center"/>
          </w:tcPr>
          <w:p w14:paraId="7C8F9DA1">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2123" w:type="dxa"/>
            <w:vAlign w:val="center"/>
          </w:tcPr>
          <w:p w14:paraId="7A8B2CC2">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其他</w:t>
            </w:r>
          </w:p>
        </w:tc>
        <w:tc>
          <w:tcPr>
            <w:tcW w:w="6692" w:type="dxa"/>
            <w:vAlign w:val="center"/>
          </w:tcPr>
          <w:p w14:paraId="2B7F3E67">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1、各供应商自行在浙江政府采购网下载或查阅采购文件和相关更正公告等，不另行通知，如有遗漏采购人、采购代理机构概不负责。</w:t>
            </w:r>
          </w:p>
          <w:p w14:paraId="7C3B3BE4">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2、两家或两家以上供应商提供的投标文件出自同一终端设备的，或在相同Internet主机分配地址（相同IP地址）报名或网上投标的，后果由供应商自行承担。</w:t>
            </w:r>
          </w:p>
          <w:p w14:paraId="2B53CC69">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3、开标时间后30分钟内供应商须携带CA自备电脑登录“政采云”平台，用“项目采购-开标评标”功能解密投标文件，投标人未按时解密或解密失败的，其上传的电子投标文件自动失效。</w:t>
            </w:r>
          </w:p>
        </w:tc>
      </w:tr>
      <w:tr w14:paraId="0066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18" w:type="dxa"/>
            <w:vAlign w:val="center"/>
          </w:tcPr>
          <w:p w14:paraId="1E0FC600">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2123" w:type="dxa"/>
            <w:vAlign w:val="center"/>
          </w:tcPr>
          <w:p w14:paraId="6F12D17E">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6692" w:type="dxa"/>
            <w:vAlign w:val="center"/>
          </w:tcPr>
          <w:p w14:paraId="3559581D">
            <w:pPr>
              <w:spacing w:line="24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本招标文件的解释权属于</w:t>
            </w:r>
            <w:r>
              <w:rPr>
                <w:rFonts w:hint="eastAsia" w:ascii="宋体" w:hAnsi="宋体" w:eastAsia="宋体" w:cs="宋体"/>
                <w:b/>
                <w:color w:val="auto"/>
                <w:szCs w:val="21"/>
                <w:highlight w:val="none"/>
              </w:rPr>
              <w:t>台州永安工程咨询有限公司</w:t>
            </w:r>
            <w:r>
              <w:rPr>
                <w:rFonts w:hint="eastAsia" w:ascii="宋体" w:hAnsi="宋体" w:eastAsia="宋体" w:cs="宋体"/>
                <w:b/>
                <w:color w:val="auto"/>
                <w:szCs w:val="21"/>
                <w:highlight w:val="none"/>
                <w:lang w:val="en-US" w:eastAsia="zh-CN"/>
              </w:rPr>
              <w:t>和采购人</w:t>
            </w:r>
          </w:p>
        </w:tc>
      </w:tr>
    </w:tbl>
    <w:p w14:paraId="03BC7349">
      <w:pPr>
        <w:spacing w:line="360" w:lineRule="auto"/>
        <w:rPr>
          <w:rFonts w:hint="eastAsia" w:ascii="宋体" w:hAnsi="宋体" w:eastAsia="宋体" w:cs="宋体"/>
          <w:b/>
          <w:bCs/>
          <w:color w:val="auto"/>
          <w:szCs w:val="21"/>
          <w:highlight w:val="none"/>
        </w:rPr>
      </w:pPr>
    </w:p>
    <w:p w14:paraId="31B42751">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一、总则</w:t>
      </w:r>
    </w:p>
    <w:p w14:paraId="3933EC4A">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 适用范围</w:t>
      </w:r>
    </w:p>
    <w:p w14:paraId="1A3E287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本招标文件适用于本次项目的招标、投标、评标、定标、验收、合同履约、付款等行为（法律、法规另有规定的，从其规定）。</w:t>
      </w:r>
    </w:p>
    <w:p w14:paraId="33F28DB0">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（二）定义</w:t>
      </w:r>
    </w:p>
    <w:p w14:paraId="7666695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“采购组织机构”指采购人委托组织招标的采购代理机构。</w:t>
      </w:r>
    </w:p>
    <w:p w14:paraId="7825267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2、采购人：是指委托</w:t>
      </w:r>
      <w:r>
        <w:rPr>
          <w:rFonts w:hint="eastAsia" w:ascii="宋体" w:hAnsi="宋体" w:eastAsia="宋体" w:cs="宋体"/>
          <w:color w:val="auto"/>
          <w:szCs w:val="21"/>
          <w:highlight w:val="none"/>
          <w:lang w:val="zh-CN"/>
        </w:rPr>
        <w:t>采购代理机构</w:t>
      </w:r>
      <w:r>
        <w:rPr>
          <w:rFonts w:hint="eastAsia" w:ascii="宋体" w:hAnsi="宋体" w:eastAsia="宋体" w:cs="宋体"/>
          <w:color w:val="auto"/>
          <w:szCs w:val="21"/>
          <w:highlight w:val="none"/>
        </w:rPr>
        <w:t>采购本次项目的国家机关、事业单位和团体组织。</w:t>
      </w:r>
    </w:p>
    <w:p w14:paraId="54243B40">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3、投标人：是指向采购</w:t>
      </w:r>
      <w:r>
        <w:rPr>
          <w:rFonts w:hint="eastAsia" w:ascii="宋体" w:hAnsi="宋体" w:eastAsia="宋体" w:cs="宋体"/>
          <w:color w:val="auto"/>
          <w:szCs w:val="21"/>
          <w:highlight w:val="none"/>
          <w:lang w:val="zh-CN"/>
        </w:rPr>
        <w:t>组织</w:t>
      </w:r>
      <w:r>
        <w:rPr>
          <w:rFonts w:hint="eastAsia" w:ascii="宋体" w:hAnsi="宋体" w:eastAsia="宋体" w:cs="宋体"/>
          <w:color w:val="auto"/>
          <w:szCs w:val="21"/>
          <w:highlight w:val="none"/>
        </w:rPr>
        <w:t>机构提交投标文件的单位或个人。</w:t>
      </w:r>
    </w:p>
    <w:p w14:paraId="5C67811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4、货物：是指各种形态和种类的物品，包括原材料、燃料、设备、产品等。</w:t>
      </w:r>
    </w:p>
    <w:p w14:paraId="2CC45B3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5、服务：是指除货物和工程以外的政府采购对象，包括各类专业服务、信息网络开发服务、金融保险服务、运输服务，以及维修与维护服务等。</w:t>
      </w:r>
    </w:p>
    <w:p w14:paraId="41712FA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6、“书面形式”包括信函、传真等。</w:t>
      </w:r>
    </w:p>
    <w:p w14:paraId="33327F0C">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7、“▲”系指实质性要求条款。</w:t>
      </w:r>
    </w:p>
    <w:p w14:paraId="1C3084B8">
      <w:pPr>
        <w:keepNext w:val="0"/>
        <w:keepLines w:val="0"/>
        <w:pageBreakBefore w:val="0"/>
        <w:kinsoku/>
        <w:wordWrap/>
        <w:overflowPunct/>
        <w:topLinePunct w:val="0"/>
        <w:bidi w:val="0"/>
        <w:spacing w:line="360" w:lineRule="auto"/>
        <w:ind w:firstLine="422" w:firstLineChars="200"/>
        <w:jc w:val="left"/>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（三）投标费用</w:t>
      </w:r>
    </w:p>
    <w:p w14:paraId="35BAE018">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不论投标结果如何，投标人均应自行承担所有与投标有关的全部费用（招标文件有相关规定除外）。</w:t>
      </w:r>
    </w:p>
    <w:p w14:paraId="2C57E408">
      <w:pPr>
        <w:keepNext w:val="0"/>
        <w:keepLines w:val="0"/>
        <w:pageBreakBefore w:val="0"/>
        <w:kinsoku/>
        <w:wordWrap/>
        <w:overflowPunct/>
        <w:topLinePunct w:val="0"/>
        <w:bidi w:val="0"/>
        <w:spacing w:line="360" w:lineRule="auto"/>
        <w:ind w:firstLine="422" w:firstLineChars="200"/>
        <w:jc w:val="left"/>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（四）特别说明</w:t>
      </w:r>
    </w:p>
    <w:p w14:paraId="2FB82F3B">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1、投标人投标所使用的资格、信誉、荣誉、业绩与企业认证必须为本法人所拥有。投标人投标所使用的采购项目实施人员必须为本法人员工。▲其中涉及资格条件的如非本法人所拥有，则投标无效。</w:t>
      </w:r>
    </w:p>
    <w:p w14:paraId="2B18D9D4">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宋体" w:hAnsi="宋体" w:eastAsia="宋体" w:cs="宋体"/>
          <w:color w:val="auto"/>
          <w:szCs w:val="21"/>
          <w:highlight w:val="none"/>
        </w:rPr>
        <w:tab/>
      </w:r>
    </w:p>
    <w:p w14:paraId="1EA3B529">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90D2F6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▲4、投标人不得相互串通投标报价，不得妨碍其他投标人的公平竞争，不得损害采购人或其他投标人的合法权益，投标人不得以向采购人、评标委员会成员行贿或者采取其他不正当手段谋取中标。</w:t>
      </w:r>
    </w:p>
    <w:p w14:paraId="1DAB89D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▲5、为采购项目提供整体设计、规范编制或者项目管理、监理、检测等服务的供应商，不得再参加该采购项目的其他采购活动。</w:t>
      </w:r>
    </w:p>
    <w:p w14:paraId="6131DCC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6、投标文件格式中的表格式样可以根据项目差别做适当调整,但应当保持表格样式基本形态不变。</w:t>
      </w:r>
    </w:p>
    <w:p w14:paraId="4E85D60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单位负责人为同一人或者存在直接控股、管理关系的不同供应商，不得参加同一合同项下的政府采购活动。电子交易平台运营机构，以及与该机构有直接控股或者管理关系可能影响采购公正性的任何单位和个人，不得在该平台进行的政府采购项目电子交易中投标、响应和代理政府采购项目。</w:t>
      </w:r>
    </w:p>
    <w:p w14:paraId="73E1113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投标人在参与政府采购活动中所签署的一切文件，包括但不限于签到表、《政府采购活动现场确认声明书》等文件，特别是有关利害关系应如实填写、如实披露，投标人授权参与政府采购的人员视为应当知道与招标人、其他投标人之间的利害关系。如未如实披露，则视为提供虚假材料，由投标人承担不利后果。</w:t>
      </w:r>
    </w:p>
    <w:p w14:paraId="383344D7">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▲9、本项目不允许</w:t>
      </w:r>
      <w:r>
        <w:rPr>
          <w:rFonts w:hint="eastAsia" w:ascii="宋体" w:hAnsi="宋体" w:eastAsia="宋体" w:cs="宋体"/>
          <w:color w:val="auto"/>
          <w:szCs w:val="21"/>
          <w:highlight w:val="none"/>
          <w:lang w:val="en-US" w:eastAsia="zh-CN"/>
        </w:rPr>
        <w:t>转包、</w:t>
      </w:r>
      <w:r>
        <w:rPr>
          <w:rFonts w:hint="eastAsia" w:ascii="宋体" w:hAnsi="宋体" w:eastAsia="宋体" w:cs="宋体"/>
          <w:color w:val="auto"/>
          <w:szCs w:val="21"/>
          <w:highlight w:val="none"/>
        </w:rPr>
        <w:t>分包。</w:t>
      </w:r>
    </w:p>
    <w:p w14:paraId="6EC75AA2">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二、招标文件</w:t>
      </w:r>
    </w:p>
    <w:p w14:paraId="4C63204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（一）招标文件由招标文件总目录所列内容组成。</w:t>
      </w:r>
    </w:p>
    <w:p w14:paraId="5C607BE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（二）招标文件的澄清或修改</w:t>
      </w:r>
    </w:p>
    <w:p w14:paraId="6E5C5D23">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采购代理机构可视采购具体情况对已发出的招标文件进行必要的澄清或者修改。澄清或者修改的内容可能影响投标文件编制的，采购人或者采购代理机构应当在投标截止时间至少15日前，在原公告发布媒体上发布澄清公告，澄清或者修改的内容为招标文件的组成部分；不足15日的，采购人或者采购代理机构应当顺延提交投标文件的截止时间。 </w:t>
      </w:r>
    </w:p>
    <w:p w14:paraId="61D8176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2、投标人在规定的时间内未对招标文件提出疑问、质疑或要求澄清的，将视其为无异议。对招标文件中描述有歧义或前后不一致的地方，评标委员会有权进行评判，但对同一条款的评判应适用于每个投标人。</w:t>
      </w:r>
    </w:p>
    <w:p w14:paraId="12E3603A">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三、投标文件</w:t>
      </w:r>
    </w:p>
    <w:p w14:paraId="168F9CE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本项目实行电子投标，供应商应准备电子投标文件、</w:t>
      </w:r>
      <w:r>
        <w:rPr>
          <w:rFonts w:hint="eastAsia" w:ascii="宋体" w:hAnsi="宋体" w:eastAsia="宋体" w:cs="宋体"/>
          <w:bCs/>
          <w:color w:val="auto"/>
          <w:sz w:val="21"/>
          <w:szCs w:val="21"/>
          <w:highlight w:val="none"/>
          <w:lang w:val="en-US" w:eastAsia="zh-CN"/>
        </w:rPr>
        <w:t>还可以提供</w:t>
      </w:r>
      <w:r>
        <w:rPr>
          <w:rFonts w:hint="eastAsia" w:ascii="宋体" w:hAnsi="宋体" w:eastAsia="宋体" w:cs="宋体"/>
          <w:bCs/>
          <w:color w:val="auto"/>
          <w:sz w:val="21"/>
          <w:szCs w:val="21"/>
          <w:highlight w:val="none"/>
          <w:lang w:eastAsia="zh-CN"/>
        </w:rPr>
        <w:t>备份</w:t>
      </w:r>
      <w:r>
        <w:rPr>
          <w:rFonts w:hint="eastAsia" w:ascii="宋体" w:hAnsi="宋体" w:eastAsia="宋体" w:cs="宋体"/>
          <w:bCs/>
          <w:color w:val="auto"/>
          <w:sz w:val="21"/>
          <w:szCs w:val="21"/>
          <w:highlight w:val="none"/>
          <w:lang w:val="en-US" w:eastAsia="zh-CN"/>
        </w:rPr>
        <w:t>投标</w:t>
      </w:r>
      <w:r>
        <w:rPr>
          <w:rFonts w:hint="eastAsia" w:ascii="宋体" w:hAnsi="宋体" w:eastAsia="宋体" w:cs="宋体"/>
          <w:bCs/>
          <w:color w:val="auto"/>
          <w:sz w:val="21"/>
          <w:szCs w:val="21"/>
          <w:highlight w:val="none"/>
          <w:lang w:eastAsia="zh-CN"/>
        </w:rPr>
        <w:t>文件。</w:t>
      </w:r>
    </w:p>
    <w:p w14:paraId="3EA20950">
      <w:pPr>
        <w:keepNext w:val="0"/>
        <w:keepLines w:val="0"/>
        <w:pageBreakBefore w:val="0"/>
        <w:kinsoku/>
        <w:wordWrap/>
        <w:overflowPunct/>
        <w:topLinePunct w:val="0"/>
        <w:bidi w:val="0"/>
        <w:snapToGrid w:val="0"/>
        <w:spacing w:line="360" w:lineRule="auto"/>
        <w:ind w:firstLine="411" w:firstLineChars="196"/>
        <w:jc w:val="left"/>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lang w:val="zh-CN"/>
        </w:rPr>
        <w:t>电子投标文件按</w:t>
      </w:r>
      <w:r>
        <w:rPr>
          <w:rFonts w:hint="eastAsia" w:ascii="宋体" w:hAnsi="宋体" w:eastAsia="宋体" w:cs="宋体"/>
          <w:bCs/>
          <w:color w:val="auto"/>
          <w:szCs w:val="21"/>
          <w:highlight w:val="none"/>
        </w:rPr>
        <w:t>政府采购</w:t>
      </w:r>
      <w:r>
        <w:rPr>
          <w:rFonts w:hint="eastAsia" w:ascii="宋体" w:hAnsi="宋体" w:eastAsia="宋体" w:cs="宋体"/>
          <w:bCs/>
          <w:color w:val="auto"/>
          <w:szCs w:val="21"/>
          <w:highlight w:val="none"/>
          <w:lang w:val="zh-CN"/>
        </w:rPr>
        <w:t>云平台供应商项目采购</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zh-CN"/>
        </w:rPr>
        <w:t>电子招投标操作指南</w:t>
      </w:r>
      <w:r>
        <w:rPr>
          <w:rFonts w:hint="eastAsia" w:ascii="宋体" w:hAnsi="宋体" w:eastAsia="宋体" w:cs="宋体"/>
          <w:bCs/>
          <w:color w:val="auto"/>
          <w:szCs w:val="21"/>
          <w:highlight w:val="none"/>
        </w:rPr>
        <w:t>（网址：https://helpcenter.zcygov.cn/document/#/document/detail?siteCode=beijing&amp;manualId=359&amp;topicId=1447）</w:t>
      </w:r>
      <w:r>
        <w:rPr>
          <w:rFonts w:hint="eastAsia" w:ascii="宋体" w:hAnsi="宋体" w:eastAsia="宋体" w:cs="宋体"/>
          <w:bCs/>
          <w:color w:val="auto"/>
          <w:szCs w:val="21"/>
          <w:highlight w:val="none"/>
          <w:lang w:val="zh-CN"/>
        </w:rPr>
        <w:t>及本招标文件要求制作、加密并</w:t>
      </w:r>
      <w:r>
        <w:rPr>
          <w:rFonts w:hint="eastAsia" w:ascii="宋体" w:hAnsi="宋体" w:eastAsia="宋体" w:cs="宋体"/>
          <w:bCs/>
          <w:color w:val="auto"/>
          <w:szCs w:val="21"/>
          <w:highlight w:val="none"/>
        </w:rPr>
        <w:t>传输</w:t>
      </w:r>
      <w:r>
        <w:rPr>
          <w:rFonts w:hint="eastAsia" w:ascii="宋体" w:hAnsi="宋体" w:eastAsia="宋体" w:cs="宋体"/>
          <w:bCs/>
          <w:color w:val="auto"/>
          <w:szCs w:val="21"/>
          <w:highlight w:val="none"/>
          <w:lang w:val="zh-CN"/>
        </w:rPr>
        <w:t>递交。</w:t>
      </w:r>
    </w:p>
    <w:p w14:paraId="01F9D8B9">
      <w:pPr>
        <w:keepNext w:val="0"/>
        <w:keepLines w:val="0"/>
        <w:pageBreakBefore w:val="0"/>
        <w:kinsoku/>
        <w:wordWrap/>
        <w:overflowPunct/>
        <w:topLinePunct w:val="0"/>
        <w:bidi w:val="0"/>
        <w:snapToGrid w:val="0"/>
        <w:spacing w:line="360" w:lineRule="auto"/>
        <w:ind w:firstLine="411" w:firstLineChars="196"/>
        <w:jc w:val="left"/>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2、</w:t>
      </w:r>
      <w:r>
        <w:rPr>
          <w:rFonts w:hint="eastAsia" w:ascii="宋体" w:hAnsi="宋体" w:eastAsia="宋体" w:cs="宋体"/>
          <w:color w:val="auto"/>
          <w:szCs w:val="21"/>
          <w:highlight w:val="none"/>
          <w:lang w:val="zh-CN"/>
        </w:rPr>
        <w:t>备份投标文件是指“电子投标文件”同时生成的数据电文形式的电子文件（备份标书），以U盘形式提供。</w:t>
      </w:r>
    </w:p>
    <w:p w14:paraId="288EE14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投标文件启用顺序和效力：投标文件的启用，按先后顺位分别为电子投标文件、以介质（U盘）存储的数据电文形式的备份投标文件。如果某位投标人的电子投标文件无法按时解密的，可启用以介质（U盘）存储的数据电文形式的</w:t>
      </w:r>
      <w:r>
        <w:rPr>
          <w:rFonts w:hint="eastAsia" w:ascii="宋体" w:hAnsi="宋体" w:eastAsia="宋体" w:cs="宋体"/>
          <w:color w:val="auto"/>
          <w:sz w:val="21"/>
          <w:szCs w:val="21"/>
          <w:highlight w:val="none"/>
          <w:u w:val="single"/>
          <w:lang w:eastAsia="zh-CN"/>
        </w:rPr>
        <w:t>备份</w:t>
      </w:r>
      <w:r>
        <w:rPr>
          <w:rFonts w:hint="eastAsia" w:ascii="宋体" w:hAnsi="宋体" w:eastAsia="宋体" w:cs="宋体"/>
          <w:color w:val="auto"/>
          <w:sz w:val="21"/>
          <w:szCs w:val="21"/>
          <w:highlight w:val="none"/>
          <w:u w:val="single"/>
          <w:lang w:val="en-US" w:eastAsia="zh-CN"/>
        </w:rPr>
        <w:t>投标</w:t>
      </w:r>
      <w:r>
        <w:rPr>
          <w:rFonts w:hint="eastAsia" w:ascii="宋体" w:hAnsi="宋体" w:eastAsia="宋体" w:cs="宋体"/>
          <w:color w:val="auto"/>
          <w:sz w:val="21"/>
          <w:szCs w:val="21"/>
          <w:highlight w:val="none"/>
          <w:u w:val="single"/>
          <w:lang w:eastAsia="zh-CN"/>
        </w:rPr>
        <w:t>文件</w:t>
      </w:r>
      <w:r>
        <w:rPr>
          <w:rFonts w:hint="eastAsia" w:ascii="宋体" w:hAnsi="宋体" w:eastAsia="宋体" w:cs="宋体"/>
          <w:color w:val="auto"/>
          <w:sz w:val="21"/>
          <w:szCs w:val="21"/>
          <w:highlight w:val="none"/>
          <w:u w:val="single"/>
        </w:rPr>
        <w:t>。</w:t>
      </w:r>
    </w:p>
    <w:p w14:paraId="2A3CC869">
      <w:pPr>
        <w:keepNext w:val="0"/>
        <w:keepLines w:val="0"/>
        <w:pageBreakBefore w:val="0"/>
        <w:kinsoku/>
        <w:wordWrap/>
        <w:overflowPunct/>
        <w:topLinePunct w:val="0"/>
        <w:bidi w:val="0"/>
        <w:snapToGrid w:val="0"/>
        <w:spacing w:line="360" w:lineRule="auto"/>
        <w:ind w:firstLine="420" w:firstLineChars="200"/>
        <w:jc w:val="left"/>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▲未传输递交电子投标文件及未按规定提供相应的备份投标文件的，投标无效。</w:t>
      </w:r>
    </w:p>
    <w:p w14:paraId="4E88A261">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zh-CN"/>
        </w:rPr>
        <w:t>（一）</w:t>
      </w:r>
      <w:r>
        <w:rPr>
          <w:rFonts w:hint="eastAsia" w:ascii="宋体" w:hAnsi="宋体" w:eastAsia="宋体" w:cs="宋体"/>
          <w:b/>
          <w:bCs/>
          <w:color w:val="auto"/>
          <w:szCs w:val="21"/>
          <w:highlight w:val="none"/>
        </w:rPr>
        <w:t>投标文件的组成</w:t>
      </w:r>
    </w:p>
    <w:p w14:paraId="1A888CE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投标人接到招标文件后，按照招标文件的要求提供投标文件（包含电子投标文件和备份投标文件）：由资格证明文件、商务与技术文件和报价文件三部分组成。</w:t>
      </w:r>
    </w:p>
    <w:p w14:paraId="2ABA3D7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【特别提示：如有要求提供资料原件的，原件另行包装，并与投标文件一起提交，投标截止时间后所有原件不予接收。资料原件也可以用与原件相符的公证原件替代】</w:t>
      </w:r>
    </w:p>
    <w:p w14:paraId="0F4A0AB7">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1、资格证明文件的组成：</w:t>
      </w:r>
    </w:p>
    <w:p w14:paraId="6B11006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（1）投标声明书；</w:t>
      </w:r>
    </w:p>
    <w:p w14:paraId="59D5073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（2）授权委托书（法定代表人亲自办理投标事宜的，则无需提交)；</w:t>
      </w:r>
    </w:p>
    <w:p w14:paraId="7B254D4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（3）法人或者其他组织的营业执照等证明文件，</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授权代表</w:t>
      </w:r>
      <w:r>
        <w:rPr>
          <w:rFonts w:hint="eastAsia" w:ascii="宋体" w:hAnsi="宋体" w:eastAsia="宋体" w:cs="宋体"/>
          <w:color w:val="auto"/>
          <w:szCs w:val="21"/>
          <w:highlight w:val="none"/>
        </w:rPr>
        <w:t>的身份证明；</w:t>
      </w:r>
    </w:p>
    <w:p w14:paraId="201C818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（4）投标人认为需要说明的其他材料；</w:t>
      </w:r>
    </w:p>
    <w:p w14:paraId="49FE2DE5">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2、商务与技术文件的组成：</w:t>
      </w:r>
    </w:p>
    <w:p w14:paraId="4D2AC49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（1）投标人</w:t>
      </w: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 w:val="21"/>
          <w:szCs w:val="21"/>
          <w:highlight w:val="none"/>
        </w:rPr>
        <w:t>情况介绍</w:t>
      </w:r>
      <w:r>
        <w:rPr>
          <w:rFonts w:hint="eastAsia" w:ascii="宋体" w:hAnsi="宋体" w:eastAsia="宋体" w:cs="宋体"/>
          <w:color w:val="auto"/>
          <w:sz w:val="21"/>
          <w:szCs w:val="21"/>
          <w:highlight w:val="none"/>
          <w:lang w:eastAsia="zh-CN"/>
        </w:rPr>
        <w:t>；</w:t>
      </w:r>
    </w:p>
    <w:p w14:paraId="416A9AA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（2）投标方案描述：</w:t>
      </w:r>
    </w:p>
    <w:p w14:paraId="63CE170D">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A.项目需求的理解与分析(投标人对项目现状及需求的理解情况，对项目现状和需求描述的全面性、准确性、针对性，对项目重点、难点的把握，解决方案及合理化建议)。</w:t>
      </w:r>
    </w:p>
    <w:p w14:paraId="08D89030">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B.项目组织实施方案（包括项目</w:t>
      </w:r>
      <w:r>
        <w:rPr>
          <w:rFonts w:hint="eastAsia" w:ascii="宋体" w:hAnsi="宋体" w:eastAsia="宋体" w:cs="宋体"/>
          <w:color w:val="auto"/>
          <w:sz w:val="21"/>
          <w:szCs w:val="21"/>
          <w:highlight w:val="none"/>
          <w:lang w:val="en-US" w:eastAsia="zh-CN"/>
        </w:rPr>
        <w:t>服务期</w:t>
      </w:r>
      <w:r>
        <w:rPr>
          <w:rFonts w:hint="eastAsia" w:ascii="宋体" w:hAnsi="宋体" w:eastAsia="宋体" w:cs="宋体"/>
          <w:color w:val="auto"/>
          <w:sz w:val="21"/>
          <w:szCs w:val="21"/>
          <w:highlight w:val="none"/>
        </w:rPr>
        <w:t>、确保项目</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的措施或方案、项目实施进度安排、项目实施人员及项目负责人的资质、类似经验及社保证明等）。</w:t>
      </w:r>
    </w:p>
    <w:p w14:paraId="65B6B13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C.验收方案（包括项目验收标准和验收方法等）和措施；</w:t>
      </w:r>
    </w:p>
    <w:p w14:paraId="71149EA7">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（3）商务及技术响应表。</w:t>
      </w:r>
    </w:p>
    <w:p w14:paraId="7EB59AA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通过的质量管理和质量保证体系、环保体系、自主创新相关证书、软件著作权证等与本项目相关的认证证书或文件；</w:t>
      </w:r>
    </w:p>
    <w:p w14:paraId="0D502C50">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（5）类似项目的成功案例（投标人类似项目实施情况一览表、合同复印件及其相应的发票、用户验收报告等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39F35FC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（6）投标人认为需要提供的其他资料（包括可能影响投标人商务与技术文件评分的各类证明材料）。</w:t>
      </w:r>
    </w:p>
    <w:p w14:paraId="21C066FD">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（7）售后服务描述及承诺：</w:t>
      </w:r>
    </w:p>
    <w:p w14:paraId="40D1582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A.距采购人最近的服务网点详细介绍（包括地理位置、资质资格、技术力量、工作业绩、服务内容及联系电话等）。</w:t>
      </w:r>
    </w:p>
    <w:p w14:paraId="3F4C58BB">
      <w:pPr>
        <w:keepNext w:val="0"/>
        <w:keepLines w:val="0"/>
        <w:pageBreakBefore w:val="0"/>
        <w:kinsoku/>
        <w:wordWrap/>
        <w:overflowPunct/>
        <w:topLinePunct w:val="0"/>
        <w:bidi w:val="0"/>
        <w:spacing w:line="41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B.针对本项目的售后服务措施及承诺（售后技术服务方案、人员配备、</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响应时间、技术培训方案等）。</w:t>
      </w:r>
    </w:p>
    <w:p w14:paraId="3626C9EF">
      <w:pPr>
        <w:keepNext w:val="0"/>
        <w:keepLines w:val="0"/>
        <w:pageBreakBefore w:val="0"/>
        <w:kinsoku/>
        <w:wordWrap/>
        <w:overflowPunct/>
        <w:topLinePunct w:val="0"/>
        <w:bidi w:val="0"/>
        <w:spacing w:line="410" w:lineRule="exact"/>
        <w:ind w:firstLine="422"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Cs w:val="21"/>
          <w:highlight w:val="none"/>
          <w:u w:val="single"/>
        </w:rPr>
        <w:t>注：若招标文件中有专门标注的某关联点，并要求投标人在电子投标系统中作出投标响应的，如投标人未对关联点进行响应或者在投标文件其它内容进行描述，造成电子评审不能查询的责任由投标人自行承担。</w:t>
      </w:r>
    </w:p>
    <w:p w14:paraId="7A5932C2">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3、报价文件的组成</w:t>
      </w:r>
    </w:p>
    <w:p w14:paraId="34C305E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（1）报价文件由开标一览表、中小企业声明函，以及投标人认为其他需要说明的内容组成。</w:t>
      </w:r>
    </w:p>
    <w:p w14:paraId="03A5952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（2）此报价为投标人一次性报出唯一的最终价格，包含其它一切所要涉及到的费用，有选择</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附条件</w:t>
      </w:r>
      <w:r>
        <w:rPr>
          <w:rFonts w:hint="eastAsia" w:ascii="宋体" w:hAnsi="宋体" w:eastAsia="宋体" w:cs="宋体"/>
          <w:color w:val="auto"/>
          <w:sz w:val="21"/>
          <w:szCs w:val="21"/>
          <w:highlight w:val="none"/>
        </w:rPr>
        <w:t>的报价将被拒绝。</w:t>
      </w:r>
    </w:p>
    <w:p w14:paraId="12C09F3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总报价为完成本项目的所有费用，包括所有人员的人工费、交通费、住宿费、伙食费、办公设施费、管理费、利润、税金、合同包含的所有风险责任等各项费用及不可预见费等所需的全部费用，全部费用已包含在投标总报价中。</w:t>
      </w:r>
    </w:p>
    <w:p w14:paraId="35242E4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（4）政府采购优惠政策相关资料。</w:t>
      </w:r>
    </w:p>
    <w:p w14:paraId="5E8C3BF0">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▲（5）相关报价单需打印或用不</w:t>
      </w:r>
      <w:r>
        <w:rPr>
          <w:rFonts w:hint="eastAsia" w:ascii="宋体" w:hAnsi="宋体" w:eastAsia="宋体" w:cs="宋体"/>
          <w:color w:val="auto"/>
          <w:szCs w:val="21"/>
          <w:highlight w:val="none"/>
          <w:lang w:val="en-US" w:eastAsia="zh-CN"/>
        </w:rPr>
        <w:t>褪</w:t>
      </w:r>
      <w:r>
        <w:rPr>
          <w:rFonts w:hint="eastAsia" w:ascii="宋体" w:hAnsi="宋体" w:eastAsia="宋体" w:cs="宋体"/>
          <w:color w:val="auto"/>
          <w:szCs w:val="21"/>
          <w:highlight w:val="none"/>
        </w:rPr>
        <w:t>色的墨水填写， 投标报价单不得涂改和增删，如有错漏必须修改，修改处须由同一签署人签字或盖章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未由</w:t>
      </w:r>
      <w:r>
        <w:rPr>
          <w:rFonts w:hint="eastAsia" w:ascii="宋体" w:hAnsi="宋体" w:eastAsia="宋体" w:cs="宋体"/>
          <w:color w:val="auto"/>
          <w:szCs w:val="21"/>
          <w:highlight w:val="none"/>
        </w:rPr>
        <w:t>同一签署人签字或盖章</w:t>
      </w:r>
      <w:r>
        <w:rPr>
          <w:rFonts w:hint="eastAsia" w:ascii="宋体" w:hAnsi="宋体" w:eastAsia="宋体" w:cs="宋体"/>
          <w:color w:val="auto"/>
          <w:szCs w:val="21"/>
          <w:highlight w:val="none"/>
          <w:lang w:val="en-US" w:eastAsia="zh-CN"/>
        </w:rPr>
        <w:t>的修改无效</w:t>
      </w:r>
      <w:r>
        <w:rPr>
          <w:rFonts w:hint="eastAsia" w:ascii="宋体" w:hAnsi="宋体" w:eastAsia="宋体" w:cs="宋体"/>
          <w:color w:val="auto"/>
          <w:kern w:val="0"/>
          <w:sz w:val="21"/>
          <w:szCs w:val="21"/>
          <w:highlight w:val="none"/>
        </w:rPr>
        <w:t>。</w:t>
      </w:r>
      <w:r>
        <w:rPr>
          <w:rFonts w:hint="eastAsia" w:ascii="宋体" w:hAnsi="宋体" w:eastAsia="宋体" w:cs="宋体"/>
          <w:color w:val="auto"/>
          <w:szCs w:val="21"/>
          <w:highlight w:val="none"/>
        </w:rPr>
        <w:t>由于字迹模糊或表达不清引起的后果由投标人负责。</w:t>
      </w:r>
    </w:p>
    <w:p w14:paraId="70CB24A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（6）投标报价应按招标文件中相关附表格式填写。</w:t>
      </w:r>
    </w:p>
    <w:p w14:paraId="6C60E79E">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（二）投标文件的制作、封装及递交要求</w:t>
      </w:r>
    </w:p>
    <w:p w14:paraId="5B145E81">
      <w:pPr>
        <w:snapToGrid w:val="0"/>
        <w:spacing w:before="120" w:beforeLines="50" w:line="360" w:lineRule="auto"/>
        <w:ind w:firstLine="413" w:firstLineChars="196"/>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投标文件的签署</w:t>
      </w:r>
    </w:p>
    <w:p w14:paraId="21BCC8C7">
      <w:pPr>
        <w:snapToGrid w:val="0"/>
        <w:spacing w:line="360" w:lineRule="auto"/>
        <w:ind w:firstLine="411" w:firstLineChars="196"/>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电子投标文件中须加盖</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公章部分均采用CA签章，并根据“</w:t>
      </w:r>
      <w:r>
        <w:rPr>
          <w:rFonts w:hint="eastAsia" w:ascii="宋体" w:hAnsi="宋体" w:eastAsia="宋体" w:cs="宋体"/>
          <w:bCs/>
          <w:color w:val="auto"/>
          <w:sz w:val="21"/>
          <w:szCs w:val="21"/>
          <w:highlight w:val="none"/>
          <w:lang w:val="en-US" w:eastAsia="zh-CN"/>
        </w:rPr>
        <w:t>政府采购云平台</w:t>
      </w:r>
      <w:r>
        <w:rPr>
          <w:rFonts w:hint="eastAsia" w:ascii="宋体" w:hAnsi="宋体" w:eastAsia="宋体" w:cs="宋体"/>
          <w:bCs/>
          <w:color w:val="auto"/>
          <w:sz w:val="21"/>
          <w:szCs w:val="21"/>
          <w:highlight w:val="none"/>
        </w:rPr>
        <w:t>供应商项目采购-电子招投标操作指南”及本招标文件规定的格式和顺序编制电子投标文件并进行关联定位，以便评标委员会在评标时，点击评分项可直接定位到该评分项内容。如对招标文件的某项要求，投标人的电子投标文件未能关联定位提供相应的内容与其对应，则评标委员会在评审时如做出对投标人不利的评审由投标人自行承担。</w:t>
      </w:r>
    </w:p>
    <w:p w14:paraId="69A9F187">
      <w:pPr>
        <w:snapToGrid w:val="0"/>
        <w:spacing w:line="360" w:lineRule="auto"/>
        <w:ind w:firstLine="411" w:firstLineChars="196"/>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电子投标文件如内容不完整、编排混乱导致投标文件被误读、漏读，或者在按采购文件规定的部位查找不到相关内容的，由投标人自行承担。</w:t>
      </w:r>
    </w:p>
    <w:p w14:paraId="48317B60">
      <w:pPr>
        <w:snapToGrid w:val="0"/>
        <w:spacing w:line="360" w:lineRule="auto"/>
        <w:ind w:firstLine="411" w:firstLineChars="196"/>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sz w:val="21"/>
          <w:szCs w:val="21"/>
          <w:highlight w:val="none"/>
        </w:rPr>
        <w:t>温馨提醒：</w:t>
      </w:r>
      <w:r>
        <w:rPr>
          <w:rFonts w:hint="eastAsia" w:ascii="宋体" w:hAnsi="宋体" w:eastAsia="宋体" w:cs="宋体"/>
          <w:color w:val="auto"/>
          <w:sz w:val="21"/>
          <w:szCs w:val="21"/>
          <w:highlight w:val="none"/>
          <w:u w:val="single"/>
        </w:rPr>
        <w:t>CA签章上目前没有</w:t>
      </w:r>
      <w:r>
        <w:rPr>
          <w:rFonts w:hint="eastAsia" w:ascii="宋体" w:hAnsi="宋体" w:eastAsia="宋体" w:cs="宋体"/>
          <w:color w:val="auto"/>
          <w:sz w:val="21"/>
          <w:szCs w:val="21"/>
          <w:highlight w:val="none"/>
          <w:u w:val="single"/>
          <w:lang w:eastAsia="zh-CN"/>
        </w:rPr>
        <w:t>法定代表人</w:t>
      </w:r>
      <w:r>
        <w:rPr>
          <w:rFonts w:hint="eastAsia" w:ascii="宋体" w:hAnsi="宋体" w:eastAsia="宋体" w:cs="宋体"/>
          <w:color w:val="auto"/>
          <w:sz w:val="21"/>
          <w:szCs w:val="21"/>
          <w:highlight w:val="none"/>
          <w:u w:val="single"/>
        </w:rPr>
        <w:t>或授权代表签字信息，需要投标人联系浙江杭州汇信科技有限公司等相应公司进行办理，或在投标文件中涉及到签字的位置线下签好字然后扫描或者拍照做成PDF的格式亦可。</w:t>
      </w:r>
    </w:p>
    <w:p w14:paraId="4DAE0B2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投标文件不得涂改，若有修改错漏处，须加盖单位公章或者法定代表人或授权委托人签字或盖章。投标文件因字迹潦草或表达不清所引起的后果由投标人负责。</w:t>
      </w:r>
    </w:p>
    <w:p w14:paraId="2FF00254">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2、投标文件的制作</w:t>
      </w:r>
    </w:p>
    <w:p w14:paraId="4DF58563">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（1）投标人应按照投标文件组成内容及项目招标需求制作投标文件，不按招标文件要求制作投标文件由此产生的责任由投标人自行承担。</w:t>
      </w:r>
    </w:p>
    <w:p w14:paraId="35963C2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（2）▲投标人应对所提供的全部资料的真实性承担法律责任，投标文件内容中有要求盖章或签字的地方，必须加盖投标人的公章以及法定代表人或授权委托代理人盖章或签字。</w:t>
      </w:r>
    </w:p>
    <w:p w14:paraId="324804FD">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以及投标人与采购组织机构就有关投标事宜的所有来往函电，均应以中文汉语书写。▲除签字、盖章、专用名称等特殊情形外，以中文汉语以外的文字表述的投标文件视同未提供，如该文件未提供将影响投标有效性的，则视为投标无效。</w:t>
      </w:r>
    </w:p>
    <w:p w14:paraId="6E01239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（4）投标计量单位，招标文件已有明确规定的，使用招标文件规定的计量单位；招标文件没有规定的，</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应采用中华人民共和国法定计量单位（货币单位：人民币元），否则视同未响应。</w:t>
      </w:r>
    </w:p>
    <w:p w14:paraId="498FA51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（5）若投标人不按招标文件的要求提供资格审查材料，其风险由投标人自行承担。</w:t>
      </w:r>
    </w:p>
    <w:p w14:paraId="7927473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（6）与本次投标无关的内容请不要制作在内，确保投标文件有针对性、简洁明了，同时节约纸张；投标文件建议以A4纸大小双面打印并装订。</w:t>
      </w:r>
    </w:p>
    <w:p w14:paraId="24624DE3">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lang w:val="en-US" w:eastAsia="zh-CN"/>
        </w:rPr>
        <w:t>备份</w:t>
      </w:r>
      <w:r>
        <w:rPr>
          <w:rFonts w:hint="eastAsia" w:ascii="宋体" w:hAnsi="宋体" w:eastAsia="宋体" w:cs="宋体"/>
          <w:b/>
          <w:bCs/>
          <w:color w:val="auto"/>
          <w:szCs w:val="21"/>
          <w:highlight w:val="none"/>
        </w:rPr>
        <w:t>投标文件的封装要求</w:t>
      </w:r>
    </w:p>
    <w:p w14:paraId="2A4BB32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备份</w:t>
      </w:r>
      <w:r>
        <w:rPr>
          <w:rFonts w:hint="eastAsia" w:ascii="宋体" w:hAnsi="宋体" w:eastAsia="宋体" w:cs="宋体"/>
          <w:color w:val="auto"/>
          <w:sz w:val="21"/>
          <w:szCs w:val="21"/>
          <w:highlight w:val="none"/>
        </w:rPr>
        <w:t>投标文件在密封袋的封口处加盖投标人公章、</w:t>
      </w:r>
      <w:r>
        <w:rPr>
          <w:rFonts w:hint="eastAsia" w:ascii="宋体" w:hAnsi="宋体" w:eastAsia="宋体" w:cs="宋体"/>
          <w:color w:val="auto"/>
          <w:sz w:val="21"/>
          <w:szCs w:val="21"/>
          <w:highlight w:val="none"/>
          <w:lang w:eastAsia="zh-CN"/>
        </w:rPr>
        <w:t>法定代表人</w:t>
      </w:r>
      <w:r>
        <w:rPr>
          <w:rFonts w:hint="eastAsia" w:ascii="宋体" w:hAnsi="宋体" w:eastAsia="宋体" w:cs="宋体"/>
          <w:color w:val="auto"/>
          <w:sz w:val="21"/>
          <w:szCs w:val="21"/>
          <w:highlight w:val="none"/>
        </w:rPr>
        <w:t>代表或</w:t>
      </w:r>
      <w:r>
        <w:rPr>
          <w:rFonts w:hint="eastAsia" w:ascii="宋体" w:hAnsi="宋体" w:eastAsia="宋体" w:cs="宋体"/>
          <w:color w:val="auto"/>
          <w:sz w:val="21"/>
          <w:szCs w:val="21"/>
          <w:highlight w:val="none"/>
          <w:lang w:val="en-US" w:eastAsia="zh-CN"/>
        </w:rPr>
        <w:t>授权委托代理人</w:t>
      </w:r>
      <w:r>
        <w:rPr>
          <w:rFonts w:hint="eastAsia" w:ascii="宋体" w:hAnsi="宋体" w:eastAsia="宋体" w:cs="宋体"/>
          <w:color w:val="auto"/>
          <w:sz w:val="21"/>
          <w:szCs w:val="21"/>
          <w:highlight w:val="none"/>
        </w:rPr>
        <w:t>印章或签字。封皮上写明项目编号、标项、招标项目名称、投标人名称，并注明“投标文件名称”、“开标时启封”字样，未按上述要求密封及加写标记</w:t>
      </w:r>
      <w:r>
        <w:rPr>
          <w:rFonts w:hint="eastAsia" w:ascii="宋体" w:hAnsi="宋体" w:eastAsia="宋体" w:cs="宋体"/>
          <w:color w:val="auto"/>
          <w:kern w:val="2"/>
          <w:highlight w:val="none"/>
        </w:rPr>
        <w:t>将被拒收</w:t>
      </w:r>
      <w:r>
        <w:rPr>
          <w:rFonts w:hint="eastAsia" w:ascii="宋体" w:hAnsi="宋体" w:eastAsia="宋体" w:cs="宋体"/>
          <w:color w:val="auto"/>
          <w:sz w:val="21"/>
          <w:szCs w:val="21"/>
          <w:highlight w:val="none"/>
        </w:rPr>
        <w:t>，采购代理机构对投标文件的误投和提前启封不负责任。</w:t>
      </w:r>
    </w:p>
    <w:p w14:paraId="6A78BFB1">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因密封不严、标记不明而造成失密、拒收、过早启封等情况，采购代理机构概不负责。</w:t>
      </w:r>
    </w:p>
    <w:p w14:paraId="50390684">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4、投标文件的递交要求</w:t>
      </w:r>
    </w:p>
    <w:p w14:paraId="298C88E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同时还可以提供经政采云平台加密处理的、以介质（U盘）存储的数据电文形式的备份投标文件（不强制要求，未递交备份文件的风险由供应商自行承担）。递交备份投标文件的，供应商应当在投标截止时间前按要求密封（备份投标文件在密封袋的封口处加盖投标人公章、法定代表人代表或授权委托代理人印章或签字。封皮上写明项目编号、标项、招标项目名称、投标人名称，并注明“投标文件名称”、“开标时启封”字样）并建议顺丰邮寄或直接递交到</w:t>
      </w:r>
      <w:r>
        <w:rPr>
          <w:rFonts w:hint="eastAsia" w:ascii="宋体" w:hAnsi="宋体" w:eastAsia="宋体" w:cs="宋体"/>
          <w:b/>
          <w:bCs/>
          <w:color w:val="auto"/>
          <w:szCs w:val="21"/>
          <w:highlight w:val="none"/>
        </w:rPr>
        <w:t>台州市椒江区中环世纪6幢801室（交通银行台州分行楼上）收件人：俞雅琪；联系电话：15757696186</w:t>
      </w:r>
      <w:r>
        <w:rPr>
          <w:rFonts w:hint="eastAsia" w:ascii="宋体" w:hAnsi="宋体" w:eastAsia="宋体" w:cs="宋体"/>
          <w:color w:val="auto"/>
          <w:szCs w:val="21"/>
          <w:highlight w:val="none"/>
        </w:rPr>
        <w:t>。投标文件在截止时间后提交、</w:t>
      </w:r>
      <w:r>
        <w:rPr>
          <w:rFonts w:hint="eastAsia" w:ascii="宋体" w:hAnsi="宋体" w:eastAsia="宋体" w:cs="宋体"/>
          <w:color w:val="auto"/>
          <w:highlight w:val="none"/>
        </w:rPr>
        <w:t>到付或未按要求密封</w:t>
      </w:r>
      <w:r>
        <w:rPr>
          <w:rFonts w:hint="eastAsia" w:ascii="宋体" w:hAnsi="宋体" w:eastAsia="宋体" w:cs="宋体"/>
          <w:color w:val="auto"/>
          <w:highlight w:val="none"/>
          <w:lang w:eastAsia="zh-Hans"/>
        </w:rPr>
        <w:t>的</w:t>
      </w:r>
      <w:r>
        <w:rPr>
          <w:rFonts w:hint="eastAsia" w:ascii="宋体" w:hAnsi="宋体" w:eastAsia="宋体" w:cs="宋体"/>
          <w:color w:val="auto"/>
          <w:szCs w:val="21"/>
          <w:highlight w:val="none"/>
        </w:rPr>
        <w:t>，采购代理机构将拒绝接收。</w:t>
      </w:r>
      <w:r>
        <w:rPr>
          <w:rFonts w:hint="eastAsia" w:ascii="宋体" w:hAnsi="宋体" w:eastAsia="宋体" w:cs="宋体"/>
          <w:color w:val="auto"/>
          <w:sz w:val="21"/>
          <w:szCs w:val="21"/>
          <w:highlight w:val="none"/>
        </w:rPr>
        <w:t>▲</w:t>
      </w:r>
      <w:r>
        <w:rPr>
          <w:rFonts w:hint="eastAsia" w:ascii="宋体" w:hAnsi="宋体" w:eastAsia="宋体" w:cs="宋体"/>
          <w:color w:val="auto"/>
          <w:szCs w:val="21"/>
          <w:highlight w:val="none"/>
        </w:rPr>
        <w:t>如供应商未在</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截止时间前完成电子</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文件的传输递交，其备份</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文件也将为无效</w:t>
      </w:r>
      <w:r>
        <w:rPr>
          <w:rFonts w:hint="eastAsia" w:ascii="宋体" w:hAnsi="宋体" w:eastAsia="宋体" w:cs="宋体"/>
          <w:color w:val="auto"/>
          <w:szCs w:val="21"/>
          <w:highlight w:val="none"/>
          <w:lang w:val="en-US" w:eastAsia="zh-CN"/>
        </w:rPr>
        <w:t>备份投标</w:t>
      </w:r>
      <w:r>
        <w:rPr>
          <w:rFonts w:hint="eastAsia" w:ascii="宋体" w:hAnsi="宋体" w:eastAsia="宋体" w:cs="宋体"/>
          <w:color w:val="auto"/>
          <w:szCs w:val="21"/>
          <w:highlight w:val="none"/>
        </w:rPr>
        <w:t>文件。</w:t>
      </w:r>
    </w:p>
    <w:p w14:paraId="68259F47">
      <w:pPr>
        <w:keepNext w:val="0"/>
        <w:keepLines w:val="0"/>
        <w:pageBreakBefore w:val="0"/>
        <w:tabs>
          <w:tab w:val="left" w:pos="1418"/>
        </w:tabs>
        <w:kinsoku/>
        <w:wordWrap/>
        <w:topLinePunct w:val="0"/>
        <w:autoSpaceDE w:val="0"/>
        <w:autoSpaceDN w:val="0"/>
        <w:bidi w:val="0"/>
        <w:adjustRightInd w:val="0"/>
        <w:spacing w:line="360" w:lineRule="auto"/>
        <w:ind w:firstLine="422" w:firstLineChars="20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kern w:val="2"/>
          <w:sz w:val="21"/>
          <w:szCs w:val="21"/>
          <w:highlight w:val="none"/>
          <w:lang w:val="en-US" w:eastAsia="zh-CN" w:bidi="ar-SA"/>
        </w:rPr>
        <w:t>电子投标文件的相关说明</w:t>
      </w:r>
    </w:p>
    <w:p w14:paraId="2C6FE17E">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供应商进行电子投标应安装客户端软件，并按照采购文件和电子交易平台的要求编制并加密投标文件。</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供应商未按规定加密的投标文件，电子交易平台将拒收。</w:t>
      </w:r>
    </w:p>
    <w:p w14:paraId="2698B7F2">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Cs w:val="21"/>
          <w:highlight w:val="none"/>
        </w:rPr>
        <w:t>▲</w:t>
      </w:r>
      <w:r>
        <w:rPr>
          <w:rFonts w:hint="eastAsia" w:ascii="宋体" w:hAnsi="宋体" w:eastAsia="宋体" w:cs="宋体"/>
          <w:b w:val="0"/>
          <w:bCs w:val="0"/>
          <w:color w:val="auto"/>
          <w:kern w:val="2"/>
          <w:sz w:val="21"/>
          <w:szCs w:val="21"/>
          <w:highlight w:val="none"/>
          <w:lang w:val="en-US" w:eastAsia="zh-CN" w:bidi="ar-SA"/>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w:t>
      </w:r>
      <w:r>
        <w:rPr>
          <w:rFonts w:hint="eastAsia" w:ascii="宋体" w:hAnsi="宋体" w:eastAsia="宋体" w:cs="宋体"/>
          <w:color w:val="auto"/>
          <w:szCs w:val="21"/>
          <w:highlight w:val="none"/>
        </w:rPr>
        <w:t>▲</w:t>
      </w:r>
      <w:r>
        <w:rPr>
          <w:rFonts w:hint="eastAsia" w:ascii="宋体" w:hAnsi="宋体" w:eastAsia="宋体" w:cs="宋体"/>
          <w:b w:val="0"/>
          <w:bCs w:val="0"/>
          <w:color w:val="auto"/>
          <w:kern w:val="2"/>
          <w:sz w:val="21"/>
          <w:szCs w:val="21"/>
          <w:highlight w:val="none"/>
          <w:lang w:val="en-US" w:eastAsia="zh-CN" w:bidi="ar-SA"/>
        </w:rPr>
        <w:t>投标截止时间后递交的投标文件，电子交易平台将拒收。</w:t>
      </w:r>
    </w:p>
    <w:p w14:paraId="4CB71C64">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供应商在电子交易平台传输递交投标文件后，还可以在投标截止时间前提交备份投标文件，若供应商未提交备份投标文件，其后果由供应商自行承担。</w:t>
      </w:r>
    </w:p>
    <w:p w14:paraId="2A883E26">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▲供应商仅提交备份投标文件的，投标无效。</w:t>
      </w:r>
    </w:p>
    <w:p w14:paraId="7AFBBA3F">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（3）如有特殊情况，采购代理机构延长截止时间和开标时间，采购代理机构和投标人的权利和义务将受到新的截止时间和开标时间的约束。</w:t>
      </w:r>
    </w:p>
    <w:p w14:paraId="4F92871A">
      <w:pPr>
        <w:keepNext w:val="0"/>
        <w:keepLines w:val="0"/>
        <w:pageBreakBefore w:val="0"/>
        <w:tabs>
          <w:tab w:val="left" w:pos="1418"/>
        </w:tabs>
        <w:kinsoku/>
        <w:wordWrap/>
        <w:topLinePunct w:val="0"/>
        <w:autoSpaceDE w:val="0"/>
        <w:autoSpaceDN w:val="0"/>
        <w:bidi w:val="0"/>
        <w:adjustRightInd w:val="0"/>
        <w:spacing w:line="360" w:lineRule="auto"/>
        <w:ind w:firstLine="422" w:firstLineChars="20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5、投标文件的补充、修改和撤回。</w:t>
      </w:r>
    </w:p>
    <w:p w14:paraId="79FEF965">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GB" w:eastAsia="zh-CN" w:bidi="ar-SA"/>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GB" w:eastAsia="zh-CN" w:bidi="ar-SA"/>
        </w:rPr>
        <w:t>（</w:t>
      </w: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GB" w:eastAsia="zh-CN" w:bidi="ar-SA"/>
        </w:rPr>
        <w:t>）投标人应当在投标截止时间前完成电子投标文件的上传、递交，并可以补充、修改或者撤回投标文件。补充或者修改投标文件的，应当先行撤回原文件，补充、修改后重新上传、递交。投标截止时间前未完成上传、递交的，视为撤回投标文件</w:t>
      </w:r>
      <w:r>
        <w:rPr>
          <w:rFonts w:hint="eastAsia" w:ascii="宋体" w:hAnsi="宋体" w:eastAsia="宋体" w:cs="宋体"/>
          <w:color w:val="auto"/>
          <w:kern w:val="2"/>
          <w:sz w:val="21"/>
          <w:szCs w:val="21"/>
          <w:highlight w:val="none"/>
          <w:lang w:val="en-GB" w:eastAsia="zh-CN" w:bidi="ar-SA"/>
        </w:rPr>
        <w:t>。投标截止时间后递交的投标</w:t>
      </w:r>
      <w:r>
        <w:rPr>
          <w:rFonts w:hint="eastAsia" w:ascii="宋体" w:hAnsi="宋体" w:eastAsia="宋体" w:cs="宋体"/>
          <w:b w:val="0"/>
          <w:bCs w:val="0"/>
          <w:color w:val="auto"/>
          <w:kern w:val="2"/>
          <w:sz w:val="21"/>
          <w:szCs w:val="21"/>
          <w:highlight w:val="none"/>
          <w:lang w:val="en-GB" w:eastAsia="zh-CN" w:bidi="ar-SA"/>
        </w:rPr>
        <w:t>文件，“政府采购云平台”将予以拒收。</w:t>
      </w:r>
    </w:p>
    <w:p w14:paraId="58A56FE0">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GB" w:eastAsia="zh-CN" w:bidi="ar-SA"/>
        </w:rPr>
      </w:pPr>
      <w:r>
        <w:rPr>
          <w:rFonts w:hint="eastAsia" w:ascii="宋体" w:hAnsi="宋体" w:eastAsia="宋体" w:cs="宋体"/>
          <w:b w:val="0"/>
          <w:bCs w:val="0"/>
          <w:color w:val="auto"/>
          <w:kern w:val="2"/>
          <w:sz w:val="21"/>
          <w:szCs w:val="21"/>
          <w:highlight w:val="none"/>
          <w:lang w:val="en-GB" w:eastAsia="zh-CN" w:bidi="ar-SA"/>
        </w:rPr>
        <w:t>（</w:t>
      </w: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GB" w:eastAsia="zh-CN" w:bidi="ar-SA"/>
        </w:rPr>
        <w:t>）投标截止时间后，投标供应商不得撤回、修改投标文件。</w:t>
      </w:r>
    </w:p>
    <w:p w14:paraId="198A8DFC">
      <w:pPr>
        <w:keepNext w:val="0"/>
        <w:keepLines w:val="0"/>
        <w:pageBreakBefore w:val="0"/>
        <w:tabs>
          <w:tab w:val="left" w:pos="1418"/>
        </w:tabs>
        <w:kinsoku/>
        <w:wordWrap/>
        <w:topLinePunct w:val="0"/>
        <w:autoSpaceDE w:val="0"/>
        <w:autoSpaceDN w:val="0"/>
        <w:bidi w:val="0"/>
        <w:adjustRightInd w:val="0"/>
        <w:spacing w:line="360" w:lineRule="auto"/>
        <w:ind w:firstLine="420" w:firstLineChars="200"/>
        <w:rPr>
          <w:rFonts w:hint="eastAsia" w:ascii="宋体" w:hAnsi="宋体" w:eastAsia="宋体" w:cs="宋体"/>
          <w:b w:val="0"/>
          <w:bCs w:val="0"/>
          <w:color w:val="auto"/>
          <w:kern w:val="2"/>
          <w:sz w:val="21"/>
          <w:szCs w:val="21"/>
          <w:highlight w:val="none"/>
          <w:lang w:val="en-GB" w:eastAsia="zh-CN" w:bidi="ar-SA"/>
        </w:rPr>
      </w:pPr>
      <w:r>
        <w:rPr>
          <w:rFonts w:hint="eastAsia" w:ascii="宋体" w:hAnsi="宋体" w:eastAsia="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GB" w:eastAsia="zh-CN" w:bidi="ar-SA"/>
        </w:rPr>
        <w:t>在开标后规定的投标有效期内，投标人不能撤销投标文件。</w:t>
      </w:r>
    </w:p>
    <w:p w14:paraId="53A60FCA">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（三）投标文件的有效期</w:t>
      </w:r>
    </w:p>
    <w:p w14:paraId="637174B3">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lang w:val="en-GB"/>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GB"/>
        </w:rPr>
        <w:t>自投标截止日起90天投标文件应保持有效。有效期不足的投标文件将被拒绝。</w:t>
      </w:r>
    </w:p>
    <w:p w14:paraId="4DDC0BC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lang w:val="en-GB"/>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GB"/>
        </w:rPr>
        <w:t>在符合相关法律法规规定的情况下，采购人可与投标人协商延长投标文件的有效期，这种要求和答复均以书面形式进行。</w:t>
      </w:r>
    </w:p>
    <w:p w14:paraId="7D43026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▲3、中标人的投标文件自开标之日起至合同履行完毕均应保持有效。</w:t>
      </w:r>
    </w:p>
    <w:p w14:paraId="524FE0C3">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四、开标</w:t>
      </w:r>
    </w:p>
    <w:p w14:paraId="2E0317A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（一）开标事项</w:t>
      </w:r>
    </w:p>
    <w:p w14:paraId="67F19245">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采购组织机构在“招标公告”规定的时间和地点公开开标，本次招标采用先评审商务资格和技术服务方案，后公开并评审报价的办法实施。</w:t>
      </w:r>
    </w:p>
    <w:p w14:paraId="56797CCA">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特别说明：如遇政府采购云平台电子化开标或评审程序调整的，按调整后程序执行。</w:t>
      </w:r>
    </w:p>
    <w:p w14:paraId="21B1F92D">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采购过程中出现以下情形，导致电子交易平台无法正常运行，或者无法保证电子交易的公平、公正和安全时，采购组织机构可中止电子交易活动：</w:t>
      </w:r>
    </w:p>
    <w:p w14:paraId="220F4070">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（1）电子交易平台发生故障而无法登录访问的；</w:t>
      </w:r>
    </w:p>
    <w:p w14:paraId="07C2CC6E">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（2）电子交易平台应用或数据库出现错误，不能进行正常操作的；</w:t>
      </w:r>
    </w:p>
    <w:p w14:paraId="1C84F2DD">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（3）电子交易平台发现严重安全漏洞，有潜在泄密危险的；</w:t>
      </w:r>
    </w:p>
    <w:p w14:paraId="352ABD3C">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（4）病毒导致不能进行正常操作的；</w:t>
      </w:r>
    </w:p>
    <w:p w14:paraId="5847F4D6">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（5）其他无法保证电子交易的公平、公正和安全的情况。</w:t>
      </w:r>
    </w:p>
    <w:p w14:paraId="24C504EF">
      <w:pPr>
        <w:keepNext w:val="0"/>
        <w:keepLines w:val="0"/>
        <w:pageBreakBefore w:val="0"/>
        <w:tabs>
          <w:tab w:val="left" w:pos="1418"/>
        </w:tabs>
        <w:kinsoku/>
        <w:wordWrap/>
        <w:overflowPunct/>
        <w:topLinePunct w:val="0"/>
        <w:autoSpaceDE w:val="0"/>
        <w:autoSpaceDN w:val="0"/>
        <w:bidi w:val="0"/>
        <w:adjustRightIn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BCE4CA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 开标程序</w:t>
      </w:r>
    </w:p>
    <w:p w14:paraId="282E21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1、开标会由招标项目负责人主持，主持人宣布开标会议开始；</w:t>
      </w:r>
    </w:p>
    <w:p w14:paraId="1CE93D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2、主持人介绍参加开标会的人员名单；</w:t>
      </w:r>
    </w:p>
    <w:p w14:paraId="5D8253E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3、主持人宣布评标期间的有关事项，告知应当回避的情形，提请有关人员回避；对投标人进行签到验证。</w:t>
      </w:r>
    </w:p>
    <w:p w14:paraId="52C652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4、向各投标人发出电子加密投标文件【开始解密】通知，由投标人按招标文件规定的时间内自行进行投标文件解密。投标文件的制作和解密应使用同一个数字证书，否则将可能解密失败。</w:t>
      </w:r>
    </w:p>
    <w:p w14:paraId="186C61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5、采购组织机构点击【开启标书信息】，开启标书成功后进入开标流程。</w:t>
      </w:r>
    </w:p>
    <w:p w14:paraId="1E98B8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6、资格及商务技术文件评审；</w:t>
      </w:r>
    </w:p>
    <w:p w14:paraId="5B0BC4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7、由主持人公布无效投标的投标人名单、投标无效的原因及其他有效投标的评分汇总分；</w:t>
      </w:r>
    </w:p>
    <w:p w14:paraId="7B9A2F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8、开启报价响应文件：采购代理机构成功开启报价响应文件后，方可查看各投标人报价情况。</w:t>
      </w:r>
    </w:p>
    <w:p w14:paraId="5501EB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9、报价文件评审；</w:t>
      </w:r>
    </w:p>
    <w:p w14:paraId="316021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10、由主持人公布无效投标的投标人名单、投标无效的原因及其他有效投标的报价文件得分；</w:t>
      </w:r>
    </w:p>
    <w:p w14:paraId="030B052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11、宣布综合得分结果及中标候选人名单；</w:t>
      </w:r>
    </w:p>
    <w:p w14:paraId="0B802B1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12、开标会议结束</w:t>
      </w:r>
      <w:r>
        <w:rPr>
          <w:rFonts w:hint="eastAsia" w:ascii="宋体" w:hAnsi="宋体" w:eastAsia="宋体" w:cs="宋体"/>
          <w:color w:val="auto"/>
          <w:sz w:val="21"/>
          <w:szCs w:val="21"/>
          <w:highlight w:val="none"/>
        </w:rPr>
        <w:t>。</w:t>
      </w:r>
    </w:p>
    <w:p w14:paraId="7A9901F5">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五、评标</w:t>
      </w:r>
    </w:p>
    <w:p w14:paraId="6113397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本项目采用电子评审方法，评标的依据为招标文件和投标文件。</w:t>
      </w:r>
    </w:p>
    <w:p w14:paraId="4521FEAD">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（一）组建评标委员会</w:t>
      </w:r>
    </w:p>
    <w:p w14:paraId="38713C6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评标委员会由采购人代表和评审专家组成，成员人数为5人以上单数，其中评审专家不得少于成员总数的三分之二。</w:t>
      </w:r>
    </w:p>
    <w:p w14:paraId="2A393ADB">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（二）评标程序</w:t>
      </w:r>
    </w:p>
    <w:p w14:paraId="4A40DC34">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1、资格审查</w:t>
      </w:r>
    </w:p>
    <w:p w14:paraId="65FCCC0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公开招标采购项目开标结束后，采购人或者采购组织机构应当依法对投标人的资格进行审查，对审查发现无效的进行必要的询标，结束后公布无效投标的投标人名单、投标无效的原因。</w:t>
      </w:r>
    </w:p>
    <w:p w14:paraId="6C8AF4E4">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2、符合性审查</w:t>
      </w:r>
    </w:p>
    <w:p w14:paraId="5755120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评标委员会应当对符合资格的投标人的投标文件进行符合性审查，以确定其是否满足招标文件的实质性要求，对审查发现无效的进行必要的询标，结束后公布无效投标的投标人名单、投标无效的原因。</w:t>
      </w:r>
    </w:p>
    <w:p w14:paraId="36BF8252">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3、综合比较与评价</w:t>
      </w:r>
    </w:p>
    <w:p w14:paraId="64477B5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（1）对于投标文件中含义不明确、同类问题表述不一致或者有明显文字和计算错误的内容，评标委员会应当以书面形式要求投标人作出必要的澄清、说明或者补正。</w:t>
      </w:r>
    </w:p>
    <w:p w14:paraId="535ACAF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（2）评标委员会应当按照招标文件中规定的评标方法和标准，对符合性审查合格的投标文件进行商务和技术评估，综合比较与评价。</w:t>
      </w:r>
    </w:p>
    <w:p w14:paraId="71132C7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（3）评标时，评标委员会各成员应当独立对每个投标人的投标文件进行评价，并汇总每个投标人的得分。</w:t>
      </w:r>
    </w:p>
    <w:p w14:paraId="01AFE6D6">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4、得分确认及评审报告编写</w:t>
      </w:r>
    </w:p>
    <w:p w14:paraId="30CF4D23">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（1）评标委员会对报价文件进行复核，对于系统计算出的价格分及总得分进行确认；</w:t>
      </w:r>
    </w:p>
    <w:p w14:paraId="24D0ECE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（2）评标委员会应当按照招标文件中规定的评标方法和标准，对符合性审查合格的投标文件进行商务和技术评估，综合比较与评价。</w:t>
      </w:r>
    </w:p>
    <w:p w14:paraId="1EC6DCB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（3）评标委员会按评标原则及得分情况编写评审报告。</w:t>
      </w:r>
    </w:p>
    <w:p w14:paraId="19847401">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5、评价</w:t>
      </w:r>
    </w:p>
    <w:p w14:paraId="61AEC0D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采购组织机构对评标委员会评审专家进行评价。</w:t>
      </w:r>
    </w:p>
    <w:p w14:paraId="4752B00D">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（三）澄清问题的形式</w:t>
      </w:r>
    </w:p>
    <w:p w14:paraId="54E7DA8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投标人的澄清、说明或者补正应当采用书面形式，并加盖公章或者由</w:t>
      </w:r>
      <w:r>
        <w:rPr>
          <w:rFonts w:hint="eastAsia" w:ascii="宋体" w:hAnsi="宋体" w:eastAsia="宋体" w:cs="宋体"/>
          <w:color w:val="auto"/>
          <w:szCs w:val="21"/>
          <w:highlight w:val="none"/>
          <w:lang w:eastAsia="zh-CN"/>
        </w:rPr>
        <w:t>法定代表人或授权委托代理人签字</w:t>
      </w:r>
      <w:r>
        <w:rPr>
          <w:rFonts w:hint="eastAsia" w:ascii="宋体" w:hAnsi="宋体" w:eastAsia="宋体" w:cs="宋体"/>
          <w:color w:val="auto"/>
          <w:szCs w:val="21"/>
          <w:highlight w:val="none"/>
        </w:rPr>
        <w:t>，并不得超出投标文件的范围或者改变投标文件的实质性内容。</w:t>
      </w:r>
    </w:p>
    <w:p w14:paraId="18928EF0">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（四）错误修正</w:t>
      </w:r>
    </w:p>
    <w:p w14:paraId="6F42346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投标文件报价出现前后不一致的，除招标文件另有规定外，按照下列规定修正：</w:t>
      </w:r>
    </w:p>
    <w:p w14:paraId="1DC0C8B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1、投标文件中开标一览表（报价表）内容与投标文件中相应内容不一致的，以开标一览表（报价表）为准</w:t>
      </w:r>
      <w:r>
        <w:rPr>
          <w:rFonts w:hint="eastAsia" w:ascii="宋体" w:hAnsi="宋体" w:eastAsia="宋体" w:cs="宋体"/>
          <w:color w:val="auto"/>
          <w:szCs w:val="21"/>
          <w:highlight w:val="none"/>
          <w:lang w:eastAsia="zh-CN"/>
        </w:rPr>
        <w:t>。政采云平台开标一览表中填报的价格与上传的报价响应文件中开标一览表的报价不一致的，以上传的报价响应文件中开标一览表的价格为准，修正平台上的投标报价</w:t>
      </w:r>
      <w:r>
        <w:rPr>
          <w:rFonts w:hint="eastAsia" w:ascii="宋体" w:hAnsi="宋体" w:eastAsia="宋体" w:cs="宋体"/>
          <w:color w:val="auto"/>
          <w:szCs w:val="21"/>
          <w:highlight w:val="none"/>
        </w:rPr>
        <w:t>；</w:t>
      </w:r>
    </w:p>
    <w:p w14:paraId="760B1E4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1D23C14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3、单价金额小数点或者百分比有明显错位的，以开标一览表的总价为准，并修改单价；</w:t>
      </w:r>
    </w:p>
    <w:p w14:paraId="1F3555F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5134FD64">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Cs w:val="21"/>
          <w:highlight w:val="none"/>
        </w:rPr>
        <w:t>同时出现两种以上不一致的，按照前款规定的顺序修正。修正应当采用书面形式，并加盖公章，或者由</w:t>
      </w:r>
      <w:r>
        <w:rPr>
          <w:rFonts w:hint="eastAsia" w:ascii="宋体" w:hAnsi="宋体" w:eastAsia="宋体" w:cs="宋体"/>
          <w:color w:val="auto"/>
          <w:szCs w:val="21"/>
          <w:highlight w:val="none"/>
          <w:lang w:eastAsia="zh-CN"/>
        </w:rPr>
        <w:t>法定代表人或授权委托代理人签字</w:t>
      </w:r>
      <w:r>
        <w:rPr>
          <w:rFonts w:hint="eastAsia" w:ascii="宋体" w:hAnsi="宋体" w:eastAsia="宋体" w:cs="宋体"/>
          <w:color w:val="auto"/>
          <w:szCs w:val="21"/>
          <w:highlight w:val="none"/>
        </w:rPr>
        <w:t>。修正后的报价经投标人确认后产生约束力，投标人不确认</w:t>
      </w:r>
      <w:r>
        <w:rPr>
          <w:rFonts w:hint="eastAsia" w:ascii="宋体" w:hAnsi="宋体" w:eastAsia="宋体" w:cs="宋体"/>
          <w:color w:val="auto"/>
          <w:sz w:val="21"/>
          <w:szCs w:val="21"/>
          <w:highlight w:val="none"/>
          <w:lang w:val="en-US" w:eastAsia="zh-CN"/>
        </w:rPr>
        <w:t>或未在规定时间内进行有效澄清</w:t>
      </w:r>
      <w:r>
        <w:rPr>
          <w:rFonts w:hint="eastAsia" w:ascii="宋体" w:hAnsi="宋体" w:eastAsia="宋体" w:cs="宋体"/>
          <w:color w:val="auto"/>
          <w:szCs w:val="21"/>
          <w:highlight w:val="none"/>
        </w:rPr>
        <w:t>的，其投标无效。</w:t>
      </w:r>
    </w:p>
    <w:p w14:paraId="5005207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Cs w:val="21"/>
          <w:highlight w:val="none"/>
        </w:rPr>
        <w:t>（五）投标人存在下列情况之一的，投标无效</w:t>
      </w:r>
    </w:p>
    <w:p w14:paraId="10D97DBD">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1、资格证明文件或商务与技术文件跟报价文件出现混装或在资格证明文件或商务与技术文件中出现投标报价的，或者报价文件中报价的货物跟商务与技术文件中的投标货物出现重大偏差的；</w:t>
      </w:r>
    </w:p>
    <w:p w14:paraId="383BC52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2、不具备招标文件中规定的资格要求的。</w:t>
      </w:r>
      <w:r>
        <w:rPr>
          <w:rFonts w:hint="eastAsia" w:ascii="宋体" w:hAnsi="宋体" w:eastAsia="宋体" w:cs="宋体"/>
          <w:color w:val="auto"/>
          <w:szCs w:val="21"/>
          <w:highlight w:val="none"/>
        </w:rPr>
        <w:tab/>
      </w:r>
    </w:p>
    <w:p w14:paraId="4327A30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3、投标文件含有采购人不能接受的附加条件的。</w:t>
      </w:r>
    </w:p>
    <w:p w14:paraId="005A905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4、投标人的授权委托代理人未能出具身份证明或与法定代表人授权委托人身份不符的；</w:t>
      </w:r>
    </w:p>
    <w:p w14:paraId="2D5BC8B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5、投标人的电子投标文件无法按时解密的。</w:t>
      </w:r>
    </w:p>
    <w:p w14:paraId="30CB5B9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6、电子投标文件解密失败的，且未在规定时间内提交备份投标文件的；</w:t>
      </w:r>
    </w:p>
    <w:p w14:paraId="4B9F57DA">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7、电子投标文件未按规定要求提供电子签章的；</w:t>
      </w:r>
    </w:p>
    <w:p w14:paraId="06AA309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88B25D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9、报价超过招标文件中规定的预算价/最高限(单)价。 </w:t>
      </w:r>
    </w:p>
    <w:p w14:paraId="1A96E0B9">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10、投标参数未如实填写，完全复制粘贴招标参数的。</w:t>
      </w:r>
    </w:p>
    <w:p w14:paraId="1266643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11、投标文件提供虚假材料的。 </w:t>
      </w:r>
    </w:p>
    <w:p w14:paraId="7DFA34B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12、不符合中华人民共和国财政部令第87号《政府采购货物和服务招标投标管理办法》第三十七条情形之一的，视为投标人串通投标，其投标无效，并移送采购监管部门：</w:t>
      </w:r>
    </w:p>
    <w:p w14:paraId="24E9DB6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（1）不同投标人的投标文件由同一单位或者个人编制；</w:t>
      </w:r>
    </w:p>
    <w:p w14:paraId="253139B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（2）不同投标人委托同一单位或者个人办理投标事宜；</w:t>
      </w:r>
    </w:p>
    <w:p w14:paraId="66808A8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（3）不同投标人的投标文件载明的项目管理成员或者联系人员为同一人；</w:t>
      </w:r>
    </w:p>
    <w:p w14:paraId="48FF6FED">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（4）不同投标人的投标文件异常一致或者投标报价呈规律性差异；</w:t>
      </w:r>
    </w:p>
    <w:p w14:paraId="01904AF2">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（5）不同投标人的投标文件相互混装；</w:t>
      </w:r>
    </w:p>
    <w:p w14:paraId="1E82BAD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、不符合法律、法规和招标文件中规定的其他实质性要求的（招标文件中打“▲”内容及被拒绝的条款）。</w:t>
      </w:r>
    </w:p>
    <w:p w14:paraId="08E7044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Cs w:val="21"/>
          <w:highlight w:val="none"/>
        </w:rPr>
        <w:t>（六）有下列情况之一的，本次招标作为废标处理</w:t>
      </w:r>
    </w:p>
    <w:p w14:paraId="2A2FF1D5">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1、出现影响采购公正的违法、违规行为的；</w:t>
      </w:r>
    </w:p>
    <w:p w14:paraId="001F261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2、评标委员会发现招标文件存在歧义、重大缺陷导致评标工作无法进行，或者招标文件内容违反国家有关强制性规定的；</w:t>
      </w:r>
    </w:p>
    <w:p w14:paraId="5C2D1EC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3、因重大变故，采购任务取消的；</w:t>
      </w:r>
    </w:p>
    <w:p w14:paraId="077C372C">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4、法律、法规和招标文件规定的其他导致评标结果无效的。</w:t>
      </w:r>
    </w:p>
    <w:p w14:paraId="594F19C7">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（七）评标原则和评标办法</w:t>
      </w:r>
    </w:p>
    <w:p w14:paraId="1EB05280">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E1E3CEB">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2、评标办法。具体评标内容及评分标准等详见《第三章：评标</w:t>
      </w:r>
      <w:r>
        <w:rPr>
          <w:rFonts w:hint="eastAsia" w:ascii="宋体" w:hAnsi="宋体" w:eastAsia="宋体" w:cs="宋体"/>
          <w:color w:val="auto"/>
          <w:szCs w:val="21"/>
          <w:highlight w:val="none"/>
          <w:lang w:val="en-US" w:eastAsia="zh-CN"/>
        </w:rPr>
        <w:t>办</w:t>
      </w:r>
      <w:r>
        <w:rPr>
          <w:rFonts w:hint="eastAsia" w:ascii="宋体" w:hAnsi="宋体" w:eastAsia="宋体" w:cs="宋体"/>
          <w:color w:val="auto"/>
          <w:szCs w:val="21"/>
          <w:highlight w:val="none"/>
        </w:rPr>
        <w:t>法及评分标准》。</w:t>
      </w:r>
    </w:p>
    <w:p w14:paraId="6DF3337F">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（八）评标过程的监控</w:t>
      </w:r>
    </w:p>
    <w:p w14:paraId="261D54D3">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本项目评标过程实行全程录音、录像监控，政府采购监管部门视情进行现场监督，投标人在评标过程中所进行的试图影响评标结果的不公正活动，可能导致其投标被拒绝。</w:t>
      </w:r>
    </w:p>
    <w:p w14:paraId="506DC865">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六、定标</w:t>
      </w:r>
    </w:p>
    <w:p w14:paraId="52375611">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确定中标供应商。评标委员会根据采购单位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14:paraId="4AF5FC08">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发布中标结果公告。中标结果将自中标人确定之日起2个工作日内在省级以上财政部门指定的媒体及相关网站公告。如发现中标供应商资格无效或其放弃中标资格，则按本次评标供应商得分排序结果依次替补或重新组织。</w:t>
      </w:r>
    </w:p>
    <w:p w14:paraId="50BEFC9B">
      <w:pPr>
        <w:keepNext w:val="0"/>
        <w:keepLines w:val="0"/>
        <w:pageBreakBefore w:val="0"/>
        <w:kinsoku/>
        <w:wordWrap/>
        <w:overflowPunct/>
        <w:topLinePunct w:val="0"/>
        <w:bidi w:val="0"/>
        <w:spacing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3、发出中标通知书。采购组织机构在发布中标结果的同时，向中标人发出中标通知书。</w:t>
      </w:r>
    </w:p>
    <w:p w14:paraId="3EC23E59">
      <w:pPr>
        <w:pStyle w:val="20"/>
        <w:keepNext w:val="0"/>
        <w:keepLines w:val="0"/>
        <w:pageBreakBefore w:val="0"/>
        <w:kinsoku/>
        <w:wordWrap/>
        <w:overflowPunct/>
        <w:topLinePunct w:val="0"/>
        <w:bidi w:val="0"/>
        <w:spacing w:before="0" w:beforeAutospacing="0" w:after="0" w:afterAutospacing="0"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在中标之后领取通知书之前，应向招标代理机构交纳招标代理服务费。若中标人未在约定时间内支付招标代理服务费，从逾期之日起按日利率千分之一承担违约金。若中标人未按上述规定办理，需承担招标代理机构为实现债权的所有费用（包括但不限于律师费、催讨车旅费、保全担保费等）。</w:t>
      </w:r>
    </w:p>
    <w:p w14:paraId="1BDE782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 w:val="21"/>
          <w:szCs w:val="21"/>
          <w:highlight w:val="none"/>
        </w:rPr>
        <w:t>招标代理费：</w:t>
      </w:r>
      <w:r>
        <w:rPr>
          <w:rFonts w:hint="eastAsia" w:ascii="宋体" w:hAnsi="宋体" w:eastAsia="宋体" w:cs="宋体"/>
          <w:color w:val="auto"/>
          <w:szCs w:val="21"/>
          <w:highlight w:val="none"/>
        </w:rPr>
        <w:t>按照中标通知书确定的中标金额，</w:t>
      </w:r>
      <w:r>
        <w:rPr>
          <w:rFonts w:hint="eastAsia" w:ascii="宋体" w:hAnsi="宋体" w:eastAsia="宋体" w:cs="宋体"/>
          <w:color w:val="auto"/>
          <w:szCs w:val="21"/>
          <w:highlight w:val="none"/>
          <w:lang w:val="en-US" w:eastAsia="zh-CN"/>
        </w:rPr>
        <w:t>按下附表收费标准，采用差额累进算法</w:t>
      </w:r>
      <w:r>
        <w:rPr>
          <w:rFonts w:hint="eastAsia" w:ascii="宋体" w:hAnsi="宋体" w:eastAsia="宋体" w:cs="宋体"/>
          <w:color w:val="auto"/>
          <w:szCs w:val="21"/>
          <w:highlight w:val="none"/>
        </w:rPr>
        <w:t>向中标单位收取代理服务费。</w:t>
      </w:r>
      <w:r>
        <w:rPr>
          <w:rFonts w:hint="eastAsia" w:ascii="宋体" w:hAnsi="宋体" w:eastAsia="宋体" w:cs="宋体"/>
          <w:color w:val="auto"/>
          <w:sz w:val="21"/>
          <w:szCs w:val="21"/>
          <w:highlight w:val="none"/>
        </w:rPr>
        <w:t>代理服务费结算不足</w:t>
      </w:r>
      <w:r>
        <w:rPr>
          <w:rFonts w:hint="eastAsia" w:ascii="宋体" w:hAnsi="宋体" w:eastAsia="宋体" w:cs="宋体"/>
          <w:color w:val="auto"/>
          <w:sz w:val="21"/>
          <w:szCs w:val="21"/>
          <w:highlight w:val="none"/>
          <w:lang w:val="en-US" w:eastAsia="zh-CN"/>
        </w:rPr>
        <w:t>陆仟元</w:t>
      </w:r>
      <w:r>
        <w:rPr>
          <w:rFonts w:hint="eastAsia" w:ascii="宋体" w:hAnsi="宋体" w:eastAsia="宋体" w:cs="宋体"/>
          <w:color w:val="auto"/>
          <w:sz w:val="21"/>
          <w:szCs w:val="21"/>
          <w:highlight w:val="none"/>
        </w:rPr>
        <w:t>的，按定额</w:t>
      </w:r>
      <w:r>
        <w:rPr>
          <w:rFonts w:hint="eastAsia" w:ascii="宋体" w:hAnsi="宋体" w:eastAsia="宋体" w:cs="宋体"/>
          <w:color w:val="auto"/>
          <w:sz w:val="21"/>
          <w:szCs w:val="21"/>
          <w:highlight w:val="none"/>
          <w:lang w:val="en-US" w:eastAsia="zh-CN"/>
        </w:rPr>
        <w:t>陆仟元</w:t>
      </w:r>
      <w:r>
        <w:rPr>
          <w:rFonts w:hint="eastAsia" w:ascii="宋体" w:hAnsi="宋体" w:eastAsia="宋体" w:cs="宋体"/>
          <w:color w:val="auto"/>
          <w:sz w:val="21"/>
          <w:szCs w:val="21"/>
          <w:highlight w:val="none"/>
        </w:rPr>
        <w:t>收取。该费用中标方须在领取中标通知书时一次性付清。（单位名称：台州永安工程咨询有限公司；人民币账号：530125998900015；开户行：台州银行黄岩工业园区支行）</w:t>
      </w:r>
    </w:p>
    <w:p w14:paraId="52446167">
      <w:pPr>
        <w:keepNext w:val="0"/>
        <w:keepLines w:val="0"/>
        <w:pageBreakBefore w:val="0"/>
        <w:kinsoku/>
        <w:wordWrap/>
        <w:overflowPunct/>
        <w:topLinePunct w:val="0"/>
        <w:bidi w:val="0"/>
        <w:jc w:val="center"/>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附表：招标代理服务收费标准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2067"/>
      </w:tblGrid>
      <w:tr w14:paraId="1ADC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2556" w:type="dxa"/>
          </w:tcPr>
          <w:p w14:paraId="3BD007D6">
            <w:pPr>
              <w:keepNext w:val="0"/>
              <w:keepLines w:val="0"/>
              <w:pageBreakBefore w:val="0"/>
              <w:kinsoku/>
              <w:wordWrap/>
              <w:overflowPunct/>
              <w:topLinePunct w:val="0"/>
              <w:bidi w:val="0"/>
              <w:ind w:firstLine="1470" w:firstLineChars="700"/>
              <w:textAlignment w:val="auto"/>
              <w:outlineLvl w:val="9"/>
              <w:rPr>
                <w:rFonts w:hint="eastAsia" w:ascii="宋体" w:hAnsi="宋体" w:eastAsia="宋体" w:cs="宋体"/>
                <w:b/>
                <w:color w:val="auto"/>
                <w:szCs w:val="21"/>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21590</wp:posOffset>
                      </wp:positionV>
                      <wp:extent cx="1619250" cy="725170"/>
                      <wp:effectExtent l="1905" t="4445" r="17145" b="13335"/>
                      <wp:wrapNone/>
                      <wp:docPr id="6" name="直接连接符 6"/>
                      <wp:cNvGraphicFramePr/>
                      <a:graphic xmlns:a="http://schemas.openxmlformats.org/drawingml/2006/main">
                        <a:graphicData uri="http://schemas.microsoft.com/office/word/2010/wordprocessingShape">
                          <wps:wsp>
                            <wps:cNvCnPr/>
                            <wps:spPr>
                              <a:xfrm flipH="1" flipV="1">
                                <a:off x="999490" y="935355"/>
                                <a:ext cx="1619250" cy="72517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 y;margin-left:-4.6pt;margin-top:1.7pt;height:57.1pt;width:127.5pt;z-index:251662336;mso-width-relative:page;mso-height-relative:page;" filled="f" stroked="t" coordsize="21600,21600" o:gfxdata="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9+eVfUAAAACAEAAA8AAAAAAAAAAQAg&#10;AAAAIgAAAGRycy9kb3ducmV2LnhtbFBLAQIUABQAAAAIAIdO4kBz4/Q4EgIAAAQEAAAOAAAAAAAA&#10;AAEAIAAAACMBAABkcnMvZTJvRG9jLnhtbFBLBQYAAAAABgAGAFkBAACnBQAAAAA=&#10;">
                      <v:fill on="f" focussize="0,0"/>
                      <v:stroke color="#000000" joinstyle="round"/>
                      <v:imagedata o:title=""/>
                      <o:lock v:ext="edit" aspectratio="f"/>
                    </v:lin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645160</wp:posOffset>
                      </wp:positionH>
                      <wp:positionV relativeFrom="paragraph">
                        <wp:posOffset>0</wp:posOffset>
                      </wp:positionV>
                      <wp:extent cx="922655" cy="739775"/>
                      <wp:effectExtent l="3175" t="3810" r="7620" b="18415"/>
                      <wp:wrapNone/>
                      <wp:docPr id="4" name="直接连接符 4"/>
                      <wp:cNvGraphicFramePr/>
                      <a:graphic xmlns:a="http://schemas.openxmlformats.org/drawingml/2006/main">
                        <a:graphicData uri="http://schemas.microsoft.com/office/word/2010/wordprocessingShape">
                          <wps:wsp>
                            <wps:cNvCnPr/>
                            <wps:spPr>
                              <a:xfrm>
                                <a:off x="1812925" y="964565"/>
                                <a:ext cx="922655" cy="7397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50.8pt;margin-top:0pt;height:58.25pt;width:72.65pt;z-index:251661312;mso-width-relative:page;mso-height-relative:page;" filled="f" stroked="t" coordsize="21600,21600" o:gfxdata="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4BhXtUAAAAIAQAADwAAAAAAAAABACAAAAAiAAAAZHJz&#10;L2Rvd25yZXYueG1sUEsBAhQAFAAAAAgAh07iQGx8WwoHAgAA8AMAAA4AAAAAAAAAAQAgAAAAJAEA&#10;AGRycy9lMm9Eb2MueG1sUEsFBgAAAAAGAAYAWQEAAJ0FAAAAAA==&#10;">
                      <v:fill on="f" focussize="0,0"/>
                      <v:stroke color="#000000" joinstyle="round"/>
                      <v:imagedata o:title=""/>
                      <o:lock v:ext="edit" aspectratio="f"/>
                    </v:line>
                  </w:pict>
                </mc:Fallback>
              </mc:AlternateContent>
            </w:r>
            <w:r>
              <w:rPr>
                <w:rFonts w:hint="eastAsia" w:ascii="宋体" w:hAnsi="宋体" w:eastAsia="宋体" w:cs="宋体"/>
                <w:b/>
                <w:color w:val="auto"/>
                <w:szCs w:val="21"/>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5HTftUAAAAJAQAADwAAAAAAAAABACAAAAAiAAAAZHJzL2Rvd25yZXYueG1sUEsBAhQAFAAAAAgA&#10;h07iQCx4TKvvAQAA5AM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b/>
                <w:color w:val="auto"/>
                <w:szCs w:val="21"/>
                <w:highlight w:val="none"/>
              </w:rPr>
              <w:t>服务</w:t>
            </w:r>
          </w:p>
          <w:p w14:paraId="16EFAA75">
            <w:pPr>
              <w:keepNext w:val="0"/>
              <w:keepLines w:val="0"/>
              <w:pageBreakBefore w:val="0"/>
              <w:kinsoku/>
              <w:wordWrap/>
              <w:overflowPunct/>
              <w:topLinePunct w:val="0"/>
              <w:bidi w:val="0"/>
              <w:ind w:firstLine="1054" w:firstLineChars="500"/>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费　　类型</w:t>
            </w:r>
          </w:p>
          <w:p w14:paraId="50B75A63">
            <w:pPr>
              <w:keepNext w:val="0"/>
              <w:keepLines w:val="0"/>
              <w:pageBreakBefore w:val="0"/>
              <w:kinsoku/>
              <w:wordWrap/>
              <w:overflowPunct/>
              <w:topLinePunct w:val="0"/>
              <w:bidi w:val="0"/>
              <w:ind w:firstLine="1476" w:firstLineChars="700"/>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率</w:t>
            </w:r>
          </w:p>
          <w:p w14:paraId="6783BA22">
            <w:pPr>
              <w:keepNext w:val="0"/>
              <w:keepLines w:val="0"/>
              <w:pageBreakBefore w:val="0"/>
              <w:kinsoku/>
              <w:wordWrap/>
              <w:overflowPunct/>
              <w:topLinePunct w:val="0"/>
              <w:bidi w:val="0"/>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中标金额（万元）</w:t>
            </w:r>
          </w:p>
        </w:tc>
        <w:tc>
          <w:tcPr>
            <w:tcW w:w="2067" w:type="dxa"/>
            <w:vAlign w:val="center"/>
          </w:tcPr>
          <w:p w14:paraId="6907BABF">
            <w:pPr>
              <w:keepNext w:val="0"/>
              <w:keepLines w:val="0"/>
              <w:pageBreakBefore w:val="0"/>
              <w:kinsoku/>
              <w:wordWrap/>
              <w:overflowPunct/>
              <w:topLinePunct w:val="0"/>
              <w:bidi w:val="0"/>
              <w:jc w:val="center"/>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服务招标</w:t>
            </w:r>
          </w:p>
        </w:tc>
      </w:tr>
      <w:tr w14:paraId="28FE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307A43E1">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100以下</w:t>
            </w:r>
          </w:p>
        </w:tc>
        <w:tc>
          <w:tcPr>
            <w:tcW w:w="2067" w:type="dxa"/>
          </w:tcPr>
          <w:p w14:paraId="2A354152">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r>
      <w:tr w14:paraId="2ED8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55DE3449">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w:t>
            </w:r>
          </w:p>
        </w:tc>
        <w:tc>
          <w:tcPr>
            <w:tcW w:w="2067" w:type="dxa"/>
          </w:tcPr>
          <w:p w14:paraId="7C12E042">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r>
      <w:tr w14:paraId="067C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7067AF7F">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w:t>
            </w:r>
          </w:p>
        </w:tc>
        <w:tc>
          <w:tcPr>
            <w:tcW w:w="2067" w:type="dxa"/>
          </w:tcPr>
          <w:p w14:paraId="206611D2">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r>
      <w:tr w14:paraId="05D3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496F8B5F">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w:t>
            </w:r>
          </w:p>
        </w:tc>
        <w:tc>
          <w:tcPr>
            <w:tcW w:w="2067" w:type="dxa"/>
          </w:tcPr>
          <w:p w14:paraId="6FD90C64">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r>
      <w:tr w14:paraId="6966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6782D314">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5000-10000</w:t>
            </w:r>
          </w:p>
        </w:tc>
        <w:tc>
          <w:tcPr>
            <w:tcW w:w="2067" w:type="dxa"/>
          </w:tcPr>
          <w:p w14:paraId="26623532">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r>
      <w:tr w14:paraId="66F7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56" w:type="dxa"/>
          </w:tcPr>
          <w:p w14:paraId="3BCC0919">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10000-100000</w:t>
            </w:r>
          </w:p>
        </w:tc>
        <w:tc>
          <w:tcPr>
            <w:tcW w:w="2067" w:type="dxa"/>
          </w:tcPr>
          <w:p w14:paraId="70E59542">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FFD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556" w:type="dxa"/>
          </w:tcPr>
          <w:p w14:paraId="3B1FA260">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100000以上</w:t>
            </w:r>
          </w:p>
        </w:tc>
        <w:tc>
          <w:tcPr>
            <w:tcW w:w="2067" w:type="dxa"/>
          </w:tcPr>
          <w:p w14:paraId="4294A654">
            <w:pPr>
              <w:keepNext w:val="0"/>
              <w:keepLines w:val="0"/>
              <w:pageBreakBefore w:val="0"/>
              <w:kinsoku/>
              <w:wordWrap/>
              <w:overflowPunct/>
              <w:topLinePunct w:val="0"/>
              <w:bidi w:val="0"/>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0.01%</w:t>
            </w:r>
          </w:p>
        </w:tc>
      </w:tr>
    </w:tbl>
    <w:p w14:paraId="3D1F1153">
      <w:pPr>
        <w:keepNext w:val="0"/>
        <w:keepLines w:val="0"/>
        <w:pageBreakBefore w:val="0"/>
        <w:kinsoku/>
        <w:wordWrap/>
        <w:overflowPunct/>
        <w:topLinePunct w:val="0"/>
        <w:bidi w:val="0"/>
        <w:spacing w:line="360" w:lineRule="auto"/>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七、合同签订及公告</w:t>
      </w:r>
    </w:p>
    <w:p w14:paraId="3E70623E">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（一）签订合同</w:t>
      </w:r>
    </w:p>
    <w:p w14:paraId="499A8116">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1、采购人应当自中标通知书发出之日起</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日内，按照招标文件和中标人投标文件的规定，与中标人签订书面合同。所签订的合同不得对招标文件确定的事项和中标人投标文件作实质性修改。</w:t>
      </w:r>
    </w:p>
    <w:p w14:paraId="62D02BA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2、采购人不得向中标人提出任何不合理的要求作为签订合同的条件。</w:t>
      </w:r>
    </w:p>
    <w:p w14:paraId="1F014B67">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3、中标供应商无故拖延、拒签合同的,取消中标资格。</w:t>
      </w:r>
    </w:p>
    <w:p w14:paraId="21647B0F">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14:paraId="41262951">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5、询问或者质疑事项可能影响中标结果的，采购人应当暂停签订合同，已经签订合同的，应当中止履行合同（中标结果的质疑期为中标结果公告期限届满之日起七个工作日）。</w:t>
      </w:r>
    </w:p>
    <w:p w14:paraId="71C470F5">
      <w:pPr>
        <w:keepNext w:val="0"/>
        <w:keepLines w:val="0"/>
        <w:pageBreakBefore w:val="0"/>
        <w:kinsoku/>
        <w:wordWrap/>
        <w:overflowPunct/>
        <w:topLinePunct w:val="0"/>
        <w:bidi w:val="0"/>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（二）合同公告及备案</w:t>
      </w:r>
    </w:p>
    <w:p w14:paraId="59B0DD6E">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1、采购人应当自政府采购合同签订之日起2个工作日内，在省级以上财政部门指定的政府采购信息发布媒体及相关网站上公告。</w:t>
      </w:r>
    </w:p>
    <w:p w14:paraId="506128C8">
      <w:pPr>
        <w:keepNext w:val="0"/>
        <w:keepLines w:val="0"/>
        <w:pageBreakBefore w:val="0"/>
        <w:kinsoku/>
        <w:wordWrap/>
        <w:overflowPunct/>
        <w:topLinePunct w:val="0"/>
        <w:bidi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2、采购人应当自政府采购合同签订之日起7个工作日内，将政府采购合同副本报同级人民政府财政部门备案以及采购组织机构存档。</w:t>
      </w:r>
    </w:p>
    <w:p w14:paraId="71D5F635">
      <w:pPr>
        <w:spacing w:line="360" w:lineRule="auto"/>
        <w:rPr>
          <w:rFonts w:hint="eastAsia" w:ascii="宋体" w:hAnsi="宋体" w:eastAsia="宋体" w:cs="宋体"/>
          <w:b/>
          <w:color w:val="auto"/>
          <w:sz w:val="36"/>
          <w:szCs w:val="36"/>
          <w:highlight w:val="none"/>
        </w:rPr>
      </w:pPr>
    </w:p>
    <w:p w14:paraId="59B04B41">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49632D42">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第三章 评标办法及评分标准</w:t>
      </w:r>
    </w:p>
    <w:p w14:paraId="4B5DAE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一、采购组织机构将组织评标委员会，对投标人提供的投标文件进行综合评审。</w:t>
      </w:r>
    </w:p>
    <w:p w14:paraId="65E36E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二、本次招标项目的评标方法为综合评分法，总计100分，其中</w:t>
      </w:r>
      <w:r>
        <w:rPr>
          <w:rFonts w:hint="eastAsia" w:ascii="宋体" w:hAnsi="宋体" w:eastAsia="宋体" w:cs="宋体"/>
          <w:color w:val="auto"/>
          <w:szCs w:val="21"/>
          <w:highlight w:val="none"/>
          <w:lang w:val="zh-CN"/>
        </w:rPr>
        <w:t>商务技术文件分值</w:t>
      </w:r>
      <w:r>
        <w:rPr>
          <w:rFonts w:hint="eastAsia" w:ascii="宋体" w:hAnsi="宋体" w:eastAsia="宋体" w:cs="宋体"/>
          <w:color w:val="auto"/>
          <w:szCs w:val="21"/>
          <w:highlight w:val="none"/>
          <w:lang w:val="en-US" w:eastAsia="zh-CN"/>
        </w:rPr>
        <w:t>85</w:t>
      </w:r>
      <w:r>
        <w:rPr>
          <w:rFonts w:hint="eastAsia" w:ascii="宋体" w:hAnsi="宋体" w:eastAsia="宋体" w:cs="宋体"/>
          <w:color w:val="auto"/>
          <w:szCs w:val="21"/>
          <w:highlight w:val="none"/>
          <w:lang w:val="zh-CN"/>
        </w:rPr>
        <w:t>分，投标报价分值</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。评标标准按评分细化条款及分值进行评审。</w:t>
      </w:r>
    </w:p>
    <w:p w14:paraId="55821E7F">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（一）商务技术文件中的客观分</w:t>
      </w:r>
      <w:r>
        <w:rPr>
          <w:rFonts w:hint="eastAsia" w:ascii="宋体" w:hAnsi="宋体" w:eastAsia="宋体" w:cs="宋体"/>
          <w:color w:val="auto"/>
          <w:sz w:val="21"/>
          <w:szCs w:val="21"/>
          <w:highlight w:val="none"/>
          <w:lang w:val="zh-CN"/>
        </w:rPr>
        <w:t>应由评审小组成员独立评审，</w:t>
      </w:r>
      <w:r>
        <w:rPr>
          <w:rFonts w:hint="eastAsia" w:ascii="宋体" w:hAnsi="宋体" w:eastAsia="宋体" w:cs="宋体"/>
          <w:color w:val="auto"/>
          <w:sz w:val="21"/>
          <w:szCs w:val="21"/>
          <w:highlight w:val="none"/>
          <w:lang w:val="en-US" w:eastAsia="zh-CN"/>
        </w:rPr>
        <w:t>但客观分打分应一致</w:t>
      </w:r>
      <w:r>
        <w:rPr>
          <w:rFonts w:hint="eastAsia" w:ascii="宋体" w:hAnsi="宋体" w:eastAsia="宋体" w:cs="宋体"/>
          <w:color w:val="auto"/>
          <w:szCs w:val="21"/>
          <w:highlight w:val="none"/>
          <w:lang w:val="zh-CN"/>
        </w:rPr>
        <w:t>；客观分不一致时，由评审委员会复核或书面说明理由，其余在规定的分值内单独评定打分</w:t>
      </w:r>
      <w:r>
        <w:rPr>
          <w:rFonts w:hint="eastAsia" w:ascii="宋体" w:hAnsi="宋体" w:eastAsia="宋体" w:cs="宋体"/>
          <w:color w:val="auto"/>
          <w:szCs w:val="21"/>
          <w:highlight w:val="none"/>
        </w:rPr>
        <w:t>（小数点后保留1位）</w:t>
      </w:r>
      <w:r>
        <w:rPr>
          <w:rFonts w:hint="eastAsia" w:ascii="宋体" w:hAnsi="宋体" w:eastAsia="宋体" w:cs="宋体"/>
          <w:color w:val="auto"/>
          <w:szCs w:val="21"/>
          <w:highlight w:val="none"/>
          <w:lang w:val="zh-CN"/>
        </w:rPr>
        <w:t>。</w:t>
      </w:r>
    </w:p>
    <w:p w14:paraId="3290728B">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（二）各投标人商务技术文件得分按照评标委员会成员的独立评分结果汇总后的算术平均分计算</w:t>
      </w:r>
      <w:r>
        <w:rPr>
          <w:rFonts w:hint="eastAsia" w:ascii="宋体" w:hAnsi="宋体" w:eastAsia="宋体" w:cs="宋体"/>
          <w:color w:val="auto"/>
          <w:szCs w:val="21"/>
          <w:highlight w:val="none"/>
        </w:rPr>
        <w:t>（小数点后保留2位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四舍五入</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，计算公式为：</w:t>
      </w:r>
    </w:p>
    <w:p w14:paraId="5937A7F5">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商务技术文件</w:t>
      </w:r>
      <w:r>
        <w:rPr>
          <w:rFonts w:hint="eastAsia" w:ascii="宋体" w:hAnsi="宋体" w:eastAsia="宋体" w:cs="宋体"/>
          <w:color w:val="auto"/>
          <w:szCs w:val="21"/>
          <w:highlight w:val="none"/>
        </w:rPr>
        <w:t>得分</w:t>
      </w:r>
      <w:r>
        <w:rPr>
          <w:rFonts w:hint="eastAsia" w:ascii="宋体" w:hAnsi="宋体" w:eastAsia="宋体" w:cs="宋体"/>
          <w:color w:val="auto"/>
          <w:szCs w:val="21"/>
          <w:highlight w:val="none"/>
          <w:lang w:val="zh-CN"/>
        </w:rPr>
        <w:t>=评标委员会所有成员评分合计数/评标委员会组成人员数。</w:t>
      </w:r>
    </w:p>
    <w:p w14:paraId="58DA714C">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（三）投标报价得分采用低价优先法计算</w:t>
      </w:r>
      <w:r>
        <w:rPr>
          <w:rFonts w:hint="eastAsia" w:ascii="宋体" w:hAnsi="宋体" w:eastAsia="宋体" w:cs="宋体"/>
          <w:color w:val="auto"/>
          <w:szCs w:val="21"/>
          <w:highlight w:val="none"/>
        </w:rPr>
        <w:t>（小数点后保留2位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四舍五入</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，即满足招标文件要求且投标价格最低的投标报价为评标基准价，其报价得满分。其他投标人的投标报价得分按下列公式计算：</w:t>
      </w:r>
    </w:p>
    <w:p w14:paraId="2EE1E696">
      <w:pPr>
        <w:spacing w:line="360" w:lineRule="auto"/>
        <w:ind w:firstLine="420" w:firstLineChars="200"/>
        <w:rPr>
          <w:rFonts w:hint="eastAsia" w:ascii="宋体" w:hAnsi="宋体" w:eastAsia="宋体" w:cs="宋体"/>
          <w:color w:val="auto"/>
          <w:szCs w:val="21"/>
          <w:highlight w:val="none"/>
          <w:u w:val="single"/>
          <w:lang w:val="zh-CN"/>
        </w:rPr>
      </w:pPr>
      <w:r>
        <w:rPr>
          <w:rFonts w:hint="eastAsia" w:ascii="宋体" w:hAnsi="宋体" w:eastAsia="宋体" w:cs="宋体"/>
          <w:color w:val="auto"/>
          <w:szCs w:val="21"/>
          <w:highlight w:val="none"/>
          <w:u w:val="single"/>
          <w:lang w:val="zh-CN"/>
        </w:rPr>
        <w:t>投标报价得分=(评标基准价／投标报价)×</w:t>
      </w:r>
      <w:r>
        <w:rPr>
          <w:rFonts w:hint="eastAsia" w:ascii="宋体" w:hAnsi="宋体" w:eastAsia="宋体" w:cs="宋体"/>
          <w:color w:val="auto"/>
          <w:szCs w:val="21"/>
          <w:highlight w:val="none"/>
          <w:u w:val="single"/>
          <w:lang w:val="en-US" w:eastAsia="zh-CN"/>
        </w:rPr>
        <w:t>15</w:t>
      </w:r>
      <w:r>
        <w:rPr>
          <w:rFonts w:hint="eastAsia" w:ascii="宋体" w:hAnsi="宋体" w:eastAsia="宋体" w:cs="宋体"/>
          <w:color w:val="auto"/>
          <w:szCs w:val="21"/>
          <w:highlight w:val="none"/>
          <w:u w:val="single"/>
          <w:lang w:val="zh-CN"/>
        </w:rPr>
        <w:t>%×100 。</w:t>
      </w:r>
    </w:p>
    <w:p w14:paraId="66D014EF">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（四）投标人综合得分＝商务技术文件得分＋投标报价得分。</w:t>
      </w:r>
    </w:p>
    <w:p w14:paraId="690C51BC">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（五）政府采购政策及优惠：</w:t>
      </w:r>
    </w:p>
    <w:p w14:paraId="793B3ACC">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 w:val="21"/>
          <w:szCs w:val="21"/>
          <w:highlight w:val="none"/>
          <w:lang w:val="zh-CN"/>
        </w:rPr>
        <w:t>关于小型、微型企业（简称小微企业）投标：①根据</w:t>
      </w:r>
      <w:r>
        <w:rPr>
          <w:rFonts w:hint="eastAsia" w:ascii="宋体" w:hAnsi="宋体" w:eastAsia="宋体" w:cs="宋体"/>
          <w:color w:val="auto"/>
          <w:sz w:val="21"/>
          <w:szCs w:val="21"/>
          <w:highlight w:val="none"/>
          <w:lang w:val="en-US" w:eastAsia="zh-CN"/>
        </w:rPr>
        <w:t>浙江省财政厅</w:t>
      </w:r>
      <w:r>
        <w:rPr>
          <w:rFonts w:hint="eastAsia" w:ascii="宋体" w:hAnsi="宋体" w:eastAsia="宋体" w:cs="宋体"/>
          <w:color w:val="auto"/>
          <w:sz w:val="21"/>
          <w:szCs w:val="21"/>
          <w:highlight w:val="none"/>
          <w:lang w:val="zh-CN"/>
        </w:rPr>
        <w:t>发布的《浙江省财政厅关于进一步发挥政府采购政策功能全力推动经济稳进提质的通知》【</w:t>
      </w:r>
      <w:r>
        <w:rPr>
          <w:rFonts w:hint="eastAsia" w:ascii="宋体" w:hAnsi="宋体" w:eastAsia="宋体" w:cs="宋体"/>
          <w:color w:val="auto"/>
          <w:sz w:val="21"/>
          <w:szCs w:val="21"/>
          <w:highlight w:val="none"/>
          <w:lang w:val="en-US" w:eastAsia="zh-CN"/>
        </w:rPr>
        <w:t>浙财采监</w:t>
      </w:r>
      <w:r>
        <w:rPr>
          <w:rFonts w:hint="eastAsia" w:ascii="宋体" w:hAnsi="宋体" w:eastAsia="宋体" w:cs="宋体"/>
          <w:color w:val="auto"/>
          <w:sz w:val="21"/>
          <w:szCs w:val="21"/>
          <w:highlight w:val="none"/>
          <w:lang w:val="zh-CN"/>
        </w:rPr>
        <w:t>（202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号】规定，对于经主管预算单位统筹后未预留份额专门面向中小企业采购的采购项目，以及预留份额项目中的非预留部分采购包，采购人、采购代理机构应当对符合本办法规定的小微企业报价给予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的扣除，用扣除后的价格参加评审。②小微企业投标是指符合《中小企业划型标准规定》的投标人，通过投标提供本企业制造的货物、承担的工程或者服务，或者提供其他小微企业制造的货物。本项所指货物不包括使用大、中型企业注册商标的货物。</w:t>
      </w:r>
    </w:p>
    <w:p w14:paraId="5599B7D3">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监狱企业参加政府采购活动时，应当提供由省级以上监狱管理局、戒毒管理局（含新疆生产建设兵团）出具的属于监狱企业的证明文件，视同小型、微型企业，享受小微企业政府采购优惠政策；</w:t>
      </w:r>
    </w:p>
    <w:p w14:paraId="3810A7CB">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残疾人福利性单位在参加政府采购活动时，应提供《残疾人福利性单位声明函》（见附件），视同小型、微型企业，享受小微企业政府采购优惠政策。</w:t>
      </w:r>
    </w:p>
    <w:p w14:paraId="11F45175">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具体优惠：对于非联合体投标，小型微型企业产品的价格给予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zh-CN"/>
        </w:rPr>
        <w:t>%的扣除，用扣除后的价格计算评标基准价和投标报价。对于联合体投标，小型、微型企业的协议合同金额占到联合体协议合同总金额30%以上的，可给予联合体</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%的价格扣除。联合体各方均为小型、微型企业的，联合体视同为小型、微型企业享受扶持政策，对于小型微型企业产品的价格给予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zh-CN"/>
        </w:rPr>
        <w:t>%的扣除，用扣除后的价格计算评标基准价和响应报价。同一投标人（包括联合体），小微企业、监狱企业、残疾人福利性单位价格扣除优惠只享受一次，不得重复享受。</w:t>
      </w:r>
    </w:p>
    <w:p w14:paraId="67A670DE">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注：得分以系统计算为准，保留2位小数。</w:t>
      </w:r>
    </w:p>
    <w:p w14:paraId="1FAB047A">
      <w:pPr>
        <w:pStyle w:val="9"/>
        <w:spacing w:line="360" w:lineRule="auto"/>
        <w:ind w:firstLine="562" w:firstLineChars="200"/>
        <w:jc w:val="left"/>
        <w:rPr>
          <w:rFonts w:hint="eastAsia" w:ascii="宋体" w:hAnsi="宋体" w:eastAsia="宋体" w:cs="宋体"/>
          <w:color w:val="auto"/>
          <w:szCs w:val="21"/>
          <w:highlight w:val="none"/>
          <w:lang w:val="zh-CN"/>
        </w:rPr>
      </w:pPr>
      <w:r>
        <w:rPr>
          <w:rFonts w:hint="eastAsia" w:ascii="宋体" w:hAnsi="宋体" w:eastAsia="宋体" w:cs="宋体"/>
          <w:b/>
          <w:bCs/>
          <w:color w:val="auto"/>
          <w:sz w:val="28"/>
          <w:szCs w:val="28"/>
          <w:highlight w:val="none"/>
          <w:u w:val="single"/>
        </w:rPr>
        <w:t>*</w:t>
      </w:r>
      <w:r>
        <w:rPr>
          <w:rFonts w:hint="eastAsia" w:ascii="宋体" w:hAnsi="宋体" w:eastAsia="宋体" w:cs="宋体"/>
          <w:b/>
          <w:bCs/>
          <w:color w:val="auto"/>
          <w:szCs w:val="21"/>
          <w:highlight w:val="none"/>
          <w:u w:val="single"/>
          <w:lang w:val="zh-CN"/>
        </w:rPr>
        <w:t>以上证明材料不提供或提供不全的视为自动放弃优惠政策。</w:t>
      </w:r>
    </w:p>
    <w:p w14:paraId="66453F4B">
      <w:pPr>
        <w:autoSpaceDE w:val="0"/>
        <w:autoSpaceDN w:val="0"/>
        <w:adjustRightInd w:val="0"/>
        <w:spacing w:line="360" w:lineRule="auto"/>
        <w:ind w:right="85"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三、在最大限度地满足</w:t>
      </w:r>
      <w:r>
        <w:rPr>
          <w:rFonts w:hint="eastAsia" w:ascii="宋体" w:hAnsi="宋体" w:eastAsia="宋体" w:cs="宋体"/>
          <w:color w:val="auto"/>
          <w:szCs w:val="21"/>
          <w:highlight w:val="none"/>
        </w:rPr>
        <w:t>招标</w:t>
      </w:r>
      <w:r>
        <w:rPr>
          <w:rFonts w:hint="eastAsia" w:ascii="宋体" w:hAnsi="宋体" w:eastAsia="宋体" w:cs="宋体"/>
          <w:color w:val="auto"/>
          <w:szCs w:val="21"/>
          <w:highlight w:val="none"/>
          <w:lang w:val="zh-CN"/>
        </w:rPr>
        <w:t>文件实质性要求前提下，</w:t>
      </w:r>
      <w:r>
        <w:rPr>
          <w:rFonts w:hint="eastAsia" w:ascii="宋体" w:hAnsi="宋体" w:eastAsia="宋体" w:cs="宋体"/>
          <w:color w:val="auto"/>
          <w:szCs w:val="21"/>
          <w:highlight w:val="none"/>
        </w:rPr>
        <w:t>评标委员会</w:t>
      </w:r>
      <w:r>
        <w:rPr>
          <w:rFonts w:hint="eastAsia" w:ascii="宋体" w:hAnsi="宋体" w:eastAsia="宋体" w:cs="宋体"/>
          <w:color w:val="auto"/>
          <w:szCs w:val="21"/>
          <w:highlight w:val="none"/>
          <w:lang w:val="zh-CN"/>
        </w:rPr>
        <w:t>按照</w:t>
      </w:r>
      <w:r>
        <w:rPr>
          <w:rFonts w:hint="eastAsia" w:ascii="宋体" w:hAnsi="宋体" w:eastAsia="宋体" w:cs="宋体"/>
          <w:color w:val="auto"/>
          <w:szCs w:val="21"/>
          <w:highlight w:val="none"/>
        </w:rPr>
        <w:t>招标</w:t>
      </w:r>
      <w:r>
        <w:rPr>
          <w:rFonts w:hint="eastAsia" w:ascii="宋体" w:hAnsi="宋体" w:eastAsia="宋体" w:cs="宋体"/>
          <w:color w:val="auto"/>
          <w:szCs w:val="21"/>
          <w:highlight w:val="none"/>
          <w:lang w:val="zh-CN"/>
        </w:rPr>
        <w:t>文件中规定的各项因素进行综合评审后，以评审总得分最高的</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zh-CN"/>
        </w:rPr>
        <w:t>为</w:t>
      </w:r>
      <w:r>
        <w:rPr>
          <w:rFonts w:hint="eastAsia" w:ascii="宋体" w:hAnsi="宋体" w:eastAsia="宋体" w:cs="宋体"/>
          <w:color w:val="auto"/>
          <w:szCs w:val="21"/>
          <w:highlight w:val="none"/>
          <w:lang w:val="en-US" w:eastAsia="zh-CN"/>
        </w:rPr>
        <w:t>第一</w:t>
      </w:r>
      <w:r>
        <w:rPr>
          <w:rFonts w:hint="eastAsia" w:ascii="宋体" w:hAnsi="宋体" w:eastAsia="宋体" w:cs="宋体"/>
          <w:color w:val="auto"/>
          <w:szCs w:val="21"/>
          <w:highlight w:val="none"/>
        </w:rPr>
        <w:t>中标候选人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zh-CN"/>
        </w:rPr>
        <w:t>评审总得分</w:t>
      </w:r>
      <w:r>
        <w:rPr>
          <w:rFonts w:hint="eastAsia" w:ascii="宋体" w:hAnsi="宋体" w:eastAsia="宋体" w:cs="宋体"/>
          <w:color w:val="auto"/>
          <w:szCs w:val="21"/>
          <w:highlight w:val="none"/>
          <w:lang w:val="en-US" w:eastAsia="zh-CN"/>
        </w:rPr>
        <w:t>次</w:t>
      </w:r>
      <w:r>
        <w:rPr>
          <w:rFonts w:hint="eastAsia" w:ascii="宋体" w:hAnsi="宋体" w:eastAsia="宋体" w:cs="宋体"/>
          <w:color w:val="auto"/>
          <w:szCs w:val="21"/>
          <w:highlight w:val="none"/>
          <w:lang w:val="zh-CN"/>
        </w:rPr>
        <w:t>高的</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zh-CN"/>
        </w:rPr>
        <w:t>为</w:t>
      </w:r>
      <w:r>
        <w:rPr>
          <w:rFonts w:hint="eastAsia" w:ascii="宋体" w:hAnsi="宋体" w:eastAsia="宋体" w:cs="宋体"/>
          <w:color w:val="auto"/>
          <w:szCs w:val="21"/>
          <w:highlight w:val="none"/>
          <w:lang w:val="en-US" w:eastAsia="zh-CN"/>
        </w:rPr>
        <w:t>第二</w:t>
      </w:r>
      <w:r>
        <w:rPr>
          <w:rFonts w:hint="eastAsia" w:ascii="宋体" w:hAnsi="宋体" w:eastAsia="宋体" w:cs="宋体"/>
          <w:color w:val="auto"/>
          <w:szCs w:val="21"/>
          <w:highlight w:val="none"/>
        </w:rPr>
        <w:t>中标候选人</w:t>
      </w:r>
      <w:r>
        <w:rPr>
          <w:rFonts w:hint="eastAsia" w:ascii="宋体" w:hAnsi="宋体" w:eastAsia="宋体" w:cs="宋体"/>
          <w:color w:val="auto"/>
          <w:szCs w:val="21"/>
          <w:highlight w:val="none"/>
          <w:lang w:val="zh-CN"/>
        </w:rPr>
        <w:t>。</w:t>
      </w:r>
    </w:p>
    <w:p w14:paraId="0D3EA248">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四、如综合得分相同，投标报价低者为先；如综合得分且投标报价相同的，以</w:t>
      </w:r>
      <w:r>
        <w:rPr>
          <w:rFonts w:hint="eastAsia" w:ascii="宋体" w:hAnsi="宋体" w:eastAsia="宋体" w:cs="宋体"/>
          <w:color w:val="auto"/>
          <w:sz w:val="21"/>
          <w:szCs w:val="21"/>
          <w:highlight w:val="none"/>
          <w:lang w:val="en-US" w:eastAsia="zh-CN"/>
        </w:rPr>
        <w:t>商务分</w:t>
      </w:r>
      <w:r>
        <w:rPr>
          <w:rFonts w:hint="eastAsia" w:ascii="宋体" w:hAnsi="宋体" w:eastAsia="宋体" w:cs="宋体"/>
          <w:color w:val="auto"/>
          <w:sz w:val="21"/>
          <w:szCs w:val="21"/>
          <w:highlight w:val="none"/>
          <w:lang w:val="zh-CN"/>
        </w:rPr>
        <w:t>得分较高者为先，</w:t>
      </w:r>
      <w:r>
        <w:rPr>
          <w:rFonts w:hint="eastAsia" w:ascii="宋体" w:hAnsi="宋体" w:eastAsia="宋体" w:cs="宋体"/>
          <w:color w:val="auto"/>
          <w:sz w:val="21"/>
          <w:szCs w:val="21"/>
          <w:highlight w:val="none"/>
          <w:lang w:val="en-US" w:eastAsia="zh-CN"/>
        </w:rPr>
        <w:t>商务分</w:t>
      </w:r>
      <w:r>
        <w:rPr>
          <w:rFonts w:hint="eastAsia" w:ascii="宋体" w:hAnsi="宋体" w:eastAsia="宋体" w:cs="宋体"/>
          <w:color w:val="auto"/>
          <w:sz w:val="21"/>
          <w:szCs w:val="21"/>
          <w:highlight w:val="none"/>
          <w:lang w:val="zh-CN"/>
        </w:rPr>
        <w:t>得分也相同的则抽签决定。</w:t>
      </w:r>
    </w:p>
    <w:p w14:paraId="341BE1DC">
      <w:pPr>
        <w:spacing w:line="360" w:lineRule="auto"/>
        <w:ind w:firstLine="420" w:firstLineChars="200"/>
        <w:rPr>
          <w:rFonts w:hint="eastAsia" w:ascii="宋体" w:hAnsi="宋体" w:eastAsia="宋体" w:cs="宋体"/>
          <w:color w:val="auto"/>
          <w:spacing w:val="10"/>
          <w:szCs w:val="21"/>
          <w:highlight w:val="none"/>
        </w:rPr>
      </w:pP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rPr>
        <w:t>中标候选人放弃中标、拒绝与采购人签订合同、因不可抗力提出不能履行合同，采购人可以按照评审报告推荐的中标或者成交候选人名单排序，确定下一候选人为中标或者成交供应商，也可以重新开展政府采购活动。评标办法的解释权归招标人。</w:t>
      </w:r>
    </w:p>
    <w:p w14:paraId="01492A60">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highlight w:val="none"/>
          <w:lang w:val="en-US" w:eastAsia="zh-CN"/>
        </w:rPr>
        <w:t>六、</w:t>
      </w:r>
      <w:r>
        <w:rPr>
          <w:rFonts w:hint="eastAsia" w:ascii="宋体" w:hAnsi="宋体" w:eastAsia="宋体" w:cs="宋体"/>
          <w:color w:val="auto"/>
          <w:sz w:val="21"/>
          <w:szCs w:val="21"/>
          <w:highlight w:val="none"/>
          <w:lang w:val="zh-CN"/>
        </w:rPr>
        <w:t>本次评分具体分值细化条款如下表：</w:t>
      </w:r>
    </w:p>
    <w:p w14:paraId="6DE31BB9">
      <w:pPr>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b/>
          <w:color w:val="auto"/>
          <w:szCs w:val="21"/>
          <w:highlight w:val="none"/>
        </w:rPr>
        <w:t>评标打分标准表</w:t>
      </w:r>
      <w:r>
        <w:rPr>
          <w:rFonts w:hint="eastAsia" w:ascii="宋体" w:hAnsi="宋体" w:eastAsia="宋体" w:cs="宋体"/>
          <w:color w:val="auto"/>
          <w:szCs w:val="21"/>
          <w:highlight w:val="none"/>
          <w:lang w:val="zh-CN"/>
        </w:rPr>
        <w:t xml:space="preserve"> </w:t>
      </w:r>
    </w:p>
    <w:tbl>
      <w:tblPr>
        <w:tblStyle w:val="24"/>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0"/>
        <w:gridCol w:w="978"/>
        <w:gridCol w:w="6710"/>
        <w:gridCol w:w="686"/>
      </w:tblGrid>
      <w:tr w14:paraId="7594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7" w:hRule="atLeast"/>
          <w:jc w:val="center"/>
        </w:trPr>
        <w:tc>
          <w:tcPr>
            <w:tcW w:w="2038" w:type="dxa"/>
            <w:gridSpan w:val="2"/>
            <w:vAlign w:val="center"/>
          </w:tcPr>
          <w:p w14:paraId="6B5E85EA">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w:t>
            </w:r>
          </w:p>
        </w:tc>
        <w:tc>
          <w:tcPr>
            <w:tcW w:w="6710" w:type="dxa"/>
            <w:vAlign w:val="center"/>
          </w:tcPr>
          <w:p w14:paraId="74BA00D5">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686" w:type="dxa"/>
            <w:vAlign w:val="center"/>
          </w:tcPr>
          <w:p w14:paraId="5C7B98A4">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14:paraId="1176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restart"/>
            <w:vAlign w:val="center"/>
          </w:tcPr>
          <w:p w14:paraId="450E8601">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商务分</w:t>
            </w:r>
          </w:p>
          <w:p w14:paraId="07AFD12F">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20.5</w:t>
            </w:r>
            <w:r>
              <w:rPr>
                <w:rFonts w:hint="eastAsia" w:ascii="宋体" w:hAnsi="宋体" w:eastAsia="宋体" w:cs="宋体"/>
                <w:color w:val="auto"/>
                <w:sz w:val="21"/>
                <w:szCs w:val="21"/>
                <w:highlight w:val="none"/>
              </w:rPr>
              <w:t>分）</w:t>
            </w:r>
          </w:p>
        </w:tc>
        <w:tc>
          <w:tcPr>
            <w:tcW w:w="978" w:type="dxa"/>
            <w:vMerge w:val="restart"/>
            <w:vAlign w:val="center"/>
          </w:tcPr>
          <w:p w14:paraId="76725508">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企业实力</w:t>
            </w:r>
          </w:p>
        </w:tc>
        <w:tc>
          <w:tcPr>
            <w:tcW w:w="6710" w:type="dxa"/>
            <w:vAlign w:val="center"/>
          </w:tcPr>
          <w:p w14:paraId="5CB8B227">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投标人具有省级及以上行政主管部门颁发的甲级测绘资质证书（同时涵盖测绘航空摄影、界线与不动产测绘、地理信息系统工程）的得3分；</w:t>
            </w:r>
          </w:p>
          <w:p w14:paraId="745334A1">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具有省级及以上行政主管部门颁发的乙级测绘资质证书（同时涵盖测绘航空摄影、界线与不动产测绘、地理信息系统工程）的得1分。</w:t>
            </w:r>
          </w:p>
          <w:p w14:paraId="323AAD43">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0"/>
                <w:sz w:val="21"/>
                <w:szCs w:val="21"/>
                <w:highlight w:val="none"/>
                <w:lang w:val="zh-CN"/>
              </w:rPr>
              <w:t>须提供</w:t>
            </w:r>
            <w:r>
              <w:rPr>
                <w:rFonts w:hint="eastAsia" w:ascii="宋体" w:hAnsi="宋体" w:eastAsia="宋体" w:cs="宋体"/>
                <w:b/>
                <w:bCs/>
                <w:color w:val="auto"/>
                <w:kern w:val="0"/>
                <w:sz w:val="21"/>
                <w:szCs w:val="21"/>
                <w:highlight w:val="none"/>
              </w:rPr>
              <w:t>资质</w:t>
            </w:r>
            <w:r>
              <w:rPr>
                <w:rFonts w:hint="eastAsia" w:ascii="宋体" w:hAnsi="宋体" w:eastAsia="宋体" w:cs="宋体"/>
                <w:b/>
                <w:bCs/>
                <w:color w:val="auto"/>
                <w:kern w:val="0"/>
                <w:sz w:val="21"/>
                <w:szCs w:val="21"/>
                <w:highlight w:val="none"/>
                <w:lang w:val="zh-CN"/>
              </w:rPr>
              <w:t>证书原件彩色扫描件</w:t>
            </w:r>
            <w:r>
              <w:rPr>
                <w:rFonts w:hint="eastAsia" w:ascii="宋体" w:hAnsi="宋体" w:eastAsia="宋体" w:cs="宋体"/>
                <w:b/>
                <w:bCs/>
                <w:color w:val="auto"/>
                <w:kern w:val="0"/>
                <w:sz w:val="21"/>
                <w:szCs w:val="21"/>
                <w:highlight w:val="none"/>
              </w:rPr>
              <w:t>并</w:t>
            </w:r>
            <w:r>
              <w:rPr>
                <w:rFonts w:hint="eastAsia" w:ascii="宋体" w:hAnsi="宋体" w:eastAsia="宋体" w:cs="宋体"/>
                <w:b/>
                <w:bCs/>
                <w:color w:val="auto"/>
                <w:kern w:val="0"/>
                <w:sz w:val="21"/>
                <w:szCs w:val="21"/>
                <w:highlight w:val="none"/>
                <w:lang w:val="zh-CN"/>
              </w:rPr>
              <w:t>加盖投标人公章编入投标文件中，未提供的不得分）</w:t>
            </w:r>
          </w:p>
        </w:tc>
        <w:tc>
          <w:tcPr>
            <w:tcW w:w="686" w:type="dxa"/>
            <w:vAlign w:val="center"/>
          </w:tcPr>
          <w:p w14:paraId="4D7D5089">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14:paraId="22F5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060" w:type="dxa"/>
            <w:vMerge w:val="continue"/>
            <w:vAlign w:val="center"/>
          </w:tcPr>
          <w:p w14:paraId="2A036A27">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continue"/>
            <w:vAlign w:val="center"/>
          </w:tcPr>
          <w:p w14:paraId="393245FF">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7B460510">
            <w:pPr>
              <w:keepNext w:val="0"/>
              <w:keepLines w:val="0"/>
              <w:pageBreakBefore w:val="0"/>
              <w:widowControl/>
              <w:kinsoku/>
              <w:wordWrap/>
              <w:overflowPunct/>
              <w:topLinePunct w:val="0"/>
              <w:bidi w:val="0"/>
              <w:snapToGrid/>
              <w:spacing w:line="240" w:lineRule="auto"/>
              <w:ind w:left="0" w:leftChars="0"/>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投标人具有民用无人驾驶航空器运营许可证的得2分。</w:t>
            </w:r>
          </w:p>
          <w:p w14:paraId="52820B7B">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lang w:bidi="ar"/>
              </w:rPr>
              <w:t>（须提供许可证证书扫描件加盖投标人公章编入投标文件中，未提供的不得分）</w:t>
            </w:r>
          </w:p>
        </w:tc>
        <w:tc>
          <w:tcPr>
            <w:tcW w:w="686" w:type="dxa"/>
            <w:vAlign w:val="center"/>
          </w:tcPr>
          <w:p w14:paraId="43302581">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r>
      <w:tr w14:paraId="0E8C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jc w:val="center"/>
        </w:trPr>
        <w:tc>
          <w:tcPr>
            <w:tcW w:w="1060" w:type="dxa"/>
            <w:vMerge w:val="continue"/>
            <w:vAlign w:val="center"/>
          </w:tcPr>
          <w:p w14:paraId="43941266">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continue"/>
            <w:vAlign w:val="center"/>
          </w:tcPr>
          <w:p w14:paraId="6E60F533">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7BAB0F61">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投标人具有有效期内的质量管理体系认证得1分。</w:t>
            </w:r>
          </w:p>
          <w:p w14:paraId="76C5E6C1">
            <w:pPr>
              <w:pStyle w:val="9"/>
              <w:keepNext w:val="0"/>
              <w:keepLines w:val="0"/>
              <w:pageBreakBefore w:val="0"/>
              <w:kinsoku/>
              <w:wordWrap/>
              <w:overflowPunct/>
              <w:topLinePunct w:val="0"/>
              <w:bidi w:val="0"/>
              <w:snapToGrid/>
              <w:spacing w:after="0"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zh-CN"/>
              </w:rPr>
              <w:t>（</w:t>
            </w:r>
            <w:r>
              <w:rPr>
                <w:rFonts w:hint="eastAsia" w:ascii="宋体" w:hAnsi="宋体" w:eastAsia="宋体" w:cs="宋体"/>
                <w:b/>
                <w:bCs/>
                <w:color w:val="auto"/>
                <w:kern w:val="0"/>
                <w:sz w:val="21"/>
                <w:szCs w:val="21"/>
                <w:highlight w:val="none"/>
              </w:rPr>
              <w:t>须</w:t>
            </w:r>
            <w:r>
              <w:rPr>
                <w:rFonts w:hint="eastAsia" w:ascii="宋体" w:hAnsi="宋体" w:eastAsia="宋体" w:cs="宋体"/>
                <w:b/>
                <w:bCs/>
                <w:color w:val="auto"/>
                <w:kern w:val="0"/>
                <w:sz w:val="21"/>
                <w:szCs w:val="21"/>
                <w:highlight w:val="none"/>
                <w:lang w:val="zh-CN"/>
              </w:rPr>
              <w:t>提供证书</w:t>
            </w:r>
            <w:r>
              <w:rPr>
                <w:rFonts w:hint="eastAsia" w:ascii="宋体" w:hAnsi="宋体" w:eastAsia="宋体" w:cs="宋体"/>
                <w:b/>
                <w:bCs/>
                <w:color w:val="auto"/>
                <w:sz w:val="21"/>
                <w:szCs w:val="21"/>
                <w:highlight w:val="none"/>
                <w:lang w:val="zh-CN"/>
              </w:rPr>
              <w:t>原件彩色</w:t>
            </w:r>
            <w:r>
              <w:rPr>
                <w:rFonts w:hint="eastAsia" w:ascii="宋体" w:hAnsi="宋体" w:eastAsia="宋体" w:cs="宋体"/>
                <w:b/>
                <w:bCs/>
                <w:color w:val="auto"/>
                <w:kern w:val="0"/>
                <w:sz w:val="21"/>
                <w:szCs w:val="21"/>
                <w:highlight w:val="none"/>
                <w:lang w:val="zh-CN"/>
              </w:rPr>
              <w:t>扫描件</w:t>
            </w:r>
            <w:r>
              <w:rPr>
                <w:rFonts w:hint="eastAsia" w:ascii="宋体" w:hAnsi="宋体" w:eastAsia="宋体" w:cs="宋体"/>
                <w:b/>
                <w:bCs/>
                <w:color w:val="auto"/>
                <w:kern w:val="0"/>
                <w:sz w:val="21"/>
                <w:szCs w:val="21"/>
                <w:highlight w:val="none"/>
              </w:rPr>
              <w:t>及网站查询页面完整截图，并</w:t>
            </w:r>
            <w:r>
              <w:rPr>
                <w:rFonts w:hint="eastAsia" w:ascii="宋体" w:hAnsi="宋体" w:eastAsia="宋体" w:cs="宋体"/>
                <w:b/>
                <w:bCs/>
                <w:color w:val="auto"/>
                <w:kern w:val="0"/>
                <w:sz w:val="21"/>
                <w:szCs w:val="21"/>
                <w:highlight w:val="none"/>
                <w:lang w:val="zh-CN"/>
              </w:rPr>
              <w:t>加盖投标人公章编入投标文件中，未提供</w:t>
            </w:r>
            <w:r>
              <w:rPr>
                <w:rFonts w:hint="eastAsia" w:ascii="宋体" w:hAnsi="宋体" w:eastAsia="宋体" w:cs="宋体"/>
                <w:b/>
                <w:bCs/>
                <w:color w:val="auto"/>
                <w:kern w:val="0"/>
                <w:sz w:val="21"/>
                <w:szCs w:val="21"/>
                <w:highlight w:val="none"/>
              </w:rPr>
              <w:t>或提供不全</w:t>
            </w:r>
            <w:r>
              <w:rPr>
                <w:rFonts w:hint="eastAsia" w:ascii="宋体" w:hAnsi="宋体" w:eastAsia="宋体" w:cs="宋体"/>
                <w:b/>
                <w:bCs/>
                <w:color w:val="auto"/>
                <w:kern w:val="0"/>
                <w:sz w:val="21"/>
                <w:szCs w:val="21"/>
                <w:highlight w:val="none"/>
                <w:lang w:val="zh-CN"/>
              </w:rPr>
              <w:t>的不得分）</w:t>
            </w:r>
          </w:p>
        </w:tc>
        <w:tc>
          <w:tcPr>
            <w:tcW w:w="686" w:type="dxa"/>
            <w:vAlign w:val="center"/>
          </w:tcPr>
          <w:p w14:paraId="626A1EC2">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r>
      <w:tr w14:paraId="0133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6" w:hRule="atLeast"/>
          <w:jc w:val="center"/>
        </w:trPr>
        <w:tc>
          <w:tcPr>
            <w:tcW w:w="1060" w:type="dxa"/>
            <w:vMerge w:val="continue"/>
            <w:vAlign w:val="center"/>
          </w:tcPr>
          <w:p w14:paraId="4CCD2E62">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00F936A0">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承接经验</w:t>
            </w:r>
          </w:p>
        </w:tc>
        <w:tc>
          <w:tcPr>
            <w:tcW w:w="6710" w:type="dxa"/>
            <w:vAlign w:val="center"/>
          </w:tcPr>
          <w:p w14:paraId="2D60250F">
            <w:pPr>
              <w:pStyle w:val="23"/>
              <w:keepNext w:val="0"/>
              <w:keepLines w:val="0"/>
              <w:pageBreakBefore w:val="0"/>
              <w:kinsoku/>
              <w:wordWrap/>
              <w:overflowPunct/>
              <w:topLinePunct w:val="0"/>
              <w:bidi w:val="0"/>
              <w:snapToGrid/>
              <w:spacing w:after="0"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投标人自2022年1月1日以来（以合同签订时间为准）承接过</w:t>
            </w:r>
            <w:r>
              <w:rPr>
                <w:rFonts w:hint="eastAsia" w:ascii="宋体" w:hAnsi="宋体" w:eastAsia="宋体" w:cs="宋体"/>
                <w:color w:val="auto"/>
                <w:sz w:val="21"/>
                <w:szCs w:val="21"/>
                <w:highlight w:val="none"/>
                <w:lang w:val="en-US" w:eastAsia="zh-CN"/>
              </w:rPr>
              <w:t>类似</w:t>
            </w:r>
            <w:r>
              <w:rPr>
                <w:rFonts w:hint="eastAsia" w:ascii="宋体" w:hAnsi="宋体" w:eastAsia="宋体" w:cs="宋体"/>
                <w:color w:val="auto"/>
                <w:sz w:val="21"/>
                <w:szCs w:val="21"/>
                <w:highlight w:val="none"/>
              </w:rPr>
              <w:t>种粮补贴面积核查项目的，每提供1个合同得0.3分，最高得1.5分。</w:t>
            </w:r>
          </w:p>
          <w:p w14:paraId="19675492">
            <w:pPr>
              <w:pStyle w:val="23"/>
              <w:keepNext w:val="0"/>
              <w:keepLines w:val="0"/>
              <w:pageBreakBefore w:val="0"/>
              <w:kinsoku/>
              <w:wordWrap/>
              <w:overflowPunct/>
              <w:topLinePunct w:val="0"/>
              <w:bidi w:val="0"/>
              <w:snapToGrid/>
              <w:spacing w:after="0" w:line="240" w:lineRule="auto"/>
              <w:ind w:left="0" w:leftChars="0" w:firstLine="0" w:firstLineChars="0"/>
              <w:rPr>
                <w:rFonts w:hint="eastAsia" w:ascii="宋体" w:hAnsi="宋体" w:eastAsia="宋体" w:cs="宋体"/>
                <w:color w:val="auto"/>
                <w:kern w:val="0"/>
                <w:sz w:val="21"/>
                <w:szCs w:val="21"/>
                <w:highlight w:val="none"/>
                <w:lang w:val="zh-CN"/>
              </w:rPr>
            </w:pPr>
            <w:r>
              <w:rPr>
                <w:rFonts w:hint="eastAsia" w:ascii="宋体" w:hAnsi="宋体" w:eastAsia="宋体" w:cs="宋体"/>
                <w:b/>
                <w:color w:val="auto"/>
                <w:sz w:val="21"/>
                <w:szCs w:val="21"/>
                <w:highlight w:val="none"/>
              </w:rPr>
              <w:t>（须提供有效的合同扫描件</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中标通知书并加盖投标人公章编入投标文件中，未提供的不得分）</w:t>
            </w:r>
          </w:p>
        </w:tc>
        <w:tc>
          <w:tcPr>
            <w:tcW w:w="686" w:type="dxa"/>
            <w:vAlign w:val="center"/>
          </w:tcPr>
          <w:p w14:paraId="5FBC1C7C">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r>
      <w:tr w14:paraId="0F21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jc w:val="center"/>
        </w:trPr>
        <w:tc>
          <w:tcPr>
            <w:tcW w:w="1060" w:type="dxa"/>
            <w:vMerge w:val="continue"/>
            <w:vAlign w:val="center"/>
          </w:tcPr>
          <w:p w14:paraId="32288F20">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6AD66A64">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w:t>
            </w:r>
          </w:p>
        </w:tc>
        <w:tc>
          <w:tcPr>
            <w:tcW w:w="6710" w:type="dxa"/>
            <w:vAlign w:val="center"/>
          </w:tcPr>
          <w:p w14:paraId="69797678">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投标人提供拟派的项目负责人的专业素质、技术能力、类似工作经验等方面的证明资料。</w:t>
            </w:r>
          </w:p>
          <w:p w14:paraId="43B409D5">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具有测绘类或农学类或地理信息类高级及以上职称的得3分，具有测绘类或农学类或地理信息类中级职称的得1分，不满足要求的不得分。</w:t>
            </w:r>
          </w:p>
          <w:p w14:paraId="16EAF387">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（项目负责人须为投标人的正式在职人员，须提供有效的职称证书</w:t>
            </w:r>
            <w:r>
              <w:rPr>
                <w:rFonts w:hint="eastAsia" w:ascii="宋体" w:hAnsi="宋体" w:eastAsia="宋体" w:cs="宋体"/>
                <w:b/>
                <w:bCs/>
                <w:color w:val="auto"/>
                <w:sz w:val="21"/>
                <w:szCs w:val="21"/>
                <w:highlight w:val="none"/>
                <w:lang w:val="en-US" w:eastAsia="zh-CN"/>
              </w:rPr>
              <w:t>扫描件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投标截止时间前近3个月内的社保缴费证明并加盖投标人公章编入投标文件中，未提供或提供不全的不得分）</w:t>
            </w:r>
          </w:p>
        </w:tc>
        <w:tc>
          <w:tcPr>
            <w:tcW w:w="686" w:type="dxa"/>
            <w:vAlign w:val="center"/>
          </w:tcPr>
          <w:p w14:paraId="791BDCB6">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6C2E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8" w:hRule="atLeast"/>
          <w:jc w:val="center"/>
        </w:trPr>
        <w:tc>
          <w:tcPr>
            <w:tcW w:w="1060" w:type="dxa"/>
            <w:vMerge w:val="continue"/>
            <w:vAlign w:val="center"/>
          </w:tcPr>
          <w:p w14:paraId="1C4A4F46">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3B571FCD">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项目组成员（除项目负责人外）</w:t>
            </w:r>
          </w:p>
        </w:tc>
        <w:tc>
          <w:tcPr>
            <w:tcW w:w="6710" w:type="dxa"/>
            <w:vAlign w:val="center"/>
          </w:tcPr>
          <w:p w14:paraId="0EB25758">
            <w:pPr>
              <w:keepNext w:val="0"/>
              <w:keepLines w:val="0"/>
              <w:pageBreakBefore w:val="0"/>
              <w:widowControl/>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投标人须提供项目组成员分工（内业、外业）方案，提供其专业素质、技术能力、类似工作经验等方面的证明资料。根据以下内容进行打分：</w:t>
            </w:r>
          </w:p>
          <w:p w14:paraId="1273416C">
            <w:pPr>
              <w:keepNext w:val="0"/>
              <w:keepLines w:val="0"/>
              <w:pageBreakBefore w:val="0"/>
              <w:numPr>
                <w:ilvl w:val="0"/>
                <w:numId w:val="5"/>
              </w:numPr>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成员中具有测绘类或农学类或地理信息类高级及以上职称的，每人得1分，最高得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D6AE3C0">
            <w:pPr>
              <w:keepNext w:val="0"/>
              <w:keepLines w:val="0"/>
              <w:pageBreakBefore w:val="0"/>
              <w:numPr>
                <w:ilvl w:val="0"/>
                <w:numId w:val="5"/>
              </w:numPr>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成员中具有测绘类或农学类或地理信息类中级的每人得0.5分，最高得3分；</w:t>
            </w:r>
          </w:p>
          <w:p w14:paraId="1937A67A">
            <w:pPr>
              <w:pStyle w:val="23"/>
              <w:keepNext w:val="0"/>
              <w:keepLines w:val="0"/>
              <w:pageBreakBefore w:val="0"/>
              <w:tabs>
                <w:tab w:val="left" w:pos="720"/>
                <w:tab w:val="left" w:pos="1260"/>
                <w:tab w:val="left" w:pos="2160"/>
                <w:tab w:val="left" w:pos="2880"/>
                <w:tab w:val="left" w:pos="3600"/>
                <w:tab w:val="left" w:pos="4320"/>
                <w:tab w:val="left" w:pos="5040"/>
                <w:tab w:val="left" w:pos="5760"/>
              </w:tabs>
              <w:kinsoku/>
              <w:wordWrap/>
              <w:overflowPunct/>
              <w:topLinePunct w:val="0"/>
              <w:bidi w:val="0"/>
              <w:snapToGrid/>
              <w:spacing w:after="0"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3、成员中具有民用无人驾驶航空器操控员执照（多旋翼）或AOPA多旋翼无人机操作员证书</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民用无人驾驶航空器操控员执照（固定翼）或AOPA固定翼无人机操作员证书的，每人得1分，最高得3分。</w:t>
            </w:r>
          </w:p>
          <w:p w14:paraId="20B63E59">
            <w:pPr>
              <w:keepNext w:val="0"/>
              <w:keepLines w:val="0"/>
              <w:pageBreakBefore w:val="0"/>
              <w:kinsoku/>
              <w:wordWrap/>
              <w:overflowPunct/>
              <w:topLinePunct w:val="0"/>
              <w:bidi w:val="0"/>
              <w:snapToGrid/>
              <w:spacing w:line="240" w:lineRule="auto"/>
              <w:ind w:left="0" w:lef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本项最高得1</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14:paraId="003DCF5E">
            <w:pPr>
              <w:keepNext w:val="0"/>
              <w:keepLines w:val="0"/>
              <w:pageBreakBefore w:val="0"/>
              <w:kinsoku/>
              <w:wordWrap/>
              <w:overflowPunct/>
              <w:topLinePunct w:val="0"/>
              <w:bidi w:val="0"/>
              <w:snapToGrid/>
              <w:spacing w:line="240" w:lineRule="auto"/>
              <w:ind w:left="0" w:lef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未提供项目组成员分工（内业、外业）方案的本项为0分。</w:t>
            </w:r>
          </w:p>
          <w:p w14:paraId="265F7BE7">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注：一人一证，有多本证书的不累计计分。</w:t>
            </w:r>
            <w:r>
              <w:rPr>
                <w:rFonts w:hint="eastAsia" w:ascii="宋体" w:hAnsi="宋体" w:eastAsia="宋体" w:cs="宋体"/>
                <w:color w:val="auto"/>
                <w:sz w:val="21"/>
                <w:szCs w:val="21"/>
                <w:highlight w:val="none"/>
              </w:rPr>
              <w:t xml:space="preserve"> </w:t>
            </w:r>
          </w:p>
          <w:p w14:paraId="6F87C08A">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项目组成员须为投标人的正式在职人员，须提供有效的证书扫描件以及投标截止时间前近3个月内的社保缴费证明并加盖投标人公章编入投标文件中，未提供或提供不全的不得分</w:t>
            </w:r>
            <w:r>
              <w:rPr>
                <w:rFonts w:hint="eastAsia" w:ascii="宋体" w:hAnsi="宋体" w:eastAsia="宋体" w:cs="宋体"/>
                <w:b/>
                <w:bCs/>
                <w:color w:val="auto"/>
                <w:sz w:val="21"/>
                <w:szCs w:val="21"/>
                <w:highlight w:val="none"/>
                <w:lang w:eastAsia="zh-CN"/>
              </w:rPr>
              <w:t>）</w:t>
            </w:r>
          </w:p>
        </w:tc>
        <w:tc>
          <w:tcPr>
            <w:tcW w:w="686" w:type="dxa"/>
            <w:vAlign w:val="center"/>
          </w:tcPr>
          <w:p w14:paraId="46566D35">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p>
        </w:tc>
      </w:tr>
      <w:tr w14:paraId="6551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restart"/>
            <w:vAlign w:val="center"/>
          </w:tcPr>
          <w:p w14:paraId="01CE1FC6">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技术分</w:t>
            </w:r>
          </w:p>
          <w:p w14:paraId="5FB8F946">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64.5</w:t>
            </w:r>
            <w:r>
              <w:rPr>
                <w:rFonts w:hint="eastAsia" w:ascii="宋体" w:hAnsi="宋体" w:eastAsia="宋体" w:cs="宋体"/>
                <w:color w:val="auto"/>
                <w:sz w:val="21"/>
                <w:szCs w:val="21"/>
                <w:highlight w:val="none"/>
              </w:rPr>
              <w:t>分）</w:t>
            </w:r>
          </w:p>
        </w:tc>
        <w:tc>
          <w:tcPr>
            <w:tcW w:w="978" w:type="dxa"/>
            <w:vAlign w:val="center"/>
          </w:tcPr>
          <w:p w14:paraId="1EF5D611">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项目理解</w:t>
            </w:r>
          </w:p>
        </w:tc>
        <w:tc>
          <w:tcPr>
            <w:tcW w:w="6710" w:type="dxa"/>
            <w:vAlign w:val="center"/>
          </w:tcPr>
          <w:p w14:paraId="4B24D1E0">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根据投标人对本项目的了解、分析、工作思路进行打分。</w:t>
            </w:r>
          </w:p>
          <w:p w14:paraId="73C5FAFC">
            <w:pPr>
              <w:keepNext w:val="0"/>
              <w:keepLines w:val="0"/>
              <w:pageBreakBefore w:val="0"/>
              <w:widowControl/>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项目需求了解全面，分析科学合理，工作思路详细、合规，针对性强的得</w:t>
            </w:r>
            <w:r>
              <w:rPr>
                <w:rFonts w:hint="eastAsia" w:ascii="宋体" w:hAnsi="宋体" w:eastAsia="宋体" w:cs="宋体"/>
                <w:color w:val="auto"/>
                <w:sz w:val="21"/>
                <w:szCs w:val="21"/>
                <w:highlight w:val="none"/>
                <w:lang w:val="en-US" w:eastAsia="zh-CN"/>
              </w:rPr>
              <w:t>3.5-5.0</w:t>
            </w:r>
            <w:r>
              <w:rPr>
                <w:rFonts w:hint="eastAsia" w:ascii="宋体" w:hAnsi="宋体" w:eastAsia="宋体" w:cs="宋体"/>
                <w:color w:val="auto"/>
                <w:sz w:val="21"/>
                <w:szCs w:val="21"/>
                <w:highlight w:val="none"/>
              </w:rPr>
              <w:t>分；</w:t>
            </w:r>
          </w:p>
          <w:p w14:paraId="3B00FC7C">
            <w:pPr>
              <w:keepNext w:val="0"/>
              <w:keepLines w:val="0"/>
              <w:pageBreakBefore w:val="0"/>
              <w:widowControl/>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项目需求了解阐述简单，分析片面，相关内容有提及但不完整，缺乏针对性的得0.1-3.4分；</w:t>
            </w:r>
          </w:p>
          <w:p w14:paraId="6CA8CCEF">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1CD960F8">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7260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continue"/>
            <w:vAlign w:val="center"/>
          </w:tcPr>
          <w:p w14:paraId="3B29EF3A">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0300C0A9">
            <w:pPr>
              <w:keepNext w:val="0"/>
              <w:keepLines w:val="0"/>
              <w:pageBreakBefore w:val="0"/>
              <w:widowControl/>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进度安排</w:t>
            </w:r>
          </w:p>
        </w:tc>
        <w:tc>
          <w:tcPr>
            <w:tcW w:w="6710" w:type="dxa"/>
            <w:vAlign w:val="center"/>
          </w:tcPr>
          <w:p w14:paraId="1B6E356B">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根据投标人针对本项目的作业流程、进度安排、重要节点保障进行打分。</w:t>
            </w:r>
          </w:p>
          <w:p w14:paraId="7438032A">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项目作业流程详细，总体进度安排合理，重要节点保障明确可行，能有效保障项目完成质量的得3.5-5.0分；</w:t>
            </w:r>
          </w:p>
          <w:p w14:paraId="20E94F5A">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项目作业流程基本符合，总体进度安排阐述简单，具有一定可行性，重要项目节点保障措施不完整，无法有效保障项目在固定时间内完成的，得0.1-3.4分；</w:t>
            </w:r>
          </w:p>
          <w:p w14:paraId="15BC15E7">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2809BACE">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5BF4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continue"/>
            <w:vAlign w:val="center"/>
          </w:tcPr>
          <w:p w14:paraId="607814D8">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restart"/>
            <w:vAlign w:val="center"/>
          </w:tcPr>
          <w:p w14:paraId="75747F7B">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重难点技术措施</w:t>
            </w:r>
          </w:p>
        </w:tc>
        <w:tc>
          <w:tcPr>
            <w:tcW w:w="6710" w:type="dxa"/>
            <w:vAlign w:val="center"/>
          </w:tcPr>
          <w:p w14:paraId="30E426F9">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color w:val="auto"/>
                <w:sz w:val="21"/>
                <w:szCs w:val="21"/>
                <w:highlight w:val="none"/>
              </w:rPr>
              <w:t>“核实的</w:t>
            </w:r>
            <w:r>
              <w:rPr>
                <w:rFonts w:hint="eastAsia" w:ascii="宋体" w:hAnsi="宋体" w:eastAsia="宋体" w:cs="宋体"/>
                <w:b/>
                <w:bCs w:val="0"/>
                <w:color w:val="auto"/>
                <w:sz w:val="21"/>
                <w:szCs w:val="21"/>
                <w:highlight w:val="none"/>
                <w:u w:val="none"/>
              </w:rPr>
              <w:t>当季</w:t>
            </w:r>
            <w:r>
              <w:rPr>
                <w:rFonts w:hint="eastAsia" w:ascii="宋体" w:hAnsi="宋体" w:eastAsia="宋体" w:cs="宋体"/>
                <w:b/>
                <w:color w:val="auto"/>
                <w:sz w:val="21"/>
                <w:szCs w:val="21"/>
                <w:highlight w:val="none"/>
              </w:rPr>
              <w:t>种粮</w:t>
            </w:r>
            <w:r>
              <w:rPr>
                <w:rFonts w:hint="eastAsia" w:ascii="宋体" w:hAnsi="宋体" w:eastAsia="宋体" w:cs="宋体"/>
                <w:b/>
                <w:bCs w:val="0"/>
                <w:color w:val="auto"/>
                <w:sz w:val="21"/>
                <w:szCs w:val="21"/>
                <w:highlight w:val="none"/>
                <w:u w:val="none"/>
              </w:rPr>
              <w:t>总</w:t>
            </w:r>
            <w:r>
              <w:rPr>
                <w:rFonts w:hint="eastAsia" w:ascii="宋体" w:hAnsi="宋体" w:eastAsia="宋体" w:cs="宋体"/>
                <w:b/>
                <w:color w:val="auto"/>
                <w:sz w:val="21"/>
                <w:szCs w:val="21"/>
                <w:highlight w:val="none"/>
              </w:rPr>
              <w:t>面积数据误差率不超过1‰”“核实的</w:t>
            </w:r>
            <w:r>
              <w:rPr>
                <w:rFonts w:hint="eastAsia" w:ascii="宋体" w:hAnsi="宋体" w:eastAsia="宋体" w:cs="宋体"/>
                <w:b/>
                <w:bCs w:val="0"/>
                <w:color w:val="auto"/>
                <w:sz w:val="21"/>
                <w:szCs w:val="21"/>
                <w:highlight w:val="none"/>
                <w:u w:val="none"/>
              </w:rPr>
              <w:t>单个主体</w:t>
            </w:r>
            <w:r>
              <w:rPr>
                <w:rFonts w:hint="eastAsia" w:ascii="宋体" w:hAnsi="宋体" w:eastAsia="宋体" w:cs="宋体"/>
                <w:b/>
                <w:color w:val="auto"/>
                <w:sz w:val="21"/>
                <w:szCs w:val="21"/>
                <w:highlight w:val="none"/>
              </w:rPr>
              <w:t>种粮面积数据误差率低于1%”</w:t>
            </w:r>
            <w:r>
              <w:rPr>
                <w:rFonts w:hint="eastAsia" w:ascii="宋体" w:hAnsi="宋体" w:eastAsia="宋体" w:cs="宋体"/>
                <w:color w:val="auto"/>
                <w:sz w:val="21"/>
                <w:szCs w:val="21"/>
                <w:highlight w:val="none"/>
              </w:rPr>
              <w:t>的技术措施进行打分。</w:t>
            </w:r>
          </w:p>
          <w:p w14:paraId="56C794D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措施阐述详细全面，工作方法明确，内容完整，符合项目需求的得3.5-5.0分；</w:t>
            </w:r>
          </w:p>
          <w:p w14:paraId="3080CDA3">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措施合理，但内容有欠缺，无法保障项目完成质量的得0.1-3.4分；</w:t>
            </w:r>
          </w:p>
          <w:p w14:paraId="7151239D">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53DE351D">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07CB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8" w:hRule="atLeast"/>
          <w:jc w:val="center"/>
        </w:trPr>
        <w:tc>
          <w:tcPr>
            <w:tcW w:w="1060" w:type="dxa"/>
            <w:vMerge w:val="continue"/>
            <w:vAlign w:val="center"/>
          </w:tcPr>
          <w:p w14:paraId="7E0A2437">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37443DFD">
            <w:pPr>
              <w:keepNext w:val="0"/>
              <w:keepLines w:val="0"/>
              <w:pageBreakBefore w:val="0"/>
              <w:widowControl/>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6710" w:type="dxa"/>
            <w:vAlign w:val="center"/>
          </w:tcPr>
          <w:p w14:paraId="2D173FF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路桥区机场净空区范围及特殊天气下粮食种植面积核查解决方案”</w:t>
            </w:r>
            <w:r>
              <w:rPr>
                <w:rFonts w:hint="eastAsia" w:ascii="宋体" w:hAnsi="宋体" w:eastAsia="宋体" w:cs="宋体"/>
                <w:bCs/>
                <w:color w:val="auto"/>
                <w:sz w:val="21"/>
                <w:szCs w:val="21"/>
                <w:highlight w:val="none"/>
              </w:rPr>
              <w:t>的技术措施进行打分。</w:t>
            </w:r>
          </w:p>
          <w:p w14:paraId="4EAD3A58">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color w:val="auto"/>
                <w:sz w:val="21"/>
                <w:szCs w:val="21"/>
                <w:highlight w:val="none"/>
              </w:rPr>
              <w:t>如果采用无人机航拍影像的，根据无人机航飞审批流程、航飞方案、影像分辨率等方案内容以及佐证资料完整性进行打分。</w:t>
            </w:r>
          </w:p>
          <w:p w14:paraId="75324785">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解决方案科学、合理、合规且可行性强的，并能提供完整的佐证材料的得8.0-12.0分；</w:t>
            </w:r>
          </w:p>
          <w:p w14:paraId="0CFDF79A">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解决方案科学性、合理性、合规性、可行性一般的，佐证材料不够完整的得3.0-7.9分；</w:t>
            </w:r>
          </w:p>
          <w:p w14:paraId="0345266F">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解决方案科学性、合理性、合规性、可行性较差，缺乏佐证材料的得0.1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2.9分。</w:t>
            </w:r>
          </w:p>
          <w:p w14:paraId="21ECAD97">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color w:val="auto"/>
                <w:sz w:val="21"/>
                <w:szCs w:val="21"/>
                <w:highlight w:val="none"/>
              </w:rPr>
              <w:t>投标人采用无人机航拍的，佐证材料包括本项目相关任务的空域使用申请批复表或承诺函等相关材料。未提供空域使用申请批复表或空域使用批复承诺函,视同无法采用无人机进行航拍作业，本项不得分</w:t>
            </w:r>
            <w:r>
              <w:rPr>
                <w:rFonts w:hint="eastAsia" w:ascii="宋体" w:hAnsi="宋体" w:eastAsia="宋体" w:cs="宋体"/>
                <w:b/>
                <w:bCs/>
                <w:color w:val="auto"/>
                <w:sz w:val="21"/>
                <w:szCs w:val="21"/>
                <w:highlight w:val="none"/>
              </w:rPr>
              <w:t>。）</w:t>
            </w:r>
          </w:p>
          <w:p w14:paraId="6DE3155F">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2、如果采用卫星遥感影像的，根据实施方案的影像获取方法、影像分辨率等方案内容的合理性、合规性、可行性进行打分</w:t>
            </w:r>
            <w:r>
              <w:rPr>
                <w:rFonts w:hint="eastAsia" w:ascii="宋体" w:hAnsi="宋体" w:eastAsia="宋体" w:cs="宋体"/>
                <w:color w:val="auto"/>
                <w:sz w:val="21"/>
                <w:szCs w:val="21"/>
                <w:highlight w:val="none"/>
                <w:lang w:eastAsia="zh-CN"/>
              </w:rPr>
              <w:t>。</w:t>
            </w:r>
          </w:p>
          <w:p w14:paraId="465F6BD3">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方案科学、合理、合规且可行性强的，并能提供完整的佐证材料的</w:t>
            </w:r>
            <w:r>
              <w:rPr>
                <w:rFonts w:hint="eastAsia" w:ascii="宋体" w:hAnsi="宋体" w:eastAsia="宋体" w:cs="宋体"/>
                <w:color w:val="auto"/>
                <w:sz w:val="21"/>
                <w:szCs w:val="21"/>
                <w:highlight w:val="none"/>
                <w:lang w:val="en-US" w:eastAsia="zh-CN"/>
              </w:rPr>
              <w:t>得3.0-4.9分；</w:t>
            </w:r>
          </w:p>
          <w:p w14:paraId="737CADC0">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科学性、合理性、合规性、可行性较差，缺乏佐证材料的得0.1-</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分。</w:t>
            </w:r>
          </w:p>
          <w:p w14:paraId="2D77A15E">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（投标人采用卫星遥感影像的，需提供影像来源说明和以往采购合同扫描件并加盖投标人公章编入投标文件中，未提供或提供不全的不得分）。</w:t>
            </w:r>
          </w:p>
          <w:p w14:paraId="379E5345">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上述两种影像采集方式得分只能取其中一项，按最高分计。</w:t>
            </w:r>
            <w:r>
              <w:rPr>
                <w:rFonts w:hint="eastAsia" w:ascii="宋体" w:hAnsi="宋体" w:eastAsia="宋体" w:cs="宋体"/>
                <w:b/>
                <w:color w:val="auto"/>
                <w:sz w:val="21"/>
                <w:szCs w:val="21"/>
                <w:highlight w:val="none"/>
              </w:rPr>
              <w:t>本项最高得</w:t>
            </w:r>
            <w:r>
              <w:rPr>
                <w:rFonts w:hint="eastAsia" w:ascii="宋体" w:hAnsi="宋体" w:eastAsia="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p>
        </w:tc>
        <w:tc>
          <w:tcPr>
            <w:tcW w:w="686" w:type="dxa"/>
            <w:vAlign w:val="center"/>
          </w:tcPr>
          <w:p w14:paraId="5A605474">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r>
      <w:tr w14:paraId="36DF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0" w:hRule="atLeast"/>
          <w:jc w:val="center"/>
        </w:trPr>
        <w:tc>
          <w:tcPr>
            <w:tcW w:w="1060" w:type="dxa"/>
            <w:vMerge w:val="continue"/>
            <w:vAlign w:val="center"/>
          </w:tcPr>
          <w:p w14:paraId="2210AF07">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1EBDA6C6">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5D1350CD">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bCs/>
                <w:color w:val="auto"/>
                <w:sz w:val="21"/>
                <w:szCs w:val="21"/>
                <w:highlight w:val="none"/>
              </w:rPr>
              <w:t>“能够实现人地准确匹配的、有效解决农户不识图问题技术方案”</w:t>
            </w:r>
            <w:r>
              <w:rPr>
                <w:rFonts w:hint="eastAsia" w:ascii="宋体" w:hAnsi="宋体" w:eastAsia="宋体" w:cs="宋体"/>
                <w:bCs/>
                <w:color w:val="auto"/>
                <w:sz w:val="21"/>
                <w:szCs w:val="21"/>
                <w:highlight w:val="none"/>
              </w:rPr>
              <w:t>的技术措施</w:t>
            </w:r>
            <w:r>
              <w:rPr>
                <w:rFonts w:hint="eastAsia" w:ascii="宋体" w:hAnsi="宋体" w:eastAsia="宋体" w:cs="宋体"/>
                <w:color w:val="auto"/>
                <w:sz w:val="21"/>
                <w:szCs w:val="21"/>
                <w:highlight w:val="none"/>
              </w:rPr>
              <w:t>进行打分。</w:t>
            </w:r>
          </w:p>
          <w:p w14:paraId="6B14D773">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技术措施阐述详细全面，工作方法明确，内容完整，符合项目需求的得3.5-5.0分；</w:t>
            </w:r>
          </w:p>
          <w:p w14:paraId="255EF8C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技术措施合理，但内容有欠缺，无法保障项目完成质量的得0.1-3.4分；</w:t>
            </w:r>
          </w:p>
          <w:p w14:paraId="79DB83F6">
            <w:pPr>
              <w:keepNext w:val="0"/>
              <w:keepLines w:val="0"/>
              <w:pageBreakBefore w:val="0"/>
              <w:kinsoku/>
              <w:wordWrap/>
              <w:overflowPunct/>
              <w:topLinePunct w:val="0"/>
              <w:autoSpaceDE w:val="0"/>
              <w:autoSpaceDN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58A675B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43A3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0" w:hRule="atLeast"/>
          <w:jc w:val="center"/>
        </w:trPr>
        <w:tc>
          <w:tcPr>
            <w:tcW w:w="1060" w:type="dxa"/>
            <w:vMerge w:val="continue"/>
            <w:vAlign w:val="center"/>
          </w:tcPr>
          <w:p w14:paraId="6F30D7DC">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351A3AB6">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0C0F2E5A">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bCs/>
                <w:color w:val="auto"/>
                <w:sz w:val="21"/>
                <w:szCs w:val="21"/>
                <w:highlight w:val="none"/>
              </w:rPr>
              <w:t>“耕地数据判别、作物识别技术方案”</w:t>
            </w:r>
            <w:r>
              <w:rPr>
                <w:rFonts w:hint="eastAsia" w:ascii="宋体" w:hAnsi="宋体" w:eastAsia="宋体" w:cs="宋体"/>
                <w:bCs/>
                <w:color w:val="auto"/>
                <w:sz w:val="21"/>
                <w:szCs w:val="21"/>
                <w:highlight w:val="none"/>
              </w:rPr>
              <w:t>的技术措施</w:t>
            </w:r>
            <w:r>
              <w:rPr>
                <w:rFonts w:hint="eastAsia" w:ascii="宋体" w:hAnsi="宋体" w:eastAsia="宋体" w:cs="宋体"/>
                <w:color w:val="auto"/>
                <w:sz w:val="21"/>
                <w:szCs w:val="21"/>
                <w:highlight w:val="none"/>
              </w:rPr>
              <w:t>进行打分。</w:t>
            </w:r>
          </w:p>
          <w:p w14:paraId="6842369F">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技术措施阐述详细全面，工作方法明确，内容完整，符合项目需求的得3.5-5.0分；</w:t>
            </w:r>
          </w:p>
          <w:p w14:paraId="1BEF02E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技术措施合理，但内容有欠缺，无法保障项目完成质量的得0.1-3.4分；</w:t>
            </w:r>
          </w:p>
          <w:p w14:paraId="4DD941F0">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2582CBC1">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0C93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jc w:val="center"/>
        </w:trPr>
        <w:tc>
          <w:tcPr>
            <w:tcW w:w="1060" w:type="dxa"/>
            <w:vMerge w:val="continue"/>
            <w:vAlign w:val="center"/>
          </w:tcPr>
          <w:p w14:paraId="28092334">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6AF939FF">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034D6922">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eastAsia="宋体" w:cs="宋体"/>
                <w:color w:val="auto"/>
                <w:kern w:val="0"/>
                <w:sz w:val="21"/>
                <w:szCs w:val="21"/>
                <w:highlight w:val="none"/>
              </w:rPr>
              <w:t>投</w:t>
            </w:r>
            <w:r>
              <w:rPr>
                <w:rFonts w:hint="eastAsia" w:ascii="宋体" w:hAnsi="宋体" w:eastAsia="宋体" w:cs="宋体"/>
                <w:color w:val="auto"/>
                <w:sz w:val="21"/>
                <w:szCs w:val="21"/>
                <w:highlight w:val="none"/>
              </w:rPr>
              <w:t>标技术方案是否提出合理的应急预案及相应解决措施，是否充分考虑用户实际使用需求等进行打分。</w:t>
            </w:r>
          </w:p>
          <w:p w14:paraId="23D9F77D">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预案阐述详细全面，工作方法明确，内容完整，符合项目需求的得3.5-5.0分；</w:t>
            </w:r>
          </w:p>
          <w:p w14:paraId="725392C5">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预案合理，但内容有欠缺，无法保障项目完成质量的得0.1-3.4分；</w:t>
            </w:r>
          </w:p>
          <w:p w14:paraId="12237BAD">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未提及此项不得分。未提及此项不得分。</w:t>
            </w:r>
          </w:p>
        </w:tc>
        <w:tc>
          <w:tcPr>
            <w:tcW w:w="686" w:type="dxa"/>
            <w:vAlign w:val="center"/>
          </w:tcPr>
          <w:p w14:paraId="6B3B66C2">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5BD0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060" w:type="dxa"/>
            <w:vMerge w:val="continue"/>
            <w:vAlign w:val="center"/>
          </w:tcPr>
          <w:p w14:paraId="2502929F">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06840729">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拟投入的各种核实仪器、设备情况</w:t>
            </w:r>
          </w:p>
        </w:tc>
        <w:tc>
          <w:tcPr>
            <w:tcW w:w="6710" w:type="dxa"/>
            <w:vAlign w:val="center"/>
          </w:tcPr>
          <w:p w14:paraId="2A36095B">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1、投标人针对本项目拟投入使用的无人机航摄设备</w:t>
            </w:r>
            <w:r>
              <w:rPr>
                <w:rFonts w:hint="eastAsia" w:ascii="宋体" w:hAnsi="宋体" w:eastAsia="宋体" w:cs="宋体"/>
                <w:color w:val="auto"/>
                <w:kern w:val="0"/>
                <w:sz w:val="21"/>
                <w:szCs w:val="21"/>
                <w:highlight w:val="none"/>
                <w:lang w:bidi="ar"/>
              </w:rPr>
              <w:t>数量（且必须经过国家民航局实名认证），拥有4架获得基础分1分，每增加1架加0.5分，无人机未经过认证不得分，本项最高4分</w:t>
            </w:r>
            <w:r>
              <w:rPr>
                <w:rFonts w:hint="eastAsia" w:ascii="宋体" w:hAnsi="宋体" w:eastAsia="宋体" w:cs="宋体"/>
                <w:color w:val="auto"/>
                <w:kern w:val="0"/>
                <w:sz w:val="21"/>
                <w:szCs w:val="21"/>
                <w:highlight w:val="none"/>
                <w:lang w:eastAsia="zh-CN" w:bidi="ar"/>
              </w:rPr>
              <w:t>。</w:t>
            </w:r>
          </w:p>
          <w:p w14:paraId="42FB5833">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2、投标人针对本项目拟投入使用的车辆，每辆得0.5分，最高得1分。</w:t>
            </w:r>
          </w:p>
          <w:p w14:paraId="70962E35">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（1、自有设备须提供购置合同、购置发票的扫描件加盖投标人公章编入投标文件中；租赁设备须提供购置合同、购置发票及租赁合同扫描件</w:t>
            </w:r>
            <w:r>
              <w:rPr>
                <w:rFonts w:hint="eastAsia" w:ascii="宋体" w:hAnsi="宋体" w:eastAsia="宋体" w:cs="宋体"/>
                <w:b/>
                <w:bCs/>
                <w:color w:val="auto"/>
                <w:sz w:val="21"/>
                <w:szCs w:val="21"/>
                <w:highlight w:val="none"/>
                <w:lang w:bidi="ar"/>
              </w:rPr>
              <w:t>且租赁有效期须涵盖本项目3年的服务期限</w:t>
            </w:r>
            <w:r>
              <w:rPr>
                <w:rFonts w:hint="eastAsia" w:ascii="宋体" w:hAnsi="宋体" w:eastAsia="宋体" w:cs="宋体"/>
                <w:b/>
                <w:bCs/>
                <w:color w:val="auto"/>
                <w:sz w:val="21"/>
                <w:szCs w:val="21"/>
                <w:highlight w:val="none"/>
              </w:rPr>
              <w:t>加盖投标人公章编入投标文件，未提供或提供不全的不得分。</w:t>
            </w:r>
          </w:p>
          <w:p w14:paraId="69733E2E">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2、提供设备照片、简介、功能、精度等方面的介绍</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未提供的不得分</w:t>
            </w:r>
            <w:r>
              <w:rPr>
                <w:rFonts w:hint="eastAsia" w:ascii="宋体" w:hAnsi="宋体" w:eastAsia="宋体" w:cs="宋体"/>
                <w:b/>
                <w:bCs/>
                <w:color w:val="auto"/>
                <w:sz w:val="21"/>
                <w:szCs w:val="21"/>
                <w:highlight w:val="none"/>
              </w:rPr>
              <w:t>）</w:t>
            </w:r>
          </w:p>
        </w:tc>
        <w:tc>
          <w:tcPr>
            <w:tcW w:w="686" w:type="dxa"/>
            <w:vAlign w:val="center"/>
          </w:tcPr>
          <w:p w14:paraId="0AF94548">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5AD3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60" w:type="dxa"/>
            <w:vMerge w:val="continue"/>
            <w:vAlign w:val="center"/>
          </w:tcPr>
          <w:p w14:paraId="29DF0A0C">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390EF548">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申请临时空域的能力</w:t>
            </w:r>
          </w:p>
        </w:tc>
        <w:tc>
          <w:tcPr>
            <w:tcW w:w="6710" w:type="dxa"/>
            <w:vAlign w:val="center"/>
          </w:tcPr>
          <w:p w14:paraId="11DB7E90">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投标人具有向有关部门申请临时空域的能力，</w:t>
            </w:r>
            <w:r>
              <w:rPr>
                <w:rFonts w:hint="eastAsia" w:ascii="宋体" w:hAnsi="宋体" w:eastAsia="宋体" w:cs="宋体"/>
                <w:color w:val="auto"/>
                <w:sz w:val="21"/>
                <w:szCs w:val="21"/>
                <w:highlight w:val="none"/>
                <w:lang w:val="en-US" w:eastAsia="zh-CN"/>
              </w:rPr>
              <w:t>自2022年1月1日以来（以批复时间为准）</w:t>
            </w:r>
            <w:r>
              <w:rPr>
                <w:rFonts w:hint="eastAsia" w:ascii="宋体" w:hAnsi="宋体" w:eastAsia="宋体" w:cs="宋体"/>
                <w:color w:val="auto"/>
                <w:sz w:val="21"/>
                <w:szCs w:val="21"/>
                <w:highlight w:val="none"/>
              </w:rPr>
              <w:t>成功申请</w:t>
            </w:r>
            <w:r>
              <w:rPr>
                <w:rFonts w:hint="eastAsia" w:ascii="宋体" w:hAnsi="宋体" w:eastAsia="宋体" w:cs="宋体"/>
                <w:color w:val="auto"/>
                <w:sz w:val="21"/>
                <w:szCs w:val="21"/>
                <w:highlight w:val="none"/>
                <w:lang w:val="en-US" w:eastAsia="zh-CN"/>
              </w:rPr>
              <w:t>过</w:t>
            </w:r>
            <w:r>
              <w:rPr>
                <w:rFonts w:hint="eastAsia" w:ascii="宋体" w:hAnsi="宋体" w:eastAsia="宋体" w:cs="宋体"/>
                <w:color w:val="auto"/>
                <w:sz w:val="21"/>
                <w:szCs w:val="21"/>
                <w:highlight w:val="none"/>
              </w:rPr>
              <w:t>空域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每提供一个空域使用申请批复表（临时空域范围未包含机场净空区）得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1FCC9A98">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每提供一个空域使用申请批复表（临时空域范围包含机场净空区）得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最高得4分</w:t>
            </w:r>
            <w:r>
              <w:rPr>
                <w:rFonts w:hint="eastAsia" w:ascii="宋体" w:hAnsi="宋体" w:eastAsia="宋体" w:cs="宋体"/>
                <w:color w:val="auto"/>
                <w:sz w:val="21"/>
                <w:szCs w:val="21"/>
                <w:highlight w:val="none"/>
              </w:rPr>
              <w:t>。</w:t>
            </w:r>
          </w:p>
          <w:p w14:paraId="7B0409C9">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本项最高</w:t>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分。</w:t>
            </w:r>
          </w:p>
          <w:p w14:paraId="1E96F578">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（须</w:t>
            </w:r>
            <w:r>
              <w:rPr>
                <w:rFonts w:hint="eastAsia" w:ascii="宋体" w:hAnsi="宋体" w:eastAsia="宋体" w:cs="宋体"/>
                <w:b/>
                <w:bCs/>
                <w:color w:val="auto"/>
                <w:sz w:val="21"/>
                <w:szCs w:val="21"/>
                <w:highlight w:val="none"/>
              </w:rPr>
              <w:t>提供</w:t>
            </w:r>
            <w:r>
              <w:rPr>
                <w:rFonts w:hint="eastAsia" w:ascii="宋体" w:hAnsi="宋体" w:eastAsia="宋体" w:cs="宋体"/>
                <w:b/>
                <w:bCs/>
                <w:color w:val="auto"/>
                <w:sz w:val="21"/>
                <w:szCs w:val="21"/>
                <w:highlight w:val="none"/>
                <w:lang w:val="en-US" w:eastAsia="zh-CN"/>
              </w:rPr>
              <w:t>相关证明</w:t>
            </w:r>
            <w:r>
              <w:rPr>
                <w:rFonts w:hint="eastAsia" w:ascii="宋体" w:hAnsi="宋体" w:eastAsia="宋体" w:cs="宋体"/>
                <w:b/>
                <w:bCs/>
                <w:color w:val="auto"/>
                <w:sz w:val="21"/>
                <w:szCs w:val="21"/>
                <w:highlight w:val="none"/>
              </w:rPr>
              <w:t>材料</w:t>
            </w:r>
            <w:r>
              <w:rPr>
                <w:rFonts w:hint="eastAsia" w:ascii="宋体" w:hAnsi="宋体" w:eastAsia="宋体" w:cs="宋体"/>
                <w:b/>
                <w:bCs/>
                <w:color w:val="auto"/>
                <w:sz w:val="21"/>
                <w:szCs w:val="21"/>
                <w:highlight w:val="none"/>
                <w:lang w:val="en-US" w:eastAsia="zh-CN"/>
              </w:rPr>
              <w:t>扫描件</w:t>
            </w:r>
            <w:r>
              <w:rPr>
                <w:rFonts w:hint="eastAsia" w:ascii="宋体" w:hAnsi="宋体" w:eastAsia="宋体" w:cs="宋体"/>
                <w:b/>
                <w:bCs/>
                <w:color w:val="auto"/>
                <w:sz w:val="21"/>
                <w:szCs w:val="21"/>
                <w:highlight w:val="none"/>
              </w:rPr>
              <w:t>并加盖投标人公章编入投标文件中，未提供的不得分。空域使用申请批复表须有部队航管气象处盖章，无章不得分。批复表中临时空域范围包含机场净空区的，须提供相关说明及批复空域范围图，不提供按未包含机场净空区计分</w:t>
            </w:r>
            <w:r>
              <w:rPr>
                <w:rFonts w:hint="eastAsia" w:ascii="宋体" w:hAnsi="宋体" w:eastAsia="宋体" w:cs="宋体"/>
                <w:b/>
                <w:bCs/>
                <w:color w:val="auto"/>
                <w:sz w:val="21"/>
                <w:szCs w:val="21"/>
                <w:highlight w:val="none"/>
                <w:lang w:eastAsia="zh-CN"/>
              </w:rPr>
              <w:t>）</w:t>
            </w:r>
          </w:p>
        </w:tc>
        <w:tc>
          <w:tcPr>
            <w:tcW w:w="686" w:type="dxa"/>
            <w:vAlign w:val="center"/>
          </w:tcPr>
          <w:p w14:paraId="07CEAFE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r>
      <w:tr w14:paraId="1AFA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58B5D7FE">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restart"/>
            <w:vAlign w:val="center"/>
          </w:tcPr>
          <w:p w14:paraId="2772D122">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粮补信息系统</w:t>
            </w:r>
            <w:r>
              <w:rPr>
                <w:rFonts w:hint="eastAsia" w:ascii="宋体" w:hAnsi="宋体" w:eastAsia="宋体" w:cs="宋体"/>
                <w:color w:val="auto"/>
                <w:sz w:val="21"/>
                <w:szCs w:val="21"/>
                <w:highlight w:val="none"/>
                <w:lang w:val="en-US" w:eastAsia="zh-CN"/>
              </w:rPr>
              <w:t>操作说明</w:t>
            </w:r>
          </w:p>
        </w:tc>
        <w:tc>
          <w:tcPr>
            <w:tcW w:w="6710" w:type="dxa"/>
            <w:vAlign w:val="center"/>
          </w:tcPr>
          <w:p w14:paraId="65068679">
            <w:pPr>
              <w:numPr>
                <w:ilvl w:val="255"/>
                <w:numId w:val="0"/>
              </w:numPr>
              <w:tabs>
                <w:tab w:val="left" w:pos="2061"/>
              </w:tabs>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根据投标人提供的系统操作说明、界面截图、系统是否简洁易用等情况进行打分。</w:t>
            </w:r>
          </w:p>
          <w:p w14:paraId="6CF7424A">
            <w:pPr>
              <w:numPr>
                <w:ilvl w:val="255"/>
                <w:numId w:val="0"/>
              </w:numPr>
              <w:tabs>
                <w:tab w:val="left" w:pos="2061"/>
              </w:tabs>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提供的系统操作说明、界面截图内容完整，</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简洁易用性高的得1.5-3.0分；</w:t>
            </w:r>
          </w:p>
          <w:p w14:paraId="3E12AAC5">
            <w:pPr>
              <w:numPr>
                <w:ilvl w:val="255"/>
                <w:numId w:val="0"/>
              </w:numPr>
              <w:tabs>
                <w:tab w:val="left" w:pos="2061"/>
              </w:tabs>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简洁易用性一般，系统的界面截图、操作说明等内容简单粗略的得0.1-1.4分</w:t>
            </w:r>
            <w:r>
              <w:rPr>
                <w:rFonts w:hint="eastAsia" w:ascii="宋体" w:hAnsi="宋体" w:eastAsia="宋体" w:cs="宋体"/>
                <w:color w:val="auto"/>
                <w:sz w:val="21"/>
                <w:szCs w:val="21"/>
                <w:highlight w:val="none"/>
              </w:rPr>
              <w:t>；</w:t>
            </w:r>
          </w:p>
          <w:p w14:paraId="3B198AAE">
            <w:pPr>
              <w:numPr>
                <w:ilvl w:val="255"/>
                <w:numId w:val="0"/>
              </w:numPr>
              <w:tabs>
                <w:tab w:val="left" w:pos="2061"/>
              </w:tabs>
              <w:ind w:left="0" w:lef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547FF8E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14:paraId="208B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5ED2F49B">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4DCE6072">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zh-CN"/>
              </w:rPr>
            </w:pPr>
          </w:p>
        </w:tc>
        <w:tc>
          <w:tcPr>
            <w:tcW w:w="6710" w:type="dxa"/>
            <w:vAlign w:val="center"/>
          </w:tcPr>
          <w:p w14:paraId="29092D74">
            <w:pPr>
              <w:numPr>
                <w:ilvl w:val="255"/>
                <w:numId w:val="0"/>
              </w:numPr>
              <w:tabs>
                <w:tab w:val="left" w:pos="2061"/>
              </w:tabs>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根据投标人提供的系统</w:t>
            </w:r>
            <w:r>
              <w:rPr>
                <w:rFonts w:hint="eastAsia" w:ascii="宋体" w:hAnsi="宋体" w:eastAsia="宋体" w:cs="宋体"/>
                <w:color w:val="auto"/>
                <w:sz w:val="21"/>
                <w:szCs w:val="21"/>
                <w:highlight w:val="none"/>
                <w:lang w:val="zh-CN"/>
              </w:rPr>
              <w:t>详细功能</w:t>
            </w:r>
            <w:r>
              <w:rPr>
                <w:rFonts w:hint="eastAsia" w:ascii="宋体" w:hAnsi="宋体" w:eastAsia="宋体" w:cs="宋体"/>
                <w:color w:val="auto"/>
                <w:sz w:val="21"/>
                <w:szCs w:val="21"/>
                <w:highlight w:val="none"/>
                <w:lang w:val="en-US" w:eastAsia="zh-CN"/>
              </w:rPr>
              <w:t>介绍等内容进行打分。</w:t>
            </w:r>
          </w:p>
          <w:p w14:paraId="1632E502">
            <w:pPr>
              <w:numPr>
                <w:ilvl w:val="255"/>
                <w:numId w:val="0"/>
              </w:numPr>
              <w:tabs>
                <w:tab w:val="left" w:pos="2061"/>
              </w:tabs>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各项功能完整，详细功能介绍详细的得1.5-3.0分；</w:t>
            </w:r>
          </w:p>
          <w:p w14:paraId="1A0A512D">
            <w:pPr>
              <w:numPr>
                <w:ilvl w:val="255"/>
                <w:numId w:val="0"/>
              </w:numPr>
              <w:tabs>
                <w:tab w:val="left" w:pos="2061"/>
              </w:tabs>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功能介绍简单粗略，各项功能基本满足日常使用需求的得0.1-1.4分</w:t>
            </w:r>
            <w:r>
              <w:rPr>
                <w:rFonts w:hint="eastAsia" w:ascii="宋体" w:hAnsi="宋体" w:eastAsia="宋体" w:cs="宋体"/>
                <w:color w:val="auto"/>
                <w:sz w:val="21"/>
                <w:szCs w:val="21"/>
                <w:highlight w:val="none"/>
              </w:rPr>
              <w:t>；</w:t>
            </w:r>
          </w:p>
          <w:p w14:paraId="3A7AFA34">
            <w:pPr>
              <w:numPr>
                <w:ilvl w:val="255"/>
                <w:numId w:val="0"/>
              </w:numPr>
              <w:tabs>
                <w:tab w:val="left" w:pos="2061"/>
              </w:tabs>
              <w:ind w:left="0" w:lef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未提及此项不得分</w:t>
            </w:r>
            <w:r>
              <w:rPr>
                <w:rFonts w:hint="eastAsia" w:ascii="宋体" w:hAnsi="宋体" w:eastAsia="宋体" w:cs="宋体"/>
                <w:color w:val="auto"/>
                <w:sz w:val="21"/>
                <w:szCs w:val="21"/>
                <w:highlight w:val="none"/>
                <w:lang w:eastAsia="zh-CN"/>
              </w:rPr>
              <w:t>。</w:t>
            </w:r>
          </w:p>
        </w:tc>
        <w:tc>
          <w:tcPr>
            <w:tcW w:w="686" w:type="dxa"/>
            <w:vAlign w:val="center"/>
          </w:tcPr>
          <w:p w14:paraId="5146773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14:paraId="290A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31930723">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418A7D85">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项目管理制度</w:t>
            </w:r>
          </w:p>
        </w:tc>
        <w:tc>
          <w:tcPr>
            <w:tcW w:w="6710" w:type="dxa"/>
            <w:vAlign w:val="center"/>
          </w:tcPr>
          <w:p w14:paraId="77E3DB13">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根据投标人针对本项目的管理制度，包括管理组织构架、内控制度、质量管控措施、档案及保密管理制度等进行</w:t>
            </w:r>
            <w:r>
              <w:rPr>
                <w:rFonts w:hint="eastAsia" w:ascii="宋体" w:hAnsi="宋体" w:eastAsia="宋体" w:cs="宋体"/>
                <w:color w:val="auto"/>
                <w:sz w:val="21"/>
                <w:szCs w:val="21"/>
                <w:highlight w:val="none"/>
                <w:lang w:val="en-US" w:eastAsia="zh-CN"/>
              </w:rPr>
              <w:t>打分</w:t>
            </w:r>
            <w:r>
              <w:rPr>
                <w:rFonts w:hint="eastAsia" w:ascii="宋体" w:hAnsi="宋体" w:eastAsia="宋体" w:cs="宋体"/>
                <w:color w:val="auto"/>
                <w:sz w:val="21"/>
                <w:szCs w:val="21"/>
                <w:highlight w:val="none"/>
              </w:rPr>
              <w:t>。</w:t>
            </w:r>
          </w:p>
          <w:p w14:paraId="385538AC">
            <w:pPr>
              <w:keepNext w:val="0"/>
              <w:keepLines w:val="0"/>
              <w:pageBreakBefore w:val="0"/>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方案阐述全面，质量管控措施等阐述合理可行且有针对性，能有效保障项目服务质量的，保密措施详细可行，能够确保资料不被泄露的得</w:t>
            </w:r>
            <w:r>
              <w:rPr>
                <w:rFonts w:hint="eastAsia" w:ascii="宋体" w:hAnsi="宋体" w:eastAsia="宋体" w:cs="宋体"/>
                <w:color w:val="auto"/>
                <w:sz w:val="21"/>
                <w:szCs w:val="21"/>
                <w:highlight w:val="none"/>
              </w:rPr>
              <w:t>3.5-5.0分；</w:t>
            </w:r>
          </w:p>
          <w:p w14:paraId="4319B82C">
            <w:pPr>
              <w:keepNext w:val="0"/>
              <w:keepLines w:val="0"/>
              <w:pageBreakBefore w:val="0"/>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方案阐述简单，质量管控措施等内容有提及但阐述不完整，保密措施简单基本能保障项目服务的得</w:t>
            </w:r>
            <w:r>
              <w:rPr>
                <w:rFonts w:hint="eastAsia" w:ascii="宋体" w:hAnsi="宋体" w:eastAsia="宋体" w:cs="宋体"/>
                <w:color w:val="auto"/>
                <w:sz w:val="21"/>
                <w:szCs w:val="21"/>
                <w:highlight w:val="none"/>
              </w:rPr>
              <w:t>0.1-</w:t>
            </w:r>
            <w:ins w:id="0" w:author="崽崽" w:date="2025-01-22T16:57:31Z">
              <w:r>
                <w:rPr>
                  <w:rFonts w:hint="eastAsia" w:ascii="宋体" w:hAnsi="宋体" w:eastAsia="宋体" w:cs="宋体"/>
                  <w:color w:val="auto"/>
                  <w:sz w:val="21"/>
                  <w:szCs w:val="21"/>
                  <w:highlight w:val="none"/>
                  <w:lang w:val="en-US" w:eastAsia="zh-CN"/>
                </w:rPr>
                <w:t>3</w:t>
              </w:r>
            </w:ins>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568B4F3D">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未提及此项不得分。</w:t>
            </w:r>
          </w:p>
        </w:tc>
        <w:tc>
          <w:tcPr>
            <w:tcW w:w="686" w:type="dxa"/>
            <w:vAlign w:val="center"/>
          </w:tcPr>
          <w:p w14:paraId="6303FD2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4941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4" w:hRule="atLeast"/>
          <w:jc w:val="center"/>
        </w:trPr>
        <w:tc>
          <w:tcPr>
            <w:tcW w:w="1060" w:type="dxa"/>
            <w:vMerge w:val="continue"/>
            <w:vAlign w:val="center"/>
          </w:tcPr>
          <w:p w14:paraId="69E6E47E">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restart"/>
            <w:vAlign w:val="center"/>
          </w:tcPr>
          <w:p w14:paraId="43B9035E">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kern w:val="0"/>
                <w:sz w:val="21"/>
                <w:szCs w:val="21"/>
                <w:highlight w:val="none"/>
                <w:lang w:eastAsia="zh-CN"/>
              </w:rPr>
            </w:pPr>
            <w:ins w:id="1" w:author="崽崽" w:date="2025-01-22T16:53:23Z">
              <w:r>
                <w:rPr>
                  <w:rFonts w:hint="eastAsia" w:ascii="宋体" w:hAnsi="宋体" w:eastAsia="宋体" w:cs="宋体"/>
                  <w:color w:val="auto"/>
                  <w:kern w:val="0"/>
                  <w:sz w:val="21"/>
                  <w:szCs w:val="21"/>
                  <w:highlight w:val="none"/>
                  <w:lang w:eastAsia="zh-CN"/>
                </w:rPr>
                <w:t>后续服务方案</w:t>
              </w:r>
            </w:ins>
          </w:p>
          <w:p w14:paraId="0DD3241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710" w:type="dxa"/>
            <w:vAlign w:val="center"/>
          </w:tcPr>
          <w:p w14:paraId="45639D50">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承诺提供的后续服务方案（服务能力、服务措施、服务承诺、实质性优惠条件或提供粮油补贴面积核查相关工作的管理提供便利、实质性的服务措施情况等方面）情况，包括服务承诺的可行性、完整性以及后续的技术实施保障措施等进行打分。</w:t>
            </w:r>
          </w:p>
          <w:p w14:paraId="74BC097B">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服务方案阐述全面、后续技术保障措施合理有效的得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 xml:space="preserve">分； </w:t>
            </w:r>
          </w:p>
          <w:p w14:paraId="554684E1">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服务方案阐述简单，后续技术保障措施有欠缺的得0.1-</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分；</w:t>
            </w:r>
          </w:p>
          <w:p w14:paraId="6BFA2307">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204C6C98">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r>
      <w:tr w14:paraId="34C7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060" w:type="dxa"/>
            <w:vMerge w:val="continue"/>
            <w:vAlign w:val="center"/>
          </w:tcPr>
          <w:p w14:paraId="0DDDA839">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03F4B4CF">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kern w:val="0"/>
                <w:sz w:val="21"/>
                <w:szCs w:val="21"/>
                <w:highlight w:val="none"/>
              </w:rPr>
            </w:pPr>
          </w:p>
        </w:tc>
        <w:tc>
          <w:tcPr>
            <w:tcW w:w="6710" w:type="dxa"/>
            <w:vAlign w:val="center"/>
          </w:tcPr>
          <w:p w14:paraId="758590D7">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投标人在项目实施地有服务点或承诺中标后设立服务点的得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2E937530">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服务点</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安排驻点人员，常态化服务农户，回复农户信息及日常维护工作</w:t>
            </w:r>
            <w:r>
              <w:rPr>
                <w:rFonts w:hint="eastAsia" w:ascii="宋体" w:hAnsi="宋体" w:eastAsia="宋体" w:cs="宋体"/>
                <w:color w:val="auto"/>
                <w:sz w:val="21"/>
                <w:szCs w:val="21"/>
                <w:highlight w:val="none"/>
                <w:lang w:eastAsia="zh-CN"/>
              </w:rPr>
              <w:t>。</w:t>
            </w:r>
          </w:p>
          <w:p w14:paraId="33DA608F">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rPr>
              <w:t>（</w:t>
            </w:r>
            <w:r>
              <w:rPr>
                <w:rFonts w:hint="eastAsia" w:ascii="宋体" w:hAnsi="宋体" w:eastAsia="宋体" w:cs="宋体"/>
                <w:b/>
                <w:bCs/>
                <w:color w:val="auto"/>
                <w:sz w:val="21"/>
                <w:szCs w:val="21"/>
                <w:highlight w:val="none"/>
              </w:rPr>
              <w:t>须提供相关证明资料扫描件或承诺函原件并加盖投标人公章编入投标文件中，未提供的不得分</w:t>
            </w:r>
            <w:r>
              <w:rPr>
                <w:rFonts w:hint="eastAsia" w:ascii="宋体" w:hAnsi="宋体" w:eastAsia="宋体" w:cs="宋体"/>
                <w:b/>
                <w:bCs/>
                <w:color w:val="auto"/>
                <w:spacing w:val="-4"/>
                <w:sz w:val="21"/>
                <w:szCs w:val="21"/>
                <w:highlight w:val="none"/>
              </w:rPr>
              <w:t>）</w:t>
            </w:r>
          </w:p>
        </w:tc>
        <w:tc>
          <w:tcPr>
            <w:tcW w:w="686" w:type="dxa"/>
            <w:vAlign w:val="center"/>
          </w:tcPr>
          <w:p w14:paraId="2BD1FC2A">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F11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2038" w:type="dxa"/>
            <w:gridSpan w:val="2"/>
            <w:vAlign w:val="center"/>
          </w:tcPr>
          <w:p w14:paraId="57D6B657">
            <w:pPr>
              <w:keepLines w:val="0"/>
              <w:pageBreakBefore w:val="0"/>
              <w:kinsoku/>
              <w:wordWrap/>
              <w:overflowPunct/>
              <w:topLinePunct w:val="0"/>
              <w:bidi w:val="0"/>
              <w:spacing w:beforeAutospacing="0" w:afterAutospacing="0" w:line="240" w:lineRule="auto"/>
              <w:ind w:left="0"/>
              <w:jc w:val="center"/>
              <w:textAlignment w:val="auto"/>
              <w:rPr>
                <w:rStyle w:val="58"/>
                <w:rFonts w:hint="eastAsia" w:ascii="宋体" w:hAnsi="宋体" w:eastAsia="宋体" w:cs="宋体"/>
                <w:color w:val="auto"/>
                <w:kern w:val="0"/>
                <w:sz w:val="21"/>
                <w:szCs w:val="21"/>
                <w:highlight w:val="none"/>
              </w:rPr>
            </w:pPr>
            <w:r>
              <w:rPr>
                <w:rStyle w:val="58"/>
                <w:rFonts w:hint="eastAsia" w:ascii="宋体" w:hAnsi="宋体" w:eastAsia="宋体" w:cs="宋体"/>
                <w:color w:val="auto"/>
                <w:kern w:val="0"/>
                <w:sz w:val="21"/>
                <w:szCs w:val="21"/>
                <w:highlight w:val="none"/>
              </w:rPr>
              <w:t>价格</w:t>
            </w:r>
          </w:p>
          <w:p w14:paraId="626F94DF">
            <w:pPr>
              <w:keepLines w:val="0"/>
              <w:pageBreakBefore w:val="0"/>
              <w:kinsoku/>
              <w:wordWrap/>
              <w:overflowPunct/>
              <w:topLinePunct w:val="0"/>
              <w:bidi w:val="0"/>
              <w:spacing w:beforeAutospacing="0" w:afterAutospacing="0" w:line="240" w:lineRule="auto"/>
              <w:ind w:left="0" w:leftChars="0"/>
              <w:jc w:val="center"/>
              <w:textAlignment w:val="auto"/>
              <w:rPr>
                <w:rFonts w:hint="eastAsia" w:ascii="宋体" w:hAnsi="宋体" w:eastAsia="宋体" w:cs="宋体"/>
                <w:color w:val="auto"/>
                <w:kern w:val="0"/>
                <w:sz w:val="21"/>
                <w:szCs w:val="21"/>
                <w:highlight w:val="none"/>
              </w:rPr>
            </w:pPr>
            <w:r>
              <w:rPr>
                <w:rStyle w:val="58"/>
                <w:rFonts w:hint="eastAsia" w:ascii="宋体" w:hAnsi="宋体" w:eastAsia="宋体" w:cs="宋体"/>
                <w:color w:val="auto"/>
                <w:kern w:val="0"/>
                <w:sz w:val="21"/>
                <w:szCs w:val="21"/>
                <w:highlight w:val="none"/>
              </w:rPr>
              <w:t>（</w:t>
            </w:r>
            <w:r>
              <w:rPr>
                <w:rStyle w:val="58"/>
                <w:rFonts w:hint="eastAsia" w:ascii="宋体" w:hAnsi="宋体" w:eastAsia="宋体" w:cs="宋体"/>
                <w:color w:val="auto"/>
                <w:kern w:val="0"/>
                <w:sz w:val="21"/>
                <w:szCs w:val="21"/>
                <w:highlight w:val="none"/>
                <w:lang w:val="en-US" w:eastAsia="zh-CN"/>
              </w:rPr>
              <w:t>15</w:t>
            </w:r>
            <w:r>
              <w:rPr>
                <w:rStyle w:val="58"/>
                <w:rFonts w:hint="eastAsia" w:ascii="宋体" w:hAnsi="宋体" w:eastAsia="宋体" w:cs="宋体"/>
                <w:color w:val="auto"/>
                <w:kern w:val="0"/>
                <w:sz w:val="21"/>
                <w:szCs w:val="21"/>
                <w:highlight w:val="none"/>
              </w:rPr>
              <w:t>分）</w:t>
            </w:r>
          </w:p>
        </w:tc>
        <w:tc>
          <w:tcPr>
            <w:tcW w:w="6710" w:type="dxa"/>
            <w:vAlign w:val="center"/>
          </w:tcPr>
          <w:p w14:paraId="230D8E14">
            <w:pPr>
              <w:keepLines w:val="0"/>
              <w:pageBreakBefore w:val="0"/>
              <w:kinsoku/>
              <w:wordWrap/>
              <w:overflowPunct/>
              <w:topLinePunct w:val="0"/>
              <w:bidi w:val="0"/>
              <w:spacing w:beforeAutospacing="0" w:afterAutospacing="0" w:line="240" w:lineRule="auto"/>
              <w:ind w:left="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取投标合格供应商的投标最终报价最低价</w:t>
            </w:r>
            <w:r>
              <w:rPr>
                <w:rFonts w:hint="eastAsia" w:ascii="宋体" w:hAnsi="宋体" w:eastAsia="宋体" w:cs="宋体"/>
                <w:color w:val="auto"/>
                <w:sz w:val="21"/>
                <w:szCs w:val="21"/>
                <w:highlight w:val="none"/>
                <w:lang w:val="zh-CN"/>
              </w:rPr>
              <w:t>为评标基准价，</w:t>
            </w:r>
            <w:r>
              <w:rPr>
                <w:rFonts w:hint="eastAsia" w:ascii="宋体" w:hAnsi="宋体" w:eastAsia="宋体" w:cs="宋体"/>
                <w:color w:val="auto"/>
                <w:sz w:val="21"/>
                <w:szCs w:val="21"/>
                <w:highlight w:val="none"/>
              </w:rPr>
              <w:t>基准价为</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14:paraId="3A448D30">
            <w:pPr>
              <w:keepLines w:val="0"/>
              <w:pageBreakBefore w:val="0"/>
              <w:kinsoku/>
              <w:wordWrap/>
              <w:overflowPunct/>
              <w:topLinePunct w:val="0"/>
              <w:bidi w:val="0"/>
              <w:spacing w:beforeAutospacing="0" w:afterAutospacing="0" w:line="240" w:lineRule="auto"/>
              <w:ind w:left="0" w:leftChars="0"/>
              <w:jc w:val="left"/>
              <w:textAlignment w:val="auto"/>
              <w:rPr>
                <w:rFonts w:hint="eastAsia" w:ascii="宋体" w:hAnsi="宋体" w:eastAsia="宋体" w:cs="宋体"/>
                <w:b/>
                <w:bCs/>
                <w:color w:val="auto"/>
                <w:spacing w:val="-4"/>
                <w:sz w:val="21"/>
                <w:szCs w:val="21"/>
                <w:highlight w:val="none"/>
              </w:rPr>
            </w:pPr>
            <w:r>
              <w:rPr>
                <w:rFonts w:hint="eastAsia" w:ascii="宋体" w:hAnsi="宋体" w:eastAsia="宋体" w:cs="宋体"/>
                <w:color w:val="auto"/>
                <w:sz w:val="21"/>
                <w:szCs w:val="21"/>
                <w:highlight w:val="none"/>
                <w:lang w:val="zh-CN"/>
              </w:rPr>
              <w:t>投标报价得分=(评标基准价／投标报价)×</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%×100 。（</w:t>
            </w:r>
            <w:r>
              <w:rPr>
                <w:rFonts w:hint="eastAsia" w:ascii="宋体" w:hAnsi="宋体" w:eastAsia="宋体" w:cs="宋体"/>
                <w:color w:val="auto"/>
                <w:sz w:val="21"/>
                <w:szCs w:val="21"/>
                <w:highlight w:val="none"/>
              </w:rPr>
              <w:t>小数点后保留2位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四舍五入</w:t>
            </w:r>
            <w:r>
              <w:rPr>
                <w:rFonts w:hint="eastAsia" w:ascii="宋体" w:hAnsi="宋体" w:eastAsia="宋体" w:cs="宋体"/>
                <w:color w:val="auto"/>
                <w:sz w:val="21"/>
                <w:szCs w:val="21"/>
                <w:highlight w:val="none"/>
                <w:lang w:val="zh-CN"/>
              </w:rPr>
              <w:t>）。</w:t>
            </w:r>
          </w:p>
        </w:tc>
        <w:tc>
          <w:tcPr>
            <w:tcW w:w="686" w:type="dxa"/>
            <w:vAlign w:val="center"/>
          </w:tcPr>
          <w:p w14:paraId="6CF5CA10">
            <w:pPr>
              <w:keepLines w:val="0"/>
              <w:pageBreakBefore w:val="0"/>
              <w:kinsoku/>
              <w:wordWrap/>
              <w:overflowPunct/>
              <w:topLinePunct w:val="0"/>
              <w:bidi w:val="0"/>
              <w:adjustRightInd w:val="0"/>
              <w:snapToGrid w:val="0"/>
              <w:spacing w:beforeAutospacing="0" w:afterAutospacing="0"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p>
        </w:tc>
      </w:tr>
    </w:tbl>
    <w:p w14:paraId="4DF48393">
      <w:pPr>
        <w:pStyle w:val="23"/>
        <w:rPr>
          <w:rFonts w:hint="eastAsia" w:ascii="宋体" w:hAnsi="宋体" w:eastAsia="宋体" w:cs="宋体"/>
          <w:color w:val="auto"/>
          <w:szCs w:val="21"/>
          <w:highlight w:val="none"/>
          <w:lang w:val="zh-CN"/>
        </w:rPr>
      </w:pPr>
    </w:p>
    <w:p w14:paraId="348B8FD0">
      <w:pPr>
        <w:rPr>
          <w:rFonts w:hint="eastAsia" w:ascii="宋体" w:hAnsi="宋体" w:eastAsia="宋体" w:cs="宋体"/>
          <w:color w:val="auto"/>
          <w:szCs w:val="21"/>
          <w:highlight w:val="none"/>
          <w:lang w:val="zh-CN"/>
        </w:rPr>
      </w:pPr>
    </w:p>
    <w:p w14:paraId="5F538B10">
      <w:pPr>
        <w:pStyle w:val="23"/>
        <w:rPr>
          <w:rFonts w:hint="eastAsia" w:ascii="宋体" w:hAnsi="宋体" w:eastAsia="宋体" w:cs="宋体"/>
          <w:color w:val="auto"/>
          <w:szCs w:val="21"/>
          <w:highlight w:val="none"/>
          <w:lang w:val="zh-CN"/>
        </w:rPr>
      </w:pPr>
    </w:p>
    <w:p w14:paraId="359EE797">
      <w:pPr>
        <w:rPr>
          <w:rFonts w:hint="eastAsia" w:ascii="宋体" w:hAnsi="宋体" w:eastAsia="宋体" w:cs="宋体"/>
          <w:color w:val="auto"/>
          <w:szCs w:val="21"/>
          <w:highlight w:val="none"/>
          <w:lang w:val="zh-CN"/>
        </w:rPr>
      </w:pPr>
    </w:p>
    <w:p w14:paraId="5DC91F4B">
      <w:pPr>
        <w:pStyle w:val="23"/>
        <w:rPr>
          <w:rFonts w:hint="eastAsia" w:ascii="宋体" w:hAnsi="宋体" w:eastAsia="宋体" w:cs="宋体"/>
          <w:color w:val="auto"/>
          <w:szCs w:val="21"/>
          <w:highlight w:val="none"/>
          <w:lang w:val="zh-CN"/>
        </w:rPr>
      </w:pPr>
    </w:p>
    <w:p w14:paraId="00596B57">
      <w:pPr>
        <w:rPr>
          <w:rFonts w:hint="eastAsia" w:ascii="宋体" w:hAnsi="宋体" w:eastAsia="宋体" w:cs="宋体"/>
          <w:color w:val="auto"/>
          <w:szCs w:val="21"/>
          <w:highlight w:val="none"/>
          <w:lang w:val="zh-CN"/>
        </w:rPr>
      </w:pPr>
    </w:p>
    <w:p w14:paraId="5D2E8CA1">
      <w:pPr>
        <w:pStyle w:val="23"/>
        <w:rPr>
          <w:rFonts w:hint="eastAsia" w:ascii="宋体" w:hAnsi="宋体" w:eastAsia="宋体" w:cs="宋体"/>
          <w:color w:val="auto"/>
          <w:szCs w:val="21"/>
          <w:highlight w:val="none"/>
          <w:lang w:val="zh-CN"/>
        </w:rPr>
      </w:pPr>
    </w:p>
    <w:p w14:paraId="7125823E">
      <w:pPr>
        <w:rPr>
          <w:rFonts w:hint="eastAsia" w:ascii="宋体" w:hAnsi="宋体" w:eastAsia="宋体" w:cs="宋体"/>
          <w:color w:val="auto"/>
          <w:szCs w:val="21"/>
          <w:highlight w:val="none"/>
          <w:lang w:val="zh-CN"/>
        </w:rPr>
      </w:pPr>
    </w:p>
    <w:p w14:paraId="6BD1CCBA">
      <w:pPr>
        <w:pStyle w:val="23"/>
        <w:rPr>
          <w:rFonts w:hint="eastAsia" w:ascii="宋体" w:hAnsi="宋体" w:eastAsia="宋体" w:cs="宋体"/>
          <w:color w:val="auto"/>
          <w:highlight w:val="none"/>
          <w:lang w:val="zh-CN"/>
        </w:rPr>
      </w:pPr>
    </w:p>
    <w:p w14:paraId="0C6953EF">
      <w:pPr>
        <w:pStyle w:val="10"/>
        <w:ind w:firstLine="0" w:firstLineChars="0"/>
        <w:rPr>
          <w:rFonts w:hint="eastAsia" w:ascii="宋体" w:hAnsi="宋体" w:eastAsia="宋体" w:cs="宋体"/>
          <w:color w:val="auto"/>
          <w:highlight w:val="none"/>
        </w:rPr>
      </w:pPr>
    </w:p>
    <w:p w14:paraId="203EB98B">
      <w:pPr>
        <w:bidi w:val="0"/>
        <w:rPr>
          <w:rFonts w:hint="eastAsia" w:ascii="宋体" w:hAnsi="宋体" w:eastAsia="宋体" w:cs="宋体"/>
          <w:color w:val="auto"/>
          <w:highlight w:val="none"/>
        </w:rPr>
      </w:pPr>
    </w:p>
    <w:p w14:paraId="40588915">
      <w:pPr>
        <w:bidi w:val="0"/>
        <w:rPr>
          <w:rFonts w:hint="eastAsia" w:ascii="宋体" w:hAnsi="宋体" w:eastAsia="宋体" w:cs="宋体"/>
          <w:color w:val="auto"/>
          <w:highlight w:val="none"/>
        </w:rPr>
      </w:pPr>
    </w:p>
    <w:p w14:paraId="51FC399D">
      <w:pPr>
        <w:bidi w:val="0"/>
        <w:rPr>
          <w:rFonts w:hint="eastAsia" w:ascii="宋体" w:hAnsi="宋体" w:eastAsia="宋体" w:cs="宋体"/>
          <w:color w:val="auto"/>
          <w:highlight w:val="none"/>
        </w:rPr>
      </w:pPr>
    </w:p>
    <w:p w14:paraId="64A8BCC0">
      <w:pPr>
        <w:bidi w:val="0"/>
        <w:rPr>
          <w:rFonts w:hint="eastAsia" w:ascii="宋体" w:hAnsi="宋体" w:eastAsia="宋体" w:cs="宋体"/>
          <w:color w:val="auto"/>
          <w:highlight w:val="none"/>
        </w:rPr>
      </w:pPr>
    </w:p>
    <w:p w14:paraId="5992BE8D">
      <w:pPr>
        <w:bidi w:val="0"/>
        <w:rPr>
          <w:rFonts w:hint="eastAsia" w:ascii="宋体" w:hAnsi="宋体" w:eastAsia="宋体" w:cs="宋体"/>
          <w:color w:val="auto"/>
          <w:highlight w:val="none"/>
        </w:rPr>
      </w:pPr>
    </w:p>
    <w:p w14:paraId="5D5ECE87">
      <w:pPr>
        <w:bidi w:val="0"/>
        <w:rPr>
          <w:rFonts w:hint="eastAsia" w:ascii="宋体" w:hAnsi="宋体" w:eastAsia="宋体" w:cs="宋体"/>
          <w:color w:val="auto"/>
          <w:highlight w:val="none"/>
        </w:rPr>
      </w:pPr>
    </w:p>
    <w:p w14:paraId="7A9E1B57">
      <w:pPr>
        <w:bidi w:val="0"/>
        <w:rPr>
          <w:rFonts w:hint="eastAsia" w:ascii="宋体" w:hAnsi="宋体" w:eastAsia="宋体" w:cs="宋体"/>
          <w:color w:val="auto"/>
          <w:highlight w:val="none"/>
        </w:rPr>
      </w:pPr>
    </w:p>
    <w:p w14:paraId="1E99A4C6">
      <w:pPr>
        <w:bidi w:val="0"/>
        <w:rPr>
          <w:rFonts w:hint="eastAsia" w:ascii="宋体" w:hAnsi="宋体" w:eastAsia="宋体" w:cs="宋体"/>
          <w:color w:val="auto"/>
          <w:highlight w:val="none"/>
        </w:rPr>
      </w:pPr>
    </w:p>
    <w:p w14:paraId="7BD91C35">
      <w:pPr>
        <w:bidi w:val="0"/>
        <w:rPr>
          <w:rFonts w:hint="eastAsia" w:ascii="宋体" w:hAnsi="宋体" w:eastAsia="宋体" w:cs="宋体"/>
          <w:color w:val="auto"/>
          <w:highlight w:val="none"/>
        </w:rPr>
      </w:pPr>
    </w:p>
    <w:p w14:paraId="5AB85122">
      <w:pPr>
        <w:bidi w:val="0"/>
        <w:rPr>
          <w:rFonts w:hint="eastAsia" w:ascii="宋体" w:hAnsi="宋体" w:eastAsia="宋体" w:cs="宋体"/>
          <w:color w:val="auto"/>
          <w:highlight w:val="none"/>
        </w:rPr>
      </w:pPr>
    </w:p>
    <w:p w14:paraId="0670C5BD">
      <w:pPr>
        <w:bidi w:val="0"/>
        <w:rPr>
          <w:rFonts w:hint="eastAsia" w:ascii="宋体" w:hAnsi="宋体" w:eastAsia="宋体" w:cs="宋体"/>
          <w:color w:val="auto"/>
          <w:highlight w:val="none"/>
        </w:rPr>
      </w:pPr>
    </w:p>
    <w:p w14:paraId="0620398A">
      <w:pPr>
        <w:bidi w:val="0"/>
        <w:rPr>
          <w:rFonts w:hint="eastAsia" w:ascii="宋体" w:hAnsi="宋体" w:eastAsia="宋体" w:cs="宋体"/>
          <w:color w:val="auto"/>
          <w:highlight w:val="none"/>
        </w:rPr>
      </w:pPr>
    </w:p>
    <w:p w14:paraId="083861C6">
      <w:pPr>
        <w:bidi w:val="0"/>
        <w:rPr>
          <w:rFonts w:hint="eastAsia" w:ascii="宋体" w:hAnsi="宋体" w:eastAsia="宋体" w:cs="宋体"/>
          <w:color w:val="auto"/>
          <w:highlight w:val="none"/>
        </w:rPr>
      </w:pPr>
    </w:p>
    <w:p w14:paraId="5AEF2A7B">
      <w:pPr>
        <w:bidi w:val="0"/>
        <w:rPr>
          <w:rFonts w:hint="eastAsia" w:ascii="宋体" w:hAnsi="宋体" w:eastAsia="宋体" w:cs="宋体"/>
          <w:color w:val="auto"/>
          <w:highlight w:val="none"/>
        </w:rPr>
      </w:pPr>
    </w:p>
    <w:p w14:paraId="3F675CE1">
      <w:pPr>
        <w:bidi w:val="0"/>
        <w:rPr>
          <w:rFonts w:hint="eastAsia" w:ascii="宋体" w:hAnsi="宋体" w:eastAsia="宋体" w:cs="宋体"/>
          <w:color w:val="auto"/>
          <w:highlight w:val="none"/>
        </w:rPr>
      </w:pPr>
    </w:p>
    <w:p w14:paraId="08AB7608">
      <w:pPr>
        <w:bidi w:val="0"/>
        <w:rPr>
          <w:rFonts w:hint="eastAsia" w:ascii="宋体" w:hAnsi="宋体" w:eastAsia="宋体" w:cs="宋体"/>
          <w:color w:val="auto"/>
          <w:highlight w:val="none"/>
        </w:rPr>
      </w:pPr>
    </w:p>
    <w:p w14:paraId="42684A87">
      <w:pPr>
        <w:bidi w:val="0"/>
        <w:rPr>
          <w:rFonts w:hint="eastAsia" w:ascii="宋体" w:hAnsi="宋体" w:eastAsia="宋体" w:cs="宋体"/>
          <w:color w:val="auto"/>
          <w:highlight w:val="none"/>
        </w:rPr>
      </w:pPr>
    </w:p>
    <w:p w14:paraId="142723AD">
      <w:pPr>
        <w:bidi w:val="0"/>
        <w:rPr>
          <w:rFonts w:hint="eastAsia" w:ascii="宋体" w:hAnsi="宋体" w:eastAsia="宋体" w:cs="宋体"/>
          <w:color w:val="auto"/>
          <w:highlight w:val="none"/>
        </w:rPr>
      </w:pPr>
    </w:p>
    <w:p w14:paraId="0AF0FDD5">
      <w:pPr>
        <w:bidi w:val="0"/>
        <w:rPr>
          <w:rFonts w:hint="eastAsia" w:ascii="宋体" w:hAnsi="宋体" w:eastAsia="宋体" w:cs="宋体"/>
          <w:color w:val="auto"/>
          <w:highlight w:val="none"/>
        </w:rPr>
      </w:pPr>
    </w:p>
    <w:p w14:paraId="23AA6DFC">
      <w:pPr>
        <w:tabs>
          <w:tab w:val="center" w:pos="4331"/>
        </w:tabs>
        <w:bidi w:val="0"/>
        <w:jc w:val="left"/>
        <w:rPr>
          <w:rFonts w:hint="eastAsia" w:ascii="宋体" w:hAnsi="宋体" w:eastAsia="宋体" w:cs="宋体"/>
          <w:color w:val="auto"/>
          <w:highlight w:val="none"/>
          <w:lang w:eastAsia="zh-CN"/>
        </w:rPr>
        <w:sectPr>
          <w:pgSz w:w="11906" w:h="16838"/>
          <w:pgMar w:top="1440" w:right="1440" w:bottom="1440" w:left="1803" w:header="851" w:footer="992" w:gutter="0"/>
          <w:pgNumType w:fmt="decimal"/>
          <w:cols w:space="0" w:num="1"/>
          <w:docGrid w:type="lines" w:linePitch="325" w:charSpace="0"/>
        </w:sectPr>
      </w:pPr>
      <w:r>
        <w:rPr>
          <w:rFonts w:hint="eastAsia" w:ascii="宋体" w:hAnsi="宋体" w:eastAsia="宋体" w:cs="宋体"/>
          <w:color w:val="auto"/>
          <w:highlight w:val="none"/>
          <w:lang w:eastAsia="zh-CN"/>
        </w:rPr>
        <w:tab/>
      </w:r>
    </w:p>
    <w:p w14:paraId="325D02F2">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第四章 公开招标需求</w:t>
      </w:r>
    </w:p>
    <w:p w14:paraId="20047CA1">
      <w:pPr>
        <w:snapToGrid w:val="0"/>
        <w:spacing w:line="360" w:lineRule="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一、项目概况</w:t>
      </w:r>
    </w:p>
    <w:p w14:paraId="64824405">
      <w:pPr>
        <w:pStyle w:val="2"/>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sz w:val="21"/>
          <w:szCs w:val="21"/>
          <w:highlight w:val="none"/>
          <w:lang w:val="en-US" w:eastAsia="zh-CN" w:bidi="ar-SA"/>
        </w:rPr>
        <w:t>依据《浙江省农业农村厅关于做好“粮补直达”应用种植地块数据采集工作的通知》等文件精神，实施路桥区2025-2027年粮油种植面积核查服务项目，通过无人机航飞影像，结合实地踏勘，生成每年耕地地力保护补贴、一次性种粮农民补贴和规模粮油种植和水稻散户种植矢量等相关数据，并出具核查报告。</w:t>
      </w:r>
      <w:r>
        <w:rPr>
          <w:rFonts w:hint="eastAsia" w:ascii="宋体" w:hAnsi="宋体" w:eastAsia="宋体" w:cs="宋体"/>
          <w:color w:val="auto"/>
          <w:highlight w:val="none"/>
        </w:rPr>
        <w:drawing>
          <wp:inline distT="0" distB="0" distL="114300" distR="114300">
            <wp:extent cx="4926330" cy="3393440"/>
            <wp:effectExtent l="0" t="0" r="7620" b="16510"/>
            <wp:docPr id="3" name="图片 3" descr="16750398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39844576"/>
                    <pic:cNvPicPr>
                      <a:picLocks noChangeAspect="1"/>
                    </pic:cNvPicPr>
                  </pic:nvPicPr>
                  <pic:blipFill>
                    <a:blip r:embed="rId11"/>
                    <a:stretch>
                      <a:fillRect/>
                    </a:stretch>
                  </pic:blipFill>
                  <pic:spPr>
                    <a:xfrm>
                      <a:off x="0" y="0"/>
                      <a:ext cx="4936121" cy="3400113"/>
                    </a:xfrm>
                    <a:prstGeom prst="rect">
                      <a:avLst/>
                    </a:prstGeom>
                  </pic:spPr>
                </pic:pic>
              </a:graphicData>
            </a:graphic>
          </wp:inline>
        </w:drawing>
      </w:r>
    </w:p>
    <w:p w14:paraId="6F5949C7">
      <w:pPr>
        <w:pStyle w:val="2"/>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路桥区机场禁飞区范围参考</w:t>
      </w:r>
    </w:p>
    <w:p w14:paraId="10649607">
      <w:pPr>
        <w:spacing w:line="360" w:lineRule="auto"/>
        <w:ind w:firstLine="640" w:firstLineChars="200"/>
        <w:rPr>
          <w:rFonts w:hint="eastAsia" w:ascii="宋体" w:hAnsi="宋体" w:eastAsia="宋体" w:cs="宋体"/>
          <w:color w:val="auto"/>
          <w:kern w:val="0"/>
          <w:sz w:val="32"/>
          <w:szCs w:val="32"/>
          <w:highlight w:val="none"/>
        </w:rPr>
      </w:pPr>
    </w:p>
    <w:p w14:paraId="0AE29685">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二、服务内容及要求</w:t>
      </w:r>
    </w:p>
    <w:p w14:paraId="7D881D91">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 项目内容</w:t>
      </w:r>
    </w:p>
    <w:p w14:paraId="4D16C06E">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2025-2027年每年开展核查服务内容如下：</w:t>
      </w:r>
    </w:p>
    <w:p w14:paraId="222CD77D">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1.1影像采集</w:t>
      </w:r>
    </w:p>
    <w:p w14:paraId="182C55EC">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若使用无人机航飞采集影像进行核查，影像分辨率须优于0.1m（无人机航摄次数不少于3次，其中全域耕地航摄次数不少于2次，如因机场净空区域限制或特殊天气原因无法获取无人机航飞影像，经采购人同意，成交供应商可以采用分辨率优于0.5m的高清卫星遥感影像）；若使用卫星遥感影像进行核查，影像分辨率须优于0.5m。（每年同一作物遥感次数不少于2次）对通过影像无法核实的数据，要求上门实地查验并拍照留底，确保数据准确无误。</w:t>
      </w:r>
    </w:p>
    <w:p w14:paraId="0C7B8C13">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 耕地种植用途调查：（1）根据高清影像，对全区耕地进行矢量化，准确区分具有田埂、作物类型差异的地块，地块边界准确贴合真实边界，并识判面积。（2）以高清影像为底图，结合外业调查，采集地块所种植作物并进行识别（按水稻、大小麦、大豆、其它旱粮、蔬菜、水果、其他单年生/多年生经济作物等分类）。</w:t>
      </w:r>
    </w:p>
    <w:p w14:paraId="1797DEC8">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注：路桥区耕地面积约13.5万亩。</w:t>
      </w:r>
    </w:p>
    <w:p w14:paraId="2E622FD1">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 核查规模种粮油补贴（含动态补贴）。按作物生育期，以当季高清影像为底图，核查路桥区内申报补贴的主体的粮油种植情况，根据实际申报情况匹配主体（人）、地块（地）和作物种类（物）的信息，生成矢量数据，确定核查面积（核查结果经镇&lt;街道&gt;、行政村、测绘单位、农户四方签字确认留档），按照村-镇（街道）-区的维度编写粮油作物的核查报告（内容包括主体信息、种植地块图、申报面积、核查面积、补贴面积）。</w:t>
      </w:r>
    </w:p>
    <w:p w14:paraId="669C2B94">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1）规模主体为当年稻麦油复种达50亩及以上的主体。2024年路桥区规模粮油补贴主体136户，补贴面积98950亩，其中水稻面积78021亩（含早稻41306亩），油菜种植面积3116亩，旱粮面积10339亩，大小麦面积7475亩。以上数据仅供参考。（2）如当年动态补贴未达到发放的启动条件，省级没有下达相关资金，该项业务无需开展。</w:t>
      </w:r>
    </w:p>
    <w:p w14:paraId="2AAC4715">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 核查耕地地力保护补贴。</w:t>
      </w:r>
    </w:p>
    <w:p w14:paraId="79EDEAB4">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土地确权、往年耕地地力保护补贴等相关资料，以高分辨率影像数据为底图，核减不符合补贴要求的耕地（2025年核查数据须经各村、镇&lt;街道&gt;确认，2026-2027年较上年变动数据须经各村、镇&lt;街道&gt;确认），得出符合每个村耕地地力保护补贴面积和矢量数据，编写相应报告。</w:t>
      </w:r>
    </w:p>
    <w:p w14:paraId="6F890E5B">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耕地地力补贴的补贴依据为以土地承包经营权证登记的耕地面积为基础数据，核减以下不予补贴的耕地（若省里标准有调整的，按照省里最新标准执行）：（1）已作为畜牧（水产）养殖场使用的耕地；（2）发展林果业的耕地；（3）成片粮田转为设施农业用地的耕地（至少种植一季主要粮油作物的除外）；（4）被征（占）用进行非农业建设等已改变用途的耕地；</w:t>
      </w:r>
      <w:ins w:id="2" w:author="崽崽" w:date="2025-01-22T16:49:56Z">
        <w:r>
          <w:rPr>
            <w:rFonts w:hint="eastAsia" w:ascii="宋体" w:hAnsi="宋体" w:eastAsia="宋体" w:cs="宋体"/>
            <w:color w:val="auto"/>
            <w:kern w:val="0"/>
            <w:sz w:val="21"/>
            <w:szCs w:val="21"/>
            <w:highlight w:val="none"/>
            <w:lang w:val="en-US" w:eastAsia="zh-CN" w:bidi="ar-SA"/>
          </w:rPr>
          <w:t>（</w:t>
        </w:r>
      </w:ins>
      <w:ins w:id="3" w:author="崽崽" w:date="2025-01-22T16:49:57Z">
        <w:r>
          <w:rPr>
            <w:rFonts w:hint="eastAsia" w:ascii="宋体" w:hAnsi="宋体" w:eastAsia="宋体" w:cs="宋体"/>
            <w:color w:val="auto"/>
            <w:kern w:val="0"/>
            <w:sz w:val="21"/>
            <w:szCs w:val="21"/>
            <w:highlight w:val="none"/>
            <w:lang w:val="en-US" w:eastAsia="zh-CN" w:bidi="ar-SA"/>
          </w:rPr>
          <w:t>5</w:t>
        </w:r>
      </w:ins>
      <w:ins w:id="4" w:author="崽崽" w:date="2025-01-22T16:49:56Z">
        <w:r>
          <w:rPr>
            <w:rFonts w:hint="eastAsia" w:ascii="宋体" w:hAnsi="宋体" w:eastAsia="宋体" w:cs="宋体"/>
            <w:color w:val="auto"/>
            <w:kern w:val="0"/>
            <w:sz w:val="21"/>
            <w:szCs w:val="21"/>
            <w:highlight w:val="none"/>
            <w:lang w:val="en-US" w:eastAsia="zh-CN" w:bidi="ar-SA"/>
          </w:rPr>
          <w:t>）</w:t>
        </w:r>
      </w:ins>
      <w:r>
        <w:rPr>
          <w:rFonts w:hint="eastAsia" w:ascii="宋体" w:hAnsi="宋体" w:eastAsia="宋体" w:cs="宋体"/>
          <w:color w:val="auto"/>
          <w:kern w:val="0"/>
          <w:sz w:val="21"/>
          <w:szCs w:val="21"/>
          <w:highlight w:val="none"/>
          <w:lang w:val="en-US" w:eastAsia="zh-CN" w:bidi="ar-SA"/>
        </w:rPr>
        <w:t>占补平衡中补充耕地的质量达不到耕种条件的耕地；（6）</w:t>
      </w:r>
      <w:r>
        <w:rPr>
          <w:rFonts w:hint="eastAsia" w:ascii="宋体" w:hAnsi="宋体" w:eastAsia="宋体" w:cs="宋体"/>
          <w:color w:val="auto"/>
          <w:kern w:val="0"/>
          <w:sz w:val="21"/>
          <w:szCs w:val="21"/>
          <w:highlight w:val="none"/>
          <w:lang w:val="en" w:eastAsia="zh-CN" w:bidi="ar-SA"/>
        </w:rPr>
        <w:t>处于管护期内的新垦造耕地；（</w:t>
      </w:r>
      <w:r>
        <w:rPr>
          <w:rFonts w:hint="eastAsia" w:ascii="宋体" w:hAnsi="宋体" w:eastAsia="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 w:eastAsia="zh-CN" w:bidi="ar-SA"/>
        </w:rPr>
        <w:t>）</w:t>
      </w:r>
      <w:r>
        <w:rPr>
          <w:rFonts w:hint="eastAsia" w:ascii="宋体" w:hAnsi="宋体" w:eastAsia="宋体" w:cs="宋体"/>
          <w:color w:val="auto"/>
          <w:kern w:val="0"/>
          <w:sz w:val="21"/>
          <w:szCs w:val="21"/>
          <w:highlight w:val="none"/>
          <w:lang w:val="en-US" w:eastAsia="zh-CN" w:bidi="ar-SA"/>
        </w:rPr>
        <w:t>抛荒一年以上的耕地。</w:t>
      </w:r>
    </w:p>
    <w:p w14:paraId="00E9B935">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 核查实际种粮农民一次性补贴。以行政村为单位（没有补贴申报主体的村不核查），对大小麦、水稻、大豆等主要粮食作物进行分类识别并统计面积，形成每个村符合补贴要求的面积，比对申报面积,得出实际可补贴面积。由采购人确定15个行政村（总户数不超过300户），结合路桥区权证库数据，核实抽查补贴对象承包/流转耕地情况、种植作物和种植面积等内容是否符合补贴要求。结合核查抽查结果，编写相应报告。</w:t>
      </w:r>
    </w:p>
    <w:p w14:paraId="122CDBDB">
      <w:pPr>
        <w:pStyle w:val="2"/>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注：如当年实际种粮农民一次性补贴未达到发放的启动条件，省级没有下达相关资金，该项业务无需开展。2023年路桥区一次性种粮农民补贴涉及1996户（规模大户152户，散户1844户）。</w:t>
      </w:r>
    </w:p>
    <w:p w14:paraId="661C9F9B">
      <w:pPr>
        <w:pStyle w:val="9"/>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1.6 </w:t>
      </w:r>
      <w:r>
        <w:rPr>
          <w:rFonts w:hint="eastAsia" w:ascii="宋体" w:hAnsi="宋体" w:eastAsia="宋体" w:cs="宋体"/>
          <w:color w:val="auto"/>
          <w:szCs w:val="21"/>
          <w:highlight w:val="none"/>
        </w:rPr>
        <w:t>粮补信息系统。为采购人定制开发一套简单易用基于Web的粮补信息系统（可以跨平台操作），集成路桥区域卫星影像、无人机高清影像，能够查询各种粮油作物种植范围、面积和大户信息等，能够方便地统计分析区、镇、村种植情况等。系统操作简洁易用，各项功能完整，方便采购人日常工作中掌握和了解全区粮油种植情况。</w:t>
      </w:r>
    </w:p>
    <w:p w14:paraId="2BAB04B0">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 xml:space="preserve"> 工作要求</w:t>
      </w:r>
    </w:p>
    <w:p w14:paraId="343EB516">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1获取当季耕地高清影像，采用先进技术进行面积核实、标定边界方位、区分耕地种植用途。根据获取的图片和影像资料，以及实测面积等相关数据，按要求出具核查报告。</w:t>
      </w:r>
    </w:p>
    <w:p w14:paraId="73CFF094">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2 时间节点</w:t>
      </w:r>
    </w:p>
    <w:p w14:paraId="7E75CA5A">
      <w:pPr>
        <w:pStyle w:val="9"/>
        <w:keepNext w:val="0"/>
        <w:keepLines w:val="0"/>
        <w:pageBreakBefore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服务期限为2025-2027年。根据路桥区规模主体的种植时节，获取当季高清影像，对大户申报规模种植区域实际种植情况进行核实，核实数据及时录入粮补直达系统。根据路桥区相关作物的种植规律，拟作如下时间安排：在当年度5月20日前，完成油菜、大小麦等春粮实种面积核实工作，并出具报告；5月30日完成耕地地力补贴核查，并出具报告；在当年度7月30日前完成早稻实种面积核实工作，并出具报告；在当年度10月20日前完成单季晚稻、连作晚稻实种面积核实工作，并出具报告；旱杂粮实种面积核实在收到相关申报材料后，30个工作日内完成核实工作，并出具报告；在当年度10月30日前完成一次性种粮种粮农民补贴、规模种粮动态补贴数据核实工作，并出具报告；在当年度11月20日前完成路桥区耕地种植用途调查工作，并出具报告；在当年度11月30日前出具当年核实成果并提交相关资料，完成项目分年度审核验收。2027年11月30日前完成本项目全部工作内容，提交所有项目资料，完成项目整体验收。（注：原则上，当季作物无人机航摄采集实种情况需提前1个月完成，具体完成的时间节点按照最终省、市、区相关要求，作相应调整。）</w:t>
      </w:r>
    </w:p>
    <w:p w14:paraId="123B9A4E">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3核查实施步骤要求</w:t>
      </w:r>
    </w:p>
    <w:p w14:paraId="4B1F938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3.1规划核查方案并做好各项准备工作。根据路桥区各镇（街道）上报补贴对象的申报资料，规划核查方案及实施步骤并做好实施前的联络工作，获得所在地镇（街道）村的支持和配合；合理安排时间，确保规模主体全程参与核查工作。派遣技术人员全程协助采购人对补贴对象进行督查。</w:t>
      </w:r>
    </w:p>
    <w:p w14:paraId="42ADA8F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3.2在现场能快速处理所获取的影像、数据等并制作核查报告，同时要求规模主体确认种植耕地的方位、轮廓范围等信息，并在核查报告上签名（盖章），确保最终核查报告的真实性、有效性。核查报告要求：以图像和数据相结合的方式体现，图像为能清晰反映补贴对象种植作物和面积的当季正射影像图以及核实区域标定图，核查报告录入内容包括地理坐标、核实时间、联系人及联系方式、申报面积、实测面积以及种植情况等，核查报告能清晰直观展现规模主体申报资料的真实性、有效性。核查报告中应包含经办人签名（或盖章）并加盖业务印章。</w:t>
      </w:r>
    </w:p>
    <w:p w14:paraId="3B5D633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3.3根据规模主体确认的实测面积与申报面积进行比对审核，计算出偏差率，完成后将所有资料交于采购人。</w:t>
      </w:r>
    </w:p>
    <w:p w14:paraId="6D2EF161">
      <w:pPr>
        <w:keepNext w:val="0"/>
        <w:keepLines w:val="0"/>
        <w:pageBreakBefore w:val="0"/>
        <w:widowControl w:val="0"/>
        <w:kinsoku/>
        <w:wordWrap/>
        <w:overflowPunct/>
        <w:topLinePunct w:val="0"/>
        <w:autoSpaceDE/>
        <w:autoSpaceDN/>
        <w:bidi w:val="0"/>
        <w:adjustRightInd/>
        <w:snapToGrid/>
        <w:spacing w:line="360" w:lineRule="auto"/>
        <w:ind w:left="0" w:leftChars="0" w:firstLine="404" w:firstLineChars="200"/>
        <w:jc w:val="left"/>
        <w:textAlignment w:val="auto"/>
        <w:outlineLvl w:val="9"/>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注：偏差率=（|上报的面积数值-实测面积数值|）/实测面积数值</w:t>
      </w:r>
    </w:p>
    <w:p w14:paraId="4B96819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3.4 种植主体对核查数据有异议时，供应商应在5个工作日内进行现场复核并反馈最终结果，确保数据准确无误。采购人对供应商核实的对象存在疑问的，供应商将无条件的进行再次核实，直至采购人满意为止。接到采购人提出问题时，中标人应在2小时内给予响应。每季核查结束后，提交符合要求的核查成果及相关资料，第一时间向所在镇（街道）、采购人反馈。</w:t>
      </w:r>
    </w:p>
    <w:p w14:paraId="08782FF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3.5 保障数据及时录入粮补直达系统。</w:t>
      </w:r>
    </w:p>
    <w:p w14:paraId="0C584A48">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4成果要求</w:t>
      </w:r>
    </w:p>
    <w:p w14:paraId="5C61E96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4.1成果须符合《“粮补直达”地块数据采集生产规范》等文件规范要求和核查要求，并与省“粮补直达”系统做好对接，实现贯通。当季核查完成后，及时提供符合要求的成果（包括报告、图件、表册、数据库），以及作业过程中采集的全部图片、影像、数据等关键数据。</w:t>
      </w:r>
    </w:p>
    <w:p w14:paraId="684367D8">
      <w:pPr>
        <w:pStyle w:val="9"/>
        <w:keepNext w:val="0"/>
        <w:keepLines w:val="0"/>
        <w:pageBreakBefore w:val="0"/>
        <w:kinsoku/>
        <w:wordWrap/>
        <w:overflowPunct/>
        <w:topLinePunct w:val="0"/>
        <w:autoSpaceDE/>
        <w:autoSpaceDN/>
        <w:bidi w:val="0"/>
        <w:adjustRightInd/>
        <w:snapToGrid/>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eastAsia="zh-CN"/>
        </w:rPr>
        <w:t>2.</w:t>
      </w:r>
      <w:r>
        <w:rPr>
          <w:rFonts w:hint="eastAsia" w:ascii="宋体" w:hAnsi="宋体" w:eastAsia="宋体" w:cs="宋体"/>
          <w:b/>
          <w:bCs/>
          <w:color w:val="auto"/>
          <w:sz w:val="21"/>
          <w:szCs w:val="21"/>
          <w:highlight w:val="none"/>
          <w:u w:val="single"/>
        </w:rPr>
        <w:t>4.2供应商对成果报告的真实性、准确性负责，报告里有项目负责人签名和加盖投标人业务章。要求被核实的单个主体实测面积数据误差率不得超过1%，被核实的当季种粮总面积数据误差率不得超过1‰的。</w:t>
      </w:r>
    </w:p>
    <w:p w14:paraId="403618D3">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4.3数据安全要求。成交供应商不得遗失、泄漏、倒卖数据信息，如出现遗失、泄漏、倒卖数据信息情况，采购人有权罚没</w:t>
      </w:r>
      <w:ins w:id="5" w:author="崽崽" w:date="2025-01-22T16:50:16Z">
        <w:r>
          <w:rPr>
            <w:rFonts w:hint="eastAsia" w:ascii="宋体" w:hAnsi="宋体" w:eastAsia="宋体" w:cs="宋体"/>
            <w:color w:val="auto"/>
            <w:sz w:val="21"/>
            <w:szCs w:val="21"/>
            <w:highlight w:val="none"/>
            <w:lang w:eastAsia="zh-CN"/>
          </w:rPr>
          <w:t>履约保证金</w:t>
        </w:r>
      </w:ins>
      <w:r>
        <w:rPr>
          <w:rFonts w:hint="eastAsia" w:ascii="宋体" w:hAnsi="宋体" w:eastAsia="宋体" w:cs="宋体"/>
          <w:color w:val="auto"/>
          <w:sz w:val="21"/>
          <w:szCs w:val="21"/>
          <w:highlight w:val="none"/>
        </w:rPr>
        <w:t>，并追究法律责任。成交供应商应做到：</w:t>
      </w:r>
    </w:p>
    <w:p w14:paraId="6D1D9423">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①成交供应商必须加强对工作人员的保密教育，应尽量确保工作人员的稳定性，防止频繁、大量地更换维护人员，同时需将人员名单信息报与采购人备案。</w:t>
      </w:r>
    </w:p>
    <w:p w14:paraId="6054D7F7">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②建立严格的保密制度，加强管理，杜绝工作人员对档案信息的私自复制行为。</w:t>
      </w:r>
    </w:p>
    <w:p w14:paraId="50D7B0E4">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③数据保存所需的存储设备由成交供应商提供，费用包含在投标总价中，采购人不另行支付，投标人在报价需考虑该费用。</w:t>
      </w:r>
    </w:p>
    <w:p w14:paraId="66ABED44">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④数据保存期限内成交供应商负责数据的保存、运行、维护、更新等工作，费用包含在投标总价中。</w:t>
      </w:r>
    </w:p>
    <w:p w14:paraId="444BDD5D">
      <w:pPr>
        <w:pStyle w:val="23"/>
        <w:keepNext w:val="0"/>
        <w:keepLines w:val="0"/>
        <w:pageBreakBefore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⑤在进行数据移交时，原有数据必须在采购人工作人员的现场监督下销毁，不得私存。</w:t>
      </w:r>
    </w:p>
    <w:p w14:paraId="2E29E6B6">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5 其他</w:t>
      </w:r>
    </w:p>
    <w:p w14:paraId="0CAF4006">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对采购单位的相关人员提供技术培训、提供技术资料、问题排除等相关的技术服务。实地协助指导各镇（街道）和主体使用“粮补直达”系统。</w:t>
      </w:r>
    </w:p>
    <w:p w14:paraId="40B8336D">
      <w:pPr>
        <w:keepNext w:val="0"/>
        <w:keepLines w:val="0"/>
        <w:pageBreakBefore w:val="0"/>
        <w:kinsoku/>
        <w:wordWrap/>
        <w:overflowPunct/>
        <w:topLinePunct w:val="0"/>
        <w:autoSpaceDE/>
        <w:autoSpaceDN/>
        <w:bidi w:val="0"/>
        <w:adjustRightInd/>
        <w:snapToGrid/>
        <w:spacing w:line="360" w:lineRule="auto"/>
        <w:ind w:left="0" w:leftChars="0" w:firstLine="422" w:firstLineChars="20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三、考核评分办法</w:t>
      </w:r>
      <w:bookmarkStart w:id="1" w:name="_Hlk35438838"/>
    </w:p>
    <w:p w14:paraId="43875508">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1、具体考核办法及细则由采购人制定。</w:t>
      </w:r>
    </w:p>
    <w:p w14:paraId="014282F1">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可以不定期组织检查，根据“考核评分办法”对成交供应商服务质量进行综合评分，供应商须无条件接受检查组的检查，采购人有权根据评分结果对成交供应商进行处罚。每次根据采购人抽查的结果进行综合评分，并将反馈意见结果通知供应商。具体为质量督查时误差率超过3%的，每发生一次扣20000元。一次综合评分得分率低于90分的扣罚合同总价1%并给予供应商警告；全年累计二次得分低于90分的扣罚合同总价2%并给予供应商严重警告，同时对供应商进行劝退；全年累计三次得分低于90分的扣罚合同总价10%，并终止合同；得分为90分（含）以上，按正常费用支付，合同正常执行。</w:t>
      </w:r>
    </w:p>
    <w:p w14:paraId="79E3C54B">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期为3年，每年12月15日前采购方对中标方的服务进行考核，按照采购文件评分标准（技术部分）对照投标文件进行打分，“进度安排”至“后续服务方案”（共10项）每个子项10分，综合评分得分低于90分为考核不合格，采购方有权单方终止合同。首次验收不合格的，要求中标方限期整改。中标方不整改或整改后仍验收不合格的，合同款不予支付，并限期（7个工作日内）退还预付款，且采购人有权按照实际损失向成交供应商提出索赔。综合评分得分高于90分，采购人认为项目执行达到预期效果的，可继续执行下一年的服务合同。</w:t>
      </w:r>
    </w:p>
    <w:p w14:paraId="18A18A22">
      <w:pPr>
        <w:pStyle w:val="2"/>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考核评分细则（参考）</w:t>
      </w:r>
    </w:p>
    <w:bookmarkEnd w:id="1"/>
    <w:tbl>
      <w:tblPr>
        <w:tblStyle w:val="24"/>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4698"/>
        <w:gridCol w:w="1597"/>
        <w:gridCol w:w="821"/>
      </w:tblGrid>
      <w:tr w14:paraId="335D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2" w:type="dxa"/>
            <w:vAlign w:val="center"/>
          </w:tcPr>
          <w:p w14:paraId="1B3C9C12">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698" w:type="dxa"/>
            <w:vAlign w:val="center"/>
          </w:tcPr>
          <w:p w14:paraId="77B78A54">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1597" w:type="dxa"/>
            <w:vAlign w:val="center"/>
          </w:tcPr>
          <w:p w14:paraId="1B227324">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扣分标准</w:t>
            </w:r>
          </w:p>
        </w:tc>
        <w:tc>
          <w:tcPr>
            <w:tcW w:w="821" w:type="dxa"/>
            <w:vAlign w:val="center"/>
          </w:tcPr>
          <w:p w14:paraId="4E6FD757">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打分</w:t>
            </w:r>
          </w:p>
        </w:tc>
      </w:tr>
      <w:tr w14:paraId="305A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58D35711">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698" w:type="dxa"/>
            <w:vAlign w:val="center"/>
          </w:tcPr>
          <w:p w14:paraId="55FBAF74">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核实人员未对补贴对象实种面积据实核实或虚假应付了事的</w:t>
            </w:r>
          </w:p>
        </w:tc>
        <w:tc>
          <w:tcPr>
            <w:tcW w:w="1597" w:type="dxa"/>
            <w:vAlign w:val="center"/>
          </w:tcPr>
          <w:p w14:paraId="07288612">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5A0F7433">
            <w:pPr>
              <w:spacing w:line="240" w:lineRule="auto"/>
              <w:jc w:val="center"/>
              <w:rPr>
                <w:rFonts w:hint="eastAsia" w:ascii="宋体" w:hAnsi="宋体" w:eastAsia="宋体" w:cs="宋体"/>
                <w:color w:val="auto"/>
                <w:sz w:val="21"/>
                <w:szCs w:val="21"/>
                <w:highlight w:val="none"/>
              </w:rPr>
            </w:pPr>
          </w:p>
        </w:tc>
      </w:tr>
      <w:tr w14:paraId="6B5F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2" w:type="dxa"/>
            <w:vAlign w:val="center"/>
          </w:tcPr>
          <w:p w14:paraId="06B4C519">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698" w:type="dxa"/>
            <w:vAlign w:val="center"/>
          </w:tcPr>
          <w:p w14:paraId="771F330B">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核实的地块面积数据误差率超过1%的</w:t>
            </w:r>
          </w:p>
        </w:tc>
        <w:tc>
          <w:tcPr>
            <w:tcW w:w="1597" w:type="dxa"/>
            <w:vAlign w:val="center"/>
          </w:tcPr>
          <w:p w14:paraId="5471BAAF">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2F700849">
            <w:pPr>
              <w:spacing w:line="240" w:lineRule="auto"/>
              <w:jc w:val="center"/>
              <w:rPr>
                <w:rFonts w:hint="eastAsia" w:ascii="宋体" w:hAnsi="宋体" w:eastAsia="宋体" w:cs="宋体"/>
                <w:color w:val="auto"/>
                <w:sz w:val="21"/>
                <w:szCs w:val="21"/>
                <w:highlight w:val="none"/>
              </w:rPr>
            </w:pPr>
          </w:p>
        </w:tc>
      </w:tr>
      <w:tr w14:paraId="788D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2" w:type="dxa"/>
            <w:vAlign w:val="center"/>
          </w:tcPr>
          <w:p w14:paraId="430C46FD">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698" w:type="dxa"/>
            <w:vAlign w:val="center"/>
          </w:tcPr>
          <w:p w14:paraId="0B13B45C">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核实人员对发现的问题没有及时处理或没有及时上报情况的</w:t>
            </w:r>
          </w:p>
        </w:tc>
        <w:tc>
          <w:tcPr>
            <w:tcW w:w="1597" w:type="dxa"/>
            <w:vAlign w:val="center"/>
          </w:tcPr>
          <w:p w14:paraId="594AC0B9">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5E074846">
            <w:pPr>
              <w:spacing w:line="240" w:lineRule="auto"/>
              <w:jc w:val="center"/>
              <w:rPr>
                <w:rFonts w:hint="eastAsia" w:ascii="宋体" w:hAnsi="宋体" w:eastAsia="宋体" w:cs="宋体"/>
                <w:color w:val="auto"/>
                <w:sz w:val="21"/>
                <w:szCs w:val="21"/>
                <w:highlight w:val="none"/>
              </w:rPr>
            </w:pPr>
          </w:p>
        </w:tc>
      </w:tr>
      <w:tr w14:paraId="00D0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5D9F6DCC">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698" w:type="dxa"/>
            <w:vAlign w:val="center"/>
          </w:tcPr>
          <w:p w14:paraId="2D9C6965">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成交供应商</w:t>
            </w:r>
            <w:r>
              <w:rPr>
                <w:rFonts w:hint="eastAsia" w:ascii="宋体" w:hAnsi="宋体" w:eastAsia="宋体" w:cs="宋体"/>
                <w:color w:val="auto"/>
                <w:sz w:val="21"/>
                <w:szCs w:val="21"/>
                <w:highlight w:val="none"/>
              </w:rPr>
              <w:t>未在时间节点前完成相应任务的（采购人主动要求调整时间节点的除外）</w:t>
            </w:r>
          </w:p>
        </w:tc>
        <w:tc>
          <w:tcPr>
            <w:tcW w:w="1597" w:type="dxa"/>
            <w:vAlign w:val="center"/>
          </w:tcPr>
          <w:p w14:paraId="026BA36D">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一次扣5分</w:t>
            </w:r>
          </w:p>
        </w:tc>
        <w:tc>
          <w:tcPr>
            <w:tcW w:w="821" w:type="dxa"/>
            <w:vAlign w:val="center"/>
          </w:tcPr>
          <w:p w14:paraId="3243AF97">
            <w:pPr>
              <w:spacing w:line="240" w:lineRule="auto"/>
              <w:jc w:val="center"/>
              <w:rPr>
                <w:rFonts w:hint="eastAsia" w:ascii="宋体" w:hAnsi="宋体" w:eastAsia="宋体" w:cs="宋体"/>
                <w:color w:val="auto"/>
                <w:sz w:val="21"/>
                <w:szCs w:val="21"/>
                <w:highlight w:val="none"/>
              </w:rPr>
            </w:pPr>
          </w:p>
        </w:tc>
      </w:tr>
      <w:tr w14:paraId="31E3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1429C745">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698" w:type="dxa"/>
            <w:vAlign w:val="center"/>
          </w:tcPr>
          <w:p w14:paraId="54607500">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核实人员在核实工作中与农户发生争吵的</w:t>
            </w:r>
          </w:p>
        </w:tc>
        <w:tc>
          <w:tcPr>
            <w:tcW w:w="1597" w:type="dxa"/>
            <w:vAlign w:val="center"/>
          </w:tcPr>
          <w:p w14:paraId="6A492E4A">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20CB541A">
            <w:pPr>
              <w:spacing w:line="240" w:lineRule="auto"/>
              <w:jc w:val="center"/>
              <w:rPr>
                <w:rFonts w:hint="eastAsia" w:ascii="宋体" w:hAnsi="宋体" w:eastAsia="宋体" w:cs="宋体"/>
                <w:color w:val="auto"/>
                <w:sz w:val="21"/>
                <w:szCs w:val="21"/>
                <w:highlight w:val="none"/>
              </w:rPr>
            </w:pPr>
          </w:p>
        </w:tc>
      </w:tr>
      <w:tr w14:paraId="4F19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78" w:type="dxa"/>
            <w:gridSpan w:val="4"/>
            <w:vAlign w:val="center"/>
          </w:tcPr>
          <w:p w14:paraId="490419FE">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总分：100分</w:t>
            </w:r>
          </w:p>
        </w:tc>
      </w:tr>
      <w:tr w14:paraId="0ED2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078" w:type="dxa"/>
            <w:gridSpan w:val="4"/>
            <w:vAlign w:val="center"/>
          </w:tcPr>
          <w:p w14:paraId="446CB838">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备注：出现以下情形之一的，实行一票否决，绩效考核分为0：</w:t>
            </w:r>
          </w:p>
          <w:p w14:paraId="7FCB9225">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（1）在核查工作时有打人、骂人等粗暴行为的；</w:t>
            </w:r>
          </w:p>
          <w:p w14:paraId="482BB099">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（2）在核查工作时有损采购人形象，被省、市、区级新闻媒体曝光的；</w:t>
            </w:r>
          </w:p>
          <w:p w14:paraId="07FB21CA">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（3）核查数据明显不实，内容存在重大缺陷、遗漏的；</w:t>
            </w:r>
          </w:p>
          <w:p w14:paraId="7C58784B">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（4）无法提交合格数据库上传系统平台的；</w:t>
            </w:r>
          </w:p>
          <w:p w14:paraId="0D406185">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（5）未经采购方同意，变更投标项目组成员分工，项目组成员签字存在遗漏的；</w:t>
            </w:r>
          </w:p>
          <w:p w14:paraId="1157D915">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（6）全年核实的种粮面积数据误差率超过1‰的；</w:t>
            </w:r>
          </w:p>
          <w:p w14:paraId="3F4F83ED">
            <w:pPr>
              <w:spacing w:line="24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（7）违反安全管理、规范作业规定，造成重大伤亡或重大损失； </w:t>
            </w:r>
          </w:p>
          <w:p w14:paraId="1FF411E0">
            <w:pPr>
              <w:spacing w:line="24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（8）违反劳动法或其他相关法律法规，造成恶劣影响；</w:t>
            </w:r>
          </w:p>
          <w:p w14:paraId="0D33F366">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（9）合同履约期间，中标方法人组织破产，或重组变更法人主体的。</w:t>
            </w:r>
          </w:p>
        </w:tc>
      </w:tr>
    </w:tbl>
    <w:p w14:paraId="3E0267E8">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rPr>
      </w:pPr>
    </w:p>
    <w:p w14:paraId="7719F4E5">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四、其他特别要求及说明</w:t>
      </w:r>
    </w:p>
    <w:p w14:paraId="662E2D44">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1、履约保证金：</w:t>
      </w:r>
    </w:p>
    <w:p w14:paraId="5766772E">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（1）中标方应在收到中标通知书后一周内向采购方提交银行、保险公司等金融机构出具的履约保函，保函</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为合同金额的1%，中标方应确保履约保函在服务期届满前均有效。</w:t>
      </w:r>
    </w:p>
    <w:p w14:paraId="7706E01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若</w:t>
      </w:r>
      <w:r>
        <w:rPr>
          <w:rFonts w:hint="eastAsia" w:ascii="宋体" w:hAnsi="宋体" w:eastAsia="宋体" w:cs="宋体"/>
          <w:color w:val="auto"/>
          <w:sz w:val="21"/>
          <w:szCs w:val="21"/>
          <w:highlight w:val="none"/>
        </w:rPr>
        <w:t>中标方在服务期内</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涉及违约行为，采购人有权在其提交的履约</w:t>
      </w:r>
      <w:r>
        <w:rPr>
          <w:rFonts w:hint="eastAsia" w:ascii="宋体" w:hAnsi="宋体" w:eastAsia="宋体" w:cs="宋体"/>
          <w:color w:val="auto"/>
          <w:sz w:val="21"/>
          <w:szCs w:val="21"/>
          <w:highlight w:val="none"/>
          <w:lang w:val="en-US" w:eastAsia="zh-CN"/>
        </w:rPr>
        <w:t>保函</w:t>
      </w:r>
      <w:r>
        <w:rPr>
          <w:rFonts w:hint="eastAsia" w:ascii="宋体" w:hAnsi="宋体" w:eastAsia="宋体" w:cs="宋体"/>
          <w:color w:val="auto"/>
          <w:sz w:val="21"/>
          <w:szCs w:val="21"/>
          <w:highlight w:val="none"/>
        </w:rPr>
        <w:t>中获得相应赔偿，不足部分采购人有权继续向中标人追偿。</w:t>
      </w:r>
    </w:p>
    <w:p w14:paraId="482C97CF">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（3）履约保证金发生扣除的，中标方应及时以保函方式补足。</w:t>
      </w:r>
    </w:p>
    <w:p w14:paraId="634479C0">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2、合同期内中标单位所属人员、车辆、设备如发生各种意外事故全部责任由中标单位承担，依照法律法规妥善处理。投标人须为操作人员投保人身意外险及无人机意外险。</w:t>
      </w:r>
    </w:p>
    <w:p w14:paraId="64C97205">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3、投标前，各投标单位应自行勘察现场，以获取制定各种方案所需的现场勘查资料。</w:t>
      </w:r>
    </w:p>
    <w:p w14:paraId="6810DBF0">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4、本项目不得分包、转包，未经采购人允许也不得更换项目组人员，每发生一次向采购人支付合同款项的万分之五作为违约金，违约金上限为合同价款的10%。</w:t>
      </w:r>
    </w:p>
    <w:p w14:paraId="45FDD6FA">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5、合同执行期间，中标单位如对采购人发出的整改要求拒不执行的，采购人有权终止合同并扣罚合同总价的10%。</w:t>
      </w:r>
    </w:p>
    <w:p w14:paraId="4122F046">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6、本项目核实工作全过程中所需人员、设备、耗材由成交供应商自行提供，且核实人员在操作核实设备时需符合国家相关的法律法规。</w:t>
      </w:r>
    </w:p>
    <w:p w14:paraId="2532B5B1">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color w:val="auto"/>
          <w:sz w:val="21"/>
          <w:szCs w:val="21"/>
          <w:highlight w:val="none"/>
          <w:u w:val="single"/>
        </w:rPr>
        <w:t>▲7、若投标人投标文件中明确采用无人机航飞来实施本项目，投标文件中必须出具承诺书（取得空域使用批复的承诺书</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lang w:val="en-US" w:eastAsia="zh-CN"/>
        </w:rPr>
        <w:t>格式详见附件</w:t>
      </w:r>
      <w:r>
        <w:rPr>
          <w:rFonts w:hint="eastAsia" w:ascii="宋体" w:hAnsi="宋体" w:eastAsia="宋体" w:cs="宋体"/>
          <w:b/>
          <w:color w:val="auto"/>
          <w:sz w:val="21"/>
          <w:szCs w:val="21"/>
          <w:highlight w:val="none"/>
          <w:u w:val="single"/>
        </w:rPr>
        <w:t>），承诺在获得中标通知书后即刻办理空域使用批复，按照《无人驾驶航空器飞行管理暂行条例》要求取得飞行空域相关管理部门对本项目相关任务空域</w:t>
      </w:r>
      <w:r>
        <w:rPr>
          <w:rFonts w:hint="eastAsia" w:ascii="宋体" w:hAnsi="宋体" w:eastAsia="宋体" w:cs="宋体"/>
          <w:b/>
          <w:bCs/>
          <w:color w:val="auto"/>
          <w:sz w:val="21"/>
          <w:szCs w:val="21"/>
          <w:highlight w:val="none"/>
          <w:u w:val="single"/>
        </w:rPr>
        <w:t>（包含机场净空区）</w:t>
      </w:r>
      <w:r>
        <w:rPr>
          <w:rFonts w:hint="eastAsia" w:ascii="宋体" w:hAnsi="宋体" w:eastAsia="宋体" w:cs="宋体"/>
          <w:b/>
          <w:color w:val="auto"/>
          <w:sz w:val="21"/>
          <w:szCs w:val="21"/>
          <w:highlight w:val="none"/>
          <w:u w:val="single"/>
        </w:rPr>
        <w:t>的空域使用批复</w:t>
      </w:r>
      <w:r>
        <w:rPr>
          <w:rFonts w:hint="eastAsia" w:ascii="宋体" w:hAnsi="宋体" w:eastAsia="宋体" w:cs="宋体"/>
          <w:b/>
          <w:bCs/>
          <w:color w:val="auto"/>
          <w:sz w:val="21"/>
          <w:szCs w:val="21"/>
          <w:highlight w:val="none"/>
          <w:u w:val="single"/>
        </w:rPr>
        <w:t>，与相关管理部门签订飞行保障协议，合法合规开展飞行活</w:t>
      </w:r>
      <w:r>
        <w:rPr>
          <w:rFonts w:hint="eastAsia" w:ascii="宋体" w:hAnsi="宋体" w:eastAsia="宋体" w:cs="宋体"/>
          <w:b/>
          <w:color w:val="auto"/>
          <w:sz w:val="21"/>
          <w:szCs w:val="21"/>
          <w:highlight w:val="none"/>
          <w:u w:val="single"/>
        </w:rPr>
        <w:t>动。中标通知书发出后25个日历日内未成功办理或经采购人确认</w:t>
      </w:r>
      <w:r>
        <w:rPr>
          <w:rFonts w:hint="eastAsia" w:ascii="宋体" w:hAnsi="宋体" w:eastAsia="宋体" w:cs="宋体"/>
          <w:b/>
          <w:color w:val="auto"/>
          <w:sz w:val="21"/>
          <w:szCs w:val="21"/>
          <w:highlight w:val="none"/>
          <w:u w:val="single"/>
          <w:lang w:eastAsia="zh-CN"/>
        </w:rPr>
        <w:t>中标单位</w:t>
      </w:r>
      <w:r>
        <w:rPr>
          <w:rFonts w:hint="eastAsia" w:ascii="宋体" w:hAnsi="宋体" w:eastAsia="宋体" w:cs="宋体"/>
          <w:b/>
          <w:color w:val="auto"/>
          <w:sz w:val="21"/>
          <w:szCs w:val="21"/>
          <w:highlight w:val="none"/>
          <w:u w:val="single"/>
        </w:rPr>
        <w:t>无能力履行承诺的，视为</w:t>
      </w:r>
      <w:r>
        <w:rPr>
          <w:rFonts w:hint="eastAsia" w:ascii="宋体" w:hAnsi="宋体" w:eastAsia="宋体" w:cs="宋体"/>
          <w:b/>
          <w:color w:val="auto"/>
          <w:sz w:val="21"/>
          <w:szCs w:val="21"/>
          <w:highlight w:val="none"/>
          <w:u w:val="single"/>
          <w:lang w:eastAsia="zh-CN"/>
        </w:rPr>
        <w:t>中标单位</w:t>
      </w:r>
      <w:r>
        <w:rPr>
          <w:rFonts w:hint="eastAsia" w:ascii="宋体" w:hAnsi="宋体" w:eastAsia="宋体" w:cs="宋体"/>
          <w:b/>
          <w:color w:val="auto"/>
          <w:sz w:val="21"/>
          <w:szCs w:val="21"/>
          <w:highlight w:val="none"/>
          <w:u w:val="single"/>
        </w:rPr>
        <w:t>违约，按虚假应标报采购监管部门处理。采购人可根据项目执行进度，选择拒绝签订合同或解除已签订的合同（若供应商在开标前已取得适用于本项目相关任务空域的空域使用批复，则提供空域使用批复即可，可以无此承诺书）。采用</w:t>
      </w:r>
      <w:r>
        <w:rPr>
          <w:rFonts w:hint="eastAsia" w:ascii="宋体" w:hAnsi="宋体" w:eastAsia="宋体" w:cs="宋体"/>
          <w:b/>
          <w:bCs/>
          <w:color w:val="auto"/>
          <w:sz w:val="21"/>
          <w:szCs w:val="21"/>
          <w:highlight w:val="none"/>
          <w:u w:val="single"/>
        </w:rPr>
        <w:t>其他技术实施的，应符合该技术行业要求，具备相应的资信条件。</w:t>
      </w:r>
    </w:p>
    <w:p w14:paraId="085D9A9C">
      <w:pPr>
        <w:pStyle w:val="23"/>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▲8、</w:t>
      </w:r>
      <w:r>
        <w:rPr>
          <w:rFonts w:hint="eastAsia" w:ascii="宋体" w:hAnsi="宋体" w:eastAsia="宋体" w:cs="宋体"/>
          <w:b/>
          <w:color w:val="auto"/>
          <w:kern w:val="0"/>
          <w:sz w:val="21"/>
          <w:szCs w:val="21"/>
          <w:highlight w:val="none"/>
          <w:u w:val="single"/>
        </w:rPr>
        <w:t>若投标文件明确使用无人机航飞采集影像进行核查的，实际开展服务时，中途无法获取相关任务空域（包含机场净空区）无人机航飞影像的，经采购人同意，按照</w:t>
      </w:r>
      <w:r>
        <w:rPr>
          <w:rFonts w:hint="eastAsia" w:ascii="宋体" w:hAnsi="宋体" w:eastAsia="宋体" w:cs="宋体"/>
          <w:b/>
          <w:color w:val="auto"/>
          <w:spacing w:val="0"/>
          <w:kern w:val="0"/>
          <w:sz w:val="21"/>
          <w:szCs w:val="21"/>
          <w:highlight w:val="none"/>
          <w:u w:val="single"/>
        </w:rPr>
        <w:t>实际核查面积计算，核查费用按</w:t>
      </w:r>
      <w:r>
        <w:rPr>
          <w:rFonts w:hint="eastAsia" w:ascii="宋体" w:hAnsi="宋体" w:eastAsia="宋体" w:cs="宋体"/>
          <w:b/>
          <w:color w:val="auto"/>
          <w:kern w:val="0"/>
          <w:sz w:val="21"/>
          <w:szCs w:val="21"/>
          <w:highlight w:val="none"/>
          <w:u w:val="single"/>
        </w:rPr>
        <w:t>2元/亩</w:t>
      </w:r>
      <w:r>
        <w:rPr>
          <w:rFonts w:hint="eastAsia" w:ascii="宋体" w:hAnsi="宋体" w:eastAsia="宋体" w:cs="宋体"/>
          <w:b/>
          <w:color w:val="auto"/>
          <w:spacing w:val="0"/>
          <w:kern w:val="0"/>
          <w:sz w:val="21"/>
          <w:szCs w:val="21"/>
          <w:highlight w:val="none"/>
          <w:u w:val="single"/>
        </w:rPr>
        <w:t>标准进行结算，按采购人要求完成当季核查工作过后</w:t>
      </w:r>
      <w:r>
        <w:rPr>
          <w:rFonts w:hint="eastAsia" w:ascii="宋体" w:hAnsi="宋体" w:eastAsia="宋体" w:cs="宋体"/>
          <w:b/>
          <w:color w:val="auto"/>
          <w:kern w:val="0"/>
          <w:sz w:val="21"/>
          <w:szCs w:val="21"/>
          <w:highlight w:val="none"/>
          <w:u w:val="single"/>
        </w:rPr>
        <w:t>，解除合同，且采购人有权按照实际损失向</w:t>
      </w:r>
      <w:r>
        <w:rPr>
          <w:rFonts w:hint="eastAsia" w:ascii="宋体" w:hAnsi="宋体" w:eastAsia="宋体" w:cs="宋体"/>
          <w:b/>
          <w:color w:val="auto"/>
          <w:kern w:val="0"/>
          <w:sz w:val="21"/>
          <w:szCs w:val="21"/>
          <w:highlight w:val="none"/>
          <w:u w:val="single"/>
          <w:lang w:val="en-US" w:eastAsia="zh-CN"/>
        </w:rPr>
        <w:t>中标单位</w:t>
      </w:r>
      <w:r>
        <w:rPr>
          <w:rFonts w:hint="eastAsia" w:ascii="宋体" w:hAnsi="宋体" w:eastAsia="宋体" w:cs="宋体"/>
          <w:b/>
          <w:color w:val="auto"/>
          <w:kern w:val="0"/>
          <w:sz w:val="21"/>
          <w:szCs w:val="21"/>
          <w:highlight w:val="none"/>
          <w:u w:val="single"/>
        </w:rPr>
        <w:t>提出索赔。</w:t>
      </w:r>
    </w:p>
    <w:p w14:paraId="20EE3BBA">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▲9、到实地开展人地物矢量数据匹配核查的人员保证3名及以上。</w:t>
      </w:r>
    </w:p>
    <w:p w14:paraId="33148107">
      <w:pPr>
        <w:pStyle w:val="68"/>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▲10、投标人需保证投标的人员配备和设施设备用于本项目。</w:t>
      </w:r>
    </w:p>
    <w:p w14:paraId="3FC073A0">
      <w:pPr>
        <w:pStyle w:val="68"/>
        <w:keepNext w:val="0"/>
        <w:keepLines w:val="0"/>
        <w:pageBreakBefore w:val="0"/>
        <w:widowControl w:val="0"/>
        <w:kinsoku/>
        <w:wordWrap/>
        <w:overflowPunct/>
        <w:topLinePunct w:val="0"/>
        <w:autoSpaceDE/>
        <w:autoSpaceDN/>
        <w:bidi w:val="0"/>
        <w:spacing w:after="0" w:line="360" w:lineRule="auto"/>
        <w:ind w:left="0" w:leftChars="0" w:firstLine="0" w:firstLineChars="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带▲是实质性条款，投标人不得负偏离或内容缺失，否则为无效标。</w:t>
      </w:r>
    </w:p>
    <w:p w14:paraId="6F10BEA5">
      <w:pPr>
        <w:pStyle w:val="68"/>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p>
    <w:p w14:paraId="6BF44A22">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五、商务条款</w:t>
      </w:r>
    </w:p>
    <w:p w14:paraId="7CA1EF7E">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1、项目工期</w:t>
      </w:r>
      <w:r>
        <w:rPr>
          <w:rFonts w:hint="eastAsia" w:ascii="宋体" w:hAnsi="宋体" w:eastAsia="宋体" w:cs="宋体"/>
          <w:b/>
          <w:bCs/>
          <w:color w:val="auto"/>
          <w:sz w:val="21"/>
          <w:szCs w:val="21"/>
          <w:highlight w:val="none"/>
          <w:lang w:eastAsia="zh-CN"/>
        </w:rPr>
        <w:t>：</w:t>
      </w:r>
    </w:p>
    <w:p w14:paraId="0E923F1A">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本项目服务期限为</w:t>
      </w:r>
      <w:r>
        <w:rPr>
          <w:rFonts w:hint="eastAsia" w:ascii="宋体" w:hAnsi="宋体" w:eastAsia="宋体" w:cs="宋体"/>
          <w:color w:val="auto"/>
          <w:sz w:val="21"/>
          <w:szCs w:val="21"/>
          <w:highlight w:val="none"/>
          <w:lang w:val="en-US" w:eastAsia="zh-CN"/>
        </w:rPr>
        <w:t>三年，第二年或第三年财政预算金额未达到原合同金额或者第二年或第三年财政预算未通过的，第二年或第三年合同的约定自动失效。</w:t>
      </w:r>
      <w:r>
        <w:rPr>
          <w:rFonts w:hint="eastAsia" w:ascii="宋体" w:hAnsi="宋体" w:eastAsia="宋体" w:cs="宋体"/>
          <w:color w:val="auto"/>
          <w:kern w:val="0"/>
          <w:sz w:val="21"/>
          <w:szCs w:val="21"/>
          <w:highlight w:val="none"/>
          <w:lang w:val="en-US" w:eastAsia="zh-CN"/>
        </w:rPr>
        <w:t>采购方</w:t>
      </w:r>
      <w:r>
        <w:rPr>
          <w:rFonts w:hint="eastAsia" w:ascii="宋体" w:hAnsi="宋体" w:eastAsia="宋体" w:cs="宋体"/>
          <w:color w:val="auto"/>
          <w:sz w:val="21"/>
          <w:szCs w:val="21"/>
          <w:highlight w:val="none"/>
        </w:rPr>
        <w:t>分年度按比例结算服务费。在完成当年度全部核查工作并提交所有项目资料，申请分年度验收。</w:t>
      </w:r>
    </w:p>
    <w:p w14:paraId="6D46FB67">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2、付款方式</w:t>
      </w:r>
      <w:r>
        <w:rPr>
          <w:rFonts w:hint="eastAsia" w:ascii="宋体" w:hAnsi="宋体" w:eastAsia="宋体" w:cs="宋体"/>
          <w:b/>
          <w:bCs/>
          <w:color w:val="auto"/>
          <w:sz w:val="21"/>
          <w:szCs w:val="21"/>
          <w:highlight w:val="none"/>
          <w:lang w:eastAsia="zh-CN"/>
        </w:rPr>
        <w:t>：</w:t>
      </w:r>
    </w:p>
    <w:p w14:paraId="1E64B6E9">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1</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签订合同后，在合同生效以及具备实施条件后7个工作日内，支付</w:t>
      </w:r>
      <w:r>
        <w:rPr>
          <w:rFonts w:hint="eastAsia" w:ascii="宋体" w:hAnsi="宋体" w:eastAsia="宋体" w:cs="宋体"/>
          <w:color w:val="auto"/>
          <w:sz w:val="21"/>
          <w:szCs w:val="21"/>
          <w:highlight w:val="none"/>
          <w:lang w:val="en-US" w:eastAsia="zh-CN" w:bidi="ar"/>
        </w:rPr>
        <w:t>合同第一年计划金额</w:t>
      </w:r>
      <w:r>
        <w:rPr>
          <w:rFonts w:hint="eastAsia" w:ascii="宋体" w:hAnsi="宋体" w:eastAsia="宋体" w:cs="宋体"/>
          <w:color w:val="auto"/>
          <w:sz w:val="21"/>
          <w:szCs w:val="21"/>
          <w:highlight w:val="none"/>
          <w:lang w:bidi="ar"/>
        </w:rPr>
        <w:t>的40%作为预付款</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第一年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第一年</w:t>
      </w:r>
      <w:r>
        <w:rPr>
          <w:rFonts w:hint="eastAsia" w:ascii="宋体" w:hAnsi="宋体" w:eastAsia="宋体" w:cs="宋体"/>
          <w:color w:val="auto"/>
          <w:sz w:val="21"/>
          <w:szCs w:val="21"/>
          <w:highlight w:val="none"/>
        </w:rPr>
        <w:t>剩余服务费。</w:t>
      </w:r>
    </w:p>
    <w:p w14:paraId="74640AF8">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（2）服务满12个月后支付合同第二年计划金额的40%作为预付款，第二</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第二年</w:t>
      </w:r>
      <w:r>
        <w:rPr>
          <w:rFonts w:hint="eastAsia" w:ascii="宋体" w:hAnsi="宋体" w:eastAsia="宋体" w:cs="宋体"/>
          <w:color w:val="auto"/>
          <w:sz w:val="21"/>
          <w:szCs w:val="21"/>
          <w:highlight w:val="none"/>
        </w:rPr>
        <w:t>剩余服务费</w:t>
      </w:r>
      <w:r>
        <w:rPr>
          <w:rFonts w:hint="eastAsia" w:ascii="宋体" w:hAnsi="宋体" w:eastAsia="宋体" w:cs="宋体"/>
          <w:color w:val="auto"/>
          <w:sz w:val="21"/>
          <w:szCs w:val="21"/>
          <w:highlight w:val="none"/>
          <w:lang w:val="en-US" w:eastAsia="zh-CN" w:bidi="ar"/>
        </w:rPr>
        <w:t>。</w:t>
      </w:r>
    </w:p>
    <w:p w14:paraId="1B5FCEE0">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（3）服务满24个月后支付合同第三年计划金额的40%作为预付款，</w:t>
      </w:r>
      <w:r>
        <w:rPr>
          <w:rFonts w:hint="eastAsia" w:ascii="宋体" w:hAnsi="宋体" w:eastAsia="宋体" w:cs="宋体"/>
          <w:color w:val="auto"/>
          <w:sz w:val="21"/>
          <w:szCs w:val="21"/>
          <w:highlight w:val="none"/>
          <w:lang w:val="en-US" w:eastAsia="zh-CN"/>
        </w:rPr>
        <w:t>第三年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第三年</w:t>
      </w:r>
      <w:r>
        <w:rPr>
          <w:rFonts w:hint="eastAsia" w:ascii="宋体" w:hAnsi="宋体" w:eastAsia="宋体" w:cs="宋体"/>
          <w:color w:val="auto"/>
          <w:sz w:val="21"/>
          <w:szCs w:val="21"/>
          <w:highlight w:val="none"/>
        </w:rPr>
        <w:t>剩余服务费</w:t>
      </w:r>
      <w:r>
        <w:rPr>
          <w:rFonts w:hint="eastAsia" w:ascii="宋体" w:hAnsi="宋体" w:eastAsia="宋体" w:cs="宋体"/>
          <w:color w:val="auto"/>
          <w:sz w:val="21"/>
          <w:szCs w:val="21"/>
          <w:highlight w:val="none"/>
          <w:lang w:val="en-US" w:eastAsia="zh-CN" w:bidi="ar"/>
        </w:rPr>
        <w:t>。</w:t>
      </w:r>
    </w:p>
    <w:p w14:paraId="0A8D549C">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注：费用支付时间实际以</w:t>
      </w:r>
      <w:r>
        <w:rPr>
          <w:rFonts w:hint="eastAsia" w:ascii="宋体" w:hAnsi="宋体" w:eastAsia="宋体" w:cs="宋体"/>
          <w:color w:val="auto"/>
          <w:sz w:val="21"/>
          <w:szCs w:val="21"/>
          <w:highlight w:val="none"/>
          <w:lang w:eastAsia="zh-CN" w:bidi="ar"/>
        </w:rPr>
        <w:t>采购方</w:t>
      </w:r>
      <w:r>
        <w:rPr>
          <w:rFonts w:hint="eastAsia" w:ascii="宋体" w:hAnsi="宋体" w:eastAsia="宋体" w:cs="宋体"/>
          <w:color w:val="auto"/>
          <w:sz w:val="21"/>
          <w:szCs w:val="21"/>
          <w:highlight w:val="none"/>
          <w:lang w:bidi="ar"/>
        </w:rPr>
        <w:t>财政资金到账为准。</w:t>
      </w:r>
    </w:p>
    <w:p w14:paraId="4AE09297">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3、售后服务</w:t>
      </w:r>
      <w:r>
        <w:rPr>
          <w:rFonts w:hint="eastAsia" w:ascii="宋体" w:hAnsi="宋体" w:eastAsia="宋体" w:cs="宋体"/>
          <w:b/>
          <w:bCs/>
          <w:color w:val="auto"/>
          <w:sz w:val="21"/>
          <w:szCs w:val="21"/>
          <w:highlight w:val="none"/>
          <w:lang w:eastAsia="zh-CN"/>
        </w:rPr>
        <w:t>：</w:t>
      </w:r>
    </w:p>
    <w:p w14:paraId="5D29161C">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合同完成后，作业过程中采集的全部图片、影像、数据等信息须免费储存5年以便</w:t>
      </w:r>
      <w:r>
        <w:rPr>
          <w:rFonts w:hint="eastAsia" w:ascii="宋体" w:hAnsi="宋体" w:eastAsia="宋体" w:cs="宋体"/>
          <w:color w:val="auto"/>
          <w:sz w:val="21"/>
          <w:szCs w:val="21"/>
          <w:highlight w:val="none"/>
          <w:lang w:val="en-US" w:eastAsia="zh-CN"/>
        </w:rPr>
        <w:t>采购方</w:t>
      </w:r>
      <w:r>
        <w:rPr>
          <w:rFonts w:hint="eastAsia" w:ascii="宋体" w:hAnsi="宋体" w:eastAsia="宋体" w:cs="宋体"/>
          <w:color w:val="auto"/>
          <w:sz w:val="21"/>
          <w:szCs w:val="21"/>
          <w:highlight w:val="none"/>
        </w:rPr>
        <w:t>取证调用。</w:t>
      </w:r>
    </w:p>
    <w:p w14:paraId="2AEBF25E">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p>
    <w:p w14:paraId="77E98CCD">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六</w:t>
      </w:r>
      <w:r>
        <w:rPr>
          <w:rFonts w:hint="eastAsia" w:ascii="宋体" w:hAnsi="宋体" w:eastAsia="宋体" w:cs="宋体"/>
          <w:b/>
          <w:color w:val="auto"/>
          <w:szCs w:val="21"/>
          <w:highlight w:val="none"/>
        </w:rPr>
        <w:t>、本项目中标（成交）供应商应在浙江政府采购网（http://zfcg.czt.zj.gov.cn/）上注册成为“政府采购供应商”，如不按要求注册的，采购方有权延期发布中标（成交）通知书和中标（成交）公告，后果由供应商自行承担。</w:t>
      </w:r>
    </w:p>
    <w:p w14:paraId="556C1155">
      <w:pPr>
        <w:autoSpaceDN w:val="0"/>
        <w:spacing w:line="360" w:lineRule="auto"/>
        <w:rPr>
          <w:rFonts w:hint="eastAsia" w:ascii="宋体" w:hAnsi="宋体" w:eastAsia="宋体" w:cs="宋体"/>
          <w:b/>
          <w:color w:val="auto"/>
          <w:szCs w:val="21"/>
          <w:highlight w:val="none"/>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14:paraId="64BA7976">
      <w:pPr>
        <w:jc w:val="both"/>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附件：</w:t>
      </w:r>
    </w:p>
    <w:p w14:paraId="49671D89">
      <w:pPr>
        <w:jc w:val="center"/>
        <w:rPr>
          <w:rFonts w:hint="eastAsia" w:ascii="宋体" w:hAnsi="宋体" w:eastAsia="宋体" w:cs="宋体"/>
          <w:color w:val="auto"/>
          <w:highlight w:val="none"/>
        </w:rPr>
      </w:pPr>
      <w:r>
        <w:rPr>
          <w:rFonts w:hint="eastAsia" w:ascii="宋体" w:hAnsi="宋体" w:eastAsia="宋体" w:cs="宋体"/>
          <w:b/>
          <w:bCs/>
          <w:color w:val="auto"/>
          <w:sz w:val="44"/>
          <w:szCs w:val="44"/>
          <w:highlight w:val="none"/>
        </w:rPr>
        <w:t>承诺函</w:t>
      </w:r>
    </w:p>
    <w:p w14:paraId="0A70882D">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台州市路桥区农业农村和水利局：</w:t>
      </w:r>
    </w:p>
    <w:p w14:paraId="0CE37D17">
      <w:pPr>
        <w:spacing w:line="360" w:lineRule="auto"/>
        <w:ind w:firstLine="560" w:firstLineChars="200"/>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承诺人单位名称）承诺：在获得路桥区2025-2027年粮油种植面积核查服务项目中标通知书后，按照《无人驾驶航空器飞行管理暂行条例》要求取得飞行空域相关管理部门对本项目相关任务空域（包括路桥区机场净空区范围）的空域使用批复，与相关管理部门签订飞行保障协议，合法合规开展飞行活动，按时实施并完成本项目。</w:t>
      </w:r>
    </w:p>
    <w:p w14:paraId="75DA0E97">
      <w:pPr>
        <w:spacing w:line="360" w:lineRule="auto"/>
        <w:ind w:firstLine="560" w:firstLineChars="200"/>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在中标通知书发出后7个日历日内向采购方交纳合同金额的1%作为履约保证金，履约保证金以银行、保险公司等金融机构出具的履约保函形式提交，并应确保履约保函在服务期届满前均有效。履约保证金发生扣除的，我公司将及时以保函方式补足。在中标通知书发出后20个日历日内，我公司未成功获得空域使用批复且签订飞行保障协议的，或服务期内经采购人确认无能力履行承诺的，视为我公司违约，同意按虚假应标报采购监管部门处理。采购人可根据项目执行进度，选择拒绝签订合同或解除已签订的合同。</w:t>
      </w:r>
    </w:p>
    <w:p w14:paraId="75303651">
      <w:pPr>
        <w:pStyle w:val="68"/>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我公司深知此承诺的重要性，并愿意承担因违反承诺而可能产生的一切法律责任和后果。本承诺函自签署之日起生效。</w:t>
      </w:r>
    </w:p>
    <w:p w14:paraId="78D0981F">
      <w:pPr>
        <w:rPr>
          <w:rFonts w:hint="eastAsia" w:ascii="宋体" w:hAnsi="宋体" w:eastAsia="宋体" w:cs="宋体"/>
          <w:color w:val="auto"/>
          <w:kern w:val="0"/>
          <w:sz w:val="28"/>
          <w:szCs w:val="28"/>
          <w:highlight w:val="none"/>
        </w:rPr>
      </w:pPr>
    </w:p>
    <w:p w14:paraId="6C2CE777">
      <w:pPr>
        <w:ind w:right="11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承诺人（盖章）：</w:t>
      </w:r>
    </w:p>
    <w:p w14:paraId="6CF369AB">
      <w:pPr>
        <w:pStyle w:val="68"/>
        <w:ind w:firstLine="5320" w:firstLineChars="19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w:t>
      </w:r>
    </w:p>
    <w:p w14:paraId="0CA84EA2">
      <w:pPr>
        <w:autoSpaceDN w:val="0"/>
        <w:spacing w:line="360" w:lineRule="auto"/>
        <w:rPr>
          <w:rFonts w:hint="eastAsia" w:ascii="宋体" w:hAnsi="宋体" w:eastAsia="宋体" w:cs="宋体"/>
          <w:b/>
          <w:color w:val="auto"/>
          <w:szCs w:val="21"/>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2B6431CE">
      <w:pPr>
        <w:spacing w:line="360" w:lineRule="auto"/>
        <w:jc w:val="center"/>
        <w:outlineLvl w:val="0"/>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第五章 政府采购合同主要条款</w:t>
      </w:r>
    </w:p>
    <w:p w14:paraId="209C398E">
      <w:pPr>
        <w:pStyle w:val="53"/>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SA"/>
        </w:rPr>
        <w:t>（此稿为合同样本，最终定稿待双方协商后定</w:t>
      </w:r>
      <w:r>
        <w:rPr>
          <w:rFonts w:hint="eastAsia" w:ascii="宋体" w:hAnsi="宋体" w:eastAsia="宋体" w:cs="宋体"/>
          <w:color w:val="auto"/>
          <w:kern w:val="2"/>
          <w:sz w:val="21"/>
          <w:szCs w:val="21"/>
          <w:highlight w:val="none"/>
        </w:rPr>
        <w:t>，但不得背离实质性内容</w:t>
      </w:r>
      <w:r>
        <w:rPr>
          <w:rFonts w:hint="eastAsia" w:ascii="宋体" w:hAnsi="宋体" w:eastAsia="宋体" w:cs="宋体"/>
          <w:color w:val="auto"/>
          <w:kern w:val="2"/>
          <w:sz w:val="21"/>
          <w:szCs w:val="21"/>
          <w:highlight w:val="none"/>
          <w:lang w:val="en-US" w:eastAsia="zh-CN" w:bidi="ar-SA"/>
        </w:rPr>
        <w:t>）</w:t>
      </w:r>
    </w:p>
    <w:p w14:paraId="4B94D7E6">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合同将由</w:t>
      </w:r>
      <w:r>
        <w:rPr>
          <w:rFonts w:hint="eastAsia" w:ascii="宋体" w:hAnsi="宋体" w:eastAsia="宋体" w:cs="宋体"/>
          <w:color w:val="auto"/>
          <w:sz w:val="21"/>
          <w:szCs w:val="21"/>
          <w:highlight w:val="none"/>
          <w:lang w:eastAsia="zh-CN"/>
        </w:rPr>
        <w:t>台州市路桥区农业农村和水利局</w:t>
      </w:r>
      <w:r>
        <w:rPr>
          <w:rFonts w:hint="eastAsia" w:ascii="宋体" w:hAnsi="宋体" w:eastAsia="宋体" w:cs="宋体"/>
          <w:color w:val="auto"/>
          <w:sz w:val="21"/>
          <w:szCs w:val="21"/>
          <w:highlight w:val="none"/>
        </w:rPr>
        <w:t>（以下简称甲方）与经评审最终确定的中标人（以下简称乙方）结合本项目具体情况协商后签订。以下为采购人提出涉及乙方的主要条款，投标人在投标文件中应对其进行确认或拒绝。如投标人在其投标文件中未做拒绝或提出调整完善要求的，采购人将视作认同。具体如下：</w:t>
      </w:r>
    </w:p>
    <w:p w14:paraId="7C917530">
      <w:pPr>
        <w:pStyle w:val="13"/>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招标编号：</w:t>
      </w:r>
    </w:p>
    <w:p w14:paraId="44512975">
      <w:pPr>
        <w:pStyle w:val="13"/>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甲方：</w:t>
      </w:r>
      <w:r>
        <w:rPr>
          <w:rFonts w:hint="eastAsia" w:ascii="宋体" w:hAnsi="宋体" w:eastAsia="宋体" w:cs="宋体"/>
          <w:color w:val="auto"/>
          <w:sz w:val="21"/>
          <w:szCs w:val="21"/>
          <w:highlight w:val="none"/>
        </w:rPr>
        <w:t>（采购方）</w:t>
      </w:r>
    </w:p>
    <w:p w14:paraId="5638A318">
      <w:pPr>
        <w:pStyle w:val="13"/>
        <w:adjustRightInd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乙方：</w:t>
      </w:r>
      <w:r>
        <w:rPr>
          <w:rFonts w:hint="eastAsia" w:ascii="宋体" w:hAnsi="宋体" w:eastAsia="宋体" w:cs="宋体"/>
          <w:color w:val="auto"/>
          <w:sz w:val="21"/>
          <w:szCs w:val="21"/>
          <w:highlight w:val="none"/>
        </w:rPr>
        <w:t>（供应商）</w:t>
      </w:r>
      <w:r>
        <w:rPr>
          <w:rFonts w:hint="eastAsia" w:ascii="宋体" w:hAnsi="宋体" w:eastAsia="宋体" w:cs="宋体"/>
          <w:b/>
          <w:color w:val="auto"/>
          <w:sz w:val="21"/>
          <w:szCs w:val="21"/>
          <w:highlight w:val="none"/>
        </w:rPr>
        <w:t xml:space="preserve"> </w:t>
      </w:r>
    </w:p>
    <w:p w14:paraId="23E1D2FC">
      <w:pPr>
        <w:pStyle w:val="13"/>
        <w:adjustRightInd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甲、乙双方根据</w:t>
      </w:r>
      <w:r>
        <w:rPr>
          <w:rFonts w:hint="eastAsia" w:ascii="宋体" w:hAnsi="宋体" w:eastAsia="宋体" w:cs="宋体"/>
          <w:color w:val="auto"/>
          <w:sz w:val="21"/>
          <w:szCs w:val="21"/>
          <w:highlight w:val="none"/>
          <w:u w:val="single"/>
          <w:lang w:eastAsia="zh-CN"/>
        </w:rPr>
        <w:t>路桥区2024年粮油种植面积核查服务项目</w:t>
      </w:r>
      <w:r>
        <w:rPr>
          <w:rFonts w:hint="eastAsia" w:ascii="宋体" w:hAnsi="宋体" w:eastAsia="宋体" w:cs="宋体"/>
          <w:color w:val="auto"/>
          <w:sz w:val="21"/>
          <w:szCs w:val="21"/>
          <w:highlight w:val="none"/>
          <w:u w:val="single"/>
        </w:rPr>
        <w:t>公开招标</w:t>
      </w:r>
      <w:r>
        <w:rPr>
          <w:rFonts w:hint="eastAsia" w:ascii="宋体" w:hAnsi="宋体" w:eastAsia="宋体" w:cs="宋体"/>
          <w:color w:val="auto"/>
          <w:sz w:val="21"/>
          <w:szCs w:val="21"/>
          <w:highlight w:val="none"/>
        </w:rPr>
        <w:t>的结果，签署本合同。</w:t>
      </w:r>
    </w:p>
    <w:p w14:paraId="14A699A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bCs/>
          <w:color w:val="auto"/>
          <w:szCs w:val="28"/>
          <w:highlight w:val="none"/>
          <w:lang w:val="en-US" w:eastAsia="zh-CN"/>
        </w:rPr>
      </w:pPr>
      <w:r>
        <w:rPr>
          <w:rFonts w:hint="eastAsia" w:ascii="宋体" w:hAnsi="宋体" w:eastAsia="宋体" w:cs="宋体"/>
          <w:b/>
          <w:bCs/>
          <w:color w:val="auto"/>
          <w:szCs w:val="28"/>
          <w:highlight w:val="none"/>
          <w:lang w:val="en-US" w:eastAsia="zh-CN"/>
        </w:rPr>
        <w:t>一、服务内容及需求</w:t>
      </w:r>
    </w:p>
    <w:p w14:paraId="1851B30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依据《浙江省农业农村厅关于做好“粮补直达”应用种植地块数据采集工作的通知》等文件精神，实施路桥区2025-2027年粮油种植面积核查服务项目，通过无人机航飞影像，结合实地踏勘，生成每年耕地地力保护补贴、一次性种粮农民补贴和规模粮油种植和水稻散户种植矢量等相关数据，并出具核查报告。</w:t>
      </w:r>
    </w:p>
    <w:p w14:paraId="5699CEB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bCs/>
          <w:color w:val="auto"/>
          <w:szCs w:val="28"/>
          <w:highlight w:val="none"/>
          <w:lang w:val="en-US" w:eastAsia="zh-CN"/>
        </w:rPr>
      </w:pPr>
      <w:r>
        <w:rPr>
          <w:rFonts w:hint="eastAsia" w:ascii="宋体" w:hAnsi="宋体" w:eastAsia="宋体" w:cs="宋体"/>
          <w:b/>
          <w:bCs/>
          <w:color w:val="auto"/>
          <w:szCs w:val="28"/>
          <w:highlight w:val="none"/>
          <w:lang w:val="en-US" w:eastAsia="zh-CN"/>
        </w:rPr>
        <w:t>详见本项目招标文件第四部分《公开招标需求》。</w:t>
      </w:r>
    </w:p>
    <w:p w14:paraId="5B041FB8">
      <w:pPr>
        <w:pStyle w:val="13"/>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二、合同金额</w:t>
      </w:r>
    </w:p>
    <w:p w14:paraId="0D88A1DF">
      <w:pPr>
        <w:pStyle w:val="13"/>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outlineLvl w:val="9"/>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本项目合同金额为（大写）：</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元（小写：￥</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元）人民币。</w:t>
      </w:r>
    </w:p>
    <w:p w14:paraId="255E748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outlineLvl w:val="1"/>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三、</w:t>
      </w:r>
      <w:r>
        <w:rPr>
          <w:rFonts w:hint="eastAsia" w:ascii="宋体" w:hAnsi="宋体" w:eastAsia="宋体" w:cs="宋体"/>
          <w:b/>
          <w:color w:val="auto"/>
          <w:szCs w:val="21"/>
          <w:highlight w:val="none"/>
          <w:lang w:val="en-US" w:eastAsia="zh-CN"/>
        </w:rPr>
        <w:t>商务条款</w:t>
      </w:r>
    </w:p>
    <w:p w14:paraId="0A4E8C47">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1、项目工期</w:t>
      </w:r>
      <w:r>
        <w:rPr>
          <w:rFonts w:hint="eastAsia" w:ascii="宋体" w:hAnsi="宋体" w:eastAsia="宋体" w:cs="宋体"/>
          <w:b/>
          <w:bCs/>
          <w:color w:val="auto"/>
          <w:sz w:val="21"/>
          <w:szCs w:val="21"/>
          <w:highlight w:val="none"/>
          <w:lang w:eastAsia="zh-CN"/>
        </w:rPr>
        <w:t>：</w:t>
      </w:r>
    </w:p>
    <w:p w14:paraId="470DFA18">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本项目服务期限为</w:t>
      </w:r>
      <w:r>
        <w:rPr>
          <w:rFonts w:hint="eastAsia" w:ascii="宋体" w:hAnsi="宋体" w:eastAsia="宋体" w:cs="宋体"/>
          <w:color w:val="auto"/>
          <w:sz w:val="21"/>
          <w:szCs w:val="21"/>
          <w:highlight w:val="none"/>
          <w:lang w:val="en-US" w:eastAsia="zh-CN"/>
        </w:rPr>
        <w:t>三年，第二年或第三年财政预算金额未达到原合同金额或者第二年或第三年财政预算未通过的，第二年或第三年合同的约定自动失效。</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sz w:val="21"/>
          <w:szCs w:val="21"/>
          <w:highlight w:val="none"/>
        </w:rPr>
        <w:t>分年度按比例结算服务费。在完成当年度全部核查工作并提交所有项目资料，申请分年度验收。</w:t>
      </w:r>
    </w:p>
    <w:p w14:paraId="5E73DC93">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2、付款方式</w:t>
      </w:r>
      <w:r>
        <w:rPr>
          <w:rFonts w:hint="eastAsia" w:ascii="宋体" w:hAnsi="宋体" w:eastAsia="宋体" w:cs="宋体"/>
          <w:b/>
          <w:bCs/>
          <w:color w:val="auto"/>
          <w:sz w:val="21"/>
          <w:szCs w:val="21"/>
          <w:highlight w:val="none"/>
          <w:lang w:eastAsia="zh-CN"/>
        </w:rPr>
        <w:t>：</w:t>
      </w:r>
    </w:p>
    <w:p w14:paraId="500D8C57">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签订合同后，在合同生效以及具备实施条件后7个工作日内，支付</w:t>
      </w:r>
      <w:r>
        <w:rPr>
          <w:rFonts w:hint="eastAsia" w:ascii="宋体" w:hAnsi="宋体" w:eastAsia="宋体" w:cs="宋体"/>
          <w:color w:val="auto"/>
          <w:sz w:val="21"/>
          <w:szCs w:val="21"/>
          <w:highlight w:val="none"/>
          <w:lang w:val="en-US" w:eastAsia="zh-CN"/>
        </w:rPr>
        <w:t>合同第一年计划金额</w:t>
      </w:r>
      <w:r>
        <w:rPr>
          <w:rFonts w:hint="eastAsia" w:ascii="宋体" w:hAnsi="宋体" w:eastAsia="宋体" w:cs="宋体"/>
          <w:color w:val="auto"/>
          <w:sz w:val="21"/>
          <w:szCs w:val="21"/>
          <w:highlight w:val="none"/>
        </w:rPr>
        <w:t>的40%作为预付款；</w:t>
      </w:r>
      <w:r>
        <w:rPr>
          <w:rFonts w:hint="eastAsia" w:ascii="宋体" w:hAnsi="宋体" w:eastAsia="宋体" w:cs="宋体"/>
          <w:color w:val="auto"/>
          <w:sz w:val="21"/>
          <w:szCs w:val="21"/>
          <w:highlight w:val="none"/>
          <w:lang w:val="en-US" w:eastAsia="zh-CN"/>
        </w:rPr>
        <w:t>第一年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第一年</w:t>
      </w:r>
      <w:r>
        <w:rPr>
          <w:rFonts w:hint="eastAsia" w:ascii="宋体" w:hAnsi="宋体" w:eastAsia="宋体" w:cs="宋体"/>
          <w:color w:val="auto"/>
          <w:sz w:val="21"/>
          <w:szCs w:val="21"/>
          <w:highlight w:val="none"/>
        </w:rPr>
        <w:t>剩余服务费。</w:t>
      </w:r>
    </w:p>
    <w:p w14:paraId="739A5B1E">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（2）服务满12个月后支付合同第二年计划金额的40%作为预付款，第二年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第二年</w:t>
      </w:r>
      <w:r>
        <w:rPr>
          <w:rFonts w:hint="eastAsia" w:ascii="宋体" w:hAnsi="宋体" w:eastAsia="宋体" w:cs="宋体"/>
          <w:color w:val="auto"/>
          <w:sz w:val="21"/>
          <w:szCs w:val="21"/>
          <w:highlight w:val="none"/>
        </w:rPr>
        <w:t>剩余服务费</w:t>
      </w:r>
      <w:r>
        <w:rPr>
          <w:rFonts w:hint="eastAsia" w:ascii="宋体" w:hAnsi="宋体" w:eastAsia="宋体" w:cs="宋体"/>
          <w:color w:val="auto"/>
          <w:sz w:val="21"/>
          <w:szCs w:val="21"/>
          <w:highlight w:val="none"/>
          <w:lang w:val="en-US" w:eastAsia="zh-CN"/>
        </w:rPr>
        <w:t>。</w:t>
      </w:r>
    </w:p>
    <w:p w14:paraId="4BE7F1AC">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（3）服务满24个月后支付合同第三年计划金额的40%作为预付款，第三年</w:t>
      </w:r>
      <w:r>
        <w:rPr>
          <w:rFonts w:hint="eastAsia" w:ascii="宋体" w:hAnsi="宋体" w:eastAsia="宋体" w:cs="宋体"/>
          <w:color w:val="auto"/>
          <w:sz w:val="21"/>
          <w:szCs w:val="21"/>
          <w:highlight w:val="none"/>
        </w:rPr>
        <w:t>工作验收后15个工作日内，支付</w:t>
      </w:r>
      <w:r>
        <w:rPr>
          <w:rFonts w:hint="eastAsia" w:ascii="宋体" w:hAnsi="宋体" w:eastAsia="宋体" w:cs="宋体"/>
          <w:color w:val="auto"/>
          <w:sz w:val="21"/>
          <w:szCs w:val="21"/>
          <w:highlight w:val="none"/>
          <w:lang w:val="en-US" w:eastAsia="zh-CN"/>
        </w:rPr>
        <w:t>第三年</w:t>
      </w:r>
      <w:r>
        <w:rPr>
          <w:rFonts w:hint="eastAsia" w:ascii="宋体" w:hAnsi="宋体" w:eastAsia="宋体" w:cs="宋体"/>
          <w:color w:val="auto"/>
          <w:sz w:val="21"/>
          <w:szCs w:val="21"/>
          <w:highlight w:val="none"/>
        </w:rPr>
        <w:t>剩余服务费</w:t>
      </w:r>
      <w:r>
        <w:rPr>
          <w:rFonts w:hint="eastAsia" w:ascii="宋体" w:hAnsi="宋体" w:eastAsia="宋体" w:cs="宋体"/>
          <w:color w:val="auto"/>
          <w:sz w:val="21"/>
          <w:szCs w:val="21"/>
          <w:highlight w:val="none"/>
          <w:lang w:val="en-US" w:eastAsia="zh-CN"/>
        </w:rPr>
        <w:t>。</w:t>
      </w:r>
    </w:p>
    <w:p w14:paraId="6169532F">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注：费用支付时间实际以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财政资金到账为准。</w:t>
      </w:r>
    </w:p>
    <w:p w14:paraId="23496925">
      <w:pPr>
        <w:pStyle w:val="9"/>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3、售后服务</w:t>
      </w:r>
      <w:r>
        <w:rPr>
          <w:rFonts w:hint="eastAsia" w:ascii="宋体" w:hAnsi="宋体" w:eastAsia="宋体" w:cs="宋体"/>
          <w:b/>
          <w:bCs/>
          <w:color w:val="auto"/>
          <w:sz w:val="21"/>
          <w:szCs w:val="21"/>
          <w:highlight w:val="none"/>
          <w:lang w:eastAsia="zh-CN"/>
        </w:rPr>
        <w:t>：</w:t>
      </w:r>
    </w:p>
    <w:p w14:paraId="168540D4">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合同完成后，作业过程中采集的全部图片、影像、数据等信息须免费储存5年以便</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取证调用。</w:t>
      </w:r>
    </w:p>
    <w:p w14:paraId="46B2F7DC">
      <w:pPr>
        <w:pStyle w:val="13"/>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color w:val="auto"/>
          <w:szCs w:val="21"/>
          <w:highlight w:val="none"/>
        </w:rPr>
        <w:t>四、</w:t>
      </w:r>
      <w:r>
        <w:rPr>
          <w:rFonts w:hint="eastAsia" w:ascii="宋体" w:hAnsi="宋体" w:eastAsia="宋体" w:cs="宋体"/>
          <w:b/>
          <w:bCs/>
          <w:color w:val="auto"/>
          <w:szCs w:val="21"/>
          <w:highlight w:val="none"/>
          <w:lang w:val="en-US" w:eastAsia="zh-CN"/>
        </w:rPr>
        <w:t>其他特别要求及说明</w:t>
      </w:r>
    </w:p>
    <w:p w14:paraId="24FA808E">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1、履约保证金：</w:t>
      </w:r>
    </w:p>
    <w:p w14:paraId="040190AC">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应在收到中标通知书后一周内向</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提交银行、保险公司等金融机构出具的履约保函，保函</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为合同金额的1%，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应确保履约保函在服务期届满前均有效。</w:t>
      </w:r>
    </w:p>
    <w:p w14:paraId="1EECBA89">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若</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在服务期内</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涉及违约行为，</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有权在其提交的履约</w:t>
      </w:r>
      <w:r>
        <w:rPr>
          <w:rFonts w:hint="eastAsia" w:ascii="宋体" w:hAnsi="宋体" w:eastAsia="宋体" w:cs="宋体"/>
          <w:color w:val="auto"/>
          <w:sz w:val="21"/>
          <w:szCs w:val="21"/>
          <w:highlight w:val="none"/>
          <w:lang w:val="en-US" w:eastAsia="zh-CN"/>
        </w:rPr>
        <w:t>保函</w:t>
      </w:r>
      <w:r>
        <w:rPr>
          <w:rFonts w:hint="eastAsia" w:ascii="宋体" w:hAnsi="宋体" w:eastAsia="宋体" w:cs="宋体"/>
          <w:color w:val="auto"/>
          <w:sz w:val="21"/>
          <w:szCs w:val="21"/>
          <w:highlight w:val="none"/>
        </w:rPr>
        <w:t>中获得相应赔偿，不足部分</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有权继续向乙方追偿。</w:t>
      </w:r>
    </w:p>
    <w:p w14:paraId="7493C18A">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（3）履约保证金发生扣除的，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应及时以保函方式补足。</w:t>
      </w:r>
    </w:p>
    <w:p w14:paraId="48A6C181">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2、合同期内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所属人员、车辆、设备如发生各种意外事故全部责任由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承担，依照法律法规妥善处理。</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须为操作人员投保人身意外险及无人机意外险。</w:t>
      </w:r>
    </w:p>
    <w:p w14:paraId="13B1B223">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、本项目不得分包、转包，未经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允许也不得更换项目组人员，每发生一次向</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支付合同款项的万分之五作为违约金，违约金上限为合同价款的10%。</w:t>
      </w:r>
    </w:p>
    <w:p w14:paraId="59BAF9B1">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、合同执行期间，</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如对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发出的整改要求拒不执行的，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有权终止合同并扣罚合同总价的10%。</w:t>
      </w:r>
    </w:p>
    <w:p w14:paraId="779DBD11">
      <w:pPr>
        <w:pStyle w:val="9"/>
        <w:keepNext w:val="0"/>
        <w:keepLines w:val="0"/>
        <w:pageBreakBefore w:val="0"/>
        <w:widowControl w:val="0"/>
        <w:kinsoku/>
        <w:wordWrap/>
        <w:overflowPunct/>
        <w:topLinePunct w:val="0"/>
        <w:autoSpaceDE/>
        <w:autoSpaceDN/>
        <w:bidi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、本项目核实工作全过程中所需人员、设备、耗材由成交供应商自行提供，且核实人员在操作核实设备时需符合国家相关的法律法规。</w:t>
      </w:r>
    </w:p>
    <w:p w14:paraId="69239C66">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6</w:t>
      </w:r>
      <w:r>
        <w:rPr>
          <w:rFonts w:hint="eastAsia" w:ascii="宋体" w:hAnsi="宋体" w:eastAsia="宋体" w:cs="宋体"/>
          <w:b/>
          <w:color w:val="auto"/>
          <w:sz w:val="21"/>
          <w:szCs w:val="21"/>
          <w:highlight w:val="none"/>
          <w:u w:val="single"/>
        </w:rPr>
        <w:t>、若</w:t>
      </w:r>
      <w:r>
        <w:rPr>
          <w:rFonts w:hint="eastAsia" w:ascii="宋体" w:hAnsi="宋体" w:eastAsia="宋体" w:cs="宋体"/>
          <w:b/>
          <w:color w:val="auto"/>
          <w:sz w:val="21"/>
          <w:szCs w:val="21"/>
          <w:highlight w:val="none"/>
          <w:u w:val="single"/>
          <w:lang w:eastAsia="zh-CN"/>
        </w:rPr>
        <w:t>乙方</w:t>
      </w:r>
      <w:r>
        <w:rPr>
          <w:rFonts w:hint="eastAsia" w:ascii="宋体" w:hAnsi="宋体" w:eastAsia="宋体" w:cs="宋体"/>
          <w:b/>
          <w:color w:val="auto"/>
          <w:sz w:val="21"/>
          <w:szCs w:val="21"/>
          <w:highlight w:val="none"/>
          <w:u w:val="single"/>
        </w:rPr>
        <w:t>投标文件中明确采用无人机航飞来实施本项目，投标文件中必须出具承诺书（取得空域使用批复的承诺书</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lang w:val="en-US" w:eastAsia="zh-CN"/>
        </w:rPr>
        <w:t>格式详见附件</w:t>
      </w:r>
      <w:r>
        <w:rPr>
          <w:rFonts w:hint="eastAsia" w:ascii="宋体" w:hAnsi="宋体" w:eastAsia="宋体" w:cs="宋体"/>
          <w:b/>
          <w:color w:val="auto"/>
          <w:sz w:val="21"/>
          <w:szCs w:val="21"/>
          <w:highlight w:val="none"/>
          <w:u w:val="single"/>
        </w:rPr>
        <w:t>），承诺在获得中标通知书后即刻办理空域使用批复，按照《无人驾驶航空器飞行管理暂行条例》要求取得飞行空域相关管理部门对本项目相关任务空域</w:t>
      </w:r>
      <w:r>
        <w:rPr>
          <w:rFonts w:hint="eastAsia" w:ascii="宋体" w:hAnsi="宋体" w:eastAsia="宋体" w:cs="宋体"/>
          <w:b/>
          <w:bCs/>
          <w:color w:val="auto"/>
          <w:sz w:val="21"/>
          <w:szCs w:val="21"/>
          <w:highlight w:val="none"/>
          <w:u w:val="single"/>
        </w:rPr>
        <w:t>（包含机场净空区）</w:t>
      </w:r>
      <w:r>
        <w:rPr>
          <w:rFonts w:hint="eastAsia" w:ascii="宋体" w:hAnsi="宋体" w:eastAsia="宋体" w:cs="宋体"/>
          <w:b/>
          <w:color w:val="auto"/>
          <w:sz w:val="21"/>
          <w:szCs w:val="21"/>
          <w:highlight w:val="none"/>
          <w:u w:val="single"/>
        </w:rPr>
        <w:t>的空域使用批复</w:t>
      </w:r>
      <w:r>
        <w:rPr>
          <w:rFonts w:hint="eastAsia" w:ascii="宋体" w:hAnsi="宋体" w:eastAsia="宋体" w:cs="宋体"/>
          <w:b/>
          <w:bCs/>
          <w:color w:val="auto"/>
          <w:sz w:val="21"/>
          <w:szCs w:val="21"/>
          <w:highlight w:val="none"/>
          <w:u w:val="single"/>
        </w:rPr>
        <w:t>，与相关管理部门签订飞行保障协议，合法合规开展飞行活</w:t>
      </w:r>
      <w:r>
        <w:rPr>
          <w:rFonts w:hint="eastAsia" w:ascii="宋体" w:hAnsi="宋体" w:eastAsia="宋体" w:cs="宋体"/>
          <w:b/>
          <w:color w:val="auto"/>
          <w:sz w:val="21"/>
          <w:szCs w:val="21"/>
          <w:highlight w:val="none"/>
          <w:u w:val="single"/>
        </w:rPr>
        <w:t>动。中标通知书发出后25个日历日内未成功办理或经</w:t>
      </w:r>
      <w:r>
        <w:rPr>
          <w:rFonts w:hint="eastAsia" w:ascii="宋体" w:hAnsi="宋体" w:eastAsia="宋体" w:cs="宋体"/>
          <w:b/>
          <w:color w:val="auto"/>
          <w:sz w:val="21"/>
          <w:szCs w:val="21"/>
          <w:highlight w:val="none"/>
          <w:u w:val="single"/>
          <w:lang w:eastAsia="zh-CN"/>
        </w:rPr>
        <w:t>甲方</w:t>
      </w:r>
      <w:r>
        <w:rPr>
          <w:rFonts w:hint="eastAsia" w:ascii="宋体" w:hAnsi="宋体" w:eastAsia="宋体" w:cs="宋体"/>
          <w:b/>
          <w:color w:val="auto"/>
          <w:sz w:val="21"/>
          <w:szCs w:val="21"/>
          <w:highlight w:val="none"/>
          <w:u w:val="single"/>
        </w:rPr>
        <w:t>确认</w:t>
      </w:r>
      <w:r>
        <w:rPr>
          <w:rFonts w:hint="eastAsia" w:ascii="宋体" w:hAnsi="宋体" w:eastAsia="宋体" w:cs="宋体"/>
          <w:b/>
          <w:color w:val="auto"/>
          <w:sz w:val="21"/>
          <w:szCs w:val="21"/>
          <w:highlight w:val="none"/>
          <w:u w:val="single"/>
          <w:lang w:eastAsia="zh-CN"/>
        </w:rPr>
        <w:t>乙方</w:t>
      </w:r>
      <w:r>
        <w:rPr>
          <w:rFonts w:hint="eastAsia" w:ascii="宋体" w:hAnsi="宋体" w:eastAsia="宋体" w:cs="宋体"/>
          <w:b/>
          <w:color w:val="auto"/>
          <w:sz w:val="21"/>
          <w:szCs w:val="21"/>
          <w:highlight w:val="none"/>
          <w:u w:val="single"/>
        </w:rPr>
        <w:t>无能力履行承诺的，视为</w:t>
      </w:r>
      <w:r>
        <w:rPr>
          <w:rFonts w:hint="eastAsia" w:ascii="宋体" w:hAnsi="宋体" w:eastAsia="宋体" w:cs="宋体"/>
          <w:b/>
          <w:color w:val="auto"/>
          <w:sz w:val="21"/>
          <w:szCs w:val="21"/>
          <w:highlight w:val="none"/>
          <w:u w:val="single"/>
          <w:lang w:eastAsia="zh-CN"/>
        </w:rPr>
        <w:t>乙方</w:t>
      </w:r>
      <w:r>
        <w:rPr>
          <w:rFonts w:hint="eastAsia" w:ascii="宋体" w:hAnsi="宋体" w:eastAsia="宋体" w:cs="宋体"/>
          <w:b/>
          <w:color w:val="auto"/>
          <w:sz w:val="21"/>
          <w:szCs w:val="21"/>
          <w:highlight w:val="none"/>
          <w:u w:val="single"/>
        </w:rPr>
        <w:t>违约，按虚假应标报采购监管部门处理。</w:t>
      </w:r>
      <w:r>
        <w:rPr>
          <w:rFonts w:hint="eastAsia" w:ascii="宋体" w:hAnsi="宋体" w:eastAsia="宋体" w:cs="宋体"/>
          <w:b/>
          <w:color w:val="auto"/>
          <w:sz w:val="21"/>
          <w:szCs w:val="21"/>
          <w:highlight w:val="none"/>
          <w:u w:val="single"/>
          <w:lang w:eastAsia="zh-CN"/>
        </w:rPr>
        <w:t>甲方</w:t>
      </w:r>
      <w:r>
        <w:rPr>
          <w:rFonts w:hint="eastAsia" w:ascii="宋体" w:hAnsi="宋体" w:eastAsia="宋体" w:cs="宋体"/>
          <w:b/>
          <w:color w:val="auto"/>
          <w:sz w:val="21"/>
          <w:szCs w:val="21"/>
          <w:highlight w:val="none"/>
          <w:u w:val="single"/>
        </w:rPr>
        <w:t>可根据项目执行进度，选择拒绝签订合同或解除已签订的合同（若供应商在开标前已取得适用于本项目相关任务空域的空域使用批复，则提供空域使用批复即可，可以无此承诺书）。采用</w:t>
      </w:r>
      <w:r>
        <w:rPr>
          <w:rFonts w:hint="eastAsia" w:ascii="宋体" w:hAnsi="宋体" w:eastAsia="宋体" w:cs="宋体"/>
          <w:b/>
          <w:bCs/>
          <w:color w:val="auto"/>
          <w:sz w:val="21"/>
          <w:szCs w:val="21"/>
          <w:highlight w:val="none"/>
          <w:u w:val="single"/>
        </w:rPr>
        <w:t>其他技术实施的，应符合该技术行业要求，具备相应的资信条件。</w:t>
      </w:r>
    </w:p>
    <w:p w14:paraId="7574BA81">
      <w:pPr>
        <w:pStyle w:val="23"/>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7</w:t>
      </w:r>
      <w:r>
        <w:rPr>
          <w:rFonts w:hint="eastAsia" w:ascii="宋体" w:hAnsi="宋体" w:eastAsia="宋体" w:cs="宋体"/>
          <w:b/>
          <w:bCs/>
          <w:color w:val="auto"/>
          <w:sz w:val="21"/>
          <w:szCs w:val="21"/>
          <w:highlight w:val="none"/>
          <w:u w:val="single"/>
        </w:rPr>
        <w:t>、</w:t>
      </w:r>
      <w:r>
        <w:rPr>
          <w:rFonts w:hint="eastAsia" w:ascii="宋体" w:hAnsi="宋体" w:eastAsia="宋体" w:cs="宋体"/>
          <w:b/>
          <w:color w:val="auto"/>
          <w:kern w:val="0"/>
          <w:sz w:val="21"/>
          <w:szCs w:val="21"/>
          <w:highlight w:val="none"/>
          <w:u w:val="single"/>
        </w:rPr>
        <w:t>若投标文件明确使用无人机航飞采集影像进行核查的，实际开展服务时，中途无法获取相关任务空域（包含机场净空区）无人机航飞影像的，经</w:t>
      </w:r>
      <w:r>
        <w:rPr>
          <w:rFonts w:hint="eastAsia" w:ascii="宋体" w:hAnsi="宋体" w:eastAsia="宋体" w:cs="宋体"/>
          <w:b/>
          <w:color w:val="auto"/>
          <w:kern w:val="0"/>
          <w:sz w:val="21"/>
          <w:szCs w:val="21"/>
          <w:highlight w:val="none"/>
          <w:u w:val="single"/>
          <w:lang w:eastAsia="zh-CN"/>
        </w:rPr>
        <w:t>甲方</w:t>
      </w:r>
      <w:r>
        <w:rPr>
          <w:rFonts w:hint="eastAsia" w:ascii="宋体" w:hAnsi="宋体" w:eastAsia="宋体" w:cs="宋体"/>
          <w:b/>
          <w:color w:val="auto"/>
          <w:kern w:val="0"/>
          <w:sz w:val="21"/>
          <w:szCs w:val="21"/>
          <w:highlight w:val="none"/>
          <w:u w:val="single"/>
        </w:rPr>
        <w:t>同意，按照</w:t>
      </w:r>
      <w:r>
        <w:rPr>
          <w:rFonts w:hint="eastAsia" w:ascii="宋体" w:hAnsi="宋体" w:eastAsia="宋体" w:cs="宋体"/>
          <w:b/>
          <w:color w:val="auto"/>
          <w:spacing w:val="0"/>
          <w:kern w:val="0"/>
          <w:sz w:val="21"/>
          <w:szCs w:val="21"/>
          <w:highlight w:val="none"/>
          <w:u w:val="single"/>
        </w:rPr>
        <w:t>实际核查面积计算，核查费用按</w:t>
      </w:r>
      <w:r>
        <w:rPr>
          <w:rFonts w:hint="eastAsia" w:ascii="宋体" w:hAnsi="宋体" w:eastAsia="宋体" w:cs="宋体"/>
          <w:b/>
          <w:color w:val="auto"/>
          <w:kern w:val="0"/>
          <w:sz w:val="21"/>
          <w:szCs w:val="21"/>
          <w:highlight w:val="none"/>
          <w:u w:val="single"/>
        </w:rPr>
        <w:t>2元/亩</w:t>
      </w:r>
      <w:r>
        <w:rPr>
          <w:rFonts w:hint="eastAsia" w:ascii="宋体" w:hAnsi="宋体" w:eastAsia="宋体" w:cs="宋体"/>
          <w:b/>
          <w:color w:val="auto"/>
          <w:spacing w:val="0"/>
          <w:kern w:val="0"/>
          <w:sz w:val="21"/>
          <w:szCs w:val="21"/>
          <w:highlight w:val="none"/>
          <w:u w:val="single"/>
        </w:rPr>
        <w:t>标准进行结算，按</w:t>
      </w:r>
      <w:r>
        <w:rPr>
          <w:rFonts w:hint="eastAsia" w:ascii="宋体" w:hAnsi="宋体" w:eastAsia="宋体" w:cs="宋体"/>
          <w:b/>
          <w:color w:val="auto"/>
          <w:spacing w:val="0"/>
          <w:kern w:val="0"/>
          <w:sz w:val="21"/>
          <w:szCs w:val="21"/>
          <w:highlight w:val="none"/>
          <w:u w:val="single"/>
          <w:lang w:eastAsia="zh-CN"/>
        </w:rPr>
        <w:t>甲方</w:t>
      </w:r>
      <w:r>
        <w:rPr>
          <w:rFonts w:hint="eastAsia" w:ascii="宋体" w:hAnsi="宋体" w:eastAsia="宋体" w:cs="宋体"/>
          <w:b/>
          <w:color w:val="auto"/>
          <w:spacing w:val="0"/>
          <w:kern w:val="0"/>
          <w:sz w:val="21"/>
          <w:szCs w:val="21"/>
          <w:highlight w:val="none"/>
          <w:u w:val="single"/>
        </w:rPr>
        <w:t>要求完成当季核查工作过后</w:t>
      </w:r>
      <w:r>
        <w:rPr>
          <w:rFonts w:hint="eastAsia" w:ascii="宋体" w:hAnsi="宋体" w:eastAsia="宋体" w:cs="宋体"/>
          <w:b/>
          <w:color w:val="auto"/>
          <w:kern w:val="0"/>
          <w:sz w:val="21"/>
          <w:szCs w:val="21"/>
          <w:highlight w:val="none"/>
          <w:u w:val="single"/>
        </w:rPr>
        <w:t>，解除合同，且</w:t>
      </w:r>
      <w:r>
        <w:rPr>
          <w:rFonts w:hint="eastAsia" w:ascii="宋体" w:hAnsi="宋体" w:eastAsia="宋体" w:cs="宋体"/>
          <w:b/>
          <w:color w:val="auto"/>
          <w:kern w:val="0"/>
          <w:sz w:val="21"/>
          <w:szCs w:val="21"/>
          <w:highlight w:val="none"/>
          <w:u w:val="single"/>
          <w:lang w:eastAsia="zh-CN"/>
        </w:rPr>
        <w:t>甲方</w:t>
      </w:r>
      <w:r>
        <w:rPr>
          <w:rFonts w:hint="eastAsia" w:ascii="宋体" w:hAnsi="宋体" w:eastAsia="宋体" w:cs="宋体"/>
          <w:b/>
          <w:color w:val="auto"/>
          <w:kern w:val="0"/>
          <w:sz w:val="21"/>
          <w:szCs w:val="21"/>
          <w:highlight w:val="none"/>
          <w:u w:val="single"/>
        </w:rPr>
        <w:t>有权按照实际损失向</w:t>
      </w:r>
      <w:r>
        <w:rPr>
          <w:rFonts w:hint="eastAsia" w:ascii="宋体" w:hAnsi="宋体" w:eastAsia="宋体" w:cs="宋体"/>
          <w:b/>
          <w:color w:val="auto"/>
          <w:kern w:val="0"/>
          <w:sz w:val="21"/>
          <w:szCs w:val="21"/>
          <w:highlight w:val="none"/>
          <w:u w:val="single"/>
          <w:lang w:val="en-US" w:eastAsia="zh-CN"/>
        </w:rPr>
        <w:t>乙方</w:t>
      </w:r>
      <w:r>
        <w:rPr>
          <w:rFonts w:hint="eastAsia" w:ascii="宋体" w:hAnsi="宋体" w:eastAsia="宋体" w:cs="宋体"/>
          <w:b/>
          <w:color w:val="auto"/>
          <w:kern w:val="0"/>
          <w:sz w:val="21"/>
          <w:szCs w:val="21"/>
          <w:highlight w:val="none"/>
          <w:u w:val="single"/>
        </w:rPr>
        <w:t>提出索赔。</w:t>
      </w:r>
    </w:p>
    <w:p w14:paraId="1333D9E0">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8</w:t>
      </w:r>
      <w:r>
        <w:rPr>
          <w:rFonts w:hint="eastAsia" w:ascii="宋体" w:hAnsi="宋体" w:eastAsia="宋体" w:cs="宋体"/>
          <w:b/>
          <w:bCs/>
          <w:color w:val="auto"/>
          <w:sz w:val="21"/>
          <w:szCs w:val="21"/>
          <w:highlight w:val="none"/>
          <w:u w:val="single"/>
        </w:rPr>
        <w:t>、到实地开展人地物矢量数据匹配核查的人员保证3名及以上。</w:t>
      </w:r>
    </w:p>
    <w:p w14:paraId="6660E33E">
      <w:pPr>
        <w:pStyle w:val="68"/>
        <w:keepNext w:val="0"/>
        <w:keepLines w:val="0"/>
        <w:pageBreakBefore w:val="0"/>
        <w:widowControl w:val="0"/>
        <w:kinsoku/>
        <w:wordWrap/>
        <w:overflowPunct/>
        <w:topLinePunct w:val="0"/>
        <w:autoSpaceDE/>
        <w:autoSpaceDN/>
        <w:bidi w:val="0"/>
        <w:spacing w:after="0" w:line="360" w:lineRule="auto"/>
        <w:ind w:left="0" w:leftChars="0" w:firstLine="422" w:firstLineChars="200"/>
        <w:jc w:val="lef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9</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eastAsia="zh-CN"/>
        </w:rPr>
        <w:t>乙方</w:t>
      </w:r>
      <w:r>
        <w:rPr>
          <w:rFonts w:hint="eastAsia" w:ascii="宋体" w:hAnsi="宋体" w:eastAsia="宋体" w:cs="宋体"/>
          <w:b/>
          <w:bCs/>
          <w:color w:val="auto"/>
          <w:sz w:val="21"/>
          <w:szCs w:val="21"/>
          <w:highlight w:val="none"/>
          <w:u w:val="single"/>
        </w:rPr>
        <w:t>需保证投标的人员配备和设施设备用于本项目。</w:t>
      </w:r>
    </w:p>
    <w:p w14:paraId="680A7DBC">
      <w:pPr>
        <w:snapToGrid w:val="0"/>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Cs w:val="21"/>
          <w:highlight w:val="none"/>
          <w:lang w:eastAsia="zh-CN"/>
        </w:rPr>
        <w:t>五</w:t>
      </w:r>
      <w:r>
        <w:rPr>
          <w:rFonts w:hint="eastAsia" w:ascii="宋体" w:hAnsi="宋体" w:eastAsia="宋体" w:cs="宋体"/>
          <w:b/>
          <w:bCs/>
          <w:color w:val="auto"/>
          <w:szCs w:val="21"/>
          <w:highlight w:val="none"/>
        </w:rPr>
        <w:t>、</w:t>
      </w:r>
      <w:r>
        <w:rPr>
          <w:rFonts w:hint="eastAsia" w:ascii="宋体" w:hAnsi="宋体" w:eastAsia="宋体" w:cs="宋体"/>
          <w:b/>
          <w:color w:val="auto"/>
          <w:sz w:val="21"/>
          <w:szCs w:val="21"/>
          <w:highlight w:val="none"/>
        </w:rPr>
        <w:t>考核评分办法</w:t>
      </w:r>
    </w:p>
    <w:p w14:paraId="6D7EA550">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1、具体考核办法及细则由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制定。</w:t>
      </w:r>
    </w:p>
    <w:p w14:paraId="69D171B1">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可以不定期组织检查，根据“考核评分办法”对成交供应商服务质量进行综合评分，供应商须无条件接受检查组的检查，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有权根据评分结果对成交供应商进行处罚。每次根据</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抽查的结果进行综合评分，并将反馈意见结果通知供应商。具体为质量督查时误差率超过3%的，每发生一次扣20000元。一次综合评分得分率低于90分的扣罚合同总价1%并给予供应商警告；全年累计二次得分低于90分的扣罚合同总价2%并给予供应商严重警告，同时对供应商进行劝退；全年累计三次得分低于90分的扣罚合同总价10%，并终止合同；得分为90分（含）以上，按正常费用支付，合同正常执行。</w:t>
      </w:r>
    </w:p>
    <w:p w14:paraId="2E16F1A7">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3、服务期为3年，每年12月15日前</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的服务进行考核，按照采购文件评分标准（技术部分）对照投标文件进行打分，“进度安排”至“后续服务方案”（共10项）每个子项10分，综合评分得分低于90分为考核不合格，</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有权单方终止合同。首次验收不合格的，要求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限期整改。</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不整改或整改后仍验收不合格的，合同款不予支付，并限期（7个工作日内）退还预付款，且</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有权按照实际损失向成交供应商提出索赔。综合评分得分高于90分，</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认为项目执行达到预期效果的，可继续执行下一年的服务合同。</w:t>
      </w:r>
    </w:p>
    <w:p w14:paraId="2237F796">
      <w:pPr>
        <w:pStyle w:val="2"/>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考核评分细则（参考）</w:t>
      </w:r>
    </w:p>
    <w:tbl>
      <w:tblPr>
        <w:tblStyle w:val="24"/>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4698"/>
        <w:gridCol w:w="1597"/>
        <w:gridCol w:w="821"/>
      </w:tblGrid>
      <w:tr w14:paraId="1EEE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2" w:type="dxa"/>
            <w:vAlign w:val="center"/>
          </w:tcPr>
          <w:p w14:paraId="1AD6A6CE">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698" w:type="dxa"/>
            <w:vAlign w:val="center"/>
          </w:tcPr>
          <w:p w14:paraId="774E151A">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1597" w:type="dxa"/>
            <w:vAlign w:val="center"/>
          </w:tcPr>
          <w:p w14:paraId="6A016022">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扣分标准</w:t>
            </w:r>
          </w:p>
        </w:tc>
        <w:tc>
          <w:tcPr>
            <w:tcW w:w="821" w:type="dxa"/>
            <w:vAlign w:val="center"/>
          </w:tcPr>
          <w:p w14:paraId="41422ADA">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打分</w:t>
            </w:r>
          </w:p>
        </w:tc>
      </w:tr>
      <w:tr w14:paraId="5DD3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5FD6D459">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698" w:type="dxa"/>
            <w:vAlign w:val="center"/>
          </w:tcPr>
          <w:p w14:paraId="1C466BCF">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核实人员未对补贴对象实种面积据实核实或虚假应付了事的</w:t>
            </w:r>
          </w:p>
        </w:tc>
        <w:tc>
          <w:tcPr>
            <w:tcW w:w="1597" w:type="dxa"/>
            <w:vAlign w:val="center"/>
          </w:tcPr>
          <w:p w14:paraId="315E0CE4">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417E27FB">
            <w:pPr>
              <w:spacing w:line="240" w:lineRule="auto"/>
              <w:jc w:val="center"/>
              <w:rPr>
                <w:rFonts w:hint="eastAsia" w:ascii="宋体" w:hAnsi="宋体" w:eastAsia="宋体" w:cs="宋体"/>
                <w:color w:val="auto"/>
                <w:sz w:val="21"/>
                <w:szCs w:val="21"/>
                <w:highlight w:val="none"/>
              </w:rPr>
            </w:pPr>
          </w:p>
        </w:tc>
      </w:tr>
      <w:tr w14:paraId="65F9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2" w:type="dxa"/>
            <w:vAlign w:val="center"/>
          </w:tcPr>
          <w:p w14:paraId="0182F920">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698" w:type="dxa"/>
            <w:vAlign w:val="center"/>
          </w:tcPr>
          <w:p w14:paraId="398EA0F3">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核实的地块面积数据误差率超过1%的</w:t>
            </w:r>
          </w:p>
        </w:tc>
        <w:tc>
          <w:tcPr>
            <w:tcW w:w="1597" w:type="dxa"/>
            <w:vAlign w:val="center"/>
          </w:tcPr>
          <w:p w14:paraId="181AE95C">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41F81BD6">
            <w:pPr>
              <w:spacing w:line="240" w:lineRule="auto"/>
              <w:jc w:val="center"/>
              <w:rPr>
                <w:rFonts w:hint="eastAsia" w:ascii="宋体" w:hAnsi="宋体" w:eastAsia="宋体" w:cs="宋体"/>
                <w:color w:val="auto"/>
                <w:sz w:val="21"/>
                <w:szCs w:val="21"/>
                <w:highlight w:val="none"/>
              </w:rPr>
            </w:pPr>
          </w:p>
        </w:tc>
      </w:tr>
      <w:tr w14:paraId="5DED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2" w:type="dxa"/>
            <w:vAlign w:val="center"/>
          </w:tcPr>
          <w:p w14:paraId="340FF7F0">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698" w:type="dxa"/>
            <w:vAlign w:val="center"/>
          </w:tcPr>
          <w:p w14:paraId="3E0C0D09">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核实人员对发现的问题没有及时处理或没有及时上报情况的</w:t>
            </w:r>
          </w:p>
        </w:tc>
        <w:tc>
          <w:tcPr>
            <w:tcW w:w="1597" w:type="dxa"/>
            <w:vAlign w:val="center"/>
          </w:tcPr>
          <w:p w14:paraId="04544B08">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7EE0DEDE">
            <w:pPr>
              <w:spacing w:line="240" w:lineRule="auto"/>
              <w:jc w:val="center"/>
              <w:rPr>
                <w:rFonts w:hint="eastAsia" w:ascii="宋体" w:hAnsi="宋体" w:eastAsia="宋体" w:cs="宋体"/>
                <w:color w:val="auto"/>
                <w:sz w:val="21"/>
                <w:szCs w:val="21"/>
                <w:highlight w:val="none"/>
              </w:rPr>
            </w:pPr>
          </w:p>
        </w:tc>
      </w:tr>
      <w:tr w14:paraId="0593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7DE57EB5">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698" w:type="dxa"/>
            <w:vAlign w:val="center"/>
          </w:tcPr>
          <w:p w14:paraId="0BD5D785">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成交供应商</w:t>
            </w:r>
            <w:r>
              <w:rPr>
                <w:rFonts w:hint="eastAsia" w:ascii="宋体" w:hAnsi="宋体" w:eastAsia="宋体" w:cs="宋体"/>
                <w:color w:val="auto"/>
                <w:sz w:val="21"/>
                <w:szCs w:val="21"/>
                <w:highlight w:val="none"/>
              </w:rPr>
              <w:t>未在时间节点前完成相应任务的（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主动要求调整时间节点的除外）</w:t>
            </w:r>
          </w:p>
        </w:tc>
        <w:tc>
          <w:tcPr>
            <w:tcW w:w="1597" w:type="dxa"/>
            <w:vAlign w:val="center"/>
          </w:tcPr>
          <w:p w14:paraId="4DA083F6">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一次扣5分</w:t>
            </w:r>
          </w:p>
        </w:tc>
        <w:tc>
          <w:tcPr>
            <w:tcW w:w="821" w:type="dxa"/>
            <w:vAlign w:val="center"/>
          </w:tcPr>
          <w:p w14:paraId="024DB298">
            <w:pPr>
              <w:spacing w:line="240" w:lineRule="auto"/>
              <w:jc w:val="center"/>
              <w:rPr>
                <w:rFonts w:hint="eastAsia" w:ascii="宋体" w:hAnsi="宋体" w:eastAsia="宋体" w:cs="宋体"/>
                <w:color w:val="auto"/>
                <w:sz w:val="21"/>
                <w:szCs w:val="21"/>
                <w:highlight w:val="none"/>
              </w:rPr>
            </w:pPr>
          </w:p>
        </w:tc>
      </w:tr>
      <w:tr w14:paraId="37B7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2" w:type="dxa"/>
            <w:vAlign w:val="center"/>
          </w:tcPr>
          <w:p w14:paraId="411D5DB3">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698" w:type="dxa"/>
            <w:vAlign w:val="center"/>
          </w:tcPr>
          <w:p w14:paraId="29FEB4DA">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核实人员在核实工作中与农户发生争吵的</w:t>
            </w:r>
          </w:p>
        </w:tc>
        <w:tc>
          <w:tcPr>
            <w:tcW w:w="1597" w:type="dxa"/>
            <w:vAlign w:val="center"/>
          </w:tcPr>
          <w:p w14:paraId="7B4FBF5F">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一例扣5分</w:t>
            </w:r>
          </w:p>
        </w:tc>
        <w:tc>
          <w:tcPr>
            <w:tcW w:w="821" w:type="dxa"/>
            <w:vAlign w:val="center"/>
          </w:tcPr>
          <w:p w14:paraId="6E1F2F09">
            <w:pPr>
              <w:spacing w:line="240" w:lineRule="auto"/>
              <w:jc w:val="center"/>
              <w:rPr>
                <w:rFonts w:hint="eastAsia" w:ascii="宋体" w:hAnsi="宋体" w:eastAsia="宋体" w:cs="宋体"/>
                <w:color w:val="auto"/>
                <w:sz w:val="21"/>
                <w:szCs w:val="21"/>
                <w:highlight w:val="none"/>
              </w:rPr>
            </w:pPr>
          </w:p>
        </w:tc>
      </w:tr>
      <w:tr w14:paraId="620C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78" w:type="dxa"/>
            <w:gridSpan w:val="4"/>
            <w:vAlign w:val="center"/>
          </w:tcPr>
          <w:p w14:paraId="2A69DCF0">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总分：100分</w:t>
            </w:r>
          </w:p>
        </w:tc>
      </w:tr>
      <w:tr w14:paraId="0BF4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078" w:type="dxa"/>
            <w:gridSpan w:val="4"/>
            <w:vAlign w:val="center"/>
          </w:tcPr>
          <w:p w14:paraId="0E68C4C3">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备注：出现以下情形之一的，实行一票否决，绩效考核分为0：</w:t>
            </w:r>
          </w:p>
          <w:p w14:paraId="7932E146">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（1）在核查工作时有打人、骂人等粗暴行为的；</w:t>
            </w:r>
          </w:p>
          <w:p w14:paraId="2AC66C34">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（2）在核查工作时有损</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形象，被省、市、区级新闻媒体曝光的；</w:t>
            </w:r>
          </w:p>
          <w:p w14:paraId="4DA27D1B">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（3）核查数据明显不实，内容存在重大缺陷、遗漏的；</w:t>
            </w:r>
          </w:p>
          <w:p w14:paraId="5C02B7F8">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（4）无法提交合格数据库上传系统平台的；</w:t>
            </w:r>
          </w:p>
          <w:p w14:paraId="6C29552D">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同意，变更投标项目组成员分工，项目组成员签字存在遗漏的；</w:t>
            </w:r>
          </w:p>
          <w:p w14:paraId="5C86DE1A">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（6）全年核实的种粮面积数据误差率超过1‰的；</w:t>
            </w:r>
          </w:p>
          <w:p w14:paraId="307FF717">
            <w:pPr>
              <w:spacing w:line="24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（7）违反安全管理、规范作业规定，造成重大伤亡或重大损失； </w:t>
            </w:r>
          </w:p>
          <w:p w14:paraId="02171F85">
            <w:pPr>
              <w:spacing w:line="24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（8）违反劳动法或其他相关法律法规，造成恶劣影响；</w:t>
            </w:r>
          </w:p>
          <w:p w14:paraId="02C0982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（9）合同履约期间，</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法人组织破产，或重组变更法人主体的。</w:t>
            </w:r>
          </w:p>
        </w:tc>
      </w:tr>
    </w:tbl>
    <w:p w14:paraId="56BCC922">
      <w:pPr>
        <w:snapToGrid w:val="0"/>
        <w:spacing w:line="360" w:lineRule="auto"/>
        <w:jc w:val="left"/>
        <w:rPr>
          <w:rFonts w:hint="eastAsia" w:ascii="宋体" w:hAnsi="宋体" w:eastAsia="宋体" w:cs="宋体"/>
          <w:b/>
          <w:bCs/>
          <w:color w:val="auto"/>
          <w:szCs w:val="21"/>
          <w:highlight w:val="none"/>
        </w:rPr>
      </w:pPr>
    </w:p>
    <w:p w14:paraId="3C1A56EE">
      <w:pPr>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、技术资料</w:t>
      </w:r>
    </w:p>
    <w:p w14:paraId="29FE0517">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1、乙方应按招标文件规定的时间向甲方提供有关技术资料。</w:t>
      </w:r>
    </w:p>
    <w:p w14:paraId="6D2F60C6">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A8E662D">
      <w:pPr>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七</w:t>
      </w:r>
      <w:r>
        <w:rPr>
          <w:rFonts w:hint="eastAsia" w:ascii="宋体" w:hAnsi="宋体" w:eastAsia="宋体" w:cs="宋体"/>
          <w:b/>
          <w:bCs/>
          <w:color w:val="auto"/>
          <w:szCs w:val="21"/>
          <w:highlight w:val="none"/>
        </w:rPr>
        <w:t>、知识产权</w:t>
      </w:r>
    </w:p>
    <w:p w14:paraId="69DC497E">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1、乙方应保证提供服务过程中不会侵犯任何第三方的知识产权。</w:t>
      </w:r>
    </w:p>
    <w:p w14:paraId="3BD0E886">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2、本项目所有成果的版权属甲方所有，乙方不得以任何形式向第三方提供，否则，按国家法律和有关规定追究乙方的一切责任。</w:t>
      </w:r>
    </w:p>
    <w:p w14:paraId="6BD35044">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3、本项目作业过程中提供的或涉及的所有数据属甲方拥有，乙方无权在技术要求规定之外自行处置数据，不得自行删除、复制、调整完善、转移数据，不得以任何形式向第三方提供。</w:t>
      </w:r>
    </w:p>
    <w:p w14:paraId="0E3A18CD">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4、若侵犯,由乙方赔偿甲方因此遭受的损失（包括但不限于应对及追偿过程中所支付的律师费、差旅费、诉讼费、保全费、鉴定费、评估费等）。</w:t>
      </w:r>
    </w:p>
    <w:p w14:paraId="2A2B314B">
      <w:pPr>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snapToGrid w:val="0"/>
          <w:color w:val="auto"/>
          <w:szCs w:val="21"/>
          <w:highlight w:val="none"/>
          <w:lang w:val="en-US" w:eastAsia="zh-CN"/>
        </w:rPr>
        <w:t>八</w:t>
      </w:r>
      <w:r>
        <w:rPr>
          <w:rFonts w:hint="eastAsia" w:ascii="宋体" w:hAnsi="宋体" w:eastAsia="宋体" w:cs="宋体"/>
          <w:b/>
          <w:bCs/>
          <w:snapToGrid w:val="0"/>
          <w:color w:val="auto"/>
          <w:szCs w:val="21"/>
          <w:highlight w:val="none"/>
        </w:rPr>
        <w:t>、</w:t>
      </w:r>
      <w:r>
        <w:rPr>
          <w:rFonts w:hint="eastAsia" w:ascii="宋体" w:hAnsi="宋体" w:eastAsia="宋体" w:cs="宋体"/>
          <w:b/>
          <w:bCs/>
          <w:color w:val="auto"/>
          <w:szCs w:val="21"/>
          <w:highlight w:val="none"/>
        </w:rPr>
        <w:t>转包或分包</w:t>
      </w:r>
    </w:p>
    <w:p w14:paraId="6A9E73E4">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1、本合同范围的服务，应由乙方直接供应，不得转让他人供应；</w:t>
      </w:r>
    </w:p>
    <w:p w14:paraId="6A694ACD">
      <w:pPr>
        <w:snapToGrid w:val="0"/>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2、如有转让和未经甲方同意的分包行为，甲方有权解除合同，并追究乙方的违约责任。</w:t>
      </w:r>
    </w:p>
    <w:p w14:paraId="54688A51">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jc w:val="left"/>
        <w:outlineLvl w:val="9"/>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、税费</w:t>
      </w:r>
    </w:p>
    <w:p w14:paraId="79B8D4F2">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本合同执行中相关的一切税费均由乙方负担。</w:t>
      </w:r>
    </w:p>
    <w:p w14:paraId="49432FB9">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jc w:val="left"/>
        <w:outlineLvl w:val="9"/>
        <w:rPr>
          <w:rFonts w:hint="eastAsia" w:ascii="宋体" w:hAnsi="宋体" w:eastAsia="宋体" w:cs="宋体"/>
          <w:b/>
          <w:bCs/>
          <w:color w:val="auto"/>
          <w:highlight w:val="none"/>
        </w:rPr>
      </w:pPr>
      <w:r>
        <w:rPr>
          <w:rFonts w:hint="eastAsia" w:ascii="宋体" w:hAnsi="宋体" w:eastAsia="宋体" w:cs="宋体"/>
          <w:b/>
          <w:bCs/>
          <w:color w:val="auto"/>
          <w:highlight w:val="none"/>
        </w:rPr>
        <w:t>十、双方的权利义务</w:t>
      </w:r>
    </w:p>
    <w:p w14:paraId="19E2E3C2">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1、甲方有权检查监督乙方工作，对乙方不符合合同规定的服务内容，有权要求乙方限时改正。</w:t>
      </w:r>
    </w:p>
    <w:p w14:paraId="36D4E2C2">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2、乙方应安排具有符合行业标准的专业资质和专业技能的执业人员为甲方提供服务。如甲方发现服务人员工作能力和表现不符合合同约定和甲方要求的，有权要求乙方更换。</w:t>
      </w:r>
    </w:p>
    <w:p w14:paraId="5CB27E0B">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3、合同期间，乙方及其工作人员在服务过程中发生的一切开支自理，甲方仅按合同约定支付费用。</w:t>
      </w:r>
    </w:p>
    <w:p w14:paraId="56DB6BAD">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4、乙方按合同要求提供服务后，甲方应按合同约定及时向乙方结算费用。</w:t>
      </w:r>
    </w:p>
    <w:p w14:paraId="657E1A0B">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5、因乙方服务不符合合同约定或法律法规而导致甲方遭受的损失，乙方应负责赔偿。</w:t>
      </w:r>
    </w:p>
    <w:p w14:paraId="0CFE4C0C">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6、未经甲方书面同意，乙方不得将本合同项下的工作全部或部分转委托给第三方。</w:t>
      </w:r>
    </w:p>
    <w:p w14:paraId="37E46890">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7、乙方在本项目中标后须在台州市区范围内具备常驻办公地点，方便双方及时沟通。</w:t>
      </w:r>
    </w:p>
    <w:p w14:paraId="434C478F">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jc w:val="left"/>
        <w:outlineLvl w:val="9"/>
        <w:rPr>
          <w:rFonts w:hint="eastAsia" w:ascii="宋体" w:hAnsi="宋体" w:eastAsia="宋体" w:cs="宋体"/>
          <w:b/>
          <w:bCs/>
          <w:color w:val="auto"/>
          <w:highlight w:val="none"/>
        </w:rPr>
      </w:pPr>
      <w:r>
        <w:rPr>
          <w:rFonts w:hint="eastAsia" w:ascii="宋体" w:hAnsi="宋体" w:eastAsia="宋体" w:cs="宋体"/>
          <w:b/>
          <w:bCs/>
          <w:color w:val="auto"/>
          <w:highlight w:val="none"/>
        </w:rPr>
        <w:t>十一、乙方的承诺与保证</w:t>
      </w:r>
    </w:p>
    <w:p w14:paraId="76A9BE42">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乙方做出如下承诺与保证，且如下承诺与保证在本协议有效期内始终有效：</w:t>
      </w:r>
    </w:p>
    <w:p w14:paraId="0652B528">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1、乙方为依法设立、具备合法经营资质的独立法人。</w:t>
      </w:r>
    </w:p>
    <w:p w14:paraId="17B13FBD">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2、乙方遵循客观、合理、审慎的原则提供服务，以其专业技能独立完成成果，不能接受外界任何干扰，并对评估结果的合法性、真实性、有效性负责。</w:t>
      </w:r>
    </w:p>
    <w:p w14:paraId="042E63DD">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3、项目实施过程中项目组负责人及项目组人员发生变动，需提前通知甲方并获同意才能更换，更换后的负责人或技术人员的专业素质、技术能力及经验等情况不能低于原先水准。</w:t>
      </w:r>
    </w:p>
    <w:p w14:paraId="6C7AAA36">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4、本项目成果的知识产权归属甲方，未经甲方同意，乙方不得擅自将成果以自己的名义发表或进行其他学术活动。</w:t>
      </w:r>
    </w:p>
    <w:p w14:paraId="54BEF284">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5、乙方在本项目实施周期内向甲方提供与本项目相关的技术咨询服务。</w:t>
      </w:r>
    </w:p>
    <w:p w14:paraId="304A2449">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6、乙方应根据项目各相关内容及时完成报告，提交甲方，并参加甲方组织的咨询论证会议，根据咨询论证会议意见或上级的审查意见（如有）对成果进行修改完善，形成最终成果，并对提交的成果文件的质量负责。</w:t>
      </w:r>
    </w:p>
    <w:p w14:paraId="16CA5979">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jc w:val="left"/>
        <w:outlineLvl w:val="9"/>
        <w:rPr>
          <w:rFonts w:hint="eastAsia" w:ascii="宋体" w:hAnsi="宋体" w:eastAsia="宋体" w:cs="宋体"/>
          <w:b/>
          <w:bCs/>
          <w:color w:val="auto"/>
          <w:highlight w:val="none"/>
        </w:rPr>
      </w:pPr>
      <w:r>
        <w:rPr>
          <w:rFonts w:hint="eastAsia" w:ascii="宋体" w:hAnsi="宋体" w:eastAsia="宋体" w:cs="宋体"/>
          <w:b/>
          <w:color w:val="auto"/>
          <w:highlight w:val="none"/>
          <w:lang w:val="en-US" w:eastAsia="zh-CN"/>
        </w:rPr>
        <w:t>十</w:t>
      </w:r>
      <w:r>
        <w:rPr>
          <w:rFonts w:hint="eastAsia" w:ascii="宋体" w:hAnsi="宋体" w:eastAsia="宋体" w:cs="宋体"/>
          <w:b/>
          <w:bCs/>
          <w:color w:val="auto"/>
          <w:highlight w:val="none"/>
        </w:rPr>
        <w:t>二</w:t>
      </w:r>
      <w:r>
        <w:rPr>
          <w:rFonts w:hint="eastAsia" w:ascii="宋体" w:hAnsi="宋体" w:eastAsia="宋体" w:cs="宋体"/>
          <w:b/>
          <w:color w:val="auto"/>
          <w:highlight w:val="none"/>
        </w:rPr>
        <w:t>、</w:t>
      </w:r>
      <w:r>
        <w:rPr>
          <w:rFonts w:hint="eastAsia" w:ascii="宋体" w:hAnsi="宋体" w:eastAsia="宋体" w:cs="宋体"/>
          <w:b/>
          <w:bCs/>
          <w:color w:val="auto"/>
          <w:highlight w:val="none"/>
        </w:rPr>
        <w:t>保密原则</w:t>
      </w:r>
    </w:p>
    <w:p w14:paraId="4635A9CC">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甲、乙双方在业务往来中均应做好保密工作，妥善保管相关信息、资料，自觉地遵守国家、省及行业的相关保密原则。但双方另有约定或根据法律、法规要求及有权机构指令进行披露的除外。</w:t>
      </w:r>
    </w:p>
    <w:p w14:paraId="2B5BFAF2">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jc w:val="left"/>
        <w:outlineLvl w:val="9"/>
        <w:rPr>
          <w:rFonts w:hint="eastAsia" w:ascii="宋体" w:hAnsi="宋体" w:eastAsia="宋体" w:cs="宋体"/>
          <w:b/>
          <w:color w:val="auto"/>
          <w:highlight w:val="none"/>
        </w:rPr>
      </w:pPr>
      <w:r>
        <w:rPr>
          <w:rFonts w:hint="eastAsia" w:ascii="宋体" w:hAnsi="宋体" w:eastAsia="宋体" w:cs="宋体"/>
          <w:b/>
          <w:bCs/>
          <w:snapToGrid w:val="0"/>
          <w:color w:val="auto"/>
          <w:szCs w:val="21"/>
          <w:highlight w:val="none"/>
        </w:rPr>
        <w:t>十</w:t>
      </w:r>
      <w:r>
        <w:rPr>
          <w:rFonts w:hint="eastAsia" w:ascii="宋体" w:hAnsi="宋体" w:eastAsia="宋体" w:cs="宋体"/>
          <w:b/>
          <w:color w:val="auto"/>
          <w:highlight w:val="none"/>
          <w:lang w:val="en-US" w:eastAsia="zh-CN"/>
        </w:rPr>
        <w:t>三</w:t>
      </w:r>
      <w:r>
        <w:rPr>
          <w:rFonts w:hint="eastAsia" w:ascii="宋体" w:hAnsi="宋体" w:eastAsia="宋体" w:cs="宋体"/>
          <w:b/>
          <w:bCs/>
          <w:snapToGrid w:val="0"/>
          <w:color w:val="auto"/>
          <w:szCs w:val="21"/>
          <w:highlight w:val="none"/>
        </w:rPr>
        <w:t>、</w:t>
      </w:r>
      <w:r>
        <w:rPr>
          <w:rFonts w:hint="eastAsia" w:ascii="宋体" w:hAnsi="宋体" w:eastAsia="宋体" w:cs="宋体"/>
          <w:b/>
          <w:color w:val="auto"/>
          <w:highlight w:val="none"/>
        </w:rPr>
        <w:t>违约责任</w:t>
      </w:r>
    </w:p>
    <w:p w14:paraId="171B4E96">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1、甲方无正当理由拒收接受服务的，甲方向乙方支付合同款项百分之五作为违约金。</w:t>
      </w:r>
    </w:p>
    <w:p w14:paraId="7FA1594C">
      <w:pPr>
        <w:pStyle w:val="11"/>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2、甲方无故逾期验收和办理款项支付手续的，甲方应按逾期付款总额向乙方支付每日万分之五违约金。</w:t>
      </w:r>
    </w:p>
    <w:p w14:paraId="373A1F08">
      <w:pPr>
        <w:pStyle w:val="13"/>
        <w:keepNext w:val="0"/>
        <w:keepLines w:val="0"/>
        <w:pageBreakBefore w:val="0"/>
        <w:kinsoku/>
        <w:wordWrap/>
        <w:overflowPunct/>
        <w:topLinePunct w:val="0"/>
        <w:autoSpaceDE/>
        <w:autoSpaceDN/>
        <w:bidi w:val="0"/>
        <w:adjustRightInd w:val="0"/>
        <w:snapToGrid w:val="0"/>
        <w:spacing w:line="360" w:lineRule="auto"/>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3、乙方逾期提供服务的，乙方应按逾期天数向甲方支付每日万分之五违约金。逾期超过约定日期10个工作日不能提供服务的，甲方可解除本合同。乙方因逾期提供服务或因其他违约行为导致甲方解除合同的，乙方应向甲方支付合同款项百分之五的违约金，如造成甲方损失超过违约金的，超出部分由乙方继续承担赔偿责任。 </w:t>
      </w:r>
    </w:p>
    <w:p w14:paraId="0B5012BE">
      <w:pPr>
        <w:pStyle w:val="13"/>
        <w:keepNext w:val="0"/>
        <w:keepLines w:val="0"/>
        <w:pageBreakBefore w:val="0"/>
        <w:kinsoku/>
        <w:wordWrap/>
        <w:overflowPunct/>
        <w:topLinePunct w:val="0"/>
        <w:autoSpaceDE/>
        <w:autoSpaceDN/>
        <w:bidi w:val="0"/>
        <w:adjustRightInd w:val="0"/>
        <w:snapToGrid w:val="0"/>
        <w:spacing w:line="360" w:lineRule="auto"/>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4、若发生纠纷，由违约方赔偿守约方因纠纷所支付的费用（包括但不限于律师费、差旅费、诉讼费、保全费、鉴定费、评估费等）。</w:t>
      </w:r>
    </w:p>
    <w:p w14:paraId="7E239888">
      <w:pPr>
        <w:pStyle w:val="13"/>
        <w:keepNext w:val="0"/>
        <w:keepLines w:val="0"/>
        <w:pageBreakBefore w:val="0"/>
        <w:kinsoku/>
        <w:wordWrap/>
        <w:overflowPunct/>
        <w:topLinePunct w:val="0"/>
        <w:autoSpaceDE/>
        <w:autoSpaceDN/>
        <w:bidi w:val="0"/>
        <w:snapToGrid w:val="0"/>
        <w:spacing w:line="360" w:lineRule="auto"/>
        <w:ind w:firstLine="422" w:firstLineChars="200"/>
        <w:jc w:val="left"/>
        <w:textAlignment w:val="baseline"/>
        <w:outlineLvl w:val="9"/>
        <w:rPr>
          <w:rFonts w:hint="eastAsia" w:ascii="宋体" w:hAnsi="宋体" w:eastAsia="宋体" w:cs="宋体"/>
          <w:b/>
          <w:bCs/>
          <w:snapToGrid w:val="0"/>
          <w:color w:val="auto"/>
          <w:szCs w:val="21"/>
          <w:highlight w:val="none"/>
        </w:rPr>
      </w:pPr>
      <w:r>
        <w:rPr>
          <w:rFonts w:hint="eastAsia" w:ascii="宋体" w:hAnsi="宋体" w:eastAsia="宋体" w:cs="宋体"/>
          <w:b/>
          <w:bCs/>
          <w:snapToGrid w:val="0"/>
          <w:color w:val="auto"/>
          <w:szCs w:val="21"/>
          <w:highlight w:val="none"/>
        </w:rPr>
        <w:t>十</w:t>
      </w:r>
      <w:r>
        <w:rPr>
          <w:rFonts w:hint="eastAsia" w:ascii="宋体" w:hAnsi="宋体" w:eastAsia="宋体" w:cs="宋体"/>
          <w:b/>
          <w:bCs/>
          <w:snapToGrid w:val="0"/>
          <w:color w:val="auto"/>
          <w:szCs w:val="21"/>
          <w:highlight w:val="none"/>
          <w:lang w:val="en-US" w:eastAsia="zh-CN"/>
        </w:rPr>
        <w:t>四</w:t>
      </w:r>
      <w:r>
        <w:rPr>
          <w:rFonts w:hint="eastAsia" w:ascii="宋体" w:hAnsi="宋体" w:eastAsia="宋体" w:cs="宋体"/>
          <w:b/>
          <w:bCs/>
          <w:snapToGrid w:val="0"/>
          <w:color w:val="auto"/>
          <w:szCs w:val="21"/>
          <w:highlight w:val="none"/>
        </w:rPr>
        <w:t>、不可抗力事件处理</w:t>
      </w:r>
    </w:p>
    <w:p w14:paraId="38EAC9F0">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1、在合同有效期内，任何一方因不可抗力事件导致不能履行合同，则合同履行期可延长，其延长期与不可抗力影响期相同。</w:t>
      </w:r>
    </w:p>
    <w:p w14:paraId="7E6BB8A7">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2、不可抗力事件发生后，应立即通知对方，并寄送有关权威机构出具的证明。</w:t>
      </w:r>
    </w:p>
    <w:p w14:paraId="3D5BE005">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3、不可抗力事件延续120天以上，双方应通过友好协商，确定是否继续履行合同。</w:t>
      </w:r>
    </w:p>
    <w:p w14:paraId="74324419">
      <w:pPr>
        <w:pStyle w:val="13"/>
        <w:keepNext w:val="0"/>
        <w:keepLines w:val="0"/>
        <w:pageBreakBefore w:val="0"/>
        <w:kinsoku/>
        <w:wordWrap/>
        <w:overflowPunct/>
        <w:topLinePunct w:val="0"/>
        <w:autoSpaceDE/>
        <w:autoSpaceDN/>
        <w:bidi w:val="0"/>
        <w:snapToGrid w:val="0"/>
        <w:spacing w:line="360" w:lineRule="auto"/>
        <w:ind w:firstLine="422" w:firstLineChars="200"/>
        <w:jc w:val="left"/>
        <w:textAlignment w:val="baseline"/>
        <w:outlineLvl w:val="9"/>
        <w:rPr>
          <w:rFonts w:hint="eastAsia" w:ascii="宋体" w:hAnsi="宋体" w:eastAsia="宋体" w:cs="宋体"/>
          <w:b/>
          <w:bCs/>
          <w:snapToGrid w:val="0"/>
          <w:color w:val="auto"/>
          <w:szCs w:val="21"/>
          <w:highlight w:val="none"/>
          <w:lang w:val="en-US" w:eastAsia="zh-CN"/>
        </w:rPr>
      </w:pPr>
      <w:r>
        <w:rPr>
          <w:rFonts w:hint="eastAsia" w:ascii="宋体" w:hAnsi="宋体" w:eastAsia="宋体" w:cs="宋体"/>
          <w:b/>
          <w:bCs/>
          <w:snapToGrid w:val="0"/>
          <w:color w:val="auto"/>
          <w:szCs w:val="21"/>
          <w:highlight w:val="none"/>
        </w:rPr>
        <w:t>十</w:t>
      </w:r>
      <w:r>
        <w:rPr>
          <w:rFonts w:hint="eastAsia" w:ascii="宋体" w:hAnsi="宋体" w:eastAsia="宋体" w:cs="宋体"/>
          <w:b/>
          <w:bCs/>
          <w:snapToGrid w:val="0"/>
          <w:color w:val="auto"/>
          <w:szCs w:val="21"/>
          <w:highlight w:val="none"/>
          <w:lang w:val="en-US" w:eastAsia="zh-CN"/>
        </w:rPr>
        <w:t>五</w:t>
      </w:r>
      <w:r>
        <w:rPr>
          <w:rFonts w:hint="eastAsia" w:ascii="宋体" w:hAnsi="宋体" w:eastAsia="宋体" w:cs="宋体"/>
          <w:b/>
          <w:bCs/>
          <w:snapToGrid w:val="0"/>
          <w:color w:val="auto"/>
          <w:szCs w:val="21"/>
          <w:highlight w:val="none"/>
        </w:rPr>
        <w:t>、</w:t>
      </w:r>
      <w:r>
        <w:rPr>
          <w:rFonts w:hint="eastAsia" w:ascii="宋体" w:hAnsi="宋体" w:eastAsia="宋体" w:cs="宋体"/>
          <w:b/>
          <w:bCs/>
          <w:snapToGrid w:val="0"/>
          <w:color w:val="auto"/>
          <w:szCs w:val="21"/>
          <w:highlight w:val="none"/>
          <w:lang w:val="en-US" w:eastAsia="zh-CN"/>
        </w:rPr>
        <w:t>仲裁</w:t>
      </w:r>
    </w:p>
    <w:p w14:paraId="64AE7799">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双方在执行合同中所发生的一切争议，应通过协商解决。如协商不成，</w:t>
      </w:r>
      <w:r>
        <w:rPr>
          <w:rFonts w:hint="eastAsia" w:ascii="宋体" w:hAnsi="宋体" w:eastAsia="宋体" w:cs="宋体"/>
          <w:color w:val="auto"/>
          <w:kern w:val="0"/>
          <w:szCs w:val="21"/>
          <w:highlight w:val="none"/>
        </w:rPr>
        <w:t>提交</w:t>
      </w:r>
      <w:r>
        <w:rPr>
          <w:rFonts w:hint="eastAsia" w:ascii="宋体" w:hAnsi="宋体" w:eastAsia="宋体" w:cs="宋体"/>
          <w:color w:val="auto"/>
          <w:szCs w:val="21"/>
          <w:highlight w:val="none"/>
          <w:u w:val="single"/>
        </w:rPr>
        <w:t>台州</w:t>
      </w:r>
      <w:r>
        <w:rPr>
          <w:rFonts w:hint="eastAsia" w:ascii="宋体" w:hAnsi="宋体" w:eastAsia="宋体" w:cs="宋体"/>
          <w:color w:val="auto"/>
          <w:kern w:val="0"/>
          <w:szCs w:val="21"/>
          <w:highlight w:val="none"/>
        </w:rPr>
        <w:t>仲裁委员会仲裁。</w:t>
      </w:r>
      <w:r>
        <w:rPr>
          <w:rFonts w:hint="eastAsia" w:ascii="宋体" w:hAnsi="宋体" w:eastAsia="宋体" w:cs="宋体"/>
          <w:snapToGrid w:val="0"/>
          <w:color w:val="auto"/>
          <w:szCs w:val="21"/>
          <w:highlight w:val="none"/>
        </w:rPr>
        <w:t xml:space="preserve"> </w:t>
      </w:r>
    </w:p>
    <w:p w14:paraId="3293647D">
      <w:pPr>
        <w:pStyle w:val="13"/>
        <w:keepNext w:val="0"/>
        <w:keepLines w:val="0"/>
        <w:pageBreakBefore w:val="0"/>
        <w:kinsoku/>
        <w:wordWrap/>
        <w:overflowPunct/>
        <w:topLinePunct w:val="0"/>
        <w:autoSpaceDE/>
        <w:autoSpaceDN/>
        <w:bidi w:val="0"/>
        <w:snapToGrid w:val="0"/>
        <w:spacing w:line="360" w:lineRule="auto"/>
        <w:ind w:firstLine="422" w:firstLineChars="200"/>
        <w:jc w:val="left"/>
        <w:textAlignment w:val="baseline"/>
        <w:outlineLvl w:val="9"/>
        <w:rPr>
          <w:rFonts w:hint="eastAsia" w:ascii="宋体" w:hAnsi="宋体" w:eastAsia="宋体" w:cs="宋体"/>
          <w:b/>
          <w:bCs/>
          <w:snapToGrid w:val="0"/>
          <w:color w:val="auto"/>
          <w:szCs w:val="21"/>
          <w:highlight w:val="none"/>
        </w:rPr>
      </w:pPr>
      <w:r>
        <w:rPr>
          <w:rFonts w:hint="eastAsia" w:ascii="宋体" w:hAnsi="宋体" w:eastAsia="宋体" w:cs="宋体"/>
          <w:b/>
          <w:bCs/>
          <w:snapToGrid w:val="0"/>
          <w:color w:val="auto"/>
          <w:szCs w:val="21"/>
          <w:highlight w:val="none"/>
          <w:lang w:val="en-US" w:eastAsia="zh-CN"/>
        </w:rPr>
        <w:t>十六、</w:t>
      </w:r>
      <w:r>
        <w:rPr>
          <w:rFonts w:hint="eastAsia" w:ascii="宋体" w:hAnsi="宋体" w:eastAsia="宋体" w:cs="宋体"/>
          <w:b/>
          <w:bCs/>
          <w:snapToGrid w:val="0"/>
          <w:color w:val="auto"/>
          <w:szCs w:val="21"/>
          <w:highlight w:val="none"/>
        </w:rPr>
        <w:t>合同生效及其它</w:t>
      </w:r>
    </w:p>
    <w:p w14:paraId="692BF701">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1、合同经双方法定代表人或授权代表签字并加盖单位公章后生效。</w:t>
      </w:r>
    </w:p>
    <w:p w14:paraId="77FD9992">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2、合同执行中涉及采购资金和采购内容修改或补充的，须经财政部门审批，并签书面补充协议报政府采购监督管理部门备案，方为生效，届时才作为主合同不可分割的一部分。</w:t>
      </w:r>
    </w:p>
    <w:p w14:paraId="626953AC">
      <w:pPr>
        <w:pStyle w:val="13"/>
        <w:keepNext w:val="0"/>
        <w:keepLines w:val="0"/>
        <w:pageBreakBefore w:val="0"/>
        <w:kinsoku/>
        <w:wordWrap/>
        <w:overflowPunct/>
        <w:topLinePunct w:val="0"/>
        <w:autoSpaceDE/>
        <w:autoSpaceDN/>
        <w:bidi w:val="0"/>
        <w:snapToGrid w:val="0"/>
        <w:spacing w:line="360" w:lineRule="auto"/>
        <w:ind w:firstLine="420" w:firstLineChars="200"/>
        <w:jc w:val="lef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3、本合同未尽事宜，遵照《</w:t>
      </w:r>
      <w:r>
        <w:rPr>
          <w:rFonts w:hint="eastAsia" w:ascii="宋体" w:hAnsi="宋体" w:eastAsia="宋体" w:cs="宋体"/>
          <w:snapToGrid w:val="0"/>
          <w:color w:val="auto"/>
          <w:szCs w:val="21"/>
          <w:highlight w:val="none"/>
          <w:lang w:val="en-US" w:eastAsia="zh-CN"/>
        </w:rPr>
        <w:t>民法典</w:t>
      </w:r>
      <w:r>
        <w:rPr>
          <w:rFonts w:hint="eastAsia" w:ascii="宋体" w:hAnsi="宋体" w:eastAsia="宋体" w:cs="宋体"/>
          <w:snapToGrid w:val="0"/>
          <w:color w:val="auto"/>
          <w:szCs w:val="21"/>
          <w:highlight w:val="none"/>
        </w:rPr>
        <w:t>》有关条文执行。</w:t>
      </w:r>
    </w:p>
    <w:p w14:paraId="630F088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pacing w:val="-6"/>
          <w:kern w:val="0"/>
          <w:szCs w:val="21"/>
          <w:highlight w:val="none"/>
        </w:rPr>
        <w:t>、本合同壹式捌份，甲、乙双方各执叁份、招标代理公司执贰份。本项目未尽事宜以招标文件、投标文件及澄清文件等为准。</w:t>
      </w:r>
    </w:p>
    <w:p w14:paraId="1880140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r>
        <w:rPr>
          <w:rFonts w:hint="eastAsia" w:ascii="宋体" w:hAnsi="宋体" w:eastAsia="宋体" w:cs="宋体"/>
          <w:color w:val="auto"/>
          <w:spacing w:val="-6"/>
          <w:kern w:val="0"/>
          <w:szCs w:val="21"/>
          <w:highlight w:val="none"/>
        </w:rPr>
        <w:t>、与本合同有关标书及记录同本合同具有同等法律效果。</w:t>
      </w:r>
    </w:p>
    <w:p w14:paraId="3F88BE1C">
      <w:pPr>
        <w:keepNext w:val="0"/>
        <w:keepLines w:val="0"/>
        <w:pageBreakBefore w:val="0"/>
        <w:widowControl/>
        <w:kinsoku/>
        <w:wordWrap/>
        <w:overflowPunct/>
        <w:topLinePunct w:val="0"/>
        <w:autoSpaceDE/>
        <w:autoSpaceDN/>
        <w:bidi w:val="0"/>
        <w:spacing w:line="360" w:lineRule="auto"/>
        <w:ind w:firstLine="420" w:firstLineChars="200"/>
        <w:jc w:val="left"/>
        <w:outlineLvl w:val="9"/>
        <w:rPr>
          <w:rFonts w:hint="eastAsia" w:ascii="宋体" w:hAnsi="宋体" w:eastAsia="宋体" w:cs="宋体"/>
          <w:color w:val="auto"/>
          <w:kern w:val="0"/>
          <w:szCs w:val="21"/>
          <w:highlight w:val="none"/>
        </w:rPr>
      </w:pPr>
    </w:p>
    <w:p w14:paraId="34C9B78B">
      <w:pPr>
        <w:keepNext w:val="0"/>
        <w:keepLines w:val="0"/>
        <w:pageBreakBefore w:val="0"/>
        <w:widowControl/>
        <w:kinsoku/>
        <w:wordWrap/>
        <w:overflowPunct/>
        <w:topLinePunct w:val="0"/>
        <w:bidi w:val="0"/>
        <w:spacing w:line="360" w:lineRule="auto"/>
        <w:ind w:firstLine="31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甲方（公章）：                             乙方（公章）：          </w:t>
      </w:r>
    </w:p>
    <w:p w14:paraId="40FF9DCC">
      <w:pPr>
        <w:keepNext w:val="0"/>
        <w:keepLines w:val="0"/>
        <w:pageBreakBefore w:val="0"/>
        <w:widowControl/>
        <w:kinsoku/>
        <w:wordWrap/>
        <w:overflowPunct/>
        <w:topLinePunct w:val="0"/>
        <w:bidi w:val="0"/>
        <w:spacing w:line="360" w:lineRule="auto"/>
        <w:ind w:firstLine="31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法定代表人或授权委托代理人</w:t>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lang w:eastAsia="zh-CN"/>
        </w:rPr>
        <w:t>法定代表人或授权委托代理人</w:t>
      </w:r>
      <w:r>
        <w:rPr>
          <w:rFonts w:hint="eastAsia" w:ascii="宋体" w:hAnsi="宋体" w:eastAsia="宋体" w:cs="宋体"/>
          <w:color w:val="auto"/>
          <w:kern w:val="0"/>
          <w:szCs w:val="21"/>
          <w:highlight w:val="none"/>
        </w:rPr>
        <w:t xml:space="preserve">：         </w:t>
      </w:r>
    </w:p>
    <w:p w14:paraId="0DDF52B3">
      <w:pPr>
        <w:keepNext w:val="0"/>
        <w:keepLines w:val="0"/>
        <w:pageBreakBefore w:val="0"/>
        <w:widowControl/>
        <w:kinsoku/>
        <w:wordWrap/>
        <w:overflowPunct/>
        <w:topLinePunct w:val="0"/>
        <w:bidi w:val="0"/>
        <w:spacing w:line="360" w:lineRule="auto"/>
        <w:ind w:firstLine="31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联系电话：                                联系电话：</w:t>
      </w:r>
    </w:p>
    <w:p w14:paraId="4634050F">
      <w:pPr>
        <w:keepNext w:val="0"/>
        <w:keepLines w:val="0"/>
        <w:pageBreakBefore w:val="0"/>
        <w:widowControl/>
        <w:kinsoku/>
        <w:wordWrap/>
        <w:overflowPunct/>
        <w:topLinePunct w:val="0"/>
        <w:bidi w:val="0"/>
        <w:spacing w:line="360" w:lineRule="auto"/>
        <w:ind w:firstLine="31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开户银行：                                开户银行：    </w:t>
      </w:r>
    </w:p>
    <w:p w14:paraId="206ADDC8">
      <w:pPr>
        <w:keepNext w:val="0"/>
        <w:keepLines w:val="0"/>
        <w:pageBreakBefore w:val="0"/>
        <w:widowControl/>
        <w:kinsoku/>
        <w:wordWrap/>
        <w:overflowPunct/>
        <w:topLinePunct w:val="0"/>
        <w:bidi w:val="0"/>
        <w:spacing w:line="360" w:lineRule="auto"/>
        <w:ind w:firstLine="31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账    号：                                账    号：</w:t>
      </w:r>
    </w:p>
    <w:p w14:paraId="26BD78A3">
      <w:pPr>
        <w:keepNext w:val="0"/>
        <w:keepLines w:val="0"/>
        <w:pageBreakBefore w:val="0"/>
        <w:kinsoku/>
        <w:wordWrap/>
        <w:overflowPunct/>
        <w:topLinePunct w:val="0"/>
        <w:bidi w:val="0"/>
        <w:spacing w:line="500" w:lineRule="exact"/>
        <w:textAlignment w:val="baseline"/>
        <w:outlineLvl w:val="9"/>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 xml:space="preserve">    合同</w:t>
      </w:r>
      <w:r>
        <w:rPr>
          <w:rFonts w:hint="eastAsia" w:ascii="宋体" w:hAnsi="宋体" w:eastAsia="宋体" w:cs="宋体"/>
          <w:snapToGrid w:val="0"/>
          <w:color w:val="auto"/>
          <w:szCs w:val="21"/>
          <w:highlight w:val="none"/>
          <w:lang w:val="en-US" w:eastAsia="zh-CN"/>
        </w:rPr>
        <w:t>见证方</w:t>
      </w:r>
      <w:r>
        <w:rPr>
          <w:rFonts w:hint="eastAsia" w:ascii="宋体" w:hAnsi="宋体" w:eastAsia="宋体" w:cs="宋体"/>
          <w:snapToGrid w:val="0"/>
          <w:color w:val="auto"/>
          <w:szCs w:val="21"/>
          <w:highlight w:val="none"/>
        </w:rPr>
        <w:t>：</w:t>
      </w:r>
    </w:p>
    <w:p w14:paraId="49211A48">
      <w:pPr>
        <w:pStyle w:val="10"/>
        <w:ind w:firstLine="3570" w:firstLineChars="1700"/>
        <w:rPr>
          <w:rFonts w:hint="eastAsia" w:ascii="宋体" w:hAnsi="宋体" w:eastAsia="宋体" w:cs="宋体"/>
          <w:b/>
          <w:color w:val="auto"/>
          <w:sz w:val="36"/>
          <w:szCs w:val="36"/>
          <w:highlight w:val="none"/>
        </w:rPr>
      </w:pPr>
      <w:r>
        <w:rPr>
          <w:rFonts w:hint="eastAsia" w:ascii="宋体" w:hAnsi="宋体" w:eastAsia="宋体" w:cs="宋体"/>
          <w:color w:val="auto"/>
          <w:kern w:val="0"/>
          <w:szCs w:val="21"/>
          <w:highlight w:val="none"/>
        </w:rPr>
        <w:t>签订日期：       年     月     日</w:t>
      </w:r>
    </w:p>
    <w:p w14:paraId="0BF12E9E">
      <w:pPr>
        <w:pStyle w:val="9"/>
        <w:jc w:val="center"/>
        <w:outlineLvl w:val="0"/>
        <w:rPr>
          <w:rFonts w:hint="eastAsia" w:ascii="宋体" w:hAnsi="宋体" w:eastAsia="宋体" w:cs="宋体"/>
          <w:b/>
          <w:color w:val="auto"/>
          <w:sz w:val="36"/>
          <w:szCs w:val="36"/>
          <w:highlight w:val="none"/>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14:paraId="63DC6731">
      <w:pPr>
        <w:pStyle w:val="9"/>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第六章 投标文件格式附件</w:t>
      </w:r>
    </w:p>
    <w:p w14:paraId="360AB946">
      <w:pPr>
        <w:keepNext w:val="0"/>
        <w:keepLines w:val="0"/>
        <w:pageBreakBefore w:val="0"/>
        <w:kinsoku/>
        <w:wordWrap/>
        <w:overflowPunct/>
        <w:topLinePunct w:val="0"/>
        <w:bidi w:val="0"/>
        <w:spacing w:line="360" w:lineRule="auto"/>
        <w:outlineLvl w:val="9"/>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附件1</w:t>
      </w:r>
      <w:r>
        <w:rPr>
          <w:rFonts w:hint="eastAsia" w:ascii="宋体" w:hAnsi="宋体" w:eastAsia="宋体" w:cs="宋体"/>
          <w:color w:val="auto"/>
          <w:sz w:val="30"/>
          <w:szCs w:val="30"/>
          <w:highlight w:val="none"/>
        </w:rPr>
        <w:t xml:space="preserve">　　                                      </w:t>
      </w:r>
      <w:r>
        <w:rPr>
          <w:rFonts w:hint="eastAsia" w:ascii="宋体" w:hAnsi="宋体" w:eastAsia="宋体" w:cs="宋体"/>
          <w:b/>
          <w:color w:val="auto"/>
          <w:sz w:val="28"/>
          <w:highlight w:val="none"/>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Cs/>
          <w:color w:val="auto"/>
          <w:sz w:val="24"/>
          <w:highlight w:val="none"/>
        </w:rPr>
        <w:t>本</w:t>
      </w:r>
      <w:r>
        <w:rPr>
          <w:rFonts w:hint="eastAsia" w:ascii="宋体" w:hAnsi="宋体" w:eastAsia="宋体" w:cs="宋体"/>
          <w:color w:val="auto"/>
          <w:sz w:val="30"/>
          <w:szCs w:val="30"/>
          <w:highlight w:val="none"/>
        </w:rPr>
        <w:t xml:space="preserve">                       　</w:t>
      </w:r>
    </w:p>
    <w:p w14:paraId="5FD20780">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30"/>
          <w:szCs w:val="30"/>
          <w:highlight w:val="none"/>
        </w:rPr>
      </w:pPr>
    </w:p>
    <w:p w14:paraId="0A4C40F2">
      <w:pPr>
        <w:keepNext w:val="0"/>
        <w:keepLines w:val="0"/>
        <w:pageBreakBefore w:val="0"/>
        <w:kinsoku/>
        <w:wordWrap/>
        <w:overflowPunct/>
        <w:topLinePunct w:val="0"/>
        <w:bidi w:val="0"/>
        <w:spacing w:line="360" w:lineRule="auto"/>
        <w:ind w:right="-110"/>
        <w:jc w:val="center"/>
        <w:outlineLvl w:val="9"/>
        <w:rPr>
          <w:rFonts w:hint="eastAsia" w:ascii="宋体" w:hAnsi="宋体" w:eastAsia="宋体" w:cs="宋体"/>
          <w:color w:val="auto"/>
          <w:spacing w:val="40"/>
          <w:sz w:val="52"/>
          <w:szCs w:val="52"/>
          <w:highlight w:val="none"/>
        </w:rPr>
      </w:pPr>
      <w:r>
        <w:rPr>
          <w:rFonts w:hint="eastAsia" w:ascii="宋体" w:hAnsi="宋体" w:eastAsia="宋体" w:cs="宋体"/>
          <w:color w:val="auto"/>
          <w:spacing w:val="40"/>
          <w:sz w:val="52"/>
          <w:szCs w:val="52"/>
          <w:highlight w:val="none"/>
        </w:rPr>
        <w:t>项目名称</w:t>
      </w:r>
    </w:p>
    <w:p w14:paraId="2E6DBD2B">
      <w:pPr>
        <w:keepNext w:val="0"/>
        <w:keepLines w:val="0"/>
        <w:pageBreakBefore w:val="0"/>
        <w:kinsoku/>
        <w:wordWrap/>
        <w:overflowPunct/>
        <w:topLinePunct w:val="0"/>
        <w:bidi w:val="0"/>
        <w:spacing w:before="312" w:beforeLines="100" w:line="360" w:lineRule="auto"/>
        <w:ind w:right="-108"/>
        <w:jc w:val="center"/>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p>
    <w:p w14:paraId="5374B3A4">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p>
    <w:p w14:paraId="5E52E62C">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投</w:t>
      </w:r>
    </w:p>
    <w:p w14:paraId="48896DC6">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标</w:t>
      </w:r>
    </w:p>
    <w:p w14:paraId="08198D5B">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lang w:val="zh-CN"/>
        </w:rPr>
        <w:t>文</w:t>
      </w:r>
    </w:p>
    <w:p w14:paraId="214BBF2D">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件</w:t>
      </w:r>
    </w:p>
    <w:p w14:paraId="4D3AFAF1">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28"/>
          <w:szCs w:val="28"/>
          <w:highlight w:val="none"/>
        </w:rPr>
      </w:pPr>
      <w:r>
        <w:rPr>
          <w:rFonts w:hint="eastAsia" w:ascii="宋体" w:hAnsi="宋体" w:eastAsia="宋体" w:cs="宋体"/>
          <w:color w:val="auto"/>
          <w:sz w:val="28"/>
          <w:szCs w:val="28"/>
          <w:highlight w:val="none"/>
          <w:lang w:val="zh-CN"/>
        </w:rPr>
        <w:t>（</w:t>
      </w:r>
      <w:r>
        <w:rPr>
          <w:rFonts w:hint="eastAsia" w:ascii="宋体" w:hAnsi="宋体" w:eastAsia="宋体" w:cs="宋体"/>
          <w:b/>
          <w:color w:val="auto"/>
          <w:spacing w:val="40"/>
          <w:sz w:val="28"/>
          <w:szCs w:val="28"/>
          <w:highlight w:val="none"/>
        </w:rPr>
        <w:t>资格证明文件）</w:t>
      </w:r>
    </w:p>
    <w:p w14:paraId="78E839B4">
      <w:pPr>
        <w:pStyle w:val="53"/>
        <w:keepNext w:val="0"/>
        <w:keepLines w:val="0"/>
        <w:pageBreakBefore w:val="0"/>
        <w:kinsoku/>
        <w:wordWrap/>
        <w:overflowPunct/>
        <w:topLinePunct w:val="0"/>
        <w:bidi w:val="0"/>
        <w:outlineLvl w:val="9"/>
        <w:rPr>
          <w:rFonts w:hint="eastAsia" w:ascii="宋体" w:hAnsi="宋体" w:eastAsia="宋体" w:cs="宋体"/>
          <w:color w:val="auto"/>
          <w:highlight w:val="none"/>
        </w:rPr>
      </w:pPr>
    </w:p>
    <w:p w14:paraId="49529850">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投标人全称（公章）：</w:t>
      </w:r>
    </w:p>
    <w:p w14:paraId="0095E5FA">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地址：</w:t>
      </w:r>
    </w:p>
    <w:p w14:paraId="64DC2630">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b/>
          <w:color w:val="auto"/>
          <w:sz w:val="36"/>
          <w:szCs w:val="36"/>
          <w:highlight w:val="none"/>
        </w:rPr>
      </w:pPr>
      <w:r>
        <w:rPr>
          <w:rFonts w:hint="eastAsia" w:ascii="宋体" w:hAnsi="宋体" w:eastAsia="宋体" w:cs="宋体"/>
          <w:color w:val="auto"/>
          <w:sz w:val="36"/>
          <w:szCs w:val="36"/>
          <w:highlight w:val="none"/>
        </w:rPr>
        <w:t>时间：</w:t>
      </w:r>
    </w:p>
    <w:p w14:paraId="33D6461F">
      <w:pPr>
        <w:keepNext w:val="0"/>
        <w:keepLines w:val="0"/>
        <w:pageBreakBefore w:val="0"/>
        <w:widowControl w:val="0"/>
        <w:kinsoku/>
        <w:wordWrap/>
        <w:overflowPunct/>
        <w:topLinePunct w:val="0"/>
        <w:autoSpaceDE/>
        <w:autoSpaceDN/>
        <w:bidi w:val="0"/>
        <w:adjustRightInd/>
        <w:snapToGrid w:val="0"/>
        <w:spacing w:before="50" w:after="50" w:line="360" w:lineRule="auto"/>
        <w:jc w:val="center"/>
        <w:textAlignment w:val="auto"/>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资格证明文件目录</w:t>
      </w:r>
    </w:p>
    <w:p w14:paraId="69DAEEE7">
      <w:pPr>
        <w:keepNext w:val="0"/>
        <w:keepLines w:val="0"/>
        <w:pageBreakBefore w:val="0"/>
        <w:kinsoku/>
        <w:wordWrap/>
        <w:overflowPunct/>
        <w:topLinePunct w:val="0"/>
        <w:bidi w:val="0"/>
        <w:snapToGrid w:val="0"/>
        <w:spacing w:before="50" w:after="50" w:line="360" w:lineRule="auto"/>
        <w:jc w:val="center"/>
        <w:outlineLvl w:val="9"/>
        <w:rPr>
          <w:rFonts w:hint="eastAsia" w:ascii="宋体" w:hAnsi="宋体" w:eastAsia="宋体" w:cs="宋体"/>
          <w:b/>
          <w:bCs/>
          <w:color w:val="auto"/>
          <w:sz w:val="32"/>
          <w:szCs w:val="32"/>
          <w:highlight w:val="none"/>
        </w:rPr>
      </w:pPr>
    </w:p>
    <w:p w14:paraId="60C492D6">
      <w:pPr>
        <w:keepNext w:val="0"/>
        <w:keepLines w:val="0"/>
        <w:pageBreakBefore w:val="0"/>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1、投标声明书</w:t>
      </w:r>
      <w:r>
        <w:rPr>
          <w:rFonts w:hint="eastAsia" w:ascii="宋体" w:hAnsi="宋体" w:eastAsia="宋体" w:cs="宋体"/>
          <w:color w:val="auto"/>
          <w:sz w:val="24"/>
          <w:highlight w:val="none"/>
        </w:rPr>
        <w:t>（附件2）</w:t>
      </w:r>
    </w:p>
    <w:p w14:paraId="568D5708">
      <w:pPr>
        <w:keepNext w:val="0"/>
        <w:keepLines w:val="0"/>
        <w:pageBreakBefore w:val="0"/>
        <w:kinsoku/>
        <w:wordWrap/>
        <w:overflowPunct/>
        <w:topLinePunct w:val="0"/>
        <w:bidi w:val="0"/>
        <w:snapToGrid w:val="0"/>
        <w:spacing w:line="360" w:lineRule="auto"/>
        <w:ind w:firstLine="480" w:firstLineChars="200"/>
        <w:outlineLvl w:val="9"/>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2、授权委托书（附件3）</w:t>
      </w:r>
    </w:p>
    <w:p w14:paraId="2D4AA7E5">
      <w:pPr>
        <w:keepNext w:val="0"/>
        <w:keepLines w:val="0"/>
        <w:pageBreakBefore w:val="0"/>
        <w:kinsoku/>
        <w:wordWrap/>
        <w:overflowPunct/>
        <w:topLinePunct w:val="0"/>
        <w:bidi w:val="0"/>
        <w:snapToGrid w:val="0"/>
        <w:spacing w:line="360" w:lineRule="auto"/>
        <w:ind w:firstLine="48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3、法人或者其他组织的营业执照等证明文件，法定代表人和授权代表的身份证明</w:t>
      </w:r>
    </w:p>
    <w:p w14:paraId="695E1038">
      <w:pPr>
        <w:keepNext w:val="0"/>
        <w:keepLines w:val="0"/>
        <w:pageBreakBefore w:val="0"/>
        <w:kinsoku/>
        <w:wordWrap/>
        <w:overflowPunct/>
        <w:topLinePunct w:val="0"/>
        <w:bidi w:val="0"/>
        <w:snapToGrid w:val="0"/>
        <w:spacing w:line="360" w:lineRule="auto"/>
        <w:ind w:firstLine="480" w:firstLineChars="200"/>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lang w:eastAsia="zh-CN"/>
        </w:rPr>
        <w:t>投标人认为需要说明的其他材料</w:t>
      </w:r>
    </w:p>
    <w:p w14:paraId="51F1DBA5">
      <w:pPr>
        <w:keepNext w:val="0"/>
        <w:keepLines w:val="0"/>
        <w:pageBreakBefore w:val="0"/>
        <w:kinsoku/>
        <w:wordWrap/>
        <w:overflowPunct/>
        <w:topLinePunct w:val="0"/>
        <w:bidi w:val="0"/>
        <w:snapToGrid w:val="0"/>
        <w:spacing w:before="100" w:beforeAutospacing="1" w:after="100" w:afterAutospacing="1" w:line="360" w:lineRule="auto"/>
        <w:jc w:val="center"/>
        <w:outlineLvl w:val="9"/>
        <w:rPr>
          <w:rFonts w:hint="eastAsia" w:ascii="宋体" w:hAnsi="宋体" w:eastAsia="宋体" w:cs="宋体"/>
          <w:b/>
          <w:bCs/>
          <w:color w:val="auto"/>
          <w:sz w:val="36"/>
          <w:szCs w:val="32"/>
          <w:highlight w:val="none"/>
        </w:rPr>
      </w:pPr>
    </w:p>
    <w:p w14:paraId="188B13D6">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3B1F71AF">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229B0549">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2FDAD573">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528D03E5">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4C345FAF">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4CB27FC9">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74092CAA">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3FBA64C4">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5AE6373D">
      <w:pPr>
        <w:keepNext w:val="0"/>
        <w:keepLines w:val="0"/>
        <w:pageBreakBefore w:val="0"/>
        <w:kinsoku/>
        <w:wordWrap/>
        <w:overflowPunct/>
        <w:topLinePunct w:val="0"/>
        <w:bidi w:val="0"/>
        <w:spacing w:line="360" w:lineRule="auto"/>
        <w:ind w:left="420"/>
        <w:outlineLvl w:val="9"/>
        <w:rPr>
          <w:rFonts w:hint="eastAsia" w:ascii="宋体" w:hAnsi="宋体" w:eastAsia="宋体" w:cs="宋体"/>
          <w:b/>
          <w:color w:val="auto"/>
          <w:sz w:val="28"/>
          <w:highlight w:val="none"/>
        </w:rPr>
      </w:pPr>
    </w:p>
    <w:p w14:paraId="637F19AA">
      <w:pPr>
        <w:pStyle w:val="9"/>
        <w:keepNext w:val="0"/>
        <w:keepLines w:val="0"/>
        <w:pageBreakBefore w:val="0"/>
        <w:kinsoku/>
        <w:wordWrap/>
        <w:overflowPunct/>
        <w:topLinePunct w:val="0"/>
        <w:bidi w:val="0"/>
        <w:outlineLvl w:val="9"/>
        <w:rPr>
          <w:rFonts w:hint="eastAsia" w:ascii="宋体" w:hAnsi="宋体" w:eastAsia="宋体" w:cs="宋体"/>
          <w:b/>
          <w:color w:val="auto"/>
          <w:sz w:val="28"/>
          <w:highlight w:val="none"/>
        </w:rPr>
      </w:pPr>
    </w:p>
    <w:p w14:paraId="439D8B87">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36BE050F">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53BE10D5">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3C365D85">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附件2</w:t>
      </w:r>
    </w:p>
    <w:p w14:paraId="2ACF854A">
      <w:pPr>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投标声明书</w:t>
      </w:r>
    </w:p>
    <w:p w14:paraId="0E7401F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eastAsia="zh-CN"/>
        </w:rPr>
        <w:t>台州市路桥区农业农村和水利局</w:t>
      </w:r>
      <w:r>
        <w:rPr>
          <w:rFonts w:hint="eastAsia" w:ascii="宋体" w:hAnsi="宋体" w:eastAsia="宋体" w:cs="宋体"/>
          <w:color w:val="auto"/>
          <w:szCs w:val="21"/>
          <w:highlight w:val="none"/>
          <w:u w:val="single"/>
        </w:rPr>
        <w:t>、台州永安工程咨询有限公司：</w:t>
      </w:r>
    </w:p>
    <w:p w14:paraId="5CD98C92">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投标人名称 </w:t>
      </w:r>
      <w:r>
        <w:rPr>
          <w:rFonts w:hint="eastAsia" w:ascii="宋体" w:hAnsi="宋体" w:eastAsia="宋体" w:cs="宋体"/>
          <w:color w:val="auto"/>
          <w:szCs w:val="21"/>
          <w:highlight w:val="none"/>
        </w:rPr>
        <w:t>）系中华人民共和国合法企业，经营地址。</w:t>
      </w:r>
    </w:p>
    <w:p w14:paraId="0E677F63">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w:t>
      </w:r>
      <w:r>
        <w:rPr>
          <w:rFonts w:hint="eastAsia" w:ascii="宋体" w:hAnsi="宋体" w:eastAsia="宋体" w:cs="宋体"/>
          <w:color w:val="auto"/>
          <w:szCs w:val="21"/>
          <w:highlight w:val="none"/>
          <w:u w:val="single"/>
        </w:rPr>
        <w:t xml:space="preserve"> 姓名 </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投标人名称 </w:t>
      </w:r>
      <w:r>
        <w:rPr>
          <w:rFonts w:hint="eastAsia" w:ascii="宋体" w:hAnsi="宋体" w:eastAsia="宋体" w:cs="宋体"/>
          <w:color w:val="auto"/>
          <w:szCs w:val="21"/>
          <w:highlight w:val="none"/>
        </w:rPr>
        <w:t>）的法定代表人，我公司自愿参加贵方组织的</w:t>
      </w:r>
      <w:r>
        <w:rPr>
          <w:rFonts w:hint="eastAsia" w:ascii="宋体" w:hAnsi="宋体" w:eastAsia="宋体" w:cs="宋体"/>
          <w:color w:val="auto"/>
          <w:szCs w:val="21"/>
          <w:highlight w:val="none"/>
          <w:u w:val="single"/>
          <w:lang w:eastAsia="zh-CN"/>
        </w:rPr>
        <w:t>路桥区2025-2027年粮油种植面积核查服务项目</w:t>
      </w:r>
      <w:r>
        <w:rPr>
          <w:rFonts w:hint="eastAsia" w:ascii="宋体" w:hAnsi="宋体" w:eastAsia="宋体" w:cs="宋体"/>
          <w:color w:val="auto"/>
          <w:szCs w:val="21"/>
          <w:highlight w:val="none"/>
        </w:rPr>
        <w:t>（编号为</w:t>
      </w:r>
      <w:r>
        <w:rPr>
          <w:rFonts w:hint="eastAsia" w:ascii="宋体" w:hAnsi="宋体" w:eastAsia="宋体" w:cs="宋体"/>
          <w:color w:val="auto"/>
          <w:szCs w:val="21"/>
          <w:highlight w:val="none"/>
          <w:u w:val="single"/>
          <w:lang w:eastAsia="zh-CN"/>
        </w:rPr>
        <w:t>tzya2025-lq01</w:t>
      </w:r>
      <w:r>
        <w:rPr>
          <w:rFonts w:hint="eastAsia" w:ascii="宋体" w:hAnsi="宋体" w:eastAsia="宋体" w:cs="宋体"/>
          <w:color w:val="auto"/>
          <w:szCs w:val="21"/>
          <w:highlight w:val="none"/>
        </w:rPr>
        <w:t>）的投标，为此，我公司就本次投标有关事项郑重声明如下：</w:t>
      </w:r>
    </w:p>
    <w:p w14:paraId="1A4B7ADE">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 我公司声明截止投标时间前三年内：在经营活动中没有重大违法记录（重大违法记录是指供应商因违法经营受到刑事处罚或者责令停产停业、吊销许可证或者执照、较大数额罚款等行政处罚）。</w:t>
      </w:r>
    </w:p>
    <w:p w14:paraId="4C1F813E">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 我公司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14:paraId="2FC3FAD1">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 我公司不是采购人的附属机构；在获知本项目采购信息后，与采购人聘请的为此项目提供咨询服务的公司及其附属机构没有任何联系。</w:t>
      </w:r>
    </w:p>
    <w:p w14:paraId="55D92495">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 我公司保证，采购人在中华人民共和国境内使用我公司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7DC085F4">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 我公司严格履行采购合同，不降低合同约定的产品质量和服务，不擅自变更、中止、终止合同，或拒绝履行合同义务；</w:t>
      </w:r>
    </w:p>
    <w:p w14:paraId="13DF5185">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 我公司承诺（若代理服务费由中标单位支付）：如在本项目中标，我公司在中标公告发布之日起5个工作日内按采购文件约定支付代理服务费。</w:t>
      </w:r>
    </w:p>
    <w:p w14:paraId="052DD2DE">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 以上事项如有虚假或隐瞒，我公司愿意承担一切后果，并不再寻求任何旨在减轻或免除法律责任的辩解</w:t>
      </w:r>
      <w:r>
        <w:rPr>
          <w:rFonts w:hint="eastAsia" w:ascii="宋体" w:hAnsi="宋体" w:eastAsia="宋体" w:cs="宋体"/>
          <w:color w:val="auto"/>
          <w:szCs w:val="21"/>
          <w:highlight w:val="none"/>
        </w:rPr>
        <w:t>。</w:t>
      </w:r>
    </w:p>
    <w:p w14:paraId="32AA778D">
      <w:pPr>
        <w:keepNext w:val="0"/>
        <w:keepLines w:val="0"/>
        <w:pageBreakBefore w:val="0"/>
        <w:kinsoku/>
        <w:wordWrap/>
        <w:overflowPunct/>
        <w:topLinePunct w:val="0"/>
        <w:bidi w:val="0"/>
        <w:spacing w:line="360" w:lineRule="auto"/>
        <w:ind w:firstLine="3360" w:firstLineChars="1600"/>
        <w:outlineLvl w:val="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投标人名称(公章)：</w:t>
      </w:r>
    </w:p>
    <w:p w14:paraId="7249F3AC">
      <w:pPr>
        <w:keepNext w:val="0"/>
        <w:keepLines w:val="0"/>
        <w:pageBreakBefore w:val="0"/>
        <w:kinsoku/>
        <w:wordWrap/>
        <w:overflowPunct/>
        <w:topLinePunct w:val="0"/>
        <w:bidi w:val="0"/>
        <w:spacing w:line="360" w:lineRule="auto"/>
        <w:ind w:firstLine="840" w:firstLineChars="4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法定代表人或授权委托代理人</w:t>
      </w:r>
      <w:r>
        <w:rPr>
          <w:rFonts w:hint="eastAsia" w:ascii="宋体" w:hAnsi="宋体" w:eastAsia="宋体" w:cs="宋体"/>
          <w:color w:val="auto"/>
          <w:sz w:val="21"/>
          <w:szCs w:val="21"/>
          <w:highlight w:val="none"/>
          <w:lang w:eastAsia="zh-CN"/>
        </w:rPr>
        <w:t>（签字或盖章）</w:t>
      </w:r>
      <w:r>
        <w:rPr>
          <w:rFonts w:hint="eastAsia" w:ascii="宋体" w:hAnsi="宋体" w:eastAsia="宋体" w:cs="宋体"/>
          <w:color w:val="auto"/>
          <w:szCs w:val="21"/>
          <w:highlight w:val="none"/>
          <w:lang w:val="zh-CN"/>
        </w:rPr>
        <w:t>：</w:t>
      </w:r>
    </w:p>
    <w:p w14:paraId="59B1A15E">
      <w:pPr>
        <w:keepNext w:val="0"/>
        <w:keepLines w:val="0"/>
        <w:pageBreakBefore w:val="0"/>
        <w:kinsoku/>
        <w:wordWrap/>
        <w:overflowPunct/>
        <w:topLinePunct w:val="0"/>
        <w:bidi w:val="0"/>
        <w:spacing w:line="360" w:lineRule="auto"/>
        <w:ind w:firstLine="420" w:firstLineChars="200"/>
        <w:jc w:val="center"/>
        <w:outlineLvl w:val="9"/>
        <w:rPr>
          <w:rFonts w:hint="eastAsia" w:ascii="宋体" w:hAnsi="宋体" w:eastAsia="宋体" w:cs="宋体"/>
          <w:b/>
          <w:color w:val="auto"/>
          <w:sz w:val="28"/>
          <w:highlight w:val="none"/>
        </w:rPr>
      </w:pPr>
      <w:r>
        <w:rPr>
          <w:rFonts w:hint="eastAsia" w:ascii="宋体" w:hAnsi="宋体" w:eastAsia="宋体" w:cs="宋体"/>
          <w:color w:val="auto"/>
          <w:szCs w:val="21"/>
          <w:highlight w:val="none"/>
          <w:lang w:val="zh-CN"/>
        </w:rPr>
        <w:t>日期：</w:t>
      </w:r>
      <w:r>
        <w:rPr>
          <w:rFonts w:hint="eastAsia" w:ascii="宋体" w:hAnsi="宋体" w:eastAsia="宋体" w:cs="宋体"/>
          <w:color w:val="auto"/>
          <w:szCs w:val="21"/>
          <w:highlight w:val="none"/>
        </w:rPr>
        <w:t>年  月  日</w:t>
      </w:r>
    </w:p>
    <w:p w14:paraId="72997E87">
      <w:pPr>
        <w:keepNext w:val="0"/>
        <w:keepLines w:val="0"/>
        <w:pageBreakBefore w:val="0"/>
        <w:kinsoku/>
        <w:wordWrap/>
        <w:overflowPunct/>
        <w:topLinePunct w:val="0"/>
        <w:bidi w:val="0"/>
        <w:adjustRightInd w:val="0"/>
        <w:snapToGrid w:val="0"/>
        <w:spacing w:line="360" w:lineRule="auto"/>
        <w:ind w:right="480"/>
        <w:outlineLvl w:val="9"/>
        <w:rPr>
          <w:rFonts w:hint="eastAsia" w:ascii="宋体" w:hAnsi="宋体" w:eastAsia="宋体" w:cs="宋体"/>
          <w:b/>
          <w:color w:val="auto"/>
          <w:sz w:val="28"/>
          <w:highlight w:val="none"/>
        </w:rPr>
      </w:pPr>
    </w:p>
    <w:p w14:paraId="4D36265F">
      <w:pPr>
        <w:keepNext w:val="0"/>
        <w:keepLines w:val="0"/>
        <w:pageBreakBefore w:val="0"/>
        <w:kinsoku/>
        <w:wordWrap/>
        <w:overflowPunct/>
        <w:topLinePunct w:val="0"/>
        <w:bidi w:val="0"/>
        <w:adjustRightInd w:val="0"/>
        <w:snapToGrid w:val="0"/>
        <w:spacing w:line="360" w:lineRule="auto"/>
        <w:ind w:right="480"/>
        <w:outlineLvl w:val="9"/>
        <w:rPr>
          <w:rFonts w:hint="eastAsia" w:ascii="宋体" w:hAnsi="宋体" w:eastAsia="宋体" w:cs="宋体"/>
          <w:b/>
          <w:color w:val="auto"/>
          <w:sz w:val="30"/>
          <w:szCs w:val="30"/>
          <w:highlight w:val="none"/>
        </w:rPr>
      </w:pPr>
      <w:r>
        <w:rPr>
          <w:rFonts w:hint="eastAsia" w:ascii="宋体" w:hAnsi="宋体" w:eastAsia="宋体" w:cs="宋体"/>
          <w:b/>
          <w:color w:val="auto"/>
          <w:sz w:val="28"/>
          <w:highlight w:val="none"/>
        </w:rPr>
        <w:t>附件3</w:t>
      </w:r>
    </w:p>
    <w:p w14:paraId="3B3C5B83">
      <w:pPr>
        <w:keepNext w:val="0"/>
        <w:keepLines w:val="0"/>
        <w:pageBreakBefore w:val="0"/>
        <w:kinsoku/>
        <w:wordWrap/>
        <w:overflowPunct/>
        <w:topLinePunct w:val="0"/>
        <w:bidi w:val="0"/>
        <w:spacing w:line="360" w:lineRule="auto"/>
        <w:ind w:firstLine="321" w:firstLineChars="100"/>
        <w:jc w:val="center"/>
        <w:outlineLvl w:val="9"/>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授权委托书</w:t>
      </w:r>
    </w:p>
    <w:p w14:paraId="36880ACB">
      <w:pPr>
        <w:pStyle w:val="13"/>
        <w:keepNext w:val="0"/>
        <w:keepLines w:val="0"/>
        <w:pageBreakBefore w:val="0"/>
        <w:kinsoku/>
        <w:wordWrap/>
        <w:overflowPunct/>
        <w:topLinePunct w:val="0"/>
        <w:bidi w:val="0"/>
        <w:spacing w:line="360" w:lineRule="auto"/>
        <w:ind w:left="210" w:hanging="210" w:hangingChars="100"/>
        <w:outlineLvl w:val="9"/>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u w:val="single"/>
          <w:lang w:eastAsia="zh-CN"/>
        </w:rPr>
        <w:t>台州市路桥区农业农村和水利局</w:t>
      </w:r>
      <w:r>
        <w:rPr>
          <w:rFonts w:hint="eastAsia" w:ascii="宋体" w:hAnsi="宋体" w:eastAsia="宋体" w:cs="宋体"/>
          <w:color w:val="auto"/>
          <w:szCs w:val="21"/>
          <w:highlight w:val="none"/>
          <w:u w:val="single"/>
        </w:rPr>
        <w:t>、台州永安工程咨询有限公司</w:t>
      </w:r>
      <w:r>
        <w:rPr>
          <w:rFonts w:hint="eastAsia" w:ascii="宋体" w:hAnsi="宋体" w:eastAsia="宋体" w:cs="宋体"/>
          <w:color w:val="auto"/>
          <w:kern w:val="0"/>
          <w:szCs w:val="21"/>
          <w:highlight w:val="none"/>
        </w:rPr>
        <w:t>：</w:t>
      </w:r>
    </w:p>
    <w:p w14:paraId="4BD652D2">
      <w:pPr>
        <w:pStyle w:val="13"/>
        <w:keepNext w:val="0"/>
        <w:keepLines w:val="0"/>
        <w:pageBreakBefore w:val="0"/>
        <w:kinsoku/>
        <w:wordWrap/>
        <w:overflowPunct/>
        <w:topLinePunct w:val="0"/>
        <w:bidi w:val="0"/>
        <w:spacing w:line="360" w:lineRule="auto"/>
        <w:ind w:left="210" w:hanging="210" w:hangingChars="1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（投标人全称）</w:t>
      </w:r>
      <w:r>
        <w:rPr>
          <w:rFonts w:hint="eastAsia" w:ascii="宋体" w:hAnsi="宋体" w:eastAsia="宋体" w:cs="宋体"/>
          <w:color w:val="auto"/>
          <w:szCs w:val="21"/>
          <w:highlight w:val="none"/>
        </w:rPr>
        <w:t>法定代表人（或营业执照中单位负责人）</w:t>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（法定代表人或营业执照中单位负责人姓名）</w:t>
      </w:r>
      <w:r>
        <w:rPr>
          <w:rFonts w:hint="eastAsia" w:ascii="宋体" w:hAnsi="宋体" w:eastAsia="宋体" w:cs="宋体"/>
          <w:color w:val="auto"/>
          <w:szCs w:val="21"/>
          <w:highlight w:val="none"/>
        </w:rPr>
        <w:t>授权</w:t>
      </w:r>
      <w:r>
        <w:rPr>
          <w:rFonts w:hint="eastAsia" w:ascii="宋体" w:hAnsi="宋体" w:eastAsia="宋体" w:cs="宋体"/>
          <w:color w:val="auto"/>
          <w:szCs w:val="21"/>
          <w:highlight w:val="none"/>
          <w:u w:val="single"/>
        </w:rPr>
        <w:t>（授权委托代理人姓名）</w:t>
      </w:r>
      <w:r>
        <w:rPr>
          <w:rFonts w:hint="eastAsia" w:ascii="宋体" w:hAnsi="宋体" w:eastAsia="宋体" w:cs="宋体"/>
          <w:color w:val="auto"/>
          <w:szCs w:val="21"/>
          <w:highlight w:val="none"/>
        </w:rPr>
        <w:t>为授权委托代理人，参加贵单位组织的</w:t>
      </w:r>
      <w:r>
        <w:rPr>
          <w:rFonts w:hint="eastAsia" w:ascii="宋体" w:hAnsi="宋体" w:eastAsia="宋体" w:cs="宋体"/>
          <w:color w:val="auto"/>
          <w:kern w:val="0"/>
          <w:szCs w:val="21"/>
          <w:highlight w:val="none"/>
          <w:u w:val="single"/>
          <w:lang w:eastAsia="zh-CN"/>
        </w:rPr>
        <w:t>路桥区2025-2027年粮油种植面积核查服务项目</w:t>
      </w:r>
      <w:r>
        <w:rPr>
          <w:rFonts w:hint="eastAsia" w:ascii="宋体" w:hAnsi="宋体" w:eastAsia="宋体" w:cs="宋体"/>
          <w:color w:val="auto"/>
          <w:szCs w:val="21"/>
          <w:highlight w:val="none"/>
        </w:rPr>
        <w:t>的采购活动，并代表我方全权办理针对上述项目的投标、开标、评标、签约等具体事务和签署相关文件。我方对授权委托代理人的签字事项负全部责任。</w:t>
      </w:r>
    </w:p>
    <w:p w14:paraId="40A8C16B">
      <w:pPr>
        <w:pStyle w:val="13"/>
        <w:keepNext w:val="0"/>
        <w:keepLines w:val="0"/>
        <w:pageBreakBefore w:val="0"/>
        <w:kinsoku/>
        <w:wordWrap/>
        <w:overflowPunct/>
        <w:topLinePunct w:val="0"/>
        <w:bidi w:val="0"/>
        <w:spacing w:line="360" w:lineRule="auto"/>
        <w:ind w:left="139" w:leftChars="66"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在撤销授权的书面通知以前，本授权书一直有效。授权委托代理人在授权委托书有效期内签署的所有文件不因授权的撤销而失效。</w:t>
      </w:r>
    </w:p>
    <w:p w14:paraId="6662AA6C">
      <w:pPr>
        <w:pStyle w:val="13"/>
        <w:keepNext w:val="0"/>
        <w:keepLines w:val="0"/>
        <w:pageBreakBefore w:val="0"/>
        <w:kinsoku/>
        <w:wordWrap/>
        <w:overflowPunct/>
        <w:topLinePunct w:val="0"/>
        <w:bidi w:val="0"/>
        <w:spacing w:line="360" w:lineRule="auto"/>
        <w:ind w:left="139" w:leftChars="66"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授权委托代理人无转委托权，特此委托。</w:t>
      </w:r>
    </w:p>
    <w:p w14:paraId="5B86E2F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6F9D85C0">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法定代表人签字或盖章：</w:t>
      </w:r>
    </w:p>
    <w:p w14:paraId="04E917A4">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投标人全称（公章）：</w:t>
      </w:r>
    </w:p>
    <w:p w14:paraId="3A03214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54296BFD">
      <w:pPr>
        <w:keepNext w:val="0"/>
        <w:keepLines w:val="0"/>
        <w:pageBreakBefore w:val="0"/>
        <w:kinsoku/>
        <w:wordWrap/>
        <w:overflowPunct/>
        <w:topLinePunct w:val="0"/>
        <w:bidi w:val="0"/>
        <w:spacing w:line="360" w:lineRule="auto"/>
        <w:outlineLvl w:val="9"/>
        <w:rPr>
          <w:rFonts w:hint="eastAsia" w:ascii="宋体" w:hAnsi="宋体" w:eastAsia="宋体" w:cs="宋体"/>
          <w:color w:val="auto"/>
          <w:sz w:val="24"/>
          <w:highlight w:val="none"/>
        </w:rPr>
      </w:pPr>
    </w:p>
    <w:p w14:paraId="2EFEC2E7">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w:t>
      </w:r>
    </w:p>
    <w:tbl>
      <w:tblPr>
        <w:tblStyle w:val="24"/>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3A50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185E0A09">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4"/>
                <w:highlight w:val="none"/>
              </w:rPr>
            </w:pPr>
          </w:p>
          <w:p w14:paraId="0AD22755">
            <w:pPr>
              <w:keepNext w:val="0"/>
              <w:keepLines w:val="0"/>
              <w:pageBreakBefore w:val="0"/>
              <w:kinsoku/>
              <w:wordWrap/>
              <w:overflowPunct/>
              <w:topLinePunct w:val="0"/>
              <w:bidi w:val="0"/>
              <w:spacing w:line="360" w:lineRule="auto"/>
              <w:ind w:firstLine="361" w:firstLineChars="15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法定代表身份证复印件粘帖处</w:t>
            </w:r>
          </w:p>
        </w:tc>
      </w:tr>
    </w:tbl>
    <w:p w14:paraId="77B5480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法定代表人姓名：</w:t>
      </w:r>
    </w:p>
    <w:p w14:paraId="159604C0">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w:t>
      </w:r>
    </w:p>
    <w:p w14:paraId="7F9370B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p w14:paraId="69FA2D7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详细通讯地址：</w:t>
      </w:r>
    </w:p>
    <w:p w14:paraId="7156FDE7">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p w14:paraId="2EAE208E">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p>
    <w:tbl>
      <w:tblPr>
        <w:tblStyle w:val="24"/>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235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70957FBC">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p>
          <w:p w14:paraId="5A50915D">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授权委托代理人身份证复印件粘帖处</w:t>
            </w:r>
          </w:p>
        </w:tc>
      </w:tr>
    </w:tbl>
    <w:p w14:paraId="68364E87">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授权委托代理人姓名：</w:t>
      </w:r>
    </w:p>
    <w:p w14:paraId="7F98155D">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p w14:paraId="0FC3396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w:t>
      </w:r>
    </w:p>
    <w:p w14:paraId="6EC3FA0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p w14:paraId="34E69DD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详细通讯地址：</w:t>
      </w:r>
    </w:p>
    <w:p w14:paraId="28B57ED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p w14:paraId="0C5D351E">
      <w:pPr>
        <w:pStyle w:val="66"/>
        <w:widowControl w:val="0"/>
        <w:snapToGrid w:val="0"/>
        <w:spacing w:line="360" w:lineRule="auto"/>
        <w:jc w:val="center"/>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t>政府采购活动现场确认声明书</w:t>
      </w:r>
    </w:p>
    <w:p w14:paraId="542FE425">
      <w:pPr>
        <w:pStyle w:val="66"/>
        <w:widowControl w:val="0"/>
        <w:snapToGrid w:val="0"/>
        <w:spacing w:line="360" w:lineRule="auto"/>
        <w:jc w:val="both"/>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台州永安工程咨询有限公司</w:t>
      </w:r>
      <w:r>
        <w:rPr>
          <w:rFonts w:hint="eastAsia" w:ascii="宋体" w:hAnsi="宋体" w:eastAsia="宋体" w:cs="宋体"/>
          <w:color w:val="auto"/>
          <w:kern w:val="0"/>
          <w:sz w:val="21"/>
          <w:szCs w:val="21"/>
          <w:highlight w:val="none"/>
        </w:rPr>
        <w:t>：</w:t>
      </w:r>
    </w:p>
    <w:p w14:paraId="0188FBD3">
      <w:pPr>
        <w:pStyle w:val="66"/>
        <w:widowControl w:val="0"/>
        <w:snapToGrid w:val="0"/>
        <w:spacing w:line="360" w:lineRule="auto"/>
        <w:ind w:firstLine="444" w:firstLineChars="200"/>
        <w:jc w:val="left"/>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本人经由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（供应商全称）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pacing w:val="6"/>
          <w:sz w:val="21"/>
          <w:szCs w:val="21"/>
          <w:highlight w:val="none"/>
        </w:rPr>
        <w:t>负责人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法定代表人</w:t>
      </w:r>
      <w:r>
        <w:rPr>
          <w:rFonts w:hint="eastAsia" w:ascii="宋体" w:hAnsi="宋体" w:eastAsia="宋体" w:cs="宋体"/>
          <w:color w:val="auto"/>
          <w:sz w:val="21"/>
          <w:szCs w:val="21"/>
          <w:highlight w:val="none"/>
          <w:u w:val="single"/>
        </w:rPr>
        <w:t>姓名）</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合</w:t>
      </w:r>
      <w:r>
        <w:rPr>
          <w:rFonts w:hint="eastAsia" w:ascii="宋体" w:hAnsi="宋体" w:eastAsia="宋体" w:cs="宋体"/>
          <w:color w:val="auto"/>
          <w:spacing w:val="6"/>
          <w:sz w:val="21"/>
          <w:szCs w:val="21"/>
          <w:highlight w:val="none"/>
        </w:rPr>
        <w:t>法授权参加</w:t>
      </w:r>
      <w:r>
        <w:rPr>
          <w:rFonts w:hint="eastAsia" w:ascii="宋体" w:hAnsi="宋体" w:eastAsia="宋体" w:cs="宋体"/>
          <w:color w:val="auto"/>
          <w:kern w:val="0"/>
          <w:sz w:val="21"/>
          <w:szCs w:val="21"/>
          <w:highlight w:val="none"/>
          <w:u w:val="single"/>
          <w:lang w:eastAsia="zh-CN"/>
        </w:rPr>
        <w:t>路桥区2025-2027年粮油种植面积核查服务项目</w:t>
      </w:r>
      <w:r>
        <w:rPr>
          <w:rFonts w:hint="eastAsia" w:ascii="宋体" w:hAnsi="宋体" w:eastAsia="宋体" w:cs="宋体"/>
          <w:color w:val="auto"/>
          <w:spacing w:val="6"/>
          <w:sz w:val="21"/>
          <w:szCs w:val="21"/>
          <w:highlight w:val="none"/>
        </w:rPr>
        <w:t>（编号：</w:t>
      </w:r>
      <w:r>
        <w:rPr>
          <w:rFonts w:hint="eastAsia" w:ascii="宋体" w:hAnsi="宋体" w:eastAsia="宋体" w:cs="宋体"/>
          <w:color w:val="auto"/>
          <w:sz w:val="21"/>
          <w:szCs w:val="21"/>
          <w:highlight w:val="none"/>
          <w:u w:val="single"/>
          <w:lang w:val="en-US" w:eastAsia="zh-CN"/>
        </w:rPr>
        <w:t>tzya2025-lq01</w:t>
      </w:r>
      <w:r>
        <w:rPr>
          <w:rFonts w:hint="eastAsia" w:ascii="宋体" w:hAnsi="宋体" w:eastAsia="宋体" w:cs="宋体"/>
          <w:color w:val="auto"/>
          <w:spacing w:val="6"/>
          <w:sz w:val="21"/>
          <w:szCs w:val="21"/>
          <w:highlight w:val="none"/>
        </w:rPr>
        <w:t xml:space="preserve">）政府采购活动，经与本单位法人代表（负责人）联系确认，现就有关公平竞争事项郑重声明如下： </w:t>
      </w:r>
    </w:p>
    <w:p w14:paraId="0A02D52D">
      <w:pPr>
        <w:pStyle w:val="53"/>
        <w:widowControl/>
        <w:tabs>
          <w:tab w:val="left" w:pos="630"/>
        </w:tabs>
        <w:snapToGrid w:val="0"/>
        <w:spacing w:line="360" w:lineRule="auto"/>
        <w:ind w:left="21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一、本单位与采购人之间 </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kern w:val="0"/>
          <w:sz w:val="21"/>
          <w:szCs w:val="21"/>
          <w:highlight w:val="none"/>
        </w:rPr>
        <w:t>不存在利害关系 □存在下列利害关系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0F420F6D">
      <w:pPr>
        <w:pStyle w:val="53"/>
        <w:widowControl/>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A.投资关系    B.行政隶属关系    C.业务指导关系</w:t>
      </w:r>
    </w:p>
    <w:p w14:paraId="35D15F2F">
      <w:pPr>
        <w:pStyle w:val="53"/>
        <w:widowControl/>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D.其他可能</w:t>
      </w:r>
      <w:r>
        <w:rPr>
          <w:rFonts w:hint="eastAsia" w:ascii="宋体" w:hAnsi="宋体" w:eastAsia="宋体" w:cs="宋体"/>
          <w:color w:val="auto"/>
          <w:sz w:val="21"/>
          <w:szCs w:val="21"/>
          <w:highlight w:val="none"/>
        </w:rPr>
        <w:t>影响采购公正的</w:t>
      </w:r>
      <w:r>
        <w:rPr>
          <w:rFonts w:hint="eastAsia" w:ascii="宋体" w:hAnsi="宋体" w:eastAsia="宋体" w:cs="宋体"/>
          <w:color w:val="auto"/>
          <w:kern w:val="0"/>
          <w:sz w:val="21"/>
          <w:szCs w:val="21"/>
          <w:highlight w:val="none"/>
        </w:rPr>
        <w:t>利害关系</w:t>
      </w:r>
      <w:r>
        <w:rPr>
          <w:rFonts w:hint="eastAsia" w:ascii="宋体" w:hAnsi="宋体" w:eastAsia="宋体" w:cs="宋体"/>
          <w:color w:val="auto"/>
          <w:kern w:val="0"/>
          <w:sz w:val="21"/>
          <w:szCs w:val="21"/>
          <w:highlight w:val="none"/>
          <w:u w:val="single"/>
        </w:rPr>
        <w:t xml:space="preserve">（如有，请如实说明）                 </w:t>
      </w:r>
      <w:r>
        <w:rPr>
          <w:rFonts w:hint="eastAsia" w:ascii="宋体" w:hAnsi="宋体" w:eastAsia="宋体" w:cs="宋体"/>
          <w:color w:val="auto"/>
          <w:kern w:val="0"/>
          <w:sz w:val="21"/>
          <w:szCs w:val="21"/>
          <w:highlight w:val="none"/>
        </w:rPr>
        <w:t>。</w:t>
      </w:r>
    </w:p>
    <w:p w14:paraId="4CA0DF9E">
      <w:pPr>
        <w:pStyle w:val="53"/>
        <w:widowControl/>
        <w:snapToGrid w:val="0"/>
        <w:spacing w:line="360" w:lineRule="auto"/>
        <w:ind w:firstLine="222"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spacing w:val="6"/>
          <w:sz w:val="21"/>
          <w:szCs w:val="21"/>
          <w:highlight w:val="none"/>
        </w:rPr>
        <w:t>二、</w:t>
      </w:r>
      <w:r>
        <w:rPr>
          <w:rFonts w:hint="eastAsia" w:ascii="宋体" w:hAnsi="宋体" w:eastAsia="宋体" w:cs="宋体"/>
          <w:color w:val="auto"/>
          <w:kern w:val="0"/>
          <w:sz w:val="21"/>
          <w:szCs w:val="21"/>
          <w:highlight w:val="none"/>
        </w:rPr>
        <w:t>现已清楚知道参加本项目采购活动的其他所有供应商名称，本单位</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kern w:val="0"/>
          <w:sz w:val="21"/>
          <w:szCs w:val="21"/>
          <w:highlight w:val="none"/>
        </w:rPr>
        <w:t>与其他所有供应商之间均不存在利害关系 □与</w:t>
      </w:r>
      <w:r>
        <w:rPr>
          <w:rFonts w:hint="eastAsia" w:ascii="宋体" w:hAnsi="宋体" w:eastAsia="宋体" w:cs="宋体"/>
          <w:color w:val="auto"/>
          <w:kern w:val="0"/>
          <w:sz w:val="21"/>
          <w:szCs w:val="21"/>
          <w:highlight w:val="none"/>
          <w:u w:val="single"/>
        </w:rPr>
        <w:t xml:space="preserve">           （供应商名称）</w:t>
      </w:r>
      <w:r>
        <w:rPr>
          <w:rFonts w:hint="eastAsia" w:ascii="宋体" w:hAnsi="宋体" w:eastAsia="宋体" w:cs="宋体"/>
          <w:color w:val="auto"/>
          <w:kern w:val="0"/>
          <w:sz w:val="21"/>
          <w:szCs w:val="21"/>
          <w:highlight w:val="none"/>
        </w:rPr>
        <w:t>之间存在下列利害关系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2A61ACB5">
      <w:pPr>
        <w:pStyle w:val="66"/>
        <w:widowControl w:val="0"/>
        <w:snapToGrid w:val="0"/>
        <w:spacing w:line="360" w:lineRule="auto"/>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A.法定代表人或负责人或实际控制人是同一人</w:t>
      </w:r>
    </w:p>
    <w:p w14:paraId="2A6D0824">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B.法定代表人或负责人或实际控制人是夫妻关系</w:t>
      </w:r>
    </w:p>
    <w:p w14:paraId="4D402C49">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C.法定代表人或负责人或实际控制人是直系血亲关系</w:t>
      </w:r>
    </w:p>
    <w:p w14:paraId="764951AA">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D.法定代表人或负责人或实际控制人存在三代以内旁系血亲关系</w:t>
      </w:r>
    </w:p>
    <w:p w14:paraId="11C08E44">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E.法定代表人或负责人或实际控制人存在近姻亲关系</w:t>
      </w:r>
    </w:p>
    <w:p w14:paraId="2F8C94A4">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F.法定代表人或负责人或实际控制人存在股份控制或实际控制关系</w:t>
      </w:r>
    </w:p>
    <w:p w14:paraId="07F40B44">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G.存在共同直接或间接投资设立子公司、联营企业和合营企业情况</w:t>
      </w:r>
    </w:p>
    <w:p w14:paraId="143A05C8">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H.存在分级代理或代销关系、同一生产制造商关系、</w:t>
      </w:r>
      <w:r>
        <w:rPr>
          <w:rFonts w:hint="eastAsia" w:ascii="宋体" w:hAnsi="宋体" w:eastAsia="宋体" w:cs="宋体"/>
          <w:color w:val="auto"/>
          <w:sz w:val="21"/>
          <w:szCs w:val="21"/>
          <w:highlight w:val="none"/>
        </w:rPr>
        <w:t>管理关系、重要业务（占主营业务收入50%以上）或重要财务往来关系（如融资）等其他实质性控制关系</w:t>
      </w:r>
    </w:p>
    <w:p w14:paraId="2B973A65">
      <w:pPr>
        <w:pStyle w:val="66"/>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 xml:space="preserve">    I</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其他利害关系情况</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0D69EE9E">
      <w:pPr>
        <w:pStyle w:val="53"/>
        <w:keepNext w:val="0"/>
        <w:keepLines w:val="0"/>
        <w:pageBreakBefore w:val="0"/>
        <w:widowControl/>
        <w:kinsoku/>
        <w:wordWrap/>
        <w:overflowPunct/>
        <w:topLinePunct w:val="0"/>
        <w:autoSpaceDE/>
        <w:autoSpaceDN/>
        <w:bidi w:val="0"/>
        <w:adjustRightInd w:val="0"/>
        <w:snapToGrid w:val="0"/>
        <w:spacing w:line="360" w:lineRule="auto"/>
        <w:ind w:left="21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三、现已清楚知道并</w:t>
      </w:r>
      <w:r>
        <w:rPr>
          <w:rFonts w:hint="eastAsia" w:ascii="宋体" w:hAnsi="宋体" w:eastAsia="宋体" w:cs="宋体"/>
          <w:color w:val="auto"/>
          <w:kern w:val="0"/>
          <w:sz w:val="21"/>
          <w:szCs w:val="21"/>
          <w:highlight w:val="none"/>
        </w:rPr>
        <w:t>严格遵守政府采购法律法规和现场纪律。</w:t>
      </w:r>
    </w:p>
    <w:p w14:paraId="32BE1F57">
      <w:pPr>
        <w:pStyle w:val="53"/>
        <w:keepNext w:val="0"/>
        <w:keepLines w:val="0"/>
        <w:pageBreakBefore w:val="0"/>
        <w:widowControl/>
        <w:kinsoku/>
        <w:wordWrap/>
        <w:overflowPunct/>
        <w:topLinePunct w:val="0"/>
        <w:autoSpaceDE/>
        <w:autoSpaceDN/>
        <w:bidi w:val="0"/>
        <w:adjustRightInd w:val="0"/>
        <w:snapToGrid w:val="0"/>
        <w:spacing w:line="360" w:lineRule="auto"/>
        <w:ind w:left="36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四、我发现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b/>
          <w:bCs/>
          <w:color w:val="auto"/>
          <w:kern w:val="0"/>
          <w:sz w:val="21"/>
          <w:szCs w:val="21"/>
          <w:highlight w:val="none"/>
          <w:u w:val="single"/>
        </w:rPr>
        <w:t xml:space="preserve"> </w:t>
      </w:r>
      <w:r>
        <w:rPr>
          <w:rFonts w:hint="eastAsia" w:ascii="宋体" w:hAnsi="宋体" w:eastAsia="宋体" w:cs="宋体"/>
          <w:b/>
          <w:bCs/>
          <w:color w:val="auto"/>
          <w:kern w:val="0"/>
          <w:sz w:val="21"/>
          <w:szCs w:val="21"/>
          <w:highlight w:val="none"/>
          <w:u w:val="single"/>
          <w:lang w:val="en-US" w:eastAsia="zh-CN"/>
        </w:rPr>
        <w:t>/</w:t>
      </w:r>
      <w:r>
        <w:rPr>
          <w:rFonts w:hint="eastAsia" w:ascii="宋体" w:hAnsi="宋体" w:eastAsia="宋体" w:cs="宋体"/>
          <w:b/>
          <w:bCs/>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供应商之间存在或可能存在上述第二条第</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b/>
          <w:bCs/>
          <w:color w:val="auto"/>
          <w:kern w:val="0"/>
          <w:sz w:val="21"/>
          <w:szCs w:val="21"/>
          <w:highlight w:val="none"/>
          <w:u w:val="single"/>
        </w:rPr>
        <w:t xml:space="preserve"> </w:t>
      </w:r>
      <w:r>
        <w:rPr>
          <w:rFonts w:hint="eastAsia" w:ascii="宋体" w:hAnsi="宋体" w:eastAsia="宋体" w:cs="宋体"/>
          <w:b/>
          <w:bCs/>
          <w:color w:val="auto"/>
          <w:kern w:val="0"/>
          <w:sz w:val="21"/>
          <w:szCs w:val="21"/>
          <w:highlight w:val="none"/>
          <w:u w:val="single"/>
          <w:lang w:val="en-US" w:eastAsia="zh-CN"/>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项利害关系。</w:t>
      </w:r>
    </w:p>
    <w:p w14:paraId="57A2E383">
      <w:pPr>
        <w:pStyle w:val="53"/>
        <w:keepNext w:val="0"/>
        <w:keepLines w:val="0"/>
        <w:pageBreakBefore w:val="0"/>
        <w:widowControl/>
        <w:kinsoku/>
        <w:wordWrap/>
        <w:overflowPunct/>
        <w:topLinePunct w:val="0"/>
        <w:autoSpaceDE/>
        <w:autoSpaceDN/>
        <w:bidi w:val="0"/>
        <w:adjustRightInd w:val="0"/>
        <w:snapToGrid w:val="0"/>
        <w:spacing w:line="360" w:lineRule="auto"/>
        <w:ind w:left="21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五、本单位若有违反诚信投标、采购法律法规等行为，愿意按照招标文件规定接受投标担保的处理。如已中标，自动放弃中标资格；给招标人造成损失的，依法承担赔偿责任。</w:t>
      </w:r>
    </w:p>
    <w:p w14:paraId="47B54624">
      <w:pPr>
        <w:pStyle w:val="6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（供应商代表</w:t>
      </w:r>
      <w:r>
        <w:rPr>
          <w:rFonts w:hint="eastAsia" w:ascii="宋体" w:hAnsi="宋体" w:eastAsia="宋体" w:cs="宋体"/>
          <w:color w:val="auto"/>
          <w:sz w:val="21"/>
          <w:szCs w:val="21"/>
          <w:highlight w:val="none"/>
          <w:lang w:eastAsia="zh-CN"/>
        </w:rPr>
        <w:t>签字或盖章</w:t>
      </w:r>
      <w:r>
        <w:rPr>
          <w:rFonts w:hint="eastAsia" w:ascii="宋体" w:hAnsi="宋体" w:eastAsia="宋体" w:cs="宋体"/>
          <w:color w:val="auto"/>
          <w:sz w:val="21"/>
          <w:szCs w:val="21"/>
          <w:highlight w:val="none"/>
        </w:rPr>
        <w:t>）</w:t>
      </w:r>
    </w:p>
    <w:p w14:paraId="265CEDD9">
      <w:pPr>
        <w:pStyle w:val="66"/>
        <w:widowControl w:val="0"/>
        <w:snapToGrid w:val="0"/>
        <w:spacing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日</w:t>
      </w:r>
    </w:p>
    <w:p w14:paraId="647B0BB2">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pPr>
    </w:p>
    <w:p w14:paraId="2AB43AE5">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pPr>
    </w:p>
    <w:p w14:paraId="4620DA02">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pPr>
    </w:p>
    <w:p w14:paraId="17D7C011">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pPr>
    </w:p>
    <w:p w14:paraId="7FDB2DE7">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00901AA4">
      <w:pPr>
        <w:keepNext w:val="0"/>
        <w:keepLines w:val="0"/>
        <w:pageBreakBefore w:val="0"/>
        <w:kinsoku/>
        <w:wordWrap/>
        <w:overflowPunct/>
        <w:topLinePunct w:val="0"/>
        <w:bidi w:val="0"/>
        <w:snapToGrid w:val="0"/>
        <w:spacing w:line="360" w:lineRule="auto"/>
        <w:outlineLvl w:val="9"/>
        <w:rPr>
          <w:rFonts w:hint="eastAsia" w:ascii="宋体" w:hAnsi="宋体" w:eastAsia="宋体" w:cs="宋体"/>
          <w:b/>
          <w:color w:val="auto"/>
          <w:sz w:val="28"/>
          <w:highlight w:val="none"/>
        </w:rPr>
      </w:pPr>
      <w:r>
        <w:rPr>
          <w:rFonts w:hint="eastAsia" w:ascii="宋体" w:hAnsi="宋体" w:eastAsia="宋体" w:cs="宋体"/>
          <w:b/>
          <w:color w:val="auto"/>
          <w:sz w:val="28"/>
          <w:highlight w:val="none"/>
        </w:rPr>
        <w:t xml:space="preserve">附件4                                              </w:t>
      </w:r>
      <w:r>
        <w:rPr>
          <w:rFonts w:hint="eastAsia" w:ascii="宋体" w:hAnsi="宋体" w:eastAsia="宋体" w:cs="宋体"/>
          <w:b/>
          <w:color w:val="auto"/>
          <w:sz w:val="28"/>
          <w:highlight w:val="none"/>
          <w:u w:val="single"/>
        </w:rPr>
        <w:t xml:space="preserve">     </w:t>
      </w:r>
      <w:r>
        <w:rPr>
          <w:rFonts w:hint="eastAsia" w:ascii="宋体" w:hAnsi="宋体" w:eastAsia="宋体" w:cs="宋体"/>
          <w:bCs/>
          <w:color w:val="auto"/>
          <w:sz w:val="24"/>
          <w:highlight w:val="none"/>
        </w:rPr>
        <w:t>本</w:t>
      </w:r>
    </w:p>
    <w:p w14:paraId="33E592C3">
      <w:pPr>
        <w:keepNext w:val="0"/>
        <w:keepLines w:val="0"/>
        <w:pageBreakBefore w:val="0"/>
        <w:kinsoku/>
        <w:wordWrap/>
        <w:overflowPunct/>
        <w:topLinePunct w:val="0"/>
        <w:bidi w:val="0"/>
        <w:spacing w:line="360" w:lineRule="auto"/>
        <w:ind w:right="-110"/>
        <w:jc w:val="center"/>
        <w:outlineLvl w:val="9"/>
        <w:rPr>
          <w:rFonts w:hint="eastAsia" w:ascii="宋体" w:hAnsi="宋体" w:eastAsia="宋体" w:cs="宋体"/>
          <w:color w:val="auto"/>
          <w:spacing w:val="40"/>
          <w:sz w:val="52"/>
          <w:szCs w:val="52"/>
          <w:highlight w:val="none"/>
        </w:rPr>
      </w:pPr>
      <w:r>
        <w:rPr>
          <w:rFonts w:hint="eastAsia" w:ascii="宋体" w:hAnsi="宋体" w:eastAsia="宋体" w:cs="宋体"/>
          <w:color w:val="auto"/>
          <w:spacing w:val="40"/>
          <w:sz w:val="52"/>
          <w:szCs w:val="52"/>
          <w:highlight w:val="none"/>
        </w:rPr>
        <w:t>项目名称</w:t>
      </w:r>
    </w:p>
    <w:p w14:paraId="18D41F78">
      <w:pPr>
        <w:keepNext w:val="0"/>
        <w:keepLines w:val="0"/>
        <w:pageBreakBefore w:val="0"/>
        <w:kinsoku/>
        <w:wordWrap/>
        <w:overflowPunct/>
        <w:topLinePunct w:val="0"/>
        <w:bidi w:val="0"/>
        <w:spacing w:before="312" w:beforeLines="100" w:line="360" w:lineRule="auto"/>
        <w:ind w:right="-108"/>
        <w:jc w:val="center"/>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p>
    <w:p w14:paraId="2AB5BD4F">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p>
    <w:p w14:paraId="734CB46A">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投</w:t>
      </w:r>
    </w:p>
    <w:p w14:paraId="61BE65BC">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标</w:t>
      </w:r>
    </w:p>
    <w:p w14:paraId="6CA17C02">
      <w:pPr>
        <w:keepNext w:val="0"/>
        <w:keepLines w:val="0"/>
        <w:pageBreakBefore w:val="0"/>
        <w:kinsoku/>
        <w:wordWrap/>
        <w:overflowPunct/>
        <w:topLinePunct w:val="0"/>
        <w:autoSpaceDE w:val="0"/>
        <w:autoSpaceDN w:val="0"/>
        <w:bidi w:val="0"/>
        <w:adjustRightInd w:val="0"/>
        <w:spacing w:line="360" w:lineRule="auto"/>
        <w:jc w:val="center"/>
        <w:outlineLvl w:val="9"/>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lang w:val="zh-CN"/>
        </w:rPr>
        <w:t>文</w:t>
      </w:r>
    </w:p>
    <w:p w14:paraId="09D1D021">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color w:val="auto"/>
          <w:sz w:val="84"/>
          <w:szCs w:val="84"/>
          <w:highlight w:val="none"/>
          <w:lang w:val="zh-CN"/>
        </w:rPr>
      </w:pPr>
      <w:r>
        <w:rPr>
          <w:rFonts w:hint="eastAsia" w:ascii="宋体" w:hAnsi="宋体" w:eastAsia="宋体" w:cs="宋体"/>
          <w:color w:val="auto"/>
          <w:sz w:val="84"/>
          <w:szCs w:val="84"/>
          <w:highlight w:val="none"/>
          <w:lang w:val="zh-CN"/>
        </w:rPr>
        <w:t>件</w:t>
      </w:r>
    </w:p>
    <w:p w14:paraId="76C36DFD">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28"/>
          <w:szCs w:val="28"/>
          <w:highlight w:val="none"/>
        </w:rPr>
      </w:pPr>
      <w:r>
        <w:rPr>
          <w:rFonts w:hint="eastAsia" w:ascii="宋体" w:hAnsi="宋体" w:eastAsia="宋体" w:cs="宋体"/>
          <w:color w:val="auto"/>
          <w:sz w:val="28"/>
          <w:szCs w:val="28"/>
          <w:highlight w:val="none"/>
          <w:lang w:val="zh-CN"/>
        </w:rPr>
        <w:t>（</w:t>
      </w:r>
      <w:r>
        <w:rPr>
          <w:rFonts w:hint="eastAsia" w:ascii="宋体" w:hAnsi="宋体" w:eastAsia="宋体" w:cs="宋体"/>
          <w:bCs/>
          <w:color w:val="auto"/>
          <w:sz w:val="24"/>
          <w:highlight w:val="none"/>
          <w:lang w:val="zh-CN"/>
        </w:rPr>
        <w:t>商务与技术文件）</w:t>
      </w:r>
    </w:p>
    <w:p w14:paraId="16321E40">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投标人全称（公章）：</w:t>
      </w:r>
    </w:p>
    <w:p w14:paraId="1FD97F3A">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地    址：</w:t>
      </w:r>
    </w:p>
    <w:p w14:paraId="2F670FF0">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时    间：</w:t>
      </w:r>
    </w:p>
    <w:p w14:paraId="4A61425B">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p>
    <w:p w14:paraId="5C4ABBA0">
      <w:pPr>
        <w:keepNext w:val="0"/>
        <w:keepLines w:val="0"/>
        <w:pageBreakBefore w:val="0"/>
        <w:kinsoku/>
        <w:wordWrap/>
        <w:overflowPunct/>
        <w:topLinePunct w:val="0"/>
        <w:bidi w:val="0"/>
        <w:snapToGrid w:val="0"/>
        <w:spacing w:before="50" w:after="50" w:line="360" w:lineRule="auto"/>
        <w:jc w:val="center"/>
        <w:outlineLvl w:val="9"/>
        <w:rPr>
          <w:rFonts w:hint="eastAsia" w:ascii="宋体" w:hAnsi="宋体" w:eastAsia="宋体" w:cs="宋体"/>
          <w:b/>
          <w:bCs/>
          <w:color w:val="auto"/>
          <w:sz w:val="32"/>
          <w:szCs w:val="32"/>
          <w:highlight w:val="none"/>
          <w:lang w:val="zh-CN"/>
        </w:rPr>
      </w:pPr>
    </w:p>
    <w:p w14:paraId="2C216510">
      <w:pPr>
        <w:keepNext w:val="0"/>
        <w:keepLines w:val="0"/>
        <w:pageBreakBefore w:val="0"/>
        <w:kinsoku/>
        <w:wordWrap/>
        <w:overflowPunct/>
        <w:topLinePunct w:val="0"/>
        <w:bidi w:val="0"/>
        <w:snapToGrid w:val="0"/>
        <w:spacing w:before="50" w:after="50" w:line="360" w:lineRule="auto"/>
        <w:outlineLvl w:val="9"/>
        <w:rPr>
          <w:rFonts w:hint="eastAsia" w:ascii="宋体" w:hAnsi="宋体" w:eastAsia="宋体" w:cs="宋体"/>
          <w:b/>
          <w:bCs/>
          <w:color w:val="auto"/>
          <w:sz w:val="32"/>
          <w:szCs w:val="32"/>
          <w:highlight w:val="none"/>
          <w:lang w:val="zh-CN"/>
        </w:rPr>
      </w:pPr>
    </w:p>
    <w:p w14:paraId="6B790BCE">
      <w:pPr>
        <w:keepNext w:val="0"/>
        <w:keepLines w:val="0"/>
        <w:pageBreakBefore w:val="0"/>
        <w:widowControl w:val="0"/>
        <w:kinsoku/>
        <w:wordWrap/>
        <w:overflowPunct/>
        <w:topLinePunct w:val="0"/>
        <w:autoSpaceDE/>
        <w:autoSpaceDN/>
        <w:bidi w:val="0"/>
        <w:adjustRightInd/>
        <w:snapToGrid w:val="0"/>
        <w:spacing w:before="50" w:after="50" w:line="360" w:lineRule="auto"/>
        <w:jc w:val="center"/>
        <w:textAlignment w:val="auto"/>
        <w:outlineLvl w:val="1"/>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val="zh-CN"/>
        </w:rPr>
        <w:t>商务与技术文件</w:t>
      </w:r>
      <w:r>
        <w:rPr>
          <w:rFonts w:hint="eastAsia" w:ascii="宋体" w:hAnsi="宋体" w:eastAsia="宋体" w:cs="宋体"/>
          <w:b/>
          <w:bCs/>
          <w:color w:val="auto"/>
          <w:sz w:val="32"/>
          <w:szCs w:val="32"/>
          <w:highlight w:val="none"/>
        </w:rPr>
        <w:t>目录</w:t>
      </w:r>
    </w:p>
    <w:p w14:paraId="7DDCBCCA">
      <w:pPr>
        <w:keepNext w:val="0"/>
        <w:keepLines w:val="0"/>
        <w:pageBreakBefore w:val="0"/>
        <w:kinsoku/>
        <w:wordWrap/>
        <w:overflowPunct/>
        <w:topLinePunct w:val="0"/>
        <w:bidi w:val="0"/>
        <w:snapToGrid w:val="0"/>
        <w:spacing w:line="360" w:lineRule="auto"/>
        <w:ind w:firstLine="482" w:firstLineChars="200"/>
        <w:outlineLvl w:val="9"/>
        <w:rPr>
          <w:rFonts w:hint="eastAsia" w:ascii="宋体" w:hAnsi="宋体" w:eastAsia="宋体" w:cs="宋体"/>
          <w:b/>
          <w:bCs/>
          <w:color w:val="auto"/>
          <w:sz w:val="24"/>
          <w:highlight w:val="none"/>
        </w:rPr>
      </w:pPr>
    </w:p>
    <w:p w14:paraId="77442ACC">
      <w:pPr>
        <w:keepNext w:val="0"/>
        <w:keepLines w:val="0"/>
        <w:pageBreakBefore w:val="0"/>
        <w:numPr>
          <w:ilvl w:val="0"/>
          <w:numId w:val="6"/>
        </w:numPr>
        <w:kinsoku/>
        <w:wordWrap/>
        <w:overflowPunct/>
        <w:topLinePunct w:val="0"/>
        <w:bidi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评标索引</w:t>
      </w:r>
    </w:p>
    <w:p w14:paraId="0A97B958">
      <w:pPr>
        <w:pStyle w:val="9"/>
        <w:keepNext w:val="0"/>
        <w:keepLines w:val="0"/>
        <w:pageBreakBefore w:val="0"/>
        <w:kinsoku/>
        <w:wordWrap/>
        <w:overflowPunct/>
        <w:topLinePunct w:val="0"/>
        <w:bidi w:val="0"/>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评标索引：自评表（附件</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p>
    <w:p w14:paraId="5C91398D">
      <w:pPr>
        <w:keepNext w:val="0"/>
        <w:keepLines w:val="0"/>
        <w:pageBreakBefore w:val="0"/>
        <w:kinsoku/>
        <w:wordWrap/>
        <w:overflowPunct/>
        <w:topLinePunct w:val="0"/>
        <w:bidi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二</w:t>
      </w:r>
      <w:r>
        <w:rPr>
          <w:rFonts w:hint="eastAsia" w:ascii="宋体" w:hAnsi="宋体" w:eastAsia="宋体" w:cs="宋体"/>
          <w:b/>
          <w:bCs/>
          <w:color w:val="auto"/>
          <w:szCs w:val="21"/>
          <w:highlight w:val="none"/>
        </w:rPr>
        <w:t>、 技术方案描述部分</w:t>
      </w:r>
    </w:p>
    <w:p w14:paraId="2EB72951">
      <w:pPr>
        <w:keepNext w:val="0"/>
        <w:keepLines w:val="0"/>
        <w:pageBreakBefore w:val="0"/>
        <w:kinsoku/>
        <w:wordWrap/>
        <w:overflowPunct/>
        <w:topLinePunct w:val="0"/>
        <w:bidi w:val="0"/>
        <w:snapToGrid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1、投标人情况介绍（附件</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p>
    <w:p w14:paraId="0F843EE8">
      <w:pPr>
        <w:keepNext w:val="0"/>
        <w:keepLines w:val="0"/>
        <w:pageBreakBefore w:val="0"/>
        <w:kinsoku/>
        <w:wordWrap/>
        <w:overflowPunct/>
        <w:topLinePunct w:val="0"/>
        <w:bidi w:val="0"/>
        <w:snapToGrid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2、项目需求的理解与分析；</w:t>
      </w:r>
    </w:p>
    <w:p w14:paraId="07CB0048">
      <w:pPr>
        <w:keepNext w:val="0"/>
        <w:keepLines w:val="0"/>
        <w:pageBreakBefore w:val="0"/>
        <w:kinsoku/>
        <w:wordWrap/>
        <w:overflowPunct/>
        <w:topLinePunct w:val="0"/>
        <w:bidi w:val="0"/>
        <w:snapToGrid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3、项目组织实施方案； </w:t>
      </w:r>
    </w:p>
    <w:p w14:paraId="3AF0B1B9">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4、项目实施人员一览表（附件</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p>
    <w:p w14:paraId="74B8FC14">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5、项目负责人资格情况表(附件</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w:t>
      </w:r>
    </w:p>
    <w:p w14:paraId="6F1CE942">
      <w:pPr>
        <w:keepNext w:val="0"/>
        <w:keepLines w:val="0"/>
        <w:pageBreakBefore w:val="0"/>
        <w:kinsoku/>
        <w:wordWrap/>
        <w:overflowPunct/>
        <w:topLinePunct w:val="0"/>
        <w:bidi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三</w:t>
      </w:r>
      <w:r>
        <w:rPr>
          <w:rFonts w:hint="eastAsia" w:ascii="宋体" w:hAnsi="宋体" w:eastAsia="宋体" w:cs="宋体"/>
          <w:b/>
          <w:bCs/>
          <w:color w:val="auto"/>
          <w:szCs w:val="21"/>
          <w:highlight w:val="none"/>
        </w:rPr>
        <w:t>、投标描述部分</w:t>
      </w:r>
    </w:p>
    <w:p w14:paraId="384C1B73">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1、投标描述及相关资料；</w:t>
      </w:r>
    </w:p>
    <w:p w14:paraId="72DAD2C3">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2、技术需求响应表（附件</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w:t>
      </w:r>
    </w:p>
    <w:p w14:paraId="15E20479">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3、投标人需要说明的其他内容；（包括可能影响投标人技术性能评分项的各类证明材料）</w:t>
      </w:r>
    </w:p>
    <w:p w14:paraId="72845A56">
      <w:pPr>
        <w:keepNext w:val="0"/>
        <w:keepLines w:val="0"/>
        <w:pageBreakBefore w:val="0"/>
        <w:kinsoku/>
        <w:wordWrap/>
        <w:overflowPunct/>
        <w:topLinePunct w:val="0"/>
        <w:bidi w:val="0"/>
        <w:snapToGrid w:val="0"/>
        <w:spacing w:line="360" w:lineRule="auto"/>
        <w:ind w:firstLine="413" w:firstLineChars="196"/>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四</w:t>
      </w:r>
      <w:r>
        <w:rPr>
          <w:rFonts w:hint="eastAsia" w:ascii="宋体" w:hAnsi="宋体" w:eastAsia="宋体" w:cs="宋体"/>
          <w:b/>
          <w:bCs/>
          <w:color w:val="auto"/>
          <w:szCs w:val="21"/>
          <w:highlight w:val="none"/>
        </w:rPr>
        <w:t>、商务响应部分</w:t>
      </w:r>
    </w:p>
    <w:p w14:paraId="0FC5373E">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1、投标人的企业证书一览表（附件1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p>
    <w:p w14:paraId="7975E653">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2、类似项目的成功案例（附件1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w:t>
      </w:r>
    </w:p>
    <w:p w14:paraId="7976FBFF">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3、资信及商务需求响应表（附件1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p>
    <w:p w14:paraId="5380147F">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4、售后服务情况表（附件1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p>
    <w:p w14:paraId="7137847A">
      <w:pPr>
        <w:keepNext w:val="0"/>
        <w:keepLines w:val="0"/>
        <w:pageBreakBefore w:val="0"/>
        <w:kinsoku/>
        <w:wordWrap/>
        <w:overflowPunct/>
        <w:topLinePunct w:val="0"/>
        <w:bidi w:val="0"/>
        <w:snapToGrid w:val="0"/>
        <w:spacing w:line="360" w:lineRule="auto"/>
        <w:ind w:firstLine="411" w:firstLineChars="196"/>
        <w:outlineLvl w:val="9"/>
        <w:rPr>
          <w:rFonts w:hint="eastAsia" w:ascii="宋体" w:hAnsi="宋体" w:eastAsia="宋体" w:cs="宋体"/>
          <w:b/>
          <w:bCs/>
          <w:color w:val="auto"/>
          <w:sz w:val="32"/>
          <w:szCs w:val="32"/>
          <w:highlight w:val="none"/>
          <w:lang w:val="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szCs w:val="21"/>
          <w:highlight w:val="none"/>
        </w:rPr>
        <w:t>5、投标人需要说明的其他内容。（包括可能影响投标人企业实力及信誉评分项以及售后服务评分项的各类证明材料）</w:t>
      </w:r>
    </w:p>
    <w:p w14:paraId="7ED0F40E">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附件</w:t>
      </w:r>
      <w:r>
        <w:rPr>
          <w:rFonts w:hint="eastAsia" w:ascii="宋体" w:hAnsi="宋体" w:eastAsia="宋体" w:cs="宋体"/>
          <w:b/>
          <w:color w:val="auto"/>
          <w:sz w:val="28"/>
          <w:highlight w:val="none"/>
          <w:lang w:val="en-US" w:eastAsia="zh-CN"/>
        </w:rPr>
        <w:t>5</w:t>
      </w:r>
    </w:p>
    <w:p w14:paraId="2A5C505C">
      <w:pPr>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评标索引：自评表</w:t>
      </w:r>
    </w:p>
    <w:tbl>
      <w:tblPr>
        <w:tblStyle w:val="24"/>
        <w:tblW w:w="10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0"/>
        <w:gridCol w:w="978"/>
        <w:gridCol w:w="6710"/>
        <w:gridCol w:w="686"/>
        <w:gridCol w:w="686"/>
        <w:gridCol w:w="686"/>
      </w:tblGrid>
      <w:tr w14:paraId="532E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7" w:hRule="atLeast"/>
          <w:jc w:val="center"/>
        </w:trPr>
        <w:tc>
          <w:tcPr>
            <w:tcW w:w="2038" w:type="dxa"/>
            <w:gridSpan w:val="2"/>
            <w:vAlign w:val="center"/>
          </w:tcPr>
          <w:p w14:paraId="3D388CAD">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w:t>
            </w:r>
          </w:p>
        </w:tc>
        <w:tc>
          <w:tcPr>
            <w:tcW w:w="6710" w:type="dxa"/>
            <w:vAlign w:val="center"/>
          </w:tcPr>
          <w:p w14:paraId="5B875C49">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686" w:type="dxa"/>
            <w:vAlign w:val="center"/>
          </w:tcPr>
          <w:p w14:paraId="7EDDBB2C">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86" w:type="dxa"/>
            <w:vAlign w:val="center"/>
          </w:tcPr>
          <w:p w14:paraId="4F6DE157">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对应页码</w:t>
            </w:r>
          </w:p>
        </w:tc>
        <w:tc>
          <w:tcPr>
            <w:tcW w:w="686" w:type="dxa"/>
            <w:vAlign w:val="center"/>
          </w:tcPr>
          <w:p w14:paraId="5ECE8A33">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自评分</w:t>
            </w:r>
          </w:p>
        </w:tc>
      </w:tr>
      <w:tr w14:paraId="4E6A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restart"/>
            <w:vAlign w:val="center"/>
          </w:tcPr>
          <w:p w14:paraId="07F232EA">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商务分</w:t>
            </w:r>
          </w:p>
          <w:p w14:paraId="7EE73DDF">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20.5</w:t>
            </w:r>
            <w:r>
              <w:rPr>
                <w:rFonts w:hint="eastAsia" w:ascii="宋体" w:hAnsi="宋体" w:eastAsia="宋体" w:cs="宋体"/>
                <w:color w:val="auto"/>
                <w:sz w:val="21"/>
                <w:szCs w:val="21"/>
                <w:highlight w:val="none"/>
              </w:rPr>
              <w:t>分）</w:t>
            </w:r>
          </w:p>
        </w:tc>
        <w:tc>
          <w:tcPr>
            <w:tcW w:w="978" w:type="dxa"/>
            <w:vMerge w:val="restart"/>
            <w:vAlign w:val="center"/>
          </w:tcPr>
          <w:p w14:paraId="37596147">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企业实力</w:t>
            </w:r>
          </w:p>
        </w:tc>
        <w:tc>
          <w:tcPr>
            <w:tcW w:w="6710" w:type="dxa"/>
            <w:vAlign w:val="center"/>
          </w:tcPr>
          <w:p w14:paraId="425C40D4">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投标人具有省级及以上行政主管部门颁发的甲级测绘资质证书（同时涵盖测绘航空摄影、界线与不动产测绘、地理信息系统工程）的得3分；</w:t>
            </w:r>
          </w:p>
          <w:p w14:paraId="100ABD07">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具有省级及以上行政主管部门颁发的乙级测绘资质证书（同时涵盖测绘航空摄影、界线与不动产测绘、地理信息系统工程）的得1分。</w:t>
            </w:r>
          </w:p>
          <w:p w14:paraId="6DB5778E">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0"/>
                <w:sz w:val="21"/>
                <w:szCs w:val="21"/>
                <w:highlight w:val="none"/>
                <w:lang w:val="zh-CN"/>
              </w:rPr>
              <w:t>须提供</w:t>
            </w:r>
            <w:r>
              <w:rPr>
                <w:rFonts w:hint="eastAsia" w:ascii="宋体" w:hAnsi="宋体" w:eastAsia="宋体" w:cs="宋体"/>
                <w:b/>
                <w:bCs/>
                <w:color w:val="auto"/>
                <w:kern w:val="0"/>
                <w:sz w:val="21"/>
                <w:szCs w:val="21"/>
                <w:highlight w:val="none"/>
              </w:rPr>
              <w:t>资质</w:t>
            </w:r>
            <w:r>
              <w:rPr>
                <w:rFonts w:hint="eastAsia" w:ascii="宋体" w:hAnsi="宋体" w:eastAsia="宋体" w:cs="宋体"/>
                <w:b/>
                <w:bCs/>
                <w:color w:val="auto"/>
                <w:kern w:val="0"/>
                <w:sz w:val="21"/>
                <w:szCs w:val="21"/>
                <w:highlight w:val="none"/>
                <w:lang w:val="zh-CN"/>
              </w:rPr>
              <w:t>证书原件彩色扫描件</w:t>
            </w:r>
            <w:r>
              <w:rPr>
                <w:rFonts w:hint="eastAsia" w:ascii="宋体" w:hAnsi="宋体" w:eastAsia="宋体" w:cs="宋体"/>
                <w:b/>
                <w:bCs/>
                <w:color w:val="auto"/>
                <w:kern w:val="0"/>
                <w:sz w:val="21"/>
                <w:szCs w:val="21"/>
                <w:highlight w:val="none"/>
              </w:rPr>
              <w:t>并</w:t>
            </w:r>
            <w:r>
              <w:rPr>
                <w:rFonts w:hint="eastAsia" w:ascii="宋体" w:hAnsi="宋体" w:eastAsia="宋体" w:cs="宋体"/>
                <w:b/>
                <w:bCs/>
                <w:color w:val="auto"/>
                <w:kern w:val="0"/>
                <w:sz w:val="21"/>
                <w:szCs w:val="21"/>
                <w:highlight w:val="none"/>
                <w:lang w:val="zh-CN"/>
              </w:rPr>
              <w:t>加盖投标人公章编入投标文件中，未提供的不得分）</w:t>
            </w:r>
          </w:p>
        </w:tc>
        <w:tc>
          <w:tcPr>
            <w:tcW w:w="686" w:type="dxa"/>
            <w:vAlign w:val="center"/>
          </w:tcPr>
          <w:p w14:paraId="6BEB9D1F">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86" w:type="dxa"/>
            <w:vAlign w:val="center"/>
          </w:tcPr>
          <w:p w14:paraId="39D260B7">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c>
          <w:tcPr>
            <w:tcW w:w="686" w:type="dxa"/>
            <w:vAlign w:val="center"/>
          </w:tcPr>
          <w:p w14:paraId="08286AE3">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r>
      <w:tr w14:paraId="2B19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060" w:type="dxa"/>
            <w:vMerge w:val="continue"/>
            <w:vAlign w:val="center"/>
          </w:tcPr>
          <w:p w14:paraId="683750AF">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continue"/>
            <w:vAlign w:val="center"/>
          </w:tcPr>
          <w:p w14:paraId="78F63985">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185EAC72">
            <w:pPr>
              <w:keepNext w:val="0"/>
              <w:keepLines w:val="0"/>
              <w:pageBreakBefore w:val="0"/>
              <w:widowControl/>
              <w:kinsoku/>
              <w:wordWrap/>
              <w:overflowPunct/>
              <w:topLinePunct w:val="0"/>
              <w:bidi w:val="0"/>
              <w:snapToGrid/>
              <w:spacing w:line="240" w:lineRule="auto"/>
              <w:ind w:left="0" w:leftChars="0"/>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投标人具有民用无人驾驶航空器运营许可证的得2分。</w:t>
            </w:r>
          </w:p>
          <w:p w14:paraId="6814393C">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lang w:bidi="ar"/>
              </w:rPr>
              <w:t>（须提供许可证证书扫描件加盖投标人公章编入投标文件中，未提供的不得分）</w:t>
            </w:r>
          </w:p>
        </w:tc>
        <w:tc>
          <w:tcPr>
            <w:tcW w:w="686" w:type="dxa"/>
            <w:vAlign w:val="center"/>
          </w:tcPr>
          <w:p w14:paraId="0917BE5B">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86" w:type="dxa"/>
            <w:vAlign w:val="center"/>
          </w:tcPr>
          <w:p w14:paraId="61E26DC8">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c>
          <w:tcPr>
            <w:tcW w:w="686" w:type="dxa"/>
            <w:vAlign w:val="center"/>
          </w:tcPr>
          <w:p w14:paraId="0B8D0696">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r>
      <w:tr w14:paraId="7334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jc w:val="center"/>
        </w:trPr>
        <w:tc>
          <w:tcPr>
            <w:tcW w:w="1060" w:type="dxa"/>
            <w:vMerge w:val="continue"/>
            <w:vAlign w:val="center"/>
          </w:tcPr>
          <w:p w14:paraId="1E706E2A">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continue"/>
            <w:vAlign w:val="center"/>
          </w:tcPr>
          <w:p w14:paraId="47213011">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3E15F695">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投标人具有有效期内的质量管理体系认证得1分。</w:t>
            </w:r>
          </w:p>
          <w:p w14:paraId="6D68CC39">
            <w:pPr>
              <w:pStyle w:val="9"/>
              <w:keepNext w:val="0"/>
              <w:keepLines w:val="0"/>
              <w:pageBreakBefore w:val="0"/>
              <w:kinsoku/>
              <w:wordWrap/>
              <w:overflowPunct/>
              <w:topLinePunct w:val="0"/>
              <w:bidi w:val="0"/>
              <w:snapToGrid/>
              <w:spacing w:after="0"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zh-CN"/>
              </w:rPr>
              <w:t>（</w:t>
            </w:r>
            <w:r>
              <w:rPr>
                <w:rFonts w:hint="eastAsia" w:ascii="宋体" w:hAnsi="宋体" w:eastAsia="宋体" w:cs="宋体"/>
                <w:b/>
                <w:bCs/>
                <w:color w:val="auto"/>
                <w:kern w:val="0"/>
                <w:sz w:val="21"/>
                <w:szCs w:val="21"/>
                <w:highlight w:val="none"/>
              </w:rPr>
              <w:t>须</w:t>
            </w:r>
            <w:r>
              <w:rPr>
                <w:rFonts w:hint="eastAsia" w:ascii="宋体" w:hAnsi="宋体" w:eastAsia="宋体" w:cs="宋体"/>
                <w:b/>
                <w:bCs/>
                <w:color w:val="auto"/>
                <w:kern w:val="0"/>
                <w:sz w:val="21"/>
                <w:szCs w:val="21"/>
                <w:highlight w:val="none"/>
                <w:lang w:val="zh-CN"/>
              </w:rPr>
              <w:t>提供证书</w:t>
            </w:r>
            <w:r>
              <w:rPr>
                <w:rFonts w:hint="eastAsia" w:ascii="宋体" w:hAnsi="宋体" w:eastAsia="宋体" w:cs="宋体"/>
                <w:b/>
                <w:bCs/>
                <w:color w:val="auto"/>
                <w:sz w:val="21"/>
                <w:szCs w:val="21"/>
                <w:highlight w:val="none"/>
                <w:lang w:val="zh-CN"/>
              </w:rPr>
              <w:t>原件彩色</w:t>
            </w:r>
            <w:r>
              <w:rPr>
                <w:rFonts w:hint="eastAsia" w:ascii="宋体" w:hAnsi="宋体" w:eastAsia="宋体" w:cs="宋体"/>
                <w:b/>
                <w:bCs/>
                <w:color w:val="auto"/>
                <w:kern w:val="0"/>
                <w:sz w:val="21"/>
                <w:szCs w:val="21"/>
                <w:highlight w:val="none"/>
                <w:lang w:val="zh-CN"/>
              </w:rPr>
              <w:t>扫描件</w:t>
            </w:r>
            <w:r>
              <w:rPr>
                <w:rFonts w:hint="eastAsia" w:ascii="宋体" w:hAnsi="宋体" w:eastAsia="宋体" w:cs="宋体"/>
                <w:b/>
                <w:bCs/>
                <w:color w:val="auto"/>
                <w:kern w:val="0"/>
                <w:sz w:val="21"/>
                <w:szCs w:val="21"/>
                <w:highlight w:val="none"/>
              </w:rPr>
              <w:t>及网站查询页面完整截图，并</w:t>
            </w:r>
            <w:r>
              <w:rPr>
                <w:rFonts w:hint="eastAsia" w:ascii="宋体" w:hAnsi="宋体" w:eastAsia="宋体" w:cs="宋体"/>
                <w:b/>
                <w:bCs/>
                <w:color w:val="auto"/>
                <w:kern w:val="0"/>
                <w:sz w:val="21"/>
                <w:szCs w:val="21"/>
                <w:highlight w:val="none"/>
                <w:lang w:val="zh-CN"/>
              </w:rPr>
              <w:t>加盖投标人公章编入投标文件中，未提供</w:t>
            </w:r>
            <w:r>
              <w:rPr>
                <w:rFonts w:hint="eastAsia" w:ascii="宋体" w:hAnsi="宋体" w:eastAsia="宋体" w:cs="宋体"/>
                <w:b/>
                <w:bCs/>
                <w:color w:val="auto"/>
                <w:kern w:val="0"/>
                <w:sz w:val="21"/>
                <w:szCs w:val="21"/>
                <w:highlight w:val="none"/>
              </w:rPr>
              <w:t>或提供不全</w:t>
            </w:r>
            <w:r>
              <w:rPr>
                <w:rFonts w:hint="eastAsia" w:ascii="宋体" w:hAnsi="宋体" w:eastAsia="宋体" w:cs="宋体"/>
                <w:b/>
                <w:bCs/>
                <w:color w:val="auto"/>
                <w:kern w:val="0"/>
                <w:sz w:val="21"/>
                <w:szCs w:val="21"/>
                <w:highlight w:val="none"/>
                <w:lang w:val="zh-CN"/>
              </w:rPr>
              <w:t>的不得分）</w:t>
            </w:r>
          </w:p>
        </w:tc>
        <w:tc>
          <w:tcPr>
            <w:tcW w:w="686" w:type="dxa"/>
            <w:vAlign w:val="center"/>
          </w:tcPr>
          <w:p w14:paraId="3F06856D">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686" w:type="dxa"/>
            <w:vAlign w:val="center"/>
          </w:tcPr>
          <w:p w14:paraId="2561C91E">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686" w:type="dxa"/>
            <w:vAlign w:val="center"/>
          </w:tcPr>
          <w:p w14:paraId="7E02D5EF">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503D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6" w:hRule="atLeast"/>
          <w:jc w:val="center"/>
        </w:trPr>
        <w:tc>
          <w:tcPr>
            <w:tcW w:w="1060" w:type="dxa"/>
            <w:vMerge w:val="continue"/>
            <w:vAlign w:val="center"/>
          </w:tcPr>
          <w:p w14:paraId="355405E2">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66950774">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承接经验</w:t>
            </w:r>
          </w:p>
        </w:tc>
        <w:tc>
          <w:tcPr>
            <w:tcW w:w="6710" w:type="dxa"/>
            <w:vAlign w:val="center"/>
          </w:tcPr>
          <w:p w14:paraId="69698AEE">
            <w:pPr>
              <w:pStyle w:val="23"/>
              <w:keepNext w:val="0"/>
              <w:keepLines w:val="0"/>
              <w:pageBreakBefore w:val="0"/>
              <w:kinsoku/>
              <w:wordWrap/>
              <w:overflowPunct/>
              <w:topLinePunct w:val="0"/>
              <w:bidi w:val="0"/>
              <w:snapToGrid/>
              <w:spacing w:after="0"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投标人自2022年1月1日以来（以合同签订时间为准）承接过</w:t>
            </w:r>
            <w:r>
              <w:rPr>
                <w:rFonts w:hint="eastAsia" w:ascii="宋体" w:hAnsi="宋体" w:eastAsia="宋体" w:cs="宋体"/>
                <w:color w:val="auto"/>
                <w:sz w:val="21"/>
                <w:szCs w:val="21"/>
                <w:highlight w:val="none"/>
                <w:lang w:val="en-US" w:eastAsia="zh-CN"/>
              </w:rPr>
              <w:t>类似</w:t>
            </w:r>
            <w:r>
              <w:rPr>
                <w:rFonts w:hint="eastAsia" w:ascii="宋体" w:hAnsi="宋体" w:eastAsia="宋体" w:cs="宋体"/>
                <w:color w:val="auto"/>
                <w:sz w:val="21"/>
                <w:szCs w:val="21"/>
                <w:highlight w:val="none"/>
              </w:rPr>
              <w:t>种粮补贴面积核查项目的，每提供1个合同得0.3分，最高得1.5分。</w:t>
            </w:r>
          </w:p>
          <w:p w14:paraId="5B086D9F">
            <w:pPr>
              <w:pStyle w:val="23"/>
              <w:keepNext w:val="0"/>
              <w:keepLines w:val="0"/>
              <w:pageBreakBefore w:val="0"/>
              <w:kinsoku/>
              <w:wordWrap/>
              <w:overflowPunct/>
              <w:topLinePunct w:val="0"/>
              <w:bidi w:val="0"/>
              <w:snapToGrid/>
              <w:spacing w:after="0" w:line="240" w:lineRule="auto"/>
              <w:ind w:left="0" w:leftChars="0" w:firstLine="0" w:firstLineChars="0"/>
              <w:rPr>
                <w:rFonts w:hint="eastAsia" w:ascii="宋体" w:hAnsi="宋体" w:eastAsia="宋体" w:cs="宋体"/>
                <w:color w:val="auto"/>
                <w:kern w:val="0"/>
                <w:sz w:val="21"/>
                <w:szCs w:val="21"/>
                <w:highlight w:val="none"/>
                <w:lang w:val="zh-CN"/>
              </w:rPr>
            </w:pPr>
            <w:r>
              <w:rPr>
                <w:rFonts w:hint="eastAsia" w:ascii="宋体" w:hAnsi="宋体" w:eastAsia="宋体" w:cs="宋体"/>
                <w:b/>
                <w:color w:val="auto"/>
                <w:sz w:val="21"/>
                <w:szCs w:val="21"/>
                <w:highlight w:val="none"/>
              </w:rPr>
              <w:t>（须提供有效的合同扫描件</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中标通知书并加盖投标人公章编入投标文件中，未提供的不得分）</w:t>
            </w:r>
          </w:p>
        </w:tc>
        <w:tc>
          <w:tcPr>
            <w:tcW w:w="686" w:type="dxa"/>
            <w:vAlign w:val="center"/>
          </w:tcPr>
          <w:p w14:paraId="6FA0ECBC">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686" w:type="dxa"/>
            <w:vAlign w:val="center"/>
          </w:tcPr>
          <w:p w14:paraId="4709790F">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86" w:type="dxa"/>
            <w:vAlign w:val="center"/>
          </w:tcPr>
          <w:p w14:paraId="49BA7EB6">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r>
      <w:tr w14:paraId="7B73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jc w:val="center"/>
        </w:trPr>
        <w:tc>
          <w:tcPr>
            <w:tcW w:w="1060" w:type="dxa"/>
            <w:vMerge w:val="continue"/>
            <w:vAlign w:val="center"/>
          </w:tcPr>
          <w:p w14:paraId="2B011C94">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6437DECA">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w:t>
            </w:r>
          </w:p>
        </w:tc>
        <w:tc>
          <w:tcPr>
            <w:tcW w:w="6710" w:type="dxa"/>
            <w:vAlign w:val="center"/>
          </w:tcPr>
          <w:p w14:paraId="3B36C5E5">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投标人提供拟派的项目负责人的专业素质、技术能力、类似工作经验等方面的证明资料。</w:t>
            </w:r>
          </w:p>
          <w:p w14:paraId="188A30F6">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具有测绘类或农学类或地理信息类高级及以上职称的得3分，具有测绘类或农学类或地理信息类中级职称的得1分，不满足要求的不得分。</w:t>
            </w:r>
          </w:p>
          <w:p w14:paraId="5A68115B">
            <w:pPr>
              <w:pStyle w:val="2"/>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（项目负责人须为投标人的正式在职人员，须提供有效的职称证书</w:t>
            </w:r>
            <w:r>
              <w:rPr>
                <w:rFonts w:hint="eastAsia" w:ascii="宋体" w:hAnsi="宋体" w:eastAsia="宋体" w:cs="宋体"/>
                <w:b/>
                <w:bCs/>
                <w:color w:val="auto"/>
                <w:sz w:val="21"/>
                <w:szCs w:val="21"/>
                <w:highlight w:val="none"/>
                <w:lang w:val="en-US" w:eastAsia="zh-CN"/>
              </w:rPr>
              <w:t>扫描件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投标截止时间前近3个月内的社保缴费证明并加盖投标人公章编入投标文件中，未提供或提供不全的不得分）</w:t>
            </w:r>
          </w:p>
        </w:tc>
        <w:tc>
          <w:tcPr>
            <w:tcW w:w="686" w:type="dxa"/>
            <w:vAlign w:val="center"/>
          </w:tcPr>
          <w:p w14:paraId="45BEF0E4">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686" w:type="dxa"/>
            <w:vAlign w:val="center"/>
          </w:tcPr>
          <w:p w14:paraId="27CE3BFF">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686" w:type="dxa"/>
            <w:vAlign w:val="center"/>
          </w:tcPr>
          <w:p w14:paraId="0C1133A1">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5BE8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8" w:hRule="atLeast"/>
          <w:jc w:val="center"/>
        </w:trPr>
        <w:tc>
          <w:tcPr>
            <w:tcW w:w="1060" w:type="dxa"/>
            <w:vMerge w:val="continue"/>
            <w:vAlign w:val="center"/>
          </w:tcPr>
          <w:p w14:paraId="394FCC41">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2BAD18B0">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项目组成员（除项目负责人外）</w:t>
            </w:r>
          </w:p>
        </w:tc>
        <w:tc>
          <w:tcPr>
            <w:tcW w:w="6710" w:type="dxa"/>
            <w:vAlign w:val="center"/>
          </w:tcPr>
          <w:p w14:paraId="1D958C09">
            <w:pPr>
              <w:keepNext w:val="0"/>
              <w:keepLines w:val="0"/>
              <w:pageBreakBefore w:val="0"/>
              <w:widowControl/>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投标人须提供项目组成员分工（内业、外业）方案，提供其专业素质、技术能力、类似工作经验等方面的证明资料。根据以下内容进行打分：</w:t>
            </w:r>
          </w:p>
          <w:p w14:paraId="0BAE3941">
            <w:pPr>
              <w:keepNext w:val="0"/>
              <w:keepLines w:val="0"/>
              <w:pageBreakBefore w:val="0"/>
              <w:numPr>
                <w:ilvl w:val="0"/>
                <w:numId w:val="5"/>
              </w:numPr>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成员中具有测绘类或农学类或地理信息类高级及以上职称的，每人得1分，最高得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C29C1B3">
            <w:pPr>
              <w:keepNext w:val="0"/>
              <w:keepLines w:val="0"/>
              <w:pageBreakBefore w:val="0"/>
              <w:numPr>
                <w:ilvl w:val="0"/>
                <w:numId w:val="5"/>
              </w:numPr>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成员中具有测绘类或农学类或地理信息类中级的每人得0.5分，最高得3分；</w:t>
            </w:r>
          </w:p>
          <w:p w14:paraId="126034FD">
            <w:pPr>
              <w:pStyle w:val="23"/>
              <w:keepNext w:val="0"/>
              <w:keepLines w:val="0"/>
              <w:pageBreakBefore w:val="0"/>
              <w:tabs>
                <w:tab w:val="left" w:pos="720"/>
                <w:tab w:val="left" w:pos="1260"/>
                <w:tab w:val="left" w:pos="2160"/>
                <w:tab w:val="left" w:pos="2880"/>
                <w:tab w:val="left" w:pos="3600"/>
                <w:tab w:val="left" w:pos="4320"/>
                <w:tab w:val="left" w:pos="5040"/>
                <w:tab w:val="left" w:pos="5760"/>
              </w:tabs>
              <w:kinsoku/>
              <w:wordWrap/>
              <w:overflowPunct/>
              <w:topLinePunct w:val="0"/>
              <w:bidi w:val="0"/>
              <w:snapToGrid/>
              <w:spacing w:after="0"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3、成员中具有民用无人驾驶航空器操控员执照（多旋翼）或AOPA多旋翼无人机操作员证书</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民用无人驾驶航空器操控员执照（固定翼）或AOPA固定翼无人机操作员证书的，每人得1分，最高得3分。</w:t>
            </w:r>
          </w:p>
          <w:p w14:paraId="6ABE6944">
            <w:pPr>
              <w:keepNext w:val="0"/>
              <w:keepLines w:val="0"/>
              <w:pageBreakBefore w:val="0"/>
              <w:kinsoku/>
              <w:wordWrap/>
              <w:overflowPunct/>
              <w:topLinePunct w:val="0"/>
              <w:bidi w:val="0"/>
              <w:snapToGrid/>
              <w:spacing w:line="240" w:lineRule="auto"/>
              <w:ind w:left="0" w:lef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本项最高得1</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14:paraId="326EBDF5">
            <w:pPr>
              <w:keepNext w:val="0"/>
              <w:keepLines w:val="0"/>
              <w:pageBreakBefore w:val="0"/>
              <w:kinsoku/>
              <w:wordWrap/>
              <w:overflowPunct/>
              <w:topLinePunct w:val="0"/>
              <w:bidi w:val="0"/>
              <w:snapToGrid/>
              <w:spacing w:line="240" w:lineRule="auto"/>
              <w:ind w:left="0" w:lef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未提供项目组成员分工（内业、外业）方案的本项为0分。</w:t>
            </w:r>
          </w:p>
          <w:p w14:paraId="1C4D4F96">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注：一人一证，有多本证书的不累计计分。</w:t>
            </w:r>
            <w:r>
              <w:rPr>
                <w:rFonts w:hint="eastAsia" w:ascii="宋体" w:hAnsi="宋体" w:eastAsia="宋体" w:cs="宋体"/>
                <w:color w:val="auto"/>
                <w:sz w:val="21"/>
                <w:szCs w:val="21"/>
                <w:highlight w:val="none"/>
              </w:rPr>
              <w:t xml:space="preserve"> </w:t>
            </w:r>
          </w:p>
          <w:p w14:paraId="37B87F89">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项目组成员须为投标人的正式在职人员，须提供有效的证书扫描件以及投标截止时间前近3个月内的社保缴费证明并加盖投标人公章编入投标文件中，未提供或提供不全的不得分</w:t>
            </w:r>
            <w:r>
              <w:rPr>
                <w:rFonts w:hint="eastAsia" w:ascii="宋体" w:hAnsi="宋体" w:eastAsia="宋体" w:cs="宋体"/>
                <w:b/>
                <w:bCs/>
                <w:color w:val="auto"/>
                <w:sz w:val="21"/>
                <w:szCs w:val="21"/>
                <w:highlight w:val="none"/>
                <w:lang w:eastAsia="zh-CN"/>
              </w:rPr>
              <w:t>）</w:t>
            </w:r>
          </w:p>
        </w:tc>
        <w:tc>
          <w:tcPr>
            <w:tcW w:w="686" w:type="dxa"/>
            <w:vAlign w:val="center"/>
          </w:tcPr>
          <w:p w14:paraId="3EDB2A73">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p>
        </w:tc>
        <w:tc>
          <w:tcPr>
            <w:tcW w:w="686" w:type="dxa"/>
            <w:vAlign w:val="center"/>
          </w:tcPr>
          <w:p w14:paraId="59E83519">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c>
          <w:tcPr>
            <w:tcW w:w="686" w:type="dxa"/>
            <w:vAlign w:val="center"/>
          </w:tcPr>
          <w:p w14:paraId="06766733">
            <w:pPr>
              <w:pStyle w:val="15"/>
              <w:keepNext w:val="0"/>
              <w:keepLines w:val="0"/>
              <w:pageBreakBefore w:val="0"/>
              <w:kinsoku/>
              <w:wordWrap/>
              <w:overflowPunct/>
              <w:topLinePunct w:val="0"/>
              <w:bidi w:val="0"/>
              <w:snapToGrid/>
              <w:spacing w:line="240" w:lineRule="auto"/>
              <w:ind w:left="0" w:leftChars="0" w:firstLine="0" w:firstLineChars="0"/>
              <w:jc w:val="center"/>
              <w:rPr>
                <w:rFonts w:hint="eastAsia" w:ascii="宋体" w:hAnsi="宋体" w:eastAsia="宋体" w:cs="宋体"/>
                <w:color w:val="auto"/>
                <w:sz w:val="21"/>
                <w:szCs w:val="21"/>
                <w:highlight w:val="none"/>
              </w:rPr>
            </w:pPr>
          </w:p>
        </w:tc>
      </w:tr>
      <w:tr w14:paraId="4B2C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restart"/>
            <w:vAlign w:val="center"/>
          </w:tcPr>
          <w:p w14:paraId="6E0BCB58">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技术分</w:t>
            </w:r>
          </w:p>
          <w:p w14:paraId="647BC4F5">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64.5</w:t>
            </w:r>
            <w:r>
              <w:rPr>
                <w:rFonts w:hint="eastAsia" w:ascii="宋体" w:hAnsi="宋体" w:eastAsia="宋体" w:cs="宋体"/>
                <w:color w:val="auto"/>
                <w:sz w:val="21"/>
                <w:szCs w:val="21"/>
                <w:highlight w:val="none"/>
              </w:rPr>
              <w:t>分）</w:t>
            </w:r>
          </w:p>
        </w:tc>
        <w:tc>
          <w:tcPr>
            <w:tcW w:w="978" w:type="dxa"/>
            <w:vAlign w:val="center"/>
          </w:tcPr>
          <w:p w14:paraId="2893A17F">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项目理解</w:t>
            </w:r>
          </w:p>
        </w:tc>
        <w:tc>
          <w:tcPr>
            <w:tcW w:w="6710" w:type="dxa"/>
            <w:vAlign w:val="center"/>
          </w:tcPr>
          <w:p w14:paraId="732D2BDB">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根据投标人对本项目的了解、分析、工作思路进行打分。</w:t>
            </w:r>
          </w:p>
          <w:p w14:paraId="0BE620A8">
            <w:pPr>
              <w:keepNext w:val="0"/>
              <w:keepLines w:val="0"/>
              <w:pageBreakBefore w:val="0"/>
              <w:widowControl/>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项目需求了解全面，分析科学合理，工作思路详细、合规，针对性强的得</w:t>
            </w:r>
            <w:r>
              <w:rPr>
                <w:rFonts w:hint="eastAsia" w:ascii="宋体" w:hAnsi="宋体" w:eastAsia="宋体" w:cs="宋体"/>
                <w:color w:val="auto"/>
                <w:sz w:val="21"/>
                <w:szCs w:val="21"/>
                <w:highlight w:val="none"/>
                <w:lang w:val="en-US" w:eastAsia="zh-CN"/>
              </w:rPr>
              <w:t>3.5-5.0</w:t>
            </w:r>
            <w:r>
              <w:rPr>
                <w:rFonts w:hint="eastAsia" w:ascii="宋体" w:hAnsi="宋体" w:eastAsia="宋体" w:cs="宋体"/>
                <w:color w:val="auto"/>
                <w:sz w:val="21"/>
                <w:szCs w:val="21"/>
                <w:highlight w:val="none"/>
              </w:rPr>
              <w:t>分；</w:t>
            </w:r>
          </w:p>
          <w:p w14:paraId="1D140264">
            <w:pPr>
              <w:keepNext w:val="0"/>
              <w:keepLines w:val="0"/>
              <w:pageBreakBefore w:val="0"/>
              <w:widowControl/>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项目需求了解阐述简单，分析片面，相关内容有提及但不完整，缺乏针对性的得0.1-3.4分；</w:t>
            </w:r>
          </w:p>
          <w:p w14:paraId="26D5B85B">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1415A2A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19586A21">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2150F294">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797B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continue"/>
            <w:vAlign w:val="center"/>
          </w:tcPr>
          <w:p w14:paraId="4A452D8C">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Align w:val="center"/>
          </w:tcPr>
          <w:p w14:paraId="7F86755C">
            <w:pPr>
              <w:keepNext w:val="0"/>
              <w:keepLines w:val="0"/>
              <w:pageBreakBefore w:val="0"/>
              <w:widowControl/>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进度安排</w:t>
            </w:r>
          </w:p>
        </w:tc>
        <w:tc>
          <w:tcPr>
            <w:tcW w:w="6710" w:type="dxa"/>
            <w:vAlign w:val="center"/>
          </w:tcPr>
          <w:p w14:paraId="227B5C77">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根据投标人针对本项目的作业流程、进度安排、重要节点保障进行打分。</w:t>
            </w:r>
          </w:p>
          <w:p w14:paraId="4B1ED111">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项目作业流程详细，总体进度安排合理，重要节点保障明确可行，能有效保障项目完成质量的得3.5-5.0分；</w:t>
            </w:r>
          </w:p>
          <w:p w14:paraId="7632BD22">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项目作业流程基本符合，总体进度安排阐述简单，具有一定可行性，重要项目节点保障措施不完整，无法有效保障项目在固定时间内完成的，得0.1-3.4分；</w:t>
            </w:r>
          </w:p>
          <w:p w14:paraId="36B1B941">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1E7545F4">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724CEED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7B4C7C7E">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563B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1" w:hRule="atLeast"/>
          <w:jc w:val="center"/>
        </w:trPr>
        <w:tc>
          <w:tcPr>
            <w:tcW w:w="1060" w:type="dxa"/>
            <w:vMerge w:val="continue"/>
            <w:vAlign w:val="center"/>
          </w:tcPr>
          <w:p w14:paraId="0B5606AB">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978" w:type="dxa"/>
            <w:vMerge w:val="restart"/>
            <w:vAlign w:val="center"/>
          </w:tcPr>
          <w:p w14:paraId="55B4B8F7">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重难点技术措施</w:t>
            </w:r>
          </w:p>
        </w:tc>
        <w:tc>
          <w:tcPr>
            <w:tcW w:w="6710" w:type="dxa"/>
            <w:vAlign w:val="center"/>
          </w:tcPr>
          <w:p w14:paraId="3E9AD5BE">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color w:val="auto"/>
                <w:sz w:val="21"/>
                <w:szCs w:val="21"/>
                <w:highlight w:val="none"/>
              </w:rPr>
              <w:t>“核实的</w:t>
            </w:r>
            <w:r>
              <w:rPr>
                <w:rFonts w:hint="eastAsia" w:ascii="宋体" w:hAnsi="宋体" w:eastAsia="宋体" w:cs="宋体"/>
                <w:b/>
                <w:bCs w:val="0"/>
                <w:color w:val="auto"/>
                <w:sz w:val="21"/>
                <w:szCs w:val="21"/>
                <w:highlight w:val="none"/>
                <w:u w:val="none"/>
              </w:rPr>
              <w:t>当季</w:t>
            </w:r>
            <w:r>
              <w:rPr>
                <w:rFonts w:hint="eastAsia" w:ascii="宋体" w:hAnsi="宋体" w:eastAsia="宋体" w:cs="宋体"/>
                <w:b/>
                <w:color w:val="auto"/>
                <w:sz w:val="21"/>
                <w:szCs w:val="21"/>
                <w:highlight w:val="none"/>
              </w:rPr>
              <w:t>种粮</w:t>
            </w:r>
            <w:r>
              <w:rPr>
                <w:rFonts w:hint="eastAsia" w:ascii="宋体" w:hAnsi="宋体" w:eastAsia="宋体" w:cs="宋体"/>
                <w:b/>
                <w:bCs w:val="0"/>
                <w:color w:val="auto"/>
                <w:sz w:val="21"/>
                <w:szCs w:val="21"/>
                <w:highlight w:val="none"/>
                <w:u w:val="none"/>
              </w:rPr>
              <w:t>总</w:t>
            </w:r>
            <w:r>
              <w:rPr>
                <w:rFonts w:hint="eastAsia" w:ascii="宋体" w:hAnsi="宋体" w:eastAsia="宋体" w:cs="宋体"/>
                <w:b/>
                <w:color w:val="auto"/>
                <w:sz w:val="21"/>
                <w:szCs w:val="21"/>
                <w:highlight w:val="none"/>
              </w:rPr>
              <w:t>面积数据误差率不超过1‰”“核实的</w:t>
            </w:r>
            <w:r>
              <w:rPr>
                <w:rFonts w:hint="eastAsia" w:ascii="宋体" w:hAnsi="宋体" w:eastAsia="宋体" w:cs="宋体"/>
                <w:b/>
                <w:bCs w:val="0"/>
                <w:color w:val="auto"/>
                <w:sz w:val="21"/>
                <w:szCs w:val="21"/>
                <w:highlight w:val="none"/>
                <w:u w:val="none"/>
              </w:rPr>
              <w:t>单个主体</w:t>
            </w:r>
            <w:r>
              <w:rPr>
                <w:rFonts w:hint="eastAsia" w:ascii="宋体" w:hAnsi="宋体" w:eastAsia="宋体" w:cs="宋体"/>
                <w:b/>
                <w:color w:val="auto"/>
                <w:sz w:val="21"/>
                <w:szCs w:val="21"/>
                <w:highlight w:val="none"/>
              </w:rPr>
              <w:t>种粮面积数据误差率低于1%”</w:t>
            </w:r>
            <w:r>
              <w:rPr>
                <w:rFonts w:hint="eastAsia" w:ascii="宋体" w:hAnsi="宋体" w:eastAsia="宋体" w:cs="宋体"/>
                <w:color w:val="auto"/>
                <w:sz w:val="21"/>
                <w:szCs w:val="21"/>
                <w:highlight w:val="none"/>
              </w:rPr>
              <w:t>的技术措施进行打分。</w:t>
            </w:r>
          </w:p>
          <w:p w14:paraId="6C7C9315">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措施阐述详细全面，工作方法明确，内容完整，符合项目需求的得3.5-5.0分；</w:t>
            </w:r>
          </w:p>
          <w:p w14:paraId="69A58331">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措施合理，但内容有欠缺，无法保障项目完成质量的得0.1-3.4分；</w:t>
            </w:r>
          </w:p>
          <w:p w14:paraId="65B05087">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410C94B7">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45CE6B18">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4F39D756">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0E93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8" w:hRule="atLeast"/>
          <w:jc w:val="center"/>
        </w:trPr>
        <w:tc>
          <w:tcPr>
            <w:tcW w:w="1060" w:type="dxa"/>
            <w:vMerge w:val="continue"/>
            <w:vAlign w:val="center"/>
          </w:tcPr>
          <w:p w14:paraId="067A35CF">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2321A00E">
            <w:pPr>
              <w:keepNext w:val="0"/>
              <w:keepLines w:val="0"/>
              <w:pageBreakBefore w:val="0"/>
              <w:widowControl/>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p>
        </w:tc>
        <w:tc>
          <w:tcPr>
            <w:tcW w:w="6710" w:type="dxa"/>
            <w:vAlign w:val="center"/>
          </w:tcPr>
          <w:p w14:paraId="33E74EAB">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路桥区机场净空区范围及特殊天气下粮食种植面积核查解决方案”</w:t>
            </w:r>
            <w:r>
              <w:rPr>
                <w:rFonts w:hint="eastAsia" w:ascii="宋体" w:hAnsi="宋体" w:eastAsia="宋体" w:cs="宋体"/>
                <w:bCs/>
                <w:color w:val="auto"/>
                <w:sz w:val="21"/>
                <w:szCs w:val="21"/>
                <w:highlight w:val="none"/>
              </w:rPr>
              <w:t>的技术措施进行打分。</w:t>
            </w:r>
          </w:p>
          <w:p w14:paraId="67760C25">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color w:val="auto"/>
                <w:sz w:val="21"/>
                <w:szCs w:val="21"/>
                <w:highlight w:val="none"/>
              </w:rPr>
              <w:t>如果采用无人机航拍影像的，根据无人机航飞审批流程、航飞方案、影像分辨率等方案内容以及佐证资料完整性进行打分。</w:t>
            </w:r>
          </w:p>
          <w:p w14:paraId="394AAC2B">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解决方案科学、合理、合规且可行性强的，并能提供完整的佐证材料的得8.0-12.0分；</w:t>
            </w:r>
          </w:p>
          <w:p w14:paraId="079BF8A0">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解决方案科学性、合理性、合规性、可行性一般的，佐证材料不够完整的得3.0-7.9分；</w:t>
            </w:r>
          </w:p>
          <w:p w14:paraId="2F26BCDF">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解决方案科学性、合理性、合规性、可行性较差，缺乏佐证材料的得0.1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2.9分。</w:t>
            </w:r>
          </w:p>
          <w:p w14:paraId="0BEFC70E">
            <w:pPr>
              <w:keepNext w:val="0"/>
              <w:keepLines w:val="0"/>
              <w:pageBreakBefore w:val="0"/>
              <w:tabs>
                <w:tab w:val="left" w:pos="2061"/>
              </w:tabs>
              <w:kinsoku/>
              <w:wordWrap/>
              <w:overflowPunct/>
              <w:topLinePunct w:val="0"/>
              <w:autoSpaceDE w:val="0"/>
              <w:autoSpaceDN w:val="0"/>
              <w:bidi w:val="0"/>
              <w:adjustRightInd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color w:val="auto"/>
                <w:sz w:val="21"/>
                <w:szCs w:val="21"/>
                <w:highlight w:val="none"/>
              </w:rPr>
              <w:t>投标人采用无人机航拍的，佐证材料包括本项目相关任务的空域使用申请批复表或承诺函等相关材料。未提供空域使用申请批复表或空域使用批复承诺函,视同无法采用无人机进行航拍作业，本项不得分</w:t>
            </w:r>
            <w:r>
              <w:rPr>
                <w:rFonts w:hint="eastAsia" w:ascii="宋体" w:hAnsi="宋体" w:eastAsia="宋体" w:cs="宋体"/>
                <w:b/>
                <w:bCs/>
                <w:color w:val="auto"/>
                <w:sz w:val="21"/>
                <w:szCs w:val="21"/>
                <w:highlight w:val="none"/>
              </w:rPr>
              <w:t>。）</w:t>
            </w:r>
          </w:p>
          <w:p w14:paraId="7ACE26F2">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2、如果采用卫星遥感影像的，根据实施方案的影像获取方法、影像分辨率等方案内容的合理性、合规性、可行性进行打分</w:t>
            </w:r>
            <w:r>
              <w:rPr>
                <w:rFonts w:hint="eastAsia" w:ascii="宋体" w:hAnsi="宋体" w:eastAsia="宋体" w:cs="宋体"/>
                <w:color w:val="auto"/>
                <w:sz w:val="21"/>
                <w:szCs w:val="21"/>
                <w:highlight w:val="none"/>
                <w:lang w:eastAsia="zh-CN"/>
              </w:rPr>
              <w:t>。</w:t>
            </w:r>
          </w:p>
          <w:p w14:paraId="6D990EA5">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方案科学、合理、合规且可行性强的，并能提供完整的佐证材料的</w:t>
            </w:r>
            <w:r>
              <w:rPr>
                <w:rFonts w:hint="eastAsia" w:ascii="宋体" w:hAnsi="宋体" w:eastAsia="宋体" w:cs="宋体"/>
                <w:color w:val="auto"/>
                <w:sz w:val="21"/>
                <w:szCs w:val="21"/>
                <w:highlight w:val="none"/>
                <w:lang w:val="en-US" w:eastAsia="zh-CN"/>
              </w:rPr>
              <w:t>得3.0-4.9分；</w:t>
            </w:r>
          </w:p>
          <w:p w14:paraId="1818E6DE">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科学性、合理性、合规性、可行性较差，缺乏佐证材料的得0.1-</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分。</w:t>
            </w:r>
          </w:p>
          <w:p w14:paraId="5501A043">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（投标人采用卫星遥感影像的，需提供影像来源说明和以往采购合同扫描件并加盖投标人公章编入投标文件中，未提供或提供不全的不得分）。</w:t>
            </w:r>
          </w:p>
          <w:p w14:paraId="5E4CEE0E">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上述两种影像采集方式得分只能取其中一项，按最高分计。</w:t>
            </w:r>
            <w:r>
              <w:rPr>
                <w:rFonts w:hint="eastAsia" w:ascii="宋体" w:hAnsi="宋体" w:eastAsia="宋体" w:cs="宋体"/>
                <w:b/>
                <w:color w:val="auto"/>
                <w:sz w:val="21"/>
                <w:szCs w:val="21"/>
                <w:highlight w:val="none"/>
              </w:rPr>
              <w:t>本项最高得</w:t>
            </w:r>
            <w:r>
              <w:rPr>
                <w:rFonts w:hint="eastAsia" w:ascii="宋体" w:hAnsi="宋体" w:eastAsia="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p>
        </w:tc>
        <w:tc>
          <w:tcPr>
            <w:tcW w:w="686" w:type="dxa"/>
            <w:vAlign w:val="center"/>
          </w:tcPr>
          <w:p w14:paraId="546D3E6A">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686" w:type="dxa"/>
            <w:vAlign w:val="center"/>
          </w:tcPr>
          <w:p w14:paraId="7B8DAA24">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6494647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4AD9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0" w:hRule="atLeast"/>
          <w:jc w:val="center"/>
        </w:trPr>
        <w:tc>
          <w:tcPr>
            <w:tcW w:w="1060" w:type="dxa"/>
            <w:vMerge w:val="continue"/>
            <w:vAlign w:val="center"/>
          </w:tcPr>
          <w:p w14:paraId="5F8E4FCA">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46FE44DF">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69DC21FE">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bCs/>
                <w:color w:val="auto"/>
                <w:sz w:val="21"/>
                <w:szCs w:val="21"/>
                <w:highlight w:val="none"/>
              </w:rPr>
              <w:t>“能够实现人地准确匹配的、有效解决农户不识图问题技术方案”</w:t>
            </w:r>
            <w:r>
              <w:rPr>
                <w:rFonts w:hint="eastAsia" w:ascii="宋体" w:hAnsi="宋体" w:eastAsia="宋体" w:cs="宋体"/>
                <w:bCs/>
                <w:color w:val="auto"/>
                <w:sz w:val="21"/>
                <w:szCs w:val="21"/>
                <w:highlight w:val="none"/>
              </w:rPr>
              <w:t>的技术措施</w:t>
            </w:r>
            <w:r>
              <w:rPr>
                <w:rFonts w:hint="eastAsia" w:ascii="宋体" w:hAnsi="宋体" w:eastAsia="宋体" w:cs="宋体"/>
                <w:color w:val="auto"/>
                <w:sz w:val="21"/>
                <w:szCs w:val="21"/>
                <w:highlight w:val="none"/>
              </w:rPr>
              <w:t>进行打分。</w:t>
            </w:r>
          </w:p>
          <w:p w14:paraId="185096FC">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技术措施阐述详细全面，工作方法明确，内容完整，符合项目需求的得3.5-5.0分；</w:t>
            </w:r>
          </w:p>
          <w:p w14:paraId="4825A6D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技术措施合理，但内容有欠缺，无法保障项目完成质量的得0.1-3.4分；</w:t>
            </w:r>
          </w:p>
          <w:p w14:paraId="1B962950">
            <w:pPr>
              <w:keepNext w:val="0"/>
              <w:keepLines w:val="0"/>
              <w:pageBreakBefore w:val="0"/>
              <w:kinsoku/>
              <w:wordWrap/>
              <w:overflowPunct/>
              <w:topLinePunct w:val="0"/>
              <w:autoSpaceDE w:val="0"/>
              <w:autoSpaceDN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518C6CBF">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730200E4">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08D6D30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2BE0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0" w:hRule="atLeast"/>
          <w:jc w:val="center"/>
        </w:trPr>
        <w:tc>
          <w:tcPr>
            <w:tcW w:w="1060" w:type="dxa"/>
            <w:vMerge w:val="continue"/>
            <w:vAlign w:val="center"/>
          </w:tcPr>
          <w:p w14:paraId="3E7972A7">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045CB13B">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5232C829">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w:t>
            </w:r>
            <w:r>
              <w:rPr>
                <w:rFonts w:hint="eastAsia" w:ascii="宋体" w:hAnsi="宋体" w:eastAsia="宋体" w:cs="宋体"/>
                <w:b/>
                <w:bCs/>
                <w:color w:val="auto"/>
                <w:sz w:val="21"/>
                <w:szCs w:val="21"/>
                <w:highlight w:val="none"/>
              </w:rPr>
              <w:t>“耕地数据判别、作物识别技术方案”</w:t>
            </w:r>
            <w:r>
              <w:rPr>
                <w:rFonts w:hint="eastAsia" w:ascii="宋体" w:hAnsi="宋体" w:eastAsia="宋体" w:cs="宋体"/>
                <w:bCs/>
                <w:color w:val="auto"/>
                <w:sz w:val="21"/>
                <w:szCs w:val="21"/>
                <w:highlight w:val="none"/>
              </w:rPr>
              <w:t>的技术措施</w:t>
            </w:r>
            <w:r>
              <w:rPr>
                <w:rFonts w:hint="eastAsia" w:ascii="宋体" w:hAnsi="宋体" w:eastAsia="宋体" w:cs="宋体"/>
                <w:color w:val="auto"/>
                <w:sz w:val="21"/>
                <w:szCs w:val="21"/>
                <w:highlight w:val="none"/>
              </w:rPr>
              <w:t>进行打分。</w:t>
            </w:r>
          </w:p>
          <w:p w14:paraId="0C633EA0">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技术措施阐述详细全面，工作方法明确，内容完整，符合项目需求的得3.5-5.0分；</w:t>
            </w:r>
          </w:p>
          <w:p w14:paraId="12C4F436">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技术措施合理，但内容有欠缺，无法保障项目完成质量的得0.1-3.4分；</w:t>
            </w:r>
          </w:p>
          <w:p w14:paraId="5AAEA353">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479A0CF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0A95A2E2">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2DFEE52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027B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jc w:val="center"/>
        </w:trPr>
        <w:tc>
          <w:tcPr>
            <w:tcW w:w="1060" w:type="dxa"/>
            <w:vMerge w:val="continue"/>
            <w:vAlign w:val="center"/>
          </w:tcPr>
          <w:p w14:paraId="3981E5B7">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5F49B550">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6710" w:type="dxa"/>
            <w:vAlign w:val="center"/>
          </w:tcPr>
          <w:p w14:paraId="27E47608">
            <w:pPr>
              <w:keepNext w:val="0"/>
              <w:keepLines w:val="0"/>
              <w:pageBreakBefore w:val="0"/>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eastAsia="宋体" w:cs="宋体"/>
                <w:color w:val="auto"/>
                <w:kern w:val="0"/>
                <w:sz w:val="21"/>
                <w:szCs w:val="21"/>
                <w:highlight w:val="none"/>
              </w:rPr>
              <w:t>投</w:t>
            </w:r>
            <w:r>
              <w:rPr>
                <w:rFonts w:hint="eastAsia" w:ascii="宋体" w:hAnsi="宋体" w:eastAsia="宋体" w:cs="宋体"/>
                <w:color w:val="auto"/>
                <w:sz w:val="21"/>
                <w:szCs w:val="21"/>
                <w:highlight w:val="none"/>
              </w:rPr>
              <w:t>标技术方案是否提出合理的应急预案及相应解决措施，是否充分考虑用户实际使用需求等进行打分。</w:t>
            </w:r>
          </w:p>
          <w:p w14:paraId="178B3D98">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预案阐述详细全面，工作方法明确，内容完整，符合项目需求的得3.5-5.0分；</w:t>
            </w:r>
          </w:p>
          <w:p w14:paraId="2DA2440D">
            <w:pPr>
              <w:keepNext w:val="0"/>
              <w:keepLines w:val="0"/>
              <w:pageBreakBefore w:val="0"/>
              <w:tabs>
                <w:tab w:val="left" w:pos="2061"/>
              </w:tabs>
              <w:kinsoku/>
              <w:wordWrap/>
              <w:overflowPunct/>
              <w:topLinePunct w:val="0"/>
              <w:bidi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预案合理，但内容有欠缺，无法保障项目完成质量的得0.1-3.4分；</w:t>
            </w:r>
          </w:p>
          <w:p w14:paraId="32C01C67">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未提及此项不得分。未提及此项不得分。</w:t>
            </w:r>
          </w:p>
        </w:tc>
        <w:tc>
          <w:tcPr>
            <w:tcW w:w="686" w:type="dxa"/>
            <w:vAlign w:val="center"/>
          </w:tcPr>
          <w:p w14:paraId="3F97406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3F91E338">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2C8D14C7">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5CF9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060" w:type="dxa"/>
            <w:vMerge w:val="continue"/>
            <w:vAlign w:val="center"/>
          </w:tcPr>
          <w:p w14:paraId="06E27FA1">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722527F7">
            <w:pPr>
              <w:keepNext w:val="0"/>
              <w:keepLines w:val="0"/>
              <w:pageBreakBefore w:val="0"/>
              <w:widowControl/>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拟投入的各种核实仪器、设备情况</w:t>
            </w:r>
          </w:p>
        </w:tc>
        <w:tc>
          <w:tcPr>
            <w:tcW w:w="6710" w:type="dxa"/>
            <w:vAlign w:val="center"/>
          </w:tcPr>
          <w:p w14:paraId="35DEC099">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1、投标人针对本项目拟投入使用的无人机航摄设备</w:t>
            </w:r>
            <w:r>
              <w:rPr>
                <w:rFonts w:hint="eastAsia" w:ascii="宋体" w:hAnsi="宋体" w:eastAsia="宋体" w:cs="宋体"/>
                <w:color w:val="auto"/>
                <w:kern w:val="0"/>
                <w:sz w:val="21"/>
                <w:szCs w:val="21"/>
                <w:highlight w:val="none"/>
                <w:lang w:bidi="ar"/>
              </w:rPr>
              <w:t>数量（且必须经过国家民航局实名认证），拥有4架获得基础分1分，每增加1架加0.5分，无人机未经过认证不得分，本项最高4分</w:t>
            </w:r>
            <w:r>
              <w:rPr>
                <w:rFonts w:hint="eastAsia" w:ascii="宋体" w:hAnsi="宋体" w:eastAsia="宋体" w:cs="宋体"/>
                <w:color w:val="auto"/>
                <w:kern w:val="0"/>
                <w:sz w:val="21"/>
                <w:szCs w:val="21"/>
                <w:highlight w:val="none"/>
                <w:lang w:eastAsia="zh-CN" w:bidi="ar"/>
              </w:rPr>
              <w:t>。</w:t>
            </w:r>
          </w:p>
          <w:p w14:paraId="01495E66">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2、投标人针对本项目拟投入使用的车辆，每辆得0.5分，最高得1分。</w:t>
            </w:r>
          </w:p>
          <w:p w14:paraId="3BBB4849">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（1、自有设备须提供购置合同、购置发票的扫描件加盖投标人公章编入投标文件中；租赁设备须提供购置合同、购置发票及租赁合同扫描件</w:t>
            </w:r>
            <w:r>
              <w:rPr>
                <w:rFonts w:hint="eastAsia" w:ascii="宋体" w:hAnsi="宋体" w:eastAsia="宋体" w:cs="宋体"/>
                <w:b/>
                <w:bCs/>
                <w:color w:val="auto"/>
                <w:sz w:val="21"/>
                <w:szCs w:val="21"/>
                <w:highlight w:val="none"/>
                <w:lang w:bidi="ar"/>
              </w:rPr>
              <w:t>且租赁有效期须涵盖本项目3年的服务期限</w:t>
            </w:r>
            <w:r>
              <w:rPr>
                <w:rFonts w:hint="eastAsia" w:ascii="宋体" w:hAnsi="宋体" w:eastAsia="宋体" w:cs="宋体"/>
                <w:b/>
                <w:bCs/>
                <w:color w:val="auto"/>
                <w:sz w:val="21"/>
                <w:szCs w:val="21"/>
                <w:highlight w:val="none"/>
              </w:rPr>
              <w:t>加盖投标人公章编入投标文件，未提供或提供不全的不得分。</w:t>
            </w:r>
          </w:p>
          <w:p w14:paraId="7365C369">
            <w:pPr>
              <w:keepNext w:val="0"/>
              <w:keepLines w:val="0"/>
              <w:pageBreakBefore w:val="0"/>
              <w:numPr>
                <w:ilvl w:val="255"/>
                <w:numId w:val="0"/>
              </w:numPr>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2、提供设备照片、简介、功能、精度等方面的介绍</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未提供的不得分</w:t>
            </w:r>
            <w:r>
              <w:rPr>
                <w:rFonts w:hint="eastAsia" w:ascii="宋体" w:hAnsi="宋体" w:eastAsia="宋体" w:cs="宋体"/>
                <w:b/>
                <w:bCs/>
                <w:color w:val="auto"/>
                <w:sz w:val="21"/>
                <w:szCs w:val="21"/>
                <w:highlight w:val="none"/>
              </w:rPr>
              <w:t>）</w:t>
            </w:r>
          </w:p>
        </w:tc>
        <w:tc>
          <w:tcPr>
            <w:tcW w:w="686" w:type="dxa"/>
            <w:vAlign w:val="center"/>
          </w:tcPr>
          <w:p w14:paraId="1EEF559A">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5320BF52">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1CC4AEC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1ABC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60" w:type="dxa"/>
            <w:vMerge w:val="continue"/>
            <w:vAlign w:val="center"/>
          </w:tcPr>
          <w:p w14:paraId="7C448AE4">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37A63889">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申请临时空域的能力</w:t>
            </w:r>
          </w:p>
        </w:tc>
        <w:tc>
          <w:tcPr>
            <w:tcW w:w="6710" w:type="dxa"/>
            <w:vAlign w:val="center"/>
          </w:tcPr>
          <w:p w14:paraId="31A3289E">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投标人具有向有关部门申请临时空域的能力，</w:t>
            </w:r>
            <w:r>
              <w:rPr>
                <w:rFonts w:hint="eastAsia" w:ascii="宋体" w:hAnsi="宋体" w:eastAsia="宋体" w:cs="宋体"/>
                <w:color w:val="auto"/>
                <w:sz w:val="21"/>
                <w:szCs w:val="21"/>
                <w:highlight w:val="none"/>
                <w:lang w:val="en-US" w:eastAsia="zh-CN"/>
              </w:rPr>
              <w:t>自2022年1月1日以来（以批复时间为准）</w:t>
            </w:r>
            <w:r>
              <w:rPr>
                <w:rFonts w:hint="eastAsia" w:ascii="宋体" w:hAnsi="宋体" w:eastAsia="宋体" w:cs="宋体"/>
                <w:color w:val="auto"/>
                <w:sz w:val="21"/>
                <w:szCs w:val="21"/>
                <w:highlight w:val="none"/>
              </w:rPr>
              <w:t>成功申请</w:t>
            </w:r>
            <w:r>
              <w:rPr>
                <w:rFonts w:hint="eastAsia" w:ascii="宋体" w:hAnsi="宋体" w:eastAsia="宋体" w:cs="宋体"/>
                <w:color w:val="auto"/>
                <w:sz w:val="21"/>
                <w:szCs w:val="21"/>
                <w:highlight w:val="none"/>
                <w:lang w:val="en-US" w:eastAsia="zh-CN"/>
              </w:rPr>
              <w:t>过</w:t>
            </w:r>
            <w:r>
              <w:rPr>
                <w:rFonts w:hint="eastAsia" w:ascii="宋体" w:hAnsi="宋体" w:eastAsia="宋体" w:cs="宋体"/>
                <w:color w:val="auto"/>
                <w:sz w:val="21"/>
                <w:szCs w:val="21"/>
                <w:highlight w:val="none"/>
              </w:rPr>
              <w:t>空域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每提供一个空域使用申请批复表（临时空域范围未包含机场净空区）得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3D6E4B44">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每提供一个空域使用申请批复表（临时空域范围包含机场净空区）得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最高得4分</w:t>
            </w:r>
            <w:r>
              <w:rPr>
                <w:rFonts w:hint="eastAsia" w:ascii="宋体" w:hAnsi="宋体" w:eastAsia="宋体" w:cs="宋体"/>
                <w:color w:val="auto"/>
                <w:sz w:val="21"/>
                <w:szCs w:val="21"/>
                <w:highlight w:val="none"/>
              </w:rPr>
              <w:t>。</w:t>
            </w:r>
          </w:p>
          <w:p w14:paraId="6B0AA9D1">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本项最高</w:t>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分。</w:t>
            </w:r>
          </w:p>
          <w:p w14:paraId="76CB7EE4">
            <w:pPr>
              <w:keepNext w:val="0"/>
              <w:keepLines w:val="0"/>
              <w:pageBreakBefore w:val="0"/>
              <w:kinsoku/>
              <w:wordWrap/>
              <w:overflowPunct/>
              <w:topLinePunct w:val="0"/>
              <w:bidi w:val="0"/>
              <w:adjustRightInd w:val="0"/>
              <w:snapToGrid/>
              <w:spacing w:line="240" w:lineRule="auto"/>
              <w:ind w:left="0" w:leftChars="0"/>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（须</w:t>
            </w:r>
            <w:r>
              <w:rPr>
                <w:rFonts w:hint="eastAsia" w:ascii="宋体" w:hAnsi="宋体" w:eastAsia="宋体" w:cs="宋体"/>
                <w:b/>
                <w:bCs/>
                <w:color w:val="auto"/>
                <w:sz w:val="21"/>
                <w:szCs w:val="21"/>
                <w:highlight w:val="none"/>
              </w:rPr>
              <w:t>提供</w:t>
            </w:r>
            <w:r>
              <w:rPr>
                <w:rFonts w:hint="eastAsia" w:ascii="宋体" w:hAnsi="宋体" w:eastAsia="宋体" w:cs="宋体"/>
                <w:b/>
                <w:bCs/>
                <w:color w:val="auto"/>
                <w:sz w:val="21"/>
                <w:szCs w:val="21"/>
                <w:highlight w:val="none"/>
                <w:lang w:val="en-US" w:eastAsia="zh-CN"/>
              </w:rPr>
              <w:t>相关证明</w:t>
            </w:r>
            <w:r>
              <w:rPr>
                <w:rFonts w:hint="eastAsia" w:ascii="宋体" w:hAnsi="宋体" w:eastAsia="宋体" w:cs="宋体"/>
                <w:b/>
                <w:bCs/>
                <w:color w:val="auto"/>
                <w:sz w:val="21"/>
                <w:szCs w:val="21"/>
                <w:highlight w:val="none"/>
              </w:rPr>
              <w:t>材料</w:t>
            </w:r>
            <w:r>
              <w:rPr>
                <w:rFonts w:hint="eastAsia" w:ascii="宋体" w:hAnsi="宋体" w:eastAsia="宋体" w:cs="宋体"/>
                <w:b/>
                <w:bCs/>
                <w:color w:val="auto"/>
                <w:sz w:val="21"/>
                <w:szCs w:val="21"/>
                <w:highlight w:val="none"/>
                <w:lang w:val="en-US" w:eastAsia="zh-CN"/>
              </w:rPr>
              <w:t>扫描件</w:t>
            </w:r>
            <w:r>
              <w:rPr>
                <w:rFonts w:hint="eastAsia" w:ascii="宋体" w:hAnsi="宋体" w:eastAsia="宋体" w:cs="宋体"/>
                <w:b/>
                <w:bCs/>
                <w:color w:val="auto"/>
                <w:sz w:val="21"/>
                <w:szCs w:val="21"/>
                <w:highlight w:val="none"/>
              </w:rPr>
              <w:t>并加盖投标人公章编入投标文件中，未提供的不得分。空域使用申请批复表须有部队航管气象处盖章，无章不得分。批复表中临时空域范围包含机场净空区的，须提供相关说明及批复空域范围图，不提供按未包含机场净空区计分</w:t>
            </w:r>
            <w:r>
              <w:rPr>
                <w:rFonts w:hint="eastAsia" w:ascii="宋体" w:hAnsi="宋体" w:eastAsia="宋体" w:cs="宋体"/>
                <w:b/>
                <w:bCs/>
                <w:color w:val="auto"/>
                <w:sz w:val="21"/>
                <w:szCs w:val="21"/>
                <w:highlight w:val="none"/>
                <w:lang w:eastAsia="zh-CN"/>
              </w:rPr>
              <w:t>）</w:t>
            </w:r>
          </w:p>
        </w:tc>
        <w:tc>
          <w:tcPr>
            <w:tcW w:w="686" w:type="dxa"/>
            <w:vAlign w:val="center"/>
          </w:tcPr>
          <w:p w14:paraId="2D34A05A">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686" w:type="dxa"/>
            <w:vAlign w:val="center"/>
          </w:tcPr>
          <w:p w14:paraId="32D45BC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c>
          <w:tcPr>
            <w:tcW w:w="686" w:type="dxa"/>
            <w:vAlign w:val="center"/>
          </w:tcPr>
          <w:p w14:paraId="0F58E191">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r>
      <w:tr w14:paraId="23E8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2C27357C">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restart"/>
            <w:vAlign w:val="center"/>
          </w:tcPr>
          <w:p w14:paraId="4C22AD62">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粮补信息系统</w:t>
            </w:r>
            <w:r>
              <w:rPr>
                <w:rFonts w:hint="eastAsia" w:ascii="宋体" w:hAnsi="宋体" w:eastAsia="宋体" w:cs="宋体"/>
                <w:color w:val="auto"/>
                <w:sz w:val="21"/>
                <w:szCs w:val="21"/>
                <w:highlight w:val="none"/>
                <w:lang w:val="en-US" w:eastAsia="zh-CN"/>
              </w:rPr>
              <w:t>操作说明</w:t>
            </w:r>
          </w:p>
        </w:tc>
        <w:tc>
          <w:tcPr>
            <w:tcW w:w="6710" w:type="dxa"/>
            <w:vAlign w:val="center"/>
          </w:tcPr>
          <w:p w14:paraId="5CB0A2E1">
            <w:pPr>
              <w:numPr>
                <w:ilvl w:val="255"/>
                <w:numId w:val="0"/>
              </w:numPr>
              <w:tabs>
                <w:tab w:val="left" w:pos="2061"/>
              </w:tabs>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根据投标人提供的系统操作说明、界面截图、系统是否简洁易用等情况进行打分。</w:t>
            </w:r>
          </w:p>
          <w:p w14:paraId="4E379D34">
            <w:pPr>
              <w:numPr>
                <w:ilvl w:val="255"/>
                <w:numId w:val="0"/>
              </w:numPr>
              <w:tabs>
                <w:tab w:val="left" w:pos="2061"/>
              </w:tabs>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提供的系统操作说明、界面截图内容完整，</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简洁易用性高的得1.5-3.0分；</w:t>
            </w:r>
          </w:p>
          <w:p w14:paraId="4D610F8C">
            <w:pPr>
              <w:numPr>
                <w:ilvl w:val="255"/>
                <w:numId w:val="0"/>
              </w:numPr>
              <w:tabs>
                <w:tab w:val="left" w:pos="2061"/>
              </w:tabs>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简洁易用性一般，系统的界面截图、操作说明等内容简单粗略的得0.1-1.4分</w:t>
            </w:r>
            <w:r>
              <w:rPr>
                <w:rFonts w:hint="eastAsia" w:ascii="宋体" w:hAnsi="宋体" w:eastAsia="宋体" w:cs="宋体"/>
                <w:color w:val="auto"/>
                <w:sz w:val="21"/>
                <w:szCs w:val="21"/>
                <w:highlight w:val="none"/>
              </w:rPr>
              <w:t>；</w:t>
            </w:r>
          </w:p>
          <w:p w14:paraId="2A36A3E2">
            <w:pPr>
              <w:numPr>
                <w:ilvl w:val="255"/>
                <w:numId w:val="0"/>
              </w:numPr>
              <w:tabs>
                <w:tab w:val="left" w:pos="2061"/>
              </w:tabs>
              <w:ind w:left="0" w:lef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4A6DF17E">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86" w:type="dxa"/>
            <w:vAlign w:val="center"/>
          </w:tcPr>
          <w:p w14:paraId="2B75A897">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c>
          <w:tcPr>
            <w:tcW w:w="686" w:type="dxa"/>
            <w:vAlign w:val="center"/>
          </w:tcPr>
          <w:p w14:paraId="2D0DAB70">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r>
      <w:tr w14:paraId="6809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40A6B53A">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11006F4A">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zh-CN"/>
              </w:rPr>
            </w:pPr>
          </w:p>
        </w:tc>
        <w:tc>
          <w:tcPr>
            <w:tcW w:w="6710" w:type="dxa"/>
            <w:vAlign w:val="center"/>
          </w:tcPr>
          <w:p w14:paraId="113EBCCD">
            <w:pPr>
              <w:numPr>
                <w:ilvl w:val="255"/>
                <w:numId w:val="0"/>
              </w:numPr>
              <w:tabs>
                <w:tab w:val="left" w:pos="2061"/>
              </w:tabs>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根据投标人提供的系统</w:t>
            </w:r>
            <w:r>
              <w:rPr>
                <w:rFonts w:hint="eastAsia" w:ascii="宋体" w:hAnsi="宋体" w:eastAsia="宋体" w:cs="宋体"/>
                <w:color w:val="auto"/>
                <w:sz w:val="21"/>
                <w:szCs w:val="21"/>
                <w:highlight w:val="none"/>
                <w:lang w:val="zh-CN"/>
              </w:rPr>
              <w:t>详细功能</w:t>
            </w:r>
            <w:r>
              <w:rPr>
                <w:rFonts w:hint="eastAsia" w:ascii="宋体" w:hAnsi="宋体" w:eastAsia="宋体" w:cs="宋体"/>
                <w:color w:val="auto"/>
                <w:sz w:val="21"/>
                <w:szCs w:val="21"/>
                <w:highlight w:val="none"/>
                <w:lang w:val="en-US" w:eastAsia="zh-CN"/>
              </w:rPr>
              <w:t>介绍等内容进行打分。</w:t>
            </w:r>
          </w:p>
          <w:p w14:paraId="334A2A88">
            <w:pPr>
              <w:numPr>
                <w:ilvl w:val="255"/>
                <w:numId w:val="0"/>
              </w:numPr>
              <w:tabs>
                <w:tab w:val="left" w:pos="2061"/>
              </w:tabs>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各项功能完整，详细功能介绍详细的得1.5-3.0分；</w:t>
            </w:r>
          </w:p>
          <w:p w14:paraId="02A7011A">
            <w:pPr>
              <w:numPr>
                <w:ilvl w:val="255"/>
                <w:numId w:val="0"/>
              </w:numPr>
              <w:tabs>
                <w:tab w:val="left" w:pos="2061"/>
              </w:tabs>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系统</w:t>
            </w:r>
            <w:r>
              <w:rPr>
                <w:rFonts w:hint="eastAsia" w:ascii="宋体" w:hAnsi="宋体" w:eastAsia="宋体" w:cs="宋体"/>
                <w:color w:val="auto"/>
                <w:sz w:val="21"/>
                <w:szCs w:val="21"/>
                <w:highlight w:val="none"/>
                <w:lang w:val="en-US" w:eastAsia="zh-CN"/>
              </w:rPr>
              <w:t>功能介绍简单粗略，各项功能基本满足日常使用需求的得0.1-1.4分</w:t>
            </w:r>
            <w:r>
              <w:rPr>
                <w:rFonts w:hint="eastAsia" w:ascii="宋体" w:hAnsi="宋体" w:eastAsia="宋体" w:cs="宋体"/>
                <w:color w:val="auto"/>
                <w:sz w:val="21"/>
                <w:szCs w:val="21"/>
                <w:highlight w:val="none"/>
              </w:rPr>
              <w:t>；</w:t>
            </w:r>
          </w:p>
          <w:p w14:paraId="6CEC7911">
            <w:pPr>
              <w:numPr>
                <w:ilvl w:val="255"/>
                <w:numId w:val="0"/>
              </w:numPr>
              <w:tabs>
                <w:tab w:val="left" w:pos="2061"/>
              </w:tabs>
              <w:ind w:left="0" w:lef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未提及此项不得分</w:t>
            </w:r>
            <w:r>
              <w:rPr>
                <w:rFonts w:hint="eastAsia" w:ascii="宋体" w:hAnsi="宋体" w:eastAsia="宋体" w:cs="宋体"/>
                <w:color w:val="auto"/>
                <w:sz w:val="21"/>
                <w:szCs w:val="21"/>
                <w:highlight w:val="none"/>
                <w:lang w:eastAsia="zh-CN"/>
              </w:rPr>
              <w:t>。</w:t>
            </w:r>
          </w:p>
        </w:tc>
        <w:tc>
          <w:tcPr>
            <w:tcW w:w="686" w:type="dxa"/>
            <w:vAlign w:val="center"/>
          </w:tcPr>
          <w:p w14:paraId="1FD6E3FB">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86" w:type="dxa"/>
            <w:vAlign w:val="center"/>
          </w:tcPr>
          <w:p w14:paraId="574F501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c>
          <w:tcPr>
            <w:tcW w:w="686" w:type="dxa"/>
            <w:vAlign w:val="center"/>
          </w:tcPr>
          <w:p w14:paraId="4BB9B206">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lang w:val="en-US" w:eastAsia="zh-CN"/>
              </w:rPr>
            </w:pPr>
          </w:p>
        </w:tc>
      </w:tr>
      <w:tr w14:paraId="1F17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atLeast"/>
          <w:jc w:val="center"/>
        </w:trPr>
        <w:tc>
          <w:tcPr>
            <w:tcW w:w="1060" w:type="dxa"/>
            <w:vMerge w:val="continue"/>
            <w:vAlign w:val="center"/>
          </w:tcPr>
          <w:p w14:paraId="3A0DFCA0">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Align w:val="center"/>
          </w:tcPr>
          <w:p w14:paraId="18AE5542">
            <w:pPr>
              <w:keepNext w:val="0"/>
              <w:keepLines w:val="0"/>
              <w:pageBreakBefore w:val="0"/>
              <w:widowControl/>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项目管理制度</w:t>
            </w:r>
          </w:p>
        </w:tc>
        <w:tc>
          <w:tcPr>
            <w:tcW w:w="6710" w:type="dxa"/>
            <w:vAlign w:val="center"/>
          </w:tcPr>
          <w:p w14:paraId="428C537C">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根据投标人针对本项目的管理制度，包括管理组织构架、内控制度、质量管控措施、档案及保密管理制度等进行</w:t>
            </w:r>
            <w:r>
              <w:rPr>
                <w:rFonts w:hint="eastAsia" w:ascii="宋体" w:hAnsi="宋体" w:eastAsia="宋体" w:cs="宋体"/>
                <w:color w:val="auto"/>
                <w:sz w:val="21"/>
                <w:szCs w:val="21"/>
                <w:highlight w:val="none"/>
                <w:lang w:val="en-US" w:eastAsia="zh-CN"/>
              </w:rPr>
              <w:t>打分</w:t>
            </w:r>
            <w:r>
              <w:rPr>
                <w:rFonts w:hint="eastAsia" w:ascii="宋体" w:hAnsi="宋体" w:eastAsia="宋体" w:cs="宋体"/>
                <w:color w:val="auto"/>
                <w:sz w:val="21"/>
                <w:szCs w:val="21"/>
                <w:highlight w:val="none"/>
              </w:rPr>
              <w:t>。</w:t>
            </w:r>
          </w:p>
          <w:p w14:paraId="0ABC5B3D">
            <w:pPr>
              <w:keepNext w:val="0"/>
              <w:keepLines w:val="0"/>
              <w:pageBreakBefore w:val="0"/>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方案阐述全面，质量管控措施等阐述合理可行且有针对性，能有效保障项目服务质量的，保密措施详细可行，能够确保资料不被泄露的得</w:t>
            </w:r>
            <w:r>
              <w:rPr>
                <w:rFonts w:hint="eastAsia" w:ascii="宋体" w:hAnsi="宋体" w:eastAsia="宋体" w:cs="宋体"/>
                <w:color w:val="auto"/>
                <w:sz w:val="21"/>
                <w:szCs w:val="21"/>
                <w:highlight w:val="none"/>
              </w:rPr>
              <w:t>3.5-5.0分；</w:t>
            </w:r>
          </w:p>
          <w:p w14:paraId="682C869A">
            <w:pPr>
              <w:keepNext w:val="0"/>
              <w:keepLines w:val="0"/>
              <w:pageBreakBefore w:val="0"/>
              <w:kinsoku/>
              <w:wordWrap/>
              <w:overflowPunct/>
              <w:topLinePunct w:val="0"/>
              <w:bidi w:val="0"/>
              <w:snapToGrid/>
              <w:spacing w:line="240" w:lineRule="auto"/>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方案阐述简单，质量管控措施等内容有提及但阐述不完整，保密措施简单基本能保障项目服务的得</w:t>
            </w:r>
            <w:r>
              <w:rPr>
                <w:rFonts w:hint="eastAsia" w:ascii="宋体" w:hAnsi="宋体" w:eastAsia="宋体" w:cs="宋体"/>
                <w:color w:val="auto"/>
                <w:sz w:val="21"/>
                <w:szCs w:val="21"/>
                <w:highlight w:val="none"/>
              </w:rPr>
              <w:t>0.1-</w:t>
            </w:r>
            <w:ins w:id="6" w:author="崽崽" w:date="2025-01-22T16:57:31Z">
              <w:r>
                <w:rPr>
                  <w:rFonts w:hint="eastAsia" w:ascii="宋体" w:hAnsi="宋体" w:eastAsia="宋体" w:cs="宋体"/>
                  <w:color w:val="auto"/>
                  <w:sz w:val="21"/>
                  <w:szCs w:val="21"/>
                  <w:highlight w:val="none"/>
                  <w:lang w:val="en-US" w:eastAsia="zh-CN"/>
                </w:rPr>
                <w:t>3</w:t>
              </w:r>
            </w:ins>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03B160BF">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未提及此项不得分。</w:t>
            </w:r>
          </w:p>
        </w:tc>
        <w:tc>
          <w:tcPr>
            <w:tcW w:w="686" w:type="dxa"/>
            <w:vAlign w:val="center"/>
          </w:tcPr>
          <w:p w14:paraId="78FC80E3">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86" w:type="dxa"/>
            <w:vAlign w:val="center"/>
          </w:tcPr>
          <w:p w14:paraId="558862BB">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86" w:type="dxa"/>
            <w:vAlign w:val="center"/>
          </w:tcPr>
          <w:p w14:paraId="7FD346EC">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r>
      <w:tr w14:paraId="7202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4" w:hRule="atLeast"/>
          <w:jc w:val="center"/>
        </w:trPr>
        <w:tc>
          <w:tcPr>
            <w:tcW w:w="1060" w:type="dxa"/>
            <w:vMerge w:val="continue"/>
            <w:vAlign w:val="center"/>
          </w:tcPr>
          <w:p w14:paraId="52708579">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restart"/>
            <w:vAlign w:val="center"/>
          </w:tcPr>
          <w:p w14:paraId="17C25F4B">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kern w:val="0"/>
                <w:sz w:val="21"/>
                <w:szCs w:val="21"/>
                <w:highlight w:val="none"/>
                <w:lang w:eastAsia="zh-CN"/>
              </w:rPr>
            </w:pPr>
            <w:ins w:id="7" w:author="崽崽" w:date="2025-01-22T16:53:23Z">
              <w:r>
                <w:rPr>
                  <w:rFonts w:hint="eastAsia" w:ascii="宋体" w:hAnsi="宋体" w:eastAsia="宋体" w:cs="宋体"/>
                  <w:color w:val="auto"/>
                  <w:kern w:val="0"/>
                  <w:sz w:val="21"/>
                  <w:szCs w:val="21"/>
                  <w:highlight w:val="none"/>
                  <w:lang w:eastAsia="zh-CN"/>
                </w:rPr>
                <w:t>后续服务方案</w:t>
              </w:r>
            </w:ins>
          </w:p>
          <w:p w14:paraId="0C7E0DB9">
            <w:pPr>
              <w:keepNext w:val="0"/>
              <w:keepLines w:val="0"/>
              <w:pageBreakBefore w:val="0"/>
              <w:kinsoku/>
              <w:wordWrap/>
              <w:overflowPunct/>
              <w:topLinePunct w:val="0"/>
              <w:autoSpaceDE w:val="0"/>
              <w:autoSpaceDN w:val="0"/>
              <w:bidi w:val="0"/>
              <w:snapToGrid/>
              <w:spacing w:line="240" w:lineRule="auto"/>
              <w:ind w:left="0" w:leftChars="0"/>
              <w:jc w:val="center"/>
              <w:rPr>
                <w:rFonts w:hint="eastAsia" w:ascii="宋体" w:hAnsi="宋体" w:eastAsia="宋体" w:cs="宋体"/>
                <w:color w:val="auto"/>
                <w:sz w:val="21"/>
                <w:szCs w:val="21"/>
                <w:highlight w:val="none"/>
              </w:rPr>
            </w:pPr>
          </w:p>
        </w:tc>
        <w:tc>
          <w:tcPr>
            <w:tcW w:w="6710" w:type="dxa"/>
            <w:vAlign w:val="center"/>
          </w:tcPr>
          <w:p w14:paraId="2E075687">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承诺提供的后续服务方案（服务能力、服务措施、服务承诺、实质性优惠条件或提供粮油补贴面积核查相关工作的管理提供便利、实质性的服务措施情况等方面）情况，包括服务承诺的可行性、完整性以及后续的技术实施保障措施等进行打分。</w:t>
            </w:r>
          </w:p>
          <w:p w14:paraId="73609B66">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服务方案阐述全面、后续技术保障措施合理有效的得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 xml:space="preserve">分； </w:t>
            </w:r>
          </w:p>
          <w:p w14:paraId="7C3FD343">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服务方案阐述简单，后续技术保障措施有欠缺的得0.1-</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分；</w:t>
            </w:r>
          </w:p>
          <w:p w14:paraId="111A6930">
            <w:pPr>
              <w:keepNext w:val="0"/>
              <w:keepLines w:val="0"/>
              <w:pageBreakBefore w:val="0"/>
              <w:tabs>
                <w:tab w:val="left" w:pos="2061"/>
              </w:tabs>
              <w:kinsoku/>
              <w:wordWrap/>
              <w:overflowPunct/>
              <w:topLinePunct w:val="0"/>
              <w:bidi w:val="0"/>
              <w:snapToGrid/>
              <w:spacing w:line="240" w:lineRule="auto"/>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未提及此项不得分。</w:t>
            </w:r>
          </w:p>
        </w:tc>
        <w:tc>
          <w:tcPr>
            <w:tcW w:w="686" w:type="dxa"/>
            <w:vAlign w:val="center"/>
          </w:tcPr>
          <w:p w14:paraId="14440B7C">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686" w:type="dxa"/>
            <w:vAlign w:val="center"/>
          </w:tcPr>
          <w:p w14:paraId="72071F39">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lang w:val="en-US" w:eastAsia="zh-CN"/>
              </w:rPr>
            </w:pPr>
          </w:p>
        </w:tc>
        <w:tc>
          <w:tcPr>
            <w:tcW w:w="686" w:type="dxa"/>
            <w:vAlign w:val="center"/>
          </w:tcPr>
          <w:p w14:paraId="38841364">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lang w:val="en-US" w:eastAsia="zh-CN"/>
              </w:rPr>
            </w:pPr>
          </w:p>
        </w:tc>
      </w:tr>
      <w:tr w14:paraId="20B6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060" w:type="dxa"/>
            <w:vMerge w:val="continue"/>
            <w:vAlign w:val="center"/>
          </w:tcPr>
          <w:p w14:paraId="07AA114C">
            <w:pPr>
              <w:keepNext w:val="0"/>
              <w:keepLines w:val="0"/>
              <w:pageBreakBefore w:val="0"/>
              <w:kinsoku/>
              <w:wordWrap/>
              <w:overflowPunct/>
              <w:topLinePunct w:val="0"/>
              <w:bidi w:val="0"/>
              <w:snapToGrid/>
              <w:spacing w:line="240" w:lineRule="auto"/>
              <w:ind w:left="0" w:leftChars="0"/>
              <w:jc w:val="center"/>
              <w:textAlignment w:val="center"/>
              <w:rPr>
                <w:rFonts w:hint="eastAsia" w:ascii="宋体" w:hAnsi="宋体" w:eastAsia="宋体" w:cs="宋体"/>
                <w:color w:val="auto"/>
                <w:sz w:val="21"/>
                <w:szCs w:val="21"/>
                <w:highlight w:val="none"/>
              </w:rPr>
            </w:pPr>
          </w:p>
        </w:tc>
        <w:tc>
          <w:tcPr>
            <w:tcW w:w="978" w:type="dxa"/>
            <w:vMerge w:val="continue"/>
            <w:vAlign w:val="center"/>
          </w:tcPr>
          <w:p w14:paraId="30D2D888">
            <w:pPr>
              <w:keepNext w:val="0"/>
              <w:keepLines w:val="0"/>
              <w:pageBreakBefore w:val="0"/>
              <w:kinsoku/>
              <w:wordWrap/>
              <w:overflowPunct/>
              <w:topLinePunct w:val="0"/>
              <w:bidi w:val="0"/>
              <w:snapToGrid/>
              <w:spacing w:line="240" w:lineRule="auto"/>
              <w:ind w:left="0" w:leftChars="0"/>
              <w:jc w:val="center"/>
              <w:rPr>
                <w:rFonts w:hint="eastAsia" w:ascii="宋体" w:hAnsi="宋体" w:eastAsia="宋体" w:cs="宋体"/>
                <w:color w:val="auto"/>
                <w:kern w:val="0"/>
                <w:sz w:val="21"/>
                <w:szCs w:val="21"/>
                <w:highlight w:val="none"/>
              </w:rPr>
            </w:pPr>
          </w:p>
        </w:tc>
        <w:tc>
          <w:tcPr>
            <w:tcW w:w="6710" w:type="dxa"/>
            <w:vAlign w:val="center"/>
          </w:tcPr>
          <w:p w14:paraId="5FC36C86">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投标人在项目实施地有服务点或承诺中标后设立服务点的得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39022319">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服务点</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安排驻点人员，常态化服务农户，回复农户信息及日常维护工作</w:t>
            </w:r>
            <w:r>
              <w:rPr>
                <w:rFonts w:hint="eastAsia" w:ascii="宋体" w:hAnsi="宋体" w:eastAsia="宋体" w:cs="宋体"/>
                <w:color w:val="auto"/>
                <w:sz w:val="21"/>
                <w:szCs w:val="21"/>
                <w:highlight w:val="none"/>
                <w:lang w:eastAsia="zh-CN"/>
              </w:rPr>
              <w:t>。</w:t>
            </w:r>
          </w:p>
          <w:p w14:paraId="06800135">
            <w:pPr>
              <w:keepNext w:val="0"/>
              <w:keepLines w:val="0"/>
              <w:pageBreakBefore w:val="0"/>
              <w:widowControl/>
              <w:tabs>
                <w:tab w:val="right" w:pos="4937"/>
              </w:tabs>
              <w:kinsoku/>
              <w:wordWrap/>
              <w:overflowPunct/>
              <w:topLinePunct w:val="0"/>
              <w:bidi w:val="0"/>
              <w:snapToGrid/>
              <w:spacing w:line="240" w:lineRule="auto"/>
              <w:ind w:left="0" w:leftChars="0"/>
              <w:jc w:val="left"/>
              <w:textAlignment w:val="baseline"/>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rPr>
              <w:t>（</w:t>
            </w:r>
            <w:r>
              <w:rPr>
                <w:rFonts w:hint="eastAsia" w:ascii="宋体" w:hAnsi="宋体" w:eastAsia="宋体" w:cs="宋体"/>
                <w:b/>
                <w:bCs/>
                <w:color w:val="auto"/>
                <w:sz w:val="21"/>
                <w:szCs w:val="21"/>
                <w:highlight w:val="none"/>
              </w:rPr>
              <w:t>须提供相关证明资料扫描件或承诺函原件并加盖投标人公章编入投标文件中，未提供的不得分</w:t>
            </w:r>
            <w:r>
              <w:rPr>
                <w:rFonts w:hint="eastAsia" w:ascii="宋体" w:hAnsi="宋体" w:eastAsia="宋体" w:cs="宋体"/>
                <w:b/>
                <w:bCs/>
                <w:color w:val="auto"/>
                <w:spacing w:val="-4"/>
                <w:sz w:val="21"/>
                <w:szCs w:val="21"/>
                <w:highlight w:val="none"/>
              </w:rPr>
              <w:t>）</w:t>
            </w:r>
          </w:p>
        </w:tc>
        <w:tc>
          <w:tcPr>
            <w:tcW w:w="686" w:type="dxa"/>
            <w:vAlign w:val="center"/>
          </w:tcPr>
          <w:p w14:paraId="5B100325">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86" w:type="dxa"/>
            <w:vAlign w:val="center"/>
          </w:tcPr>
          <w:p w14:paraId="04775DC3">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rPr>
            </w:pPr>
          </w:p>
        </w:tc>
        <w:tc>
          <w:tcPr>
            <w:tcW w:w="686" w:type="dxa"/>
            <w:vAlign w:val="center"/>
          </w:tcPr>
          <w:p w14:paraId="18217CD8">
            <w:pPr>
              <w:keepNext w:val="0"/>
              <w:keepLines w:val="0"/>
              <w:pageBreakBefore w:val="0"/>
              <w:tabs>
                <w:tab w:val="left" w:pos="780"/>
              </w:tabs>
              <w:kinsoku/>
              <w:wordWrap/>
              <w:overflowPunct/>
              <w:topLinePunct w:val="0"/>
              <w:bidi w:val="0"/>
              <w:snapToGrid/>
              <w:spacing w:line="240" w:lineRule="auto"/>
              <w:ind w:left="0" w:leftChars="0"/>
              <w:jc w:val="center"/>
              <w:textAlignment w:val="baseline"/>
              <w:rPr>
                <w:rFonts w:hint="eastAsia" w:ascii="宋体" w:hAnsi="宋体" w:eastAsia="宋体" w:cs="宋体"/>
                <w:color w:val="auto"/>
                <w:sz w:val="21"/>
                <w:szCs w:val="21"/>
                <w:highlight w:val="none"/>
              </w:rPr>
            </w:pPr>
          </w:p>
        </w:tc>
      </w:tr>
    </w:tbl>
    <w:p w14:paraId="3738F594">
      <w:pPr>
        <w:pStyle w:val="9"/>
        <w:keepNext w:val="0"/>
        <w:keepLines w:val="0"/>
        <w:pageBreakBefore w:val="0"/>
        <w:kinsoku/>
        <w:wordWrap/>
        <w:overflowPunct/>
        <w:topLinePunct w:val="0"/>
        <w:bidi w:val="0"/>
        <w:outlineLvl w:val="9"/>
        <w:rPr>
          <w:rFonts w:hint="eastAsia" w:ascii="宋体" w:hAnsi="宋体" w:eastAsia="宋体" w:cs="宋体"/>
          <w:color w:val="auto"/>
          <w:highlight w:val="none"/>
          <w:lang w:val="zh-CN"/>
        </w:rPr>
      </w:pPr>
    </w:p>
    <w:p w14:paraId="3F36A247">
      <w:pPr>
        <w:pStyle w:val="41"/>
        <w:keepNext w:val="0"/>
        <w:keepLines w:val="0"/>
        <w:pageBreakBefore w:val="0"/>
        <w:shd w:val="clear" w:color="auto" w:fill="FFFFFF"/>
        <w:kinsoku/>
        <w:wordWrap/>
        <w:overflowPunct/>
        <w:topLinePunct w:val="0"/>
        <w:bidi w:val="0"/>
        <w:spacing w:before="0" w:beforeAutospacing="0" w:after="0" w:afterAutospacing="0"/>
        <w:jc w:val="both"/>
        <w:outlineLvl w:val="9"/>
        <w:rPr>
          <w:rFonts w:hint="eastAsia" w:ascii="宋体" w:hAnsi="宋体" w:eastAsia="宋体" w:cs="宋体"/>
          <w:b/>
          <w:color w:val="auto"/>
          <w:sz w:val="32"/>
          <w:szCs w:val="32"/>
          <w:highlight w:val="none"/>
        </w:rPr>
        <w:sectPr>
          <w:pgSz w:w="11906" w:h="16838"/>
          <w:pgMar w:top="1440" w:right="1800" w:bottom="1440" w:left="1800" w:header="851" w:footer="992" w:gutter="0"/>
          <w:pgNumType w:fmt="decimal"/>
          <w:cols w:space="425" w:num="1"/>
          <w:docGrid w:type="lines" w:linePitch="312" w:charSpace="0"/>
        </w:sectPr>
      </w:pPr>
    </w:p>
    <w:p w14:paraId="16CC4942">
      <w:pPr>
        <w:pStyle w:val="41"/>
        <w:keepNext w:val="0"/>
        <w:keepLines w:val="0"/>
        <w:pageBreakBefore w:val="0"/>
        <w:shd w:val="clear" w:color="auto" w:fill="FFFFFF"/>
        <w:kinsoku/>
        <w:wordWrap/>
        <w:overflowPunct/>
        <w:topLinePunct w:val="0"/>
        <w:bidi w:val="0"/>
        <w:spacing w:before="0" w:beforeAutospacing="0" w:after="0" w:afterAutospacing="0"/>
        <w:jc w:val="both"/>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w:t>
      </w: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rPr>
        <w:t>：</w:t>
      </w:r>
    </w:p>
    <w:p w14:paraId="6603F369">
      <w:pPr>
        <w:pStyle w:val="41"/>
        <w:keepNext w:val="0"/>
        <w:keepLines w:val="0"/>
        <w:pageBreakBefore w:val="0"/>
        <w:shd w:val="clear" w:color="auto" w:fill="FFFFFF"/>
        <w:kinsoku/>
        <w:wordWrap/>
        <w:overflowPunct/>
        <w:topLinePunct w:val="0"/>
        <w:bidi w:val="0"/>
        <w:spacing w:before="0" w:beforeAutospacing="0" w:after="0" w:afterAutospacing="0"/>
        <w:jc w:val="center"/>
        <w:outlineLvl w:val="9"/>
        <w:rPr>
          <w:rFonts w:hint="eastAsia" w:ascii="宋体" w:hAnsi="宋体" w:eastAsia="宋体" w:cs="宋体"/>
          <w:color w:val="auto"/>
          <w:sz w:val="36"/>
          <w:szCs w:val="36"/>
          <w:highlight w:val="none"/>
        </w:rPr>
      </w:pPr>
      <w:r>
        <w:rPr>
          <w:rFonts w:hint="eastAsia" w:ascii="宋体" w:hAnsi="宋体" w:eastAsia="宋体" w:cs="宋体"/>
          <w:b/>
          <w:color w:val="auto"/>
          <w:sz w:val="32"/>
          <w:szCs w:val="32"/>
          <w:highlight w:val="none"/>
        </w:rPr>
        <w:t>投标</w:t>
      </w:r>
      <w:r>
        <w:rPr>
          <w:rFonts w:hint="eastAsia" w:ascii="宋体" w:hAnsi="宋体" w:eastAsia="宋体" w:cs="宋体"/>
          <w:b/>
          <w:bCs/>
          <w:color w:val="auto"/>
          <w:spacing w:val="21"/>
          <w:sz w:val="32"/>
          <w:szCs w:val="32"/>
          <w:highlight w:val="none"/>
        </w:rPr>
        <w:t>人基本情况表</w:t>
      </w:r>
    </w:p>
    <w:tbl>
      <w:tblPr>
        <w:tblStyle w:val="24"/>
        <w:tblW w:w="9064" w:type="dxa"/>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633"/>
        <w:gridCol w:w="910"/>
        <w:gridCol w:w="311"/>
        <w:gridCol w:w="852"/>
        <w:gridCol w:w="112"/>
        <w:gridCol w:w="1093"/>
        <w:gridCol w:w="325"/>
        <w:gridCol w:w="1276"/>
        <w:gridCol w:w="400"/>
        <w:gridCol w:w="1218"/>
        <w:gridCol w:w="933"/>
      </w:tblGrid>
      <w:tr w14:paraId="1290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01" w:type="dxa"/>
          </w:tcPr>
          <w:p w14:paraId="60A80664">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27"/>
                <w:sz w:val="21"/>
                <w:szCs w:val="21"/>
                <w:highlight w:val="none"/>
              </w:rPr>
              <w:t>企业名称</w:t>
            </w:r>
          </w:p>
        </w:tc>
        <w:tc>
          <w:tcPr>
            <w:tcW w:w="3911" w:type="dxa"/>
            <w:gridSpan w:val="6"/>
          </w:tcPr>
          <w:p w14:paraId="158E7C59">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2001" w:type="dxa"/>
            <w:gridSpan w:val="3"/>
          </w:tcPr>
          <w:p w14:paraId="36FFE60B">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法定代表人</w:t>
            </w:r>
          </w:p>
        </w:tc>
        <w:tc>
          <w:tcPr>
            <w:tcW w:w="2151" w:type="dxa"/>
            <w:gridSpan w:val="2"/>
          </w:tcPr>
          <w:p w14:paraId="6B269A3E">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r>
      <w:tr w14:paraId="523D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1" w:type="dxa"/>
          </w:tcPr>
          <w:p w14:paraId="3E5167A3">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27"/>
                <w:sz w:val="21"/>
                <w:szCs w:val="21"/>
                <w:highlight w:val="none"/>
              </w:rPr>
              <w:t>地址</w:t>
            </w:r>
          </w:p>
        </w:tc>
        <w:tc>
          <w:tcPr>
            <w:tcW w:w="3911" w:type="dxa"/>
            <w:gridSpan w:val="6"/>
          </w:tcPr>
          <w:p w14:paraId="5B23D6BC">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001" w:type="dxa"/>
            <w:gridSpan w:val="3"/>
          </w:tcPr>
          <w:p w14:paraId="464AA9A3">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企业性质</w:t>
            </w:r>
          </w:p>
        </w:tc>
        <w:tc>
          <w:tcPr>
            <w:tcW w:w="2151" w:type="dxa"/>
            <w:gridSpan w:val="2"/>
          </w:tcPr>
          <w:p w14:paraId="2A2AC79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r w14:paraId="2C0E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01" w:type="dxa"/>
          </w:tcPr>
          <w:p w14:paraId="0309E5C1">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27"/>
                <w:sz w:val="21"/>
                <w:szCs w:val="21"/>
                <w:highlight w:val="none"/>
              </w:rPr>
              <w:t>股东姓名</w:t>
            </w:r>
          </w:p>
        </w:tc>
        <w:tc>
          <w:tcPr>
            <w:tcW w:w="633" w:type="dxa"/>
          </w:tcPr>
          <w:p w14:paraId="20CA7BD7">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pacing w:val="16"/>
                <w:sz w:val="21"/>
                <w:szCs w:val="21"/>
                <w:highlight w:val="none"/>
              </w:rPr>
            </w:pPr>
          </w:p>
        </w:tc>
        <w:tc>
          <w:tcPr>
            <w:tcW w:w="910" w:type="dxa"/>
          </w:tcPr>
          <w:p w14:paraId="119D9D4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股权结构（%）</w:t>
            </w:r>
          </w:p>
        </w:tc>
        <w:tc>
          <w:tcPr>
            <w:tcW w:w="2368" w:type="dxa"/>
            <w:gridSpan w:val="4"/>
          </w:tcPr>
          <w:p w14:paraId="25F4EE8C">
            <w:pPr>
              <w:keepNext w:val="0"/>
              <w:keepLines w:val="0"/>
              <w:pageBreakBefore w:val="0"/>
              <w:widowControl/>
              <w:kinsoku/>
              <w:wordWrap/>
              <w:overflowPunct/>
              <w:topLinePunct w:val="0"/>
              <w:bidi w:val="0"/>
              <w:jc w:val="left"/>
              <w:outlineLvl w:val="9"/>
              <w:rPr>
                <w:rFonts w:hint="eastAsia" w:ascii="宋体" w:hAnsi="宋体" w:eastAsia="宋体" w:cs="宋体"/>
                <w:bCs/>
                <w:color w:val="auto"/>
                <w:spacing w:val="16"/>
                <w:kern w:val="0"/>
                <w:szCs w:val="21"/>
                <w:highlight w:val="none"/>
              </w:rPr>
            </w:pPr>
          </w:p>
          <w:p w14:paraId="44DC500D">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001" w:type="dxa"/>
            <w:gridSpan w:val="3"/>
          </w:tcPr>
          <w:p w14:paraId="13724615">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股东关系</w:t>
            </w:r>
          </w:p>
        </w:tc>
        <w:tc>
          <w:tcPr>
            <w:tcW w:w="2151" w:type="dxa"/>
            <w:gridSpan w:val="2"/>
          </w:tcPr>
          <w:p w14:paraId="72A963D3">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16"/>
                <w:sz w:val="21"/>
                <w:szCs w:val="21"/>
                <w:highlight w:val="none"/>
              </w:rPr>
            </w:pPr>
          </w:p>
        </w:tc>
      </w:tr>
      <w:tr w14:paraId="795C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1" w:type="dxa"/>
            <w:vMerge w:val="restart"/>
          </w:tcPr>
          <w:p w14:paraId="2FD014F8">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2"/>
                <w:sz w:val="21"/>
                <w:szCs w:val="21"/>
                <w:highlight w:val="none"/>
              </w:rPr>
              <w:t>联系人</w:t>
            </w:r>
            <w:r>
              <w:rPr>
                <w:rFonts w:hint="eastAsia" w:ascii="宋体" w:hAnsi="宋体" w:eastAsia="宋体" w:cs="宋体"/>
                <w:bCs/>
                <w:color w:val="auto"/>
                <w:spacing w:val="27"/>
                <w:sz w:val="21"/>
                <w:szCs w:val="21"/>
                <w:highlight w:val="none"/>
              </w:rPr>
              <w:t>姓名</w:t>
            </w:r>
          </w:p>
        </w:tc>
        <w:tc>
          <w:tcPr>
            <w:tcW w:w="633" w:type="dxa"/>
            <w:vMerge w:val="restart"/>
            <w:tcBorders>
              <w:top w:val="nil"/>
            </w:tcBorders>
          </w:tcPr>
          <w:p w14:paraId="031BA767">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910" w:type="dxa"/>
            <w:tcBorders>
              <w:top w:val="nil"/>
            </w:tcBorders>
          </w:tcPr>
          <w:p w14:paraId="38C1701B">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固定电话</w:t>
            </w:r>
          </w:p>
        </w:tc>
        <w:tc>
          <w:tcPr>
            <w:tcW w:w="2368" w:type="dxa"/>
            <w:gridSpan w:val="4"/>
            <w:tcBorders>
              <w:top w:val="nil"/>
            </w:tcBorders>
          </w:tcPr>
          <w:p w14:paraId="22B7D4C7">
            <w:pPr>
              <w:keepNext w:val="0"/>
              <w:keepLines w:val="0"/>
              <w:pageBreakBefore w:val="0"/>
              <w:widowControl/>
              <w:kinsoku/>
              <w:wordWrap/>
              <w:overflowPunct/>
              <w:topLinePunct w:val="0"/>
              <w:bidi w:val="0"/>
              <w:jc w:val="left"/>
              <w:outlineLvl w:val="9"/>
              <w:rPr>
                <w:rFonts w:hint="eastAsia" w:ascii="宋体" w:hAnsi="宋体" w:eastAsia="宋体" w:cs="宋体"/>
                <w:bCs/>
                <w:color w:val="auto"/>
                <w:spacing w:val="16"/>
                <w:kern w:val="0"/>
                <w:szCs w:val="21"/>
                <w:highlight w:val="none"/>
              </w:rPr>
            </w:pPr>
          </w:p>
          <w:p w14:paraId="740615FB">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001" w:type="dxa"/>
            <w:gridSpan w:val="3"/>
            <w:vMerge w:val="restart"/>
          </w:tcPr>
          <w:p w14:paraId="158F6349">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传真</w:t>
            </w:r>
          </w:p>
        </w:tc>
        <w:tc>
          <w:tcPr>
            <w:tcW w:w="2151" w:type="dxa"/>
            <w:gridSpan w:val="2"/>
            <w:vMerge w:val="restart"/>
          </w:tcPr>
          <w:p w14:paraId="6E33DD5D">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r w14:paraId="24F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01" w:type="dxa"/>
            <w:vMerge w:val="continue"/>
          </w:tcPr>
          <w:p w14:paraId="48644AEF">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633" w:type="dxa"/>
            <w:vMerge w:val="continue"/>
          </w:tcPr>
          <w:p w14:paraId="307C78B3">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910" w:type="dxa"/>
          </w:tcPr>
          <w:p w14:paraId="2A93372B">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27"/>
                <w:sz w:val="21"/>
                <w:szCs w:val="21"/>
                <w:highlight w:val="none"/>
              </w:rPr>
              <w:t>手机</w:t>
            </w:r>
          </w:p>
        </w:tc>
        <w:tc>
          <w:tcPr>
            <w:tcW w:w="2368" w:type="dxa"/>
            <w:gridSpan w:val="4"/>
          </w:tcPr>
          <w:p w14:paraId="375378A0">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001" w:type="dxa"/>
            <w:gridSpan w:val="3"/>
            <w:vMerge w:val="continue"/>
          </w:tcPr>
          <w:p w14:paraId="0E8AA312">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151" w:type="dxa"/>
            <w:gridSpan w:val="2"/>
            <w:vMerge w:val="continue"/>
          </w:tcPr>
          <w:p w14:paraId="7B222DA1">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r w14:paraId="577E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1" w:type="dxa"/>
            <w:vMerge w:val="restart"/>
          </w:tcPr>
          <w:p w14:paraId="2558E026">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w:t>
            </w:r>
          </w:p>
          <w:p w14:paraId="6E0E5BDD">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w:t>
            </w:r>
          </w:p>
          <w:p w14:paraId="10F31AA2">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业</w:t>
            </w:r>
          </w:p>
          <w:p w14:paraId="6E75DB90">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27"/>
                <w:sz w:val="21"/>
                <w:szCs w:val="21"/>
                <w:highlight w:val="none"/>
              </w:rPr>
            </w:pPr>
            <w:r>
              <w:rPr>
                <w:rFonts w:hint="eastAsia" w:ascii="宋体" w:hAnsi="宋体" w:eastAsia="宋体" w:cs="宋体"/>
                <w:bCs/>
                <w:color w:val="auto"/>
                <w:spacing w:val="27"/>
                <w:sz w:val="21"/>
                <w:szCs w:val="21"/>
                <w:highlight w:val="none"/>
              </w:rPr>
              <w:t>概</w:t>
            </w:r>
          </w:p>
          <w:p w14:paraId="2E6FECC4">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27"/>
                <w:sz w:val="21"/>
                <w:szCs w:val="21"/>
                <w:highlight w:val="none"/>
              </w:rPr>
              <w:t>况</w:t>
            </w:r>
          </w:p>
        </w:tc>
        <w:tc>
          <w:tcPr>
            <w:tcW w:w="633" w:type="dxa"/>
            <w:tcBorders>
              <w:top w:val="nil"/>
            </w:tcBorders>
          </w:tcPr>
          <w:p w14:paraId="2E57B6A0">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职工人数</w:t>
            </w:r>
          </w:p>
        </w:tc>
        <w:tc>
          <w:tcPr>
            <w:tcW w:w="910" w:type="dxa"/>
            <w:tcBorders>
              <w:top w:val="nil"/>
            </w:tcBorders>
          </w:tcPr>
          <w:p w14:paraId="0379792C">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1163" w:type="dxa"/>
            <w:gridSpan w:val="2"/>
            <w:tcBorders>
              <w:top w:val="nil"/>
            </w:tcBorders>
          </w:tcPr>
          <w:p w14:paraId="3668AA75">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8"/>
                <w:sz w:val="21"/>
                <w:szCs w:val="21"/>
                <w:highlight w:val="none"/>
              </w:rPr>
              <w:t>具备大专以</w:t>
            </w:r>
            <w:r>
              <w:rPr>
                <w:rFonts w:hint="eastAsia" w:ascii="宋体" w:hAnsi="宋体" w:eastAsia="宋体" w:cs="宋体"/>
                <w:bCs/>
                <w:color w:val="auto"/>
                <w:spacing w:val="12"/>
                <w:sz w:val="21"/>
                <w:szCs w:val="21"/>
                <w:highlight w:val="none"/>
              </w:rPr>
              <w:t>上学历人数</w:t>
            </w:r>
          </w:p>
        </w:tc>
        <w:tc>
          <w:tcPr>
            <w:tcW w:w="1205" w:type="dxa"/>
            <w:gridSpan w:val="2"/>
            <w:tcBorders>
              <w:top w:val="nil"/>
            </w:tcBorders>
          </w:tcPr>
          <w:p w14:paraId="6196A31D">
            <w:pPr>
              <w:keepNext w:val="0"/>
              <w:keepLines w:val="0"/>
              <w:pageBreakBefore w:val="0"/>
              <w:widowControl/>
              <w:kinsoku/>
              <w:wordWrap/>
              <w:overflowPunct/>
              <w:topLinePunct w:val="0"/>
              <w:bidi w:val="0"/>
              <w:jc w:val="left"/>
              <w:outlineLvl w:val="9"/>
              <w:rPr>
                <w:rFonts w:hint="eastAsia" w:ascii="宋体" w:hAnsi="宋体" w:eastAsia="宋体" w:cs="宋体"/>
                <w:bCs/>
                <w:color w:val="auto"/>
                <w:spacing w:val="16"/>
                <w:kern w:val="0"/>
                <w:szCs w:val="21"/>
                <w:highlight w:val="none"/>
              </w:rPr>
            </w:pPr>
          </w:p>
          <w:p w14:paraId="428C40D1">
            <w:pPr>
              <w:keepNext w:val="0"/>
              <w:keepLines w:val="0"/>
              <w:pageBreakBefore w:val="0"/>
              <w:widowControl/>
              <w:kinsoku/>
              <w:wordWrap/>
              <w:overflowPunct/>
              <w:topLinePunct w:val="0"/>
              <w:bidi w:val="0"/>
              <w:jc w:val="left"/>
              <w:outlineLvl w:val="9"/>
              <w:rPr>
                <w:rFonts w:hint="eastAsia" w:ascii="宋体" w:hAnsi="宋体" w:eastAsia="宋体" w:cs="宋体"/>
                <w:bCs/>
                <w:color w:val="auto"/>
                <w:spacing w:val="16"/>
                <w:kern w:val="0"/>
                <w:szCs w:val="21"/>
                <w:highlight w:val="none"/>
              </w:rPr>
            </w:pPr>
          </w:p>
          <w:p w14:paraId="374B12D6">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c>
          <w:tcPr>
            <w:tcW w:w="2001" w:type="dxa"/>
            <w:gridSpan w:val="3"/>
          </w:tcPr>
          <w:p w14:paraId="05481296">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65"/>
                <w:sz w:val="21"/>
                <w:szCs w:val="21"/>
                <w:highlight w:val="none"/>
              </w:rPr>
              <w:t>国家授予技</w:t>
            </w:r>
            <w:r>
              <w:rPr>
                <w:rFonts w:hint="eastAsia" w:ascii="宋体" w:hAnsi="宋体" w:eastAsia="宋体" w:cs="宋体"/>
                <w:bCs/>
                <w:color w:val="auto"/>
                <w:spacing w:val="12"/>
                <w:sz w:val="21"/>
                <w:szCs w:val="21"/>
                <w:highlight w:val="none"/>
              </w:rPr>
              <w:t>术职称人数</w:t>
            </w:r>
          </w:p>
        </w:tc>
        <w:tc>
          <w:tcPr>
            <w:tcW w:w="2151" w:type="dxa"/>
            <w:gridSpan w:val="2"/>
          </w:tcPr>
          <w:p w14:paraId="01D948AD">
            <w:pPr>
              <w:keepNext w:val="0"/>
              <w:keepLines w:val="0"/>
              <w:pageBreakBefore w:val="0"/>
              <w:widowControl/>
              <w:kinsoku/>
              <w:wordWrap/>
              <w:overflowPunct/>
              <w:topLinePunct w:val="0"/>
              <w:bidi w:val="0"/>
              <w:jc w:val="left"/>
              <w:outlineLvl w:val="9"/>
              <w:rPr>
                <w:rFonts w:hint="eastAsia" w:ascii="宋体" w:hAnsi="宋体" w:eastAsia="宋体" w:cs="宋体"/>
                <w:bCs/>
                <w:color w:val="auto"/>
                <w:spacing w:val="16"/>
                <w:kern w:val="0"/>
                <w:szCs w:val="21"/>
                <w:highlight w:val="none"/>
              </w:rPr>
            </w:pPr>
          </w:p>
          <w:p w14:paraId="673AE577">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r w14:paraId="5B3E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1001" w:type="dxa"/>
            <w:vMerge w:val="continue"/>
          </w:tcPr>
          <w:p w14:paraId="74483BB8">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633" w:type="dxa"/>
          </w:tcPr>
          <w:p w14:paraId="7C27D792">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占地面积</w:t>
            </w:r>
          </w:p>
        </w:tc>
        <w:tc>
          <w:tcPr>
            <w:tcW w:w="910" w:type="dxa"/>
          </w:tcPr>
          <w:p w14:paraId="58323ADA">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1163" w:type="dxa"/>
            <w:gridSpan w:val="2"/>
          </w:tcPr>
          <w:p w14:paraId="67E7792A">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建筑面积</w:t>
            </w:r>
          </w:p>
        </w:tc>
        <w:tc>
          <w:tcPr>
            <w:tcW w:w="1205" w:type="dxa"/>
            <w:gridSpan w:val="2"/>
          </w:tcPr>
          <w:p w14:paraId="028A6756">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平方米</w:t>
            </w:r>
          </w:p>
          <w:p w14:paraId="6896FFA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□自有□租賃</w:t>
            </w:r>
          </w:p>
        </w:tc>
        <w:tc>
          <w:tcPr>
            <w:tcW w:w="2001" w:type="dxa"/>
            <w:gridSpan w:val="3"/>
          </w:tcPr>
          <w:p w14:paraId="1AB1891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生产经营场所及场所的设施与设备</w:t>
            </w:r>
          </w:p>
        </w:tc>
        <w:tc>
          <w:tcPr>
            <w:tcW w:w="2151" w:type="dxa"/>
            <w:gridSpan w:val="2"/>
          </w:tcPr>
          <w:p w14:paraId="37721E5C">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pacing w:val="16"/>
                <w:sz w:val="21"/>
                <w:szCs w:val="21"/>
                <w:highlight w:val="none"/>
              </w:rPr>
            </w:pPr>
          </w:p>
        </w:tc>
      </w:tr>
      <w:tr w14:paraId="0B56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01" w:type="dxa"/>
            <w:vMerge w:val="continue"/>
          </w:tcPr>
          <w:p w14:paraId="1E693226">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633" w:type="dxa"/>
          </w:tcPr>
          <w:p w14:paraId="0EB46ECF">
            <w:pPr>
              <w:pStyle w:val="41"/>
              <w:keepNext w:val="0"/>
              <w:keepLines w:val="0"/>
              <w:pageBreakBefore w:val="0"/>
              <w:shd w:val="clear" w:color="auto" w:fill="FFFFFF"/>
              <w:kinsoku/>
              <w:wordWrap/>
              <w:overflowPunct/>
              <w:topLinePunct w:val="0"/>
              <w:bidi w:val="0"/>
              <w:ind w:left="2"/>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注册资金</w:t>
            </w:r>
          </w:p>
        </w:tc>
        <w:tc>
          <w:tcPr>
            <w:tcW w:w="910" w:type="dxa"/>
          </w:tcPr>
          <w:p w14:paraId="7068485A">
            <w:pPr>
              <w:pStyle w:val="41"/>
              <w:keepNext w:val="0"/>
              <w:keepLines w:val="0"/>
              <w:pageBreakBefore w:val="0"/>
              <w:shd w:val="clear" w:color="auto" w:fill="FFFFFF"/>
              <w:kinsoku/>
              <w:wordWrap/>
              <w:overflowPunct/>
              <w:topLinePunct w:val="0"/>
              <w:bidi w:val="0"/>
              <w:ind w:left="2"/>
              <w:outlineLvl w:val="9"/>
              <w:rPr>
                <w:rFonts w:hint="eastAsia" w:ascii="宋体" w:hAnsi="宋体" w:eastAsia="宋体" w:cs="宋体"/>
                <w:bCs/>
                <w:color w:val="auto"/>
                <w:sz w:val="21"/>
                <w:szCs w:val="21"/>
                <w:highlight w:val="none"/>
              </w:rPr>
            </w:pPr>
          </w:p>
        </w:tc>
        <w:tc>
          <w:tcPr>
            <w:tcW w:w="1163" w:type="dxa"/>
            <w:gridSpan w:val="2"/>
          </w:tcPr>
          <w:p w14:paraId="6921D271">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注册发证</w:t>
            </w:r>
            <w:r>
              <w:rPr>
                <w:rFonts w:hint="eastAsia" w:ascii="宋体" w:hAnsi="宋体" w:eastAsia="宋体" w:cs="宋体"/>
                <w:bCs/>
                <w:color w:val="auto"/>
                <w:spacing w:val="27"/>
                <w:sz w:val="21"/>
                <w:szCs w:val="21"/>
                <w:highlight w:val="none"/>
              </w:rPr>
              <w:t>机关</w:t>
            </w:r>
          </w:p>
        </w:tc>
        <w:tc>
          <w:tcPr>
            <w:tcW w:w="3206" w:type="dxa"/>
            <w:gridSpan w:val="5"/>
          </w:tcPr>
          <w:p w14:paraId="6E99FB1B">
            <w:pPr>
              <w:keepNext w:val="0"/>
              <w:keepLines w:val="0"/>
              <w:pageBreakBefore w:val="0"/>
              <w:widowControl/>
              <w:kinsoku/>
              <w:wordWrap/>
              <w:overflowPunct/>
              <w:topLinePunct w:val="0"/>
              <w:bidi w:val="0"/>
              <w:jc w:val="left"/>
              <w:outlineLvl w:val="9"/>
              <w:rPr>
                <w:rFonts w:hint="eastAsia" w:ascii="宋体" w:hAnsi="宋体" w:eastAsia="宋体" w:cs="宋体"/>
                <w:bCs/>
                <w:color w:val="auto"/>
                <w:kern w:val="0"/>
                <w:szCs w:val="21"/>
                <w:highlight w:val="none"/>
              </w:rPr>
            </w:pPr>
          </w:p>
          <w:p w14:paraId="2AB0AE80">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1218" w:type="dxa"/>
          </w:tcPr>
          <w:p w14:paraId="48CF7C38">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公司成</w:t>
            </w:r>
            <w:r>
              <w:rPr>
                <w:rFonts w:hint="eastAsia" w:ascii="宋体" w:hAnsi="宋体" w:eastAsia="宋体" w:cs="宋体"/>
                <w:bCs/>
                <w:color w:val="auto"/>
                <w:spacing w:val="12"/>
                <w:sz w:val="21"/>
                <w:szCs w:val="21"/>
                <w:highlight w:val="none"/>
              </w:rPr>
              <w:t>立时间</w:t>
            </w:r>
          </w:p>
        </w:tc>
        <w:tc>
          <w:tcPr>
            <w:tcW w:w="933" w:type="dxa"/>
          </w:tcPr>
          <w:p w14:paraId="1EDAB7CA">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r>
      <w:tr w14:paraId="04B6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001" w:type="dxa"/>
            <w:vMerge w:val="continue"/>
          </w:tcPr>
          <w:p w14:paraId="08C25BA7">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633" w:type="dxa"/>
          </w:tcPr>
          <w:p w14:paraId="765E07E8">
            <w:pPr>
              <w:pStyle w:val="41"/>
              <w:keepNext w:val="0"/>
              <w:keepLines w:val="0"/>
              <w:pageBreakBefore w:val="0"/>
              <w:shd w:val="clear" w:color="auto" w:fill="FFFFFF"/>
              <w:kinsoku/>
              <w:wordWrap/>
              <w:overflowPunct/>
              <w:topLinePunct w:val="0"/>
              <w:bidi w:val="0"/>
              <w:ind w:left="2"/>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核准经营范围</w:t>
            </w:r>
          </w:p>
        </w:tc>
        <w:tc>
          <w:tcPr>
            <w:tcW w:w="7430" w:type="dxa"/>
            <w:gridSpan w:val="10"/>
          </w:tcPr>
          <w:p w14:paraId="01A3C924">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r>
      <w:tr w14:paraId="6415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001" w:type="dxa"/>
            <w:vMerge w:val="continue"/>
          </w:tcPr>
          <w:p w14:paraId="2EC5C472">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8063" w:type="dxa"/>
            <w:gridSpan w:val="11"/>
          </w:tcPr>
          <w:p w14:paraId="221CD286">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3"/>
                <w:sz w:val="21"/>
                <w:szCs w:val="21"/>
                <w:highlight w:val="none"/>
              </w:rPr>
            </w:pPr>
            <w:r>
              <w:rPr>
                <w:rFonts w:hint="eastAsia" w:ascii="宋体" w:hAnsi="宋体" w:eastAsia="宋体" w:cs="宋体"/>
                <w:bCs/>
                <w:color w:val="auto"/>
                <w:spacing w:val="13"/>
                <w:sz w:val="21"/>
                <w:szCs w:val="21"/>
                <w:highlight w:val="none"/>
              </w:rPr>
              <w:t>发展历程及主要荣誉：</w:t>
            </w:r>
          </w:p>
        </w:tc>
      </w:tr>
      <w:tr w14:paraId="662D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01" w:type="dxa"/>
            <w:vMerge w:val="restart"/>
          </w:tcPr>
          <w:p w14:paraId="11CDE315">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二、</w:t>
            </w:r>
          </w:p>
          <w:p w14:paraId="44EDFB03">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z w:val="21"/>
                <w:szCs w:val="21"/>
                <w:highlight w:val="none"/>
              </w:rPr>
              <w:t>企</w:t>
            </w:r>
            <w:r>
              <w:rPr>
                <w:rFonts w:hint="eastAsia" w:ascii="宋体" w:hAnsi="宋体" w:eastAsia="宋体" w:cs="宋体"/>
                <w:bCs/>
                <w:color w:val="auto"/>
                <w:spacing w:val="12"/>
                <w:sz w:val="21"/>
                <w:szCs w:val="21"/>
                <w:highlight w:val="none"/>
              </w:rPr>
              <w:t>业有关资质获证情况</w:t>
            </w:r>
          </w:p>
        </w:tc>
        <w:tc>
          <w:tcPr>
            <w:tcW w:w="1854" w:type="dxa"/>
            <w:gridSpan w:val="3"/>
            <w:vMerge w:val="restart"/>
          </w:tcPr>
          <w:p w14:paraId="0A65ED35">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2"/>
                <w:sz w:val="21"/>
                <w:szCs w:val="21"/>
                <w:highlight w:val="none"/>
              </w:rPr>
              <w:t>产品生产许可证情况</w:t>
            </w:r>
            <w:r>
              <w:rPr>
                <w:rFonts w:hint="eastAsia" w:ascii="宋体" w:hAnsi="宋体" w:eastAsia="宋体" w:cs="宋体"/>
                <w:bCs/>
                <w:color w:val="auto"/>
                <w:spacing w:val="41"/>
                <w:sz w:val="21"/>
                <w:szCs w:val="21"/>
                <w:highlight w:val="none"/>
              </w:rPr>
              <w:t>（对需获得生产许可证的</w:t>
            </w:r>
            <w:r>
              <w:rPr>
                <w:rFonts w:hint="eastAsia" w:ascii="宋体" w:hAnsi="宋体" w:eastAsia="宋体" w:cs="宋体"/>
                <w:bCs/>
                <w:color w:val="auto"/>
                <w:spacing w:val="11"/>
                <w:sz w:val="21"/>
                <w:szCs w:val="21"/>
                <w:highlight w:val="none"/>
              </w:rPr>
              <w:t>产品要填写此栏）</w:t>
            </w:r>
          </w:p>
        </w:tc>
        <w:tc>
          <w:tcPr>
            <w:tcW w:w="964" w:type="dxa"/>
            <w:gridSpan w:val="2"/>
          </w:tcPr>
          <w:p w14:paraId="25E7AF2C">
            <w:pPr>
              <w:pStyle w:val="41"/>
              <w:keepNext w:val="0"/>
              <w:keepLines w:val="0"/>
              <w:pageBreakBefore w:val="0"/>
              <w:shd w:val="clear" w:color="auto" w:fill="FFFFFF"/>
              <w:kinsoku/>
              <w:wordWrap/>
              <w:overflowPunct/>
              <w:topLinePunct w:val="0"/>
              <w:bidi w:val="0"/>
              <w:ind w:right="-78" w:rightChars="-37"/>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6"/>
                <w:sz w:val="21"/>
                <w:szCs w:val="21"/>
                <w:highlight w:val="none"/>
              </w:rPr>
              <w:t>产品名称</w:t>
            </w:r>
          </w:p>
        </w:tc>
        <w:tc>
          <w:tcPr>
            <w:tcW w:w="1418" w:type="dxa"/>
            <w:gridSpan w:val="2"/>
          </w:tcPr>
          <w:p w14:paraId="7E555BC4">
            <w:pPr>
              <w:pStyle w:val="41"/>
              <w:keepNext w:val="0"/>
              <w:keepLines w:val="0"/>
              <w:pageBreakBefore w:val="0"/>
              <w:shd w:val="clear" w:color="auto" w:fill="FFFFFF"/>
              <w:kinsoku/>
              <w:wordWrap/>
              <w:overflowPunct/>
              <w:topLinePunct w:val="0"/>
              <w:bidi w:val="0"/>
              <w:spacing w:before="0" w:beforeAutospacing="0" w:after="0" w:afterAutospacing="0"/>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发证机关</w:t>
            </w:r>
          </w:p>
        </w:tc>
        <w:tc>
          <w:tcPr>
            <w:tcW w:w="1276" w:type="dxa"/>
          </w:tcPr>
          <w:p w14:paraId="02F01866">
            <w:pPr>
              <w:pStyle w:val="41"/>
              <w:keepNext w:val="0"/>
              <w:keepLines w:val="0"/>
              <w:pageBreakBefore w:val="0"/>
              <w:shd w:val="clear" w:color="auto" w:fill="FFFFFF"/>
              <w:kinsoku/>
              <w:wordWrap/>
              <w:overflowPunct/>
              <w:topLinePunct w:val="0"/>
              <w:bidi w:val="0"/>
              <w:jc w:val="center"/>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27"/>
                <w:sz w:val="21"/>
                <w:szCs w:val="21"/>
                <w:highlight w:val="none"/>
              </w:rPr>
              <w:t>编号</w:t>
            </w:r>
          </w:p>
        </w:tc>
        <w:tc>
          <w:tcPr>
            <w:tcW w:w="1618" w:type="dxa"/>
            <w:gridSpan w:val="2"/>
          </w:tcPr>
          <w:p w14:paraId="65C924FF">
            <w:pPr>
              <w:pStyle w:val="41"/>
              <w:keepNext w:val="0"/>
              <w:keepLines w:val="0"/>
              <w:pageBreakBefore w:val="0"/>
              <w:shd w:val="clear" w:color="auto" w:fill="FFFFFF"/>
              <w:kinsoku/>
              <w:wordWrap/>
              <w:overflowPunct/>
              <w:topLinePunct w:val="0"/>
              <w:bidi w:val="0"/>
              <w:jc w:val="center"/>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16"/>
                <w:sz w:val="21"/>
                <w:szCs w:val="21"/>
                <w:highlight w:val="none"/>
              </w:rPr>
              <w:t>发证时间</w:t>
            </w:r>
          </w:p>
        </w:tc>
        <w:tc>
          <w:tcPr>
            <w:tcW w:w="933" w:type="dxa"/>
          </w:tcPr>
          <w:p w14:paraId="5CDCA07A">
            <w:pPr>
              <w:pStyle w:val="41"/>
              <w:keepNext w:val="0"/>
              <w:keepLines w:val="0"/>
              <w:pageBreakBefore w:val="0"/>
              <w:shd w:val="clear" w:color="auto" w:fill="FFFFFF"/>
              <w:kinsoku/>
              <w:wordWrap/>
              <w:overflowPunct/>
              <w:topLinePunct w:val="0"/>
              <w:bidi w:val="0"/>
              <w:spacing w:before="0" w:beforeAutospacing="0" w:after="0" w:afterAutospacing="0"/>
              <w:jc w:val="center"/>
              <w:outlineLvl w:val="9"/>
              <w:rPr>
                <w:rFonts w:hint="eastAsia" w:ascii="宋体" w:hAnsi="宋体" w:eastAsia="宋体" w:cs="宋体"/>
                <w:bCs/>
                <w:color w:val="auto"/>
                <w:sz w:val="21"/>
                <w:szCs w:val="21"/>
                <w:highlight w:val="none"/>
              </w:rPr>
            </w:pPr>
            <w:r>
              <w:rPr>
                <w:rFonts w:hint="eastAsia" w:ascii="宋体" w:hAnsi="宋体" w:eastAsia="宋体" w:cs="宋体"/>
                <w:bCs/>
                <w:color w:val="auto"/>
                <w:spacing w:val="27"/>
                <w:sz w:val="21"/>
                <w:szCs w:val="21"/>
                <w:highlight w:val="none"/>
              </w:rPr>
              <w:t>期限</w:t>
            </w:r>
          </w:p>
        </w:tc>
      </w:tr>
      <w:tr w14:paraId="1CE1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01" w:type="dxa"/>
            <w:vMerge w:val="continue"/>
          </w:tcPr>
          <w:p w14:paraId="61BF9194">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z w:val="21"/>
                <w:szCs w:val="21"/>
                <w:highlight w:val="none"/>
              </w:rPr>
            </w:pPr>
          </w:p>
        </w:tc>
        <w:tc>
          <w:tcPr>
            <w:tcW w:w="1854" w:type="dxa"/>
            <w:gridSpan w:val="3"/>
            <w:vMerge w:val="continue"/>
          </w:tcPr>
          <w:p w14:paraId="540BC318">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964" w:type="dxa"/>
            <w:gridSpan w:val="2"/>
          </w:tcPr>
          <w:p w14:paraId="2D9DDEFE">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1418" w:type="dxa"/>
            <w:gridSpan w:val="2"/>
          </w:tcPr>
          <w:p w14:paraId="126251E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1276" w:type="dxa"/>
          </w:tcPr>
          <w:p w14:paraId="6E468410">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c>
          <w:tcPr>
            <w:tcW w:w="2551" w:type="dxa"/>
            <w:gridSpan w:val="3"/>
          </w:tcPr>
          <w:p w14:paraId="337A0885">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z w:val="21"/>
                <w:szCs w:val="21"/>
                <w:highlight w:val="none"/>
              </w:rPr>
            </w:pPr>
          </w:p>
        </w:tc>
      </w:tr>
      <w:tr w14:paraId="23C6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001" w:type="dxa"/>
            <w:vMerge w:val="continue"/>
          </w:tcPr>
          <w:p w14:paraId="62CAE91E">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16"/>
                <w:sz w:val="21"/>
                <w:szCs w:val="21"/>
                <w:highlight w:val="none"/>
              </w:rPr>
            </w:pPr>
          </w:p>
        </w:tc>
        <w:tc>
          <w:tcPr>
            <w:tcW w:w="1854" w:type="dxa"/>
            <w:gridSpan w:val="3"/>
          </w:tcPr>
          <w:p w14:paraId="722E31DD">
            <w:pPr>
              <w:pStyle w:val="41"/>
              <w:keepNext w:val="0"/>
              <w:keepLines w:val="0"/>
              <w:pageBreakBefore w:val="0"/>
              <w:shd w:val="clear" w:color="auto" w:fill="FFFFFF"/>
              <w:kinsoku/>
              <w:wordWrap/>
              <w:overflowPunct/>
              <w:topLinePunct w:val="0"/>
              <w:bidi w:val="0"/>
              <w:spacing w:before="0" w:beforeAutospacing="0" w:after="0" w:afterAutospacing="0"/>
              <w:ind w:right="-107" w:rightChars="-51"/>
              <w:outlineLvl w:val="9"/>
              <w:rPr>
                <w:rFonts w:hint="eastAsia" w:ascii="宋体" w:hAnsi="宋体" w:eastAsia="宋体" w:cs="宋体"/>
                <w:bCs/>
                <w:color w:val="auto"/>
                <w:spacing w:val="41"/>
                <w:sz w:val="21"/>
                <w:szCs w:val="21"/>
                <w:highlight w:val="none"/>
              </w:rPr>
            </w:pPr>
            <w:r>
              <w:rPr>
                <w:rFonts w:hint="eastAsia" w:ascii="宋体" w:hAnsi="宋体" w:eastAsia="宋体" w:cs="宋体"/>
                <w:bCs/>
                <w:color w:val="auto"/>
                <w:spacing w:val="41"/>
                <w:sz w:val="21"/>
                <w:szCs w:val="21"/>
                <w:highlight w:val="none"/>
              </w:rPr>
              <w:t>企业通过质量体系、环保</w:t>
            </w:r>
            <w:r>
              <w:rPr>
                <w:rFonts w:hint="eastAsia" w:ascii="宋体" w:hAnsi="宋体" w:eastAsia="宋体" w:cs="宋体"/>
                <w:bCs/>
                <w:color w:val="auto"/>
                <w:spacing w:val="11"/>
                <w:sz w:val="21"/>
                <w:szCs w:val="21"/>
                <w:highlight w:val="none"/>
              </w:rPr>
              <w:t>体系、计量等认证情况</w:t>
            </w:r>
          </w:p>
        </w:tc>
        <w:tc>
          <w:tcPr>
            <w:tcW w:w="6209" w:type="dxa"/>
            <w:gridSpan w:val="8"/>
          </w:tcPr>
          <w:p w14:paraId="0DFE8CEA">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r w14:paraId="54E1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001" w:type="dxa"/>
            <w:vMerge w:val="continue"/>
          </w:tcPr>
          <w:p w14:paraId="0E714B48">
            <w:pPr>
              <w:pStyle w:val="41"/>
              <w:keepNext w:val="0"/>
              <w:keepLines w:val="0"/>
              <w:pageBreakBefore w:val="0"/>
              <w:shd w:val="clear" w:color="auto" w:fill="FFFFFF"/>
              <w:kinsoku/>
              <w:wordWrap/>
              <w:overflowPunct/>
              <w:topLinePunct w:val="0"/>
              <w:bidi w:val="0"/>
              <w:ind w:left="107"/>
              <w:outlineLvl w:val="9"/>
              <w:rPr>
                <w:rFonts w:hint="eastAsia" w:ascii="宋体" w:hAnsi="宋体" w:eastAsia="宋体" w:cs="宋体"/>
                <w:bCs/>
                <w:color w:val="auto"/>
                <w:spacing w:val="27"/>
                <w:sz w:val="21"/>
                <w:szCs w:val="21"/>
                <w:highlight w:val="none"/>
              </w:rPr>
            </w:pPr>
          </w:p>
        </w:tc>
        <w:tc>
          <w:tcPr>
            <w:tcW w:w="1854" w:type="dxa"/>
            <w:gridSpan w:val="3"/>
          </w:tcPr>
          <w:p w14:paraId="707E39DE">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r>
              <w:rPr>
                <w:rFonts w:hint="eastAsia" w:ascii="宋体" w:hAnsi="宋体" w:eastAsia="宋体" w:cs="宋体"/>
                <w:bCs/>
                <w:color w:val="auto"/>
                <w:spacing w:val="10"/>
                <w:sz w:val="21"/>
                <w:szCs w:val="21"/>
                <w:highlight w:val="none"/>
              </w:rPr>
              <w:t>企业获得专利情况</w:t>
            </w:r>
          </w:p>
        </w:tc>
        <w:tc>
          <w:tcPr>
            <w:tcW w:w="6209" w:type="dxa"/>
            <w:gridSpan w:val="8"/>
          </w:tcPr>
          <w:p w14:paraId="454B0AE8">
            <w:pPr>
              <w:pStyle w:val="41"/>
              <w:keepNext w:val="0"/>
              <w:keepLines w:val="0"/>
              <w:pageBreakBefore w:val="0"/>
              <w:shd w:val="clear" w:color="auto" w:fill="FFFFFF"/>
              <w:kinsoku/>
              <w:wordWrap/>
              <w:overflowPunct/>
              <w:topLinePunct w:val="0"/>
              <w:bidi w:val="0"/>
              <w:outlineLvl w:val="9"/>
              <w:rPr>
                <w:rFonts w:hint="eastAsia" w:ascii="宋体" w:hAnsi="宋体" w:eastAsia="宋体" w:cs="宋体"/>
                <w:bCs/>
                <w:color w:val="auto"/>
                <w:spacing w:val="16"/>
                <w:sz w:val="21"/>
                <w:szCs w:val="21"/>
                <w:highlight w:val="none"/>
              </w:rPr>
            </w:pPr>
          </w:p>
        </w:tc>
      </w:tr>
    </w:tbl>
    <w:p w14:paraId="716D8A47">
      <w:pPr>
        <w:pStyle w:val="41"/>
        <w:keepNext w:val="0"/>
        <w:keepLines w:val="0"/>
        <w:pageBreakBefore w:val="0"/>
        <w:shd w:val="clear" w:color="auto" w:fill="FFFFFF"/>
        <w:kinsoku/>
        <w:wordWrap/>
        <w:overflowPunct/>
        <w:topLinePunct w:val="0"/>
        <w:bidi w:val="0"/>
        <w:spacing w:before="0" w:beforeAutospacing="0" w:after="0" w:afterAutospacing="0" w:line="360" w:lineRule="auto"/>
        <w:outlineLvl w:val="9"/>
        <w:rPr>
          <w:rFonts w:hint="eastAsia" w:ascii="宋体" w:hAnsi="宋体" w:eastAsia="宋体" w:cs="宋体"/>
          <w:color w:val="auto"/>
          <w:highlight w:val="none"/>
        </w:rPr>
      </w:pPr>
    </w:p>
    <w:p w14:paraId="7F7A9AE2">
      <w:pPr>
        <w:pStyle w:val="41"/>
        <w:keepNext w:val="0"/>
        <w:keepLines w:val="0"/>
        <w:pageBreakBefore w:val="0"/>
        <w:shd w:val="clear" w:color="auto" w:fill="FFFFFF"/>
        <w:kinsoku/>
        <w:wordWrap/>
        <w:overflowPunct/>
        <w:topLinePunct w:val="0"/>
        <w:bidi w:val="0"/>
        <w:spacing w:before="0" w:beforeAutospacing="0" w:after="0" w:afterAutospacing="0" w:line="360" w:lineRule="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要求：</w:t>
      </w:r>
    </w:p>
    <w:p w14:paraId="4ED9991C">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24" w:firstLineChars="202"/>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1.姓名栏必须将所有股东都统计在内，若非股份公司此行（第三行）无需填写；</w:t>
      </w:r>
    </w:p>
    <w:p w14:paraId="6DC32AA4">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50AE183E">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1E0D269E">
      <w:pPr>
        <w:keepNext w:val="0"/>
        <w:keepLines w:val="0"/>
        <w:pageBreakBefore w:val="0"/>
        <w:kinsoku/>
        <w:wordWrap/>
        <w:overflowPunct/>
        <w:topLinePunct w:val="0"/>
        <w:bidi w:val="0"/>
        <w:spacing w:line="360" w:lineRule="auto"/>
        <w:ind w:firstLine="371" w:firstLineChars="177"/>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5E5112E2">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6FC4E4D1">
      <w:pPr>
        <w:keepNext w:val="0"/>
        <w:keepLines w:val="0"/>
        <w:pageBreakBefore w:val="0"/>
        <w:kinsoku/>
        <w:wordWrap/>
        <w:overflowPunct/>
        <w:topLinePunct w:val="0"/>
        <w:bidi w:val="0"/>
        <w:spacing w:line="360" w:lineRule="auto"/>
        <w:ind w:firstLine="371" w:firstLineChars="177"/>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3A451B7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7AB7F061">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371" w:firstLineChars="177"/>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01605949">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4A59E452">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25ABFE08">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5B793494">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20B14DCA">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2FC7BFFE">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1AA045C4">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5EA386D1">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73D52E2B">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42FE2838">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721D9DAF">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498" w:firstLineChars="177"/>
        <w:outlineLvl w:val="9"/>
        <w:rPr>
          <w:rFonts w:hint="eastAsia" w:ascii="宋体" w:hAnsi="宋体" w:eastAsia="宋体" w:cs="宋体"/>
          <w:b/>
          <w:color w:val="auto"/>
          <w:sz w:val="28"/>
          <w:highlight w:val="none"/>
        </w:rPr>
      </w:pPr>
    </w:p>
    <w:p w14:paraId="74E30017">
      <w:pPr>
        <w:pStyle w:val="41"/>
        <w:keepNext w:val="0"/>
        <w:keepLines w:val="0"/>
        <w:pageBreakBefore w:val="0"/>
        <w:shd w:val="clear" w:color="auto" w:fill="FFFFFF"/>
        <w:kinsoku/>
        <w:wordWrap/>
        <w:overflowPunct/>
        <w:topLinePunct w:val="0"/>
        <w:bidi w:val="0"/>
        <w:spacing w:before="0" w:beforeAutospacing="0" w:after="0" w:afterAutospacing="0" w:line="360" w:lineRule="auto"/>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6B33D316">
      <w:pPr>
        <w:pStyle w:val="41"/>
        <w:keepNext w:val="0"/>
        <w:keepLines w:val="0"/>
        <w:pageBreakBefore w:val="0"/>
        <w:shd w:val="clear" w:color="auto" w:fill="FFFFFF"/>
        <w:kinsoku/>
        <w:wordWrap/>
        <w:overflowPunct/>
        <w:topLinePunct w:val="0"/>
        <w:bidi w:val="0"/>
        <w:spacing w:before="0" w:beforeAutospacing="0" w:after="0" w:afterAutospacing="0" w:line="360" w:lineRule="auto"/>
        <w:outlineLvl w:val="9"/>
        <w:rPr>
          <w:rFonts w:hint="eastAsia" w:ascii="宋体" w:hAnsi="宋体" w:eastAsia="宋体" w:cs="宋体"/>
          <w:color w:val="auto"/>
          <w:highlight w:val="none"/>
          <w:lang w:eastAsia="zh-CN"/>
        </w:rPr>
      </w:pPr>
      <w:r>
        <w:rPr>
          <w:rFonts w:hint="eastAsia" w:ascii="宋体" w:hAnsi="宋体" w:eastAsia="宋体" w:cs="宋体"/>
          <w:b/>
          <w:color w:val="auto"/>
          <w:sz w:val="28"/>
          <w:highlight w:val="none"/>
        </w:rPr>
        <w:t>附件</w:t>
      </w:r>
      <w:r>
        <w:rPr>
          <w:rFonts w:hint="eastAsia" w:ascii="宋体" w:hAnsi="宋体" w:eastAsia="宋体" w:cs="宋体"/>
          <w:b/>
          <w:color w:val="auto"/>
          <w:sz w:val="28"/>
          <w:highlight w:val="none"/>
          <w:lang w:val="en-US" w:eastAsia="zh-CN"/>
        </w:rPr>
        <w:t>7</w:t>
      </w:r>
    </w:p>
    <w:p w14:paraId="6F349676">
      <w:pPr>
        <w:keepNext w:val="0"/>
        <w:keepLines w:val="0"/>
        <w:pageBreakBefore w:val="0"/>
        <w:kinsoku/>
        <w:wordWrap/>
        <w:overflowPunct/>
        <w:topLinePunct w:val="0"/>
        <w:bidi w:val="0"/>
        <w:snapToGrid w:val="0"/>
        <w:spacing w:before="156" w:beforeLines="50" w:after="50" w:line="36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项目实施人员一览表</w:t>
      </w:r>
    </w:p>
    <w:p w14:paraId="1AB443F7">
      <w:pPr>
        <w:keepNext w:val="0"/>
        <w:keepLines w:val="0"/>
        <w:pageBreakBefore w:val="0"/>
        <w:kinsoku/>
        <w:overflowPunct/>
        <w:topLinePunct w:val="0"/>
        <w:bidi w:val="0"/>
        <w:snapToGrid w:val="0"/>
        <w:spacing w:beforeLines="50" w:after="50" w:line="360" w:lineRule="auto"/>
        <w:ind w:firstLine="2400" w:firstLineChars="10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（主要从业人员及其技术资格）</w:t>
      </w:r>
    </w:p>
    <w:tbl>
      <w:tblPr>
        <w:tblStyle w:val="24"/>
        <w:tblW w:w="9100" w:type="dxa"/>
        <w:tblInd w:w="-34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3"/>
        <w:gridCol w:w="826"/>
        <w:gridCol w:w="932"/>
        <w:gridCol w:w="911"/>
        <w:gridCol w:w="1586"/>
        <w:gridCol w:w="1371"/>
        <w:gridCol w:w="1307"/>
        <w:gridCol w:w="1504"/>
      </w:tblGrid>
      <w:tr w14:paraId="2025DC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vAlign w:val="center"/>
          </w:tcPr>
          <w:p w14:paraId="4C8B14F9">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26" w:type="dxa"/>
            <w:tcBorders>
              <w:top w:val="single" w:color="auto" w:sz="4" w:space="0"/>
              <w:left w:val="single" w:color="auto" w:sz="4" w:space="0"/>
              <w:bottom w:val="single" w:color="auto" w:sz="4" w:space="0"/>
              <w:right w:val="single" w:color="auto" w:sz="4" w:space="0"/>
            </w:tcBorders>
            <w:vAlign w:val="center"/>
          </w:tcPr>
          <w:p w14:paraId="413B2CD7">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姓名</w:t>
            </w:r>
          </w:p>
        </w:tc>
        <w:tc>
          <w:tcPr>
            <w:tcW w:w="932" w:type="dxa"/>
            <w:tcBorders>
              <w:top w:val="single" w:color="auto" w:sz="4" w:space="0"/>
              <w:left w:val="single" w:color="auto" w:sz="4" w:space="0"/>
              <w:bottom w:val="single" w:color="auto" w:sz="4" w:space="0"/>
              <w:right w:val="single" w:color="auto" w:sz="4" w:space="0"/>
            </w:tcBorders>
            <w:vAlign w:val="center"/>
          </w:tcPr>
          <w:p w14:paraId="5C8097FD">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职务</w:t>
            </w:r>
          </w:p>
        </w:tc>
        <w:tc>
          <w:tcPr>
            <w:tcW w:w="911" w:type="dxa"/>
            <w:tcBorders>
              <w:top w:val="single" w:color="auto" w:sz="4" w:space="0"/>
              <w:left w:val="single" w:color="auto" w:sz="4" w:space="0"/>
              <w:bottom w:val="single" w:color="auto" w:sz="4" w:space="0"/>
              <w:right w:val="single" w:color="auto" w:sz="4" w:space="0"/>
            </w:tcBorders>
            <w:vAlign w:val="center"/>
          </w:tcPr>
          <w:p w14:paraId="41B721F7">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职责</w:t>
            </w:r>
          </w:p>
        </w:tc>
        <w:tc>
          <w:tcPr>
            <w:tcW w:w="1586" w:type="dxa"/>
            <w:tcBorders>
              <w:top w:val="single" w:color="auto" w:sz="4" w:space="0"/>
              <w:left w:val="single" w:color="auto" w:sz="4" w:space="0"/>
              <w:bottom w:val="single" w:color="auto" w:sz="4" w:space="0"/>
              <w:right w:val="single" w:color="auto" w:sz="4" w:space="0"/>
            </w:tcBorders>
            <w:vAlign w:val="center"/>
          </w:tcPr>
          <w:p w14:paraId="00B8262B">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专业技术资格</w:t>
            </w:r>
          </w:p>
        </w:tc>
        <w:tc>
          <w:tcPr>
            <w:tcW w:w="1371" w:type="dxa"/>
            <w:tcBorders>
              <w:top w:val="single" w:color="auto" w:sz="4" w:space="0"/>
              <w:left w:val="single" w:color="auto" w:sz="4" w:space="0"/>
              <w:bottom w:val="single" w:color="auto" w:sz="4" w:space="0"/>
              <w:right w:val="single" w:color="auto" w:sz="4" w:space="0"/>
            </w:tcBorders>
            <w:vAlign w:val="center"/>
          </w:tcPr>
          <w:p w14:paraId="57E21CFF">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证书编号</w:t>
            </w:r>
          </w:p>
        </w:tc>
        <w:tc>
          <w:tcPr>
            <w:tcW w:w="1307" w:type="dxa"/>
            <w:tcBorders>
              <w:top w:val="single" w:color="auto" w:sz="4" w:space="0"/>
              <w:left w:val="single" w:color="auto" w:sz="4" w:space="0"/>
              <w:bottom w:val="single" w:color="auto" w:sz="4" w:space="0"/>
              <w:right w:val="single" w:color="auto" w:sz="4" w:space="0"/>
            </w:tcBorders>
            <w:vAlign w:val="center"/>
          </w:tcPr>
          <w:p w14:paraId="1ABF3D9F">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参加本单位工作时间</w:t>
            </w:r>
          </w:p>
        </w:tc>
        <w:tc>
          <w:tcPr>
            <w:tcW w:w="1504" w:type="dxa"/>
            <w:tcBorders>
              <w:top w:val="single" w:color="auto" w:sz="4" w:space="0"/>
              <w:left w:val="single" w:color="auto" w:sz="4" w:space="0"/>
              <w:bottom w:val="single" w:color="auto" w:sz="4" w:space="0"/>
            </w:tcBorders>
            <w:vAlign w:val="center"/>
          </w:tcPr>
          <w:p w14:paraId="0FD9DE10">
            <w:pPr>
              <w:keepNext w:val="0"/>
              <w:keepLines w:val="0"/>
              <w:pageBreakBefore w:val="0"/>
              <w:kinsoku/>
              <w:overflowPunct/>
              <w:topLinePunct w:val="0"/>
              <w:bidi w:val="0"/>
              <w:snapToGrid w:val="0"/>
              <w:spacing w:beforeLines="50" w:after="50" w:line="36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劳动合同编号</w:t>
            </w:r>
          </w:p>
        </w:tc>
      </w:tr>
      <w:tr w14:paraId="24171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1298EA06">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61986182">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4EB8850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01792AFD">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645518D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10F7A8EA">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3C0AB380">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4AC65B47">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43707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5CFC36B1">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08D0CC5A">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65920BC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53DE99C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2DF5A132">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24EECBC7">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7CAA613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294E4E98">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02B03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4D170D3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32776A03">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4D5FAE8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793295B5">
            <w:pPr>
              <w:pStyle w:val="14"/>
              <w:keepNext w:val="0"/>
              <w:keepLines w:val="0"/>
              <w:pageBreakBefore w:val="0"/>
              <w:kinsoku/>
              <w:overflowPunct/>
              <w:topLinePunct w:val="0"/>
              <w:bidi w:val="0"/>
              <w:snapToGrid w:val="0"/>
              <w:spacing w:beforeLines="50" w:after="50" w:line="360" w:lineRule="auto"/>
              <w:ind w:left="5250"/>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6B904F16">
            <w:pPr>
              <w:pStyle w:val="14"/>
              <w:keepNext w:val="0"/>
              <w:keepLines w:val="0"/>
              <w:pageBreakBefore w:val="0"/>
              <w:kinsoku/>
              <w:overflowPunct/>
              <w:topLinePunct w:val="0"/>
              <w:bidi w:val="0"/>
              <w:snapToGrid w:val="0"/>
              <w:spacing w:beforeLines="50" w:after="50" w:line="360" w:lineRule="auto"/>
              <w:ind w:left="5250"/>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4D6AE4B3">
            <w:pPr>
              <w:pStyle w:val="14"/>
              <w:keepNext w:val="0"/>
              <w:keepLines w:val="0"/>
              <w:pageBreakBefore w:val="0"/>
              <w:kinsoku/>
              <w:overflowPunct/>
              <w:topLinePunct w:val="0"/>
              <w:bidi w:val="0"/>
              <w:spacing w:line="360" w:lineRule="auto"/>
              <w:ind w:left="5250"/>
              <w:outlineLvl w:val="9"/>
              <w:rPr>
                <w:rFonts w:hint="eastAsia" w:ascii="宋体" w:hAnsi="宋体" w:eastAsia="宋体" w:cs="宋体"/>
                <w:color w:val="auto"/>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6438C7E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1504" w:type="dxa"/>
            <w:tcBorders>
              <w:top w:val="single" w:color="auto" w:sz="4" w:space="0"/>
              <w:left w:val="single" w:color="auto" w:sz="4" w:space="0"/>
              <w:bottom w:val="single" w:color="auto" w:sz="4" w:space="0"/>
            </w:tcBorders>
          </w:tcPr>
          <w:p w14:paraId="1731E345">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30554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12FFE278">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56047957">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00FF6562">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2246978A">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75E8F8A0">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0F735AEF">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48FC552C">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5984CC4A">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051BF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797D5738">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20F1727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6DDD2C5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3116D817">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1688B43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060F064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47F9787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232C5722">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6FFF3B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2CD1BFB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0AABF426">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4E08BF8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2317FFBC">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0279FCEC">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2B776D55">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5AF1DF19">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355C2A4D">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16807A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4BB2DDFF">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5715121E">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2439A4FE">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02962A4D">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1DA395F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5D6C3EC7">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540AEF1F">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02BE5D9A">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r w14:paraId="4F06C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3" w:type="dxa"/>
            <w:tcBorders>
              <w:top w:val="single" w:color="auto" w:sz="4" w:space="0"/>
              <w:bottom w:val="single" w:color="auto" w:sz="4" w:space="0"/>
              <w:right w:val="single" w:color="auto" w:sz="4" w:space="0"/>
            </w:tcBorders>
          </w:tcPr>
          <w:p w14:paraId="041F6D9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color w:val="auto"/>
                <w:sz w:val="21"/>
                <w:szCs w:val="21"/>
                <w:highlight w:val="none"/>
              </w:rPr>
            </w:pPr>
          </w:p>
        </w:tc>
        <w:tc>
          <w:tcPr>
            <w:tcW w:w="826" w:type="dxa"/>
            <w:tcBorders>
              <w:top w:val="single" w:color="auto" w:sz="4" w:space="0"/>
              <w:left w:val="single" w:color="auto" w:sz="4" w:space="0"/>
              <w:bottom w:val="single" w:color="auto" w:sz="4" w:space="0"/>
              <w:right w:val="single" w:color="auto" w:sz="4" w:space="0"/>
            </w:tcBorders>
          </w:tcPr>
          <w:p w14:paraId="60A5297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32" w:type="dxa"/>
            <w:tcBorders>
              <w:top w:val="single" w:color="auto" w:sz="4" w:space="0"/>
              <w:left w:val="single" w:color="auto" w:sz="4" w:space="0"/>
              <w:bottom w:val="single" w:color="auto" w:sz="4" w:space="0"/>
              <w:right w:val="single" w:color="auto" w:sz="4" w:space="0"/>
            </w:tcBorders>
          </w:tcPr>
          <w:p w14:paraId="1D2603E3">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911" w:type="dxa"/>
            <w:tcBorders>
              <w:top w:val="single" w:color="auto" w:sz="4" w:space="0"/>
              <w:left w:val="single" w:color="auto" w:sz="4" w:space="0"/>
              <w:bottom w:val="single" w:color="auto" w:sz="4" w:space="0"/>
              <w:right w:val="single" w:color="auto" w:sz="4" w:space="0"/>
            </w:tcBorders>
          </w:tcPr>
          <w:p w14:paraId="3957A85B">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86" w:type="dxa"/>
            <w:tcBorders>
              <w:top w:val="single" w:color="auto" w:sz="4" w:space="0"/>
              <w:left w:val="single" w:color="auto" w:sz="4" w:space="0"/>
              <w:bottom w:val="single" w:color="auto" w:sz="4" w:space="0"/>
              <w:right w:val="single" w:color="auto" w:sz="4" w:space="0"/>
            </w:tcBorders>
          </w:tcPr>
          <w:p w14:paraId="71063428">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tcPr>
          <w:p w14:paraId="70BFE386">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tcPr>
          <w:p w14:paraId="07CCF526">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c>
          <w:tcPr>
            <w:tcW w:w="1504" w:type="dxa"/>
            <w:tcBorders>
              <w:top w:val="single" w:color="auto" w:sz="4" w:space="0"/>
              <w:left w:val="single" w:color="auto" w:sz="4" w:space="0"/>
              <w:bottom w:val="single" w:color="auto" w:sz="4" w:space="0"/>
            </w:tcBorders>
          </w:tcPr>
          <w:p w14:paraId="53F5A884">
            <w:pPr>
              <w:keepNext w:val="0"/>
              <w:keepLines w:val="0"/>
              <w:pageBreakBefore w:val="0"/>
              <w:kinsoku/>
              <w:overflowPunct/>
              <w:topLinePunct w:val="0"/>
              <w:bidi w:val="0"/>
              <w:snapToGrid w:val="0"/>
              <w:spacing w:beforeLines="50" w:after="50" w:line="360" w:lineRule="auto"/>
              <w:outlineLvl w:val="9"/>
              <w:rPr>
                <w:rFonts w:hint="eastAsia" w:ascii="宋体" w:hAnsi="宋体" w:eastAsia="宋体" w:cs="宋体"/>
                <w:b/>
                <w:color w:val="auto"/>
                <w:kern w:val="44"/>
                <w:sz w:val="21"/>
                <w:szCs w:val="21"/>
                <w:highlight w:val="none"/>
              </w:rPr>
            </w:pPr>
          </w:p>
        </w:tc>
      </w:tr>
    </w:tbl>
    <w:p w14:paraId="25DCD6AC">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要求：</w:t>
      </w:r>
    </w:p>
    <w:p w14:paraId="5895FD79">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w:t>
      </w:r>
      <w:r>
        <w:rPr>
          <w:rFonts w:hint="eastAsia" w:ascii="宋体" w:hAnsi="宋体" w:eastAsia="宋体" w:cs="宋体"/>
          <w:color w:val="auto"/>
          <w:szCs w:val="21"/>
          <w:highlight w:val="none"/>
        </w:rPr>
        <w:t>在填写时，如本表格不适合投标单位的实际情况，可根据本表格式自行划表填写。</w:t>
      </w:r>
    </w:p>
    <w:p w14:paraId="018B073A">
      <w:pPr>
        <w:pStyle w:val="42"/>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附人员证书复印件；</w:t>
      </w:r>
    </w:p>
    <w:p w14:paraId="58BCD305">
      <w:pPr>
        <w:pStyle w:val="42"/>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出具上述人员在本单位服务的外部证明。</w:t>
      </w:r>
    </w:p>
    <w:p w14:paraId="1815A0CA">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25C4D41A">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投标人名称（盖章）：</w:t>
      </w:r>
    </w:p>
    <w:p w14:paraId="029936BE">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6B58357A">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4973CC69">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26001A7A">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5E772B48">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2BD6BD05">
      <w:pPr>
        <w:keepNext w:val="0"/>
        <w:keepLines w:val="0"/>
        <w:pageBreakBefore w:val="0"/>
        <w:kinsoku/>
        <w:wordWrap/>
        <w:overflowPunct/>
        <w:topLinePunct w:val="0"/>
        <w:bidi w:val="0"/>
        <w:spacing w:line="360" w:lineRule="auto"/>
        <w:outlineLvl w:val="9"/>
        <w:rPr>
          <w:rFonts w:hint="eastAsia" w:ascii="宋体" w:hAnsi="宋体" w:eastAsia="宋体" w:cs="宋体"/>
          <w:color w:val="auto"/>
          <w:highlight w:val="none"/>
          <w:lang w:eastAsia="zh-CN"/>
        </w:rPr>
      </w:pPr>
      <w:r>
        <w:rPr>
          <w:rFonts w:hint="eastAsia" w:ascii="宋体" w:hAnsi="宋体" w:eastAsia="宋体" w:cs="宋体"/>
          <w:b/>
          <w:color w:val="auto"/>
          <w:sz w:val="28"/>
          <w:highlight w:val="none"/>
        </w:rPr>
        <w:t>附件</w:t>
      </w:r>
      <w:r>
        <w:rPr>
          <w:rFonts w:hint="eastAsia" w:ascii="宋体" w:hAnsi="宋体" w:eastAsia="宋体" w:cs="宋体"/>
          <w:b/>
          <w:color w:val="auto"/>
          <w:sz w:val="28"/>
          <w:highlight w:val="none"/>
          <w:lang w:val="en-US" w:eastAsia="zh-CN"/>
        </w:rPr>
        <w:t>8</w:t>
      </w:r>
    </w:p>
    <w:p w14:paraId="7748B240">
      <w:pPr>
        <w:keepNext w:val="0"/>
        <w:keepLines w:val="0"/>
        <w:pageBreakBefore w:val="0"/>
        <w:kinsoku/>
        <w:wordWrap/>
        <w:overflowPunct/>
        <w:topLinePunct w:val="0"/>
        <w:bidi w:val="0"/>
        <w:snapToGrid w:val="0"/>
        <w:spacing w:before="156" w:beforeLines="50" w:after="50" w:line="360" w:lineRule="auto"/>
        <w:jc w:val="center"/>
        <w:outlineLvl w:val="9"/>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项目负责人资格情况表</w:t>
      </w:r>
    </w:p>
    <w:p w14:paraId="50B0EC3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采购项目：采购编号：</w:t>
      </w:r>
    </w:p>
    <w:tbl>
      <w:tblPr>
        <w:tblStyle w:val="24"/>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14:paraId="000D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tcBorders>
            <w:vAlign w:val="center"/>
          </w:tcPr>
          <w:p w14:paraId="739F2AD8">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姓名</w:t>
            </w:r>
          </w:p>
        </w:tc>
        <w:tc>
          <w:tcPr>
            <w:tcW w:w="2967" w:type="dxa"/>
            <w:tcBorders>
              <w:top w:val="single" w:color="auto" w:sz="12" w:space="0"/>
            </w:tcBorders>
            <w:vAlign w:val="center"/>
          </w:tcPr>
          <w:p w14:paraId="617ABA9B">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tcBorders>
              <w:top w:val="single" w:color="auto" w:sz="12" w:space="0"/>
              <w:right w:val="single" w:color="auto" w:sz="12" w:space="0"/>
            </w:tcBorders>
            <w:vAlign w:val="center"/>
          </w:tcPr>
          <w:p w14:paraId="71DA68B9">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近年来主要工作业绩</w:t>
            </w:r>
          </w:p>
        </w:tc>
      </w:tr>
      <w:tr w14:paraId="02B2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73A2818B">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性别</w:t>
            </w:r>
          </w:p>
        </w:tc>
        <w:tc>
          <w:tcPr>
            <w:tcW w:w="2967" w:type="dxa"/>
            <w:vAlign w:val="center"/>
          </w:tcPr>
          <w:p w14:paraId="5239EB58">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restart"/>
            <w:tcBorders>
              <w:right w:val="single" w:color="auto" w:sz="12" w:space="0"/>
            </w:tcBorders>
            <w:vAlign w:val="center"/>
          </w:tcPr>
          <w:p w14:paraId="713598CA">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注：业绩证明应提供旁证材料</w:t>
            </w:r>
          </w:p>
          <w:p w14:paraId="00337E0F">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（供货合同或中标通知书）。</w:t>
            </w:r>
          </w:p>
        </w:tc>
      </w:tr>
      <w:tr w14:paraId="3FB3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639C949D">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年龄</w:t>
            </w:r>
          </w:p>
        </w:tc>
        <w:tc>
          <w:tcPr>
            <w:tcW w:w="2967" w:type="dxa"/>
            <w:vAlign w:val="center"/>
          </w:tcPr>
          <w:p w14:paraId="4D732EE9">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7552BAA8">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54EF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747A6196">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职称</w:t>
            </w:r>
          </w:p>
        </w:tc>
        <w:tc>
          <w:tcPr>
            <w:tcW w:w="2967" w:type="dxa"/>
            <w:vAlign w:val="center"/>
          </w:tcPr>
          <w:p w14:paraId="029409BC">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431593D0">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3B41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2313F0DE">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毕业时间</w:t>
            </w:r>
          </w:p>
        </w:tc>
        <w:tc>
          <w:tcPr>
            <w:tcW w:w="2967" w:type="dxa"/>
            <w:vAlign w:val="center"/>
          </w:tcPr>
          <w:p w14:paraId="19A70059">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19FF1CC9">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7594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338357CD">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学校专业</w:t>
            </w:r>
          </w:p>
        </w:tc>
        <w:tc>
          <w:tcPr>
            <w:tcW w:w="2967" w:type="dxa"/>
            <w:vAlign w:val="center"/>
          </w:tcPr>
          <w:p w14:paraId="2BC70F12">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17F70AA6">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4C56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0DC77EAE">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联系电话</w:t>
            </w:r>
          </w:p>
        </w:tc>
        <w:tc>
          <w:tcPr>
            <w:tcW w:w="2967" w:type="dxa"/>
            <w:vAlign w:val="center"/>
          </w:tcPr>
          <w:p w14:paraId="7483473E">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3691C656">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6295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14:paraId="4ED43BA2">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最近一年工作状况</w:t>
            </w:r>
          </w:p>
        </w:tc>
        <w:tc>
          <w:tcPr>
            <w:tcW w:w="2967" w:type="dxa"/>
            <w:vAlign w:val="center"/>
          </w:tcPr>
          <w:p w14:paraId="50318A1D">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c>
          <w:tcPr>
            <w:tcW w:w="3685" w:type="dxa"/>
            <w:vMerge w:val="continue"/>
            <w:tcBorders>
              <w:right w:val="single" w:color="auto" w:sz="12" w:space="0"/>
            </w:tcBorders>
            <w:vAlign w:val="center"/>
          </w:tcPr>
          <w:p w14:paraId="4DACC903">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r w14:paraId="33B3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left w:val="single" w:color="auto" w:sz="12" w:space="0"/>
              <w:bottom w:val="single" w:color="auto" w:sz="12" w:space="0"/>
            </w:tcBorders>
            <w:vAlign w:val="center"/>
          </w:tcPr>
          <w:p w14:paraId="311EDC88">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拟在本项目中担任主要工作</w:t>
            </w:r>
          </w:p>
        </w:tc>
        <w:tc>
          <w:tcPr>
            <w:tcW w:w="6652" w:type="dxa"/>
            <w:gridSpan w:val="2"/>
            <w:tcBorders>
              <w:bottom w:val="single" w:color="auto" w:sz="12" w:space="0"/>
              <w:right w:val="single" w:color="auto" w:sz="12" w:space="0"/>
            </w:tcBorders>
            <w:vAlign w:val="center"/>
          </w:tcPr>
          <w:p w14:paraId="6C9A56F0">
            <w:pPr>
              <w:keepNext w:val="0"/>
              <w:keepLines w:val="0"/>
              <w:pageBreakBefore w:val="0"/>
              <w:kinsoku/>
              <w:wordWrap/>
              <w:overflowPunct/>
              <w:topLinePunct w:val="0"/>
              <w:autoSpaceDE w:val="0"/>
              <w:autoSpaceDN w:val="0"/>
              <w:bidi w:val="0"/>
              <w:adjustRightInd w:val="0"/>
              <w:snapToGrid w:val="0"/>
              <w:spacing w:line="360" w:lineRule="auto"/>
              <w:jc w:val="center"/>
              <w:outlineLvl w:val="9"/>
              <w:rPr>
                <w:rFonts w:hint="eastAsia" w:ascii="宋体" w:hAnsi="宋体" w:eastAsia="宋体" w:cs="宋体"/>
                <w:color w:val="auto"/>
                <w:szCs w:val="21"/>
                <w:highlight w:val="none"/>
                <w:lang w:val="zh-CN"/>
              </w:rPr>
            </w:pPr>
          </w:p>
        </w:tc>
      </w:tr>
    </w:tbl>
    <w:p w14:paraId="0D27B4D9">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6F2B71EB">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5FB19EF9">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2DDE0E42">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0AF4E02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67AD856D">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61F232B2">
      <w:pPr>
        <w:keepNext w:val="0"/>
        <w:keepLines w:val="0"/>
        <w:pageBreakBefore w:val="0"/>
        <w:kinsoku/>
        <w:wordWrap/>
        <w:overflowPunct/>
        <w:topLinePunct w:val="0"/>
        <w:bidi w:val="0"/>
        <w:snapToGrid w:val="0"/>
        <w:spacing w:before="50" w:after="50" w:line="360" w:lineRule="auto"/>
        <w:outlineLvl w:val="9"/>
        <w:rPr>
          <w:rFonts w:hint="eastAsia" w:ascii="宋体" w:hAnsi="宋体" w:eastAsia="宋体" w:cs="宋体"/>
          <w:b/>
          <w:color w:val="auto"/>
          <w:szCs w:val="21"/>
          <w:highlight w:val="none"/>
        </w:rPr>
      </w:pPr>
    </w:p>
    <w:p w14:paraId="4472A86E">
      <w:pPr>
        <w:keepNext w:val="0"/>
        <w:keepLines w:val="0"/>
        <w:pageBreakBefore w:val="0"/>
        <w:kinsoku/>
        <w:overflowPunct/>
        <w:topLinePunct w:val="0"/>
        <w:bidi w:val="0"/>
        <w:spacing w:before="156" w:beforeLines="50" w:after="156" w:afterLines="50" w:line="360" w:lineRule="auto"/>
        <w:ind w:right="-10"/>
        <w:jc w:val="center"/>
        <w:outlineLvl w:val="9"/>
        <w:rPr>
          <w:rFonts w:hint="eastAsia" w:ascii="宋体" w:hAnsi="宋体" w:eastAsia="宋体" w:cs="宋体"/>
          <w:b/>
          <w:bCs/>
          <w:color w:val="auto"/>
          <w:sz w:val="32"/>
          <w:szCs w:val="32"/>
          <w:highlight w:val="none"/>
        </w:rPr>
      </w:pPr>
    </w:p>
    <w:p w14:paraId="607C5DED">
      <w:pPr>
        <w:keepNext w:val="0"/>
        <w:keepLines w:val="0"/>
        <w:pageBreakBefore w:val="0"/>
        <w:kinsoku/>
        <w:wordWrap/>
        <w:overflowPunct/>
        <w:topLinePunct w:val="0"/>
        <w:bidi w:val="0"/>
        <w:snapToGrid w:val="0"/>
        <w:spacing w:before="50" w:after="50" w:line="360" w:lineRule="auto"/>
        <w:outlineLvl w:val="9"/>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附件</w:t>
      </w:r>
      <w:r>
        <w:rPr>
          <w:rFonts w:hint="eastAsia" w:ascii="宋体" w:hAnsi="宋体" w:eastAsia="宋体" w:cs="宋体"/>
          <w:b/>
          <w:color w:val="auto"/>
          <w:sz w:val="28"/>
          <w:highlight w:val="none"/>
          <w:lang w:val="en-US" w:eastAsia="zh-CN"/>
        </w:rPr>
        <w:t>9</w:t>
      </w:r>
    </w:p>
    <w:p w14:paraId="0F61A299">
      <w:pPr>
        <w:keepNext w:val="0"/>
        <w:keepLines w:val="0"/>
        <w:pageBreakBefore w:val="0"/>
        <w:kinsoku/>
        <w:wordWrap/>
        <w:overflowPunct/>
        <w:topLinePunct w:val="0"/>
        <w:bidi w:val="0"/>
        <w:spacing w:line="360" w:lineRule="auto"/>
        <w:ind w:left="48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kern w:val="0"/>
          <w:sz w:val="32"/>
          <w:szCs w:val="32"/>
          <w:highlight w:val="none"/>
        </w:rPr>
        <w:t>技术需求响应表</w:t>
      </w:r>
    </w:p>
    <w:p w14:paraId="4CE2AB8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71"/>
        <w:gridCol w:w="1722"/>
        <w:gridCol w:w="1547"/>
        <w:gridCol w:w="1507"/>
      </w:tblGrid>
      <w:tr w14:paraId="3DD2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811" w:type="dxa"/>
            <w:vAlign w:val="center"/>
          </w:tcPr>
          <w:p w14:paraId="2C083735">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971" w:type="dxa"/>
            <w:vAlign w:val="center"/>
          </w:tcPr>
          <w:p w14:paraId="4794B591">
            <w:pPr>
              <w:keepNext w:val="0"/>
              <w:keepLines w:val="0"/>
              <w:pageBreakBefore w:val="0"/>
              <w:kinsoku/>
              <w:wordWrap/>
              <w:overflowPunct/>
              <w:topLinePunct w:val="0"/>
              <w:bidi w:val="0"/>
              <w:spacing w:line="360" w:lineRule="auto"/>
              <w:ind w:left="13" w:leftChars="6" w:firstLine="422" w:firstLineChars="200"/>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1722" w:type="dxa"/>
            <w:vAlign w:val="center"/>
          </w:tcPr>
          <w:p w14:paraId="1ADE45CC">
            <w:pPr>
              <w:keepNext w:val="0"/>
              <w:keepLines w:val="0"/>
              <w:pageBreakBefore w:val="0"/>
              <w:kinsoku/>
              <w:wordWrap/>
              <w:overflowPunct/>
              <w:topLinePunct w:val="0"/>
              <w:bidi w:val="0"/>
              <w:spacing w:line="360" w:lineRule="auto"/>
              <w:ind w:left="152"/>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招标参数</w:t>
            </w:r>
          </w:p>
        </w:tc>
        <w:tc>
          <w:tcPr>
            <w:tcW w:w="1547" w:type="dxa"/>
            <w:vAlign w:val="center"/>
          </w:tcPr>
          <w:p w14:paraId="676752AC">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投标参数</w:t>
            </w:r>
          </w:p>
        </w:tc>
        <w:tc>
          <w:tcPr>
            <w:tcW w:w="1507" w:type="dxa"/>
            <w:vAlign w:val="center"/>
          </w:tcPr>
          <w:p w14:paraId="50535C76">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偏离说明</w:t>
            </w:r>
          </w:p>
        </w:tc>
      </w:tr>
      <w:tr w14:paraId="6830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811" w:type="dxa"/>
            <w:vAlign w:val="center"/>
          </w:tcPr>
          <w:p w14:paraId="61D7FE2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397E97C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062637D0">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23280E6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5CE3503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2C69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811" w:type="dxa"/>
            <w:vAlign w:val="center"/>
          </w:tcPr>
          <w:p w14:paraId="6450FEF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62D97EA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0884092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330B895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45D21D8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04B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811" w:type="dxa"/>
            <w:vAlign w:val="center"/>
          </w:tcPr>
          <w:p w14:paraId="23C8A117">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5C8EED7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5E9AC38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17D3C25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2DA84974">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404E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811" w:type="dxa"/>
            <w:vAlign w:val="center"/>
          </w:tcPr>
          <w:p w14:paraId="675C19D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61BCA79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3B51DB87">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2F11782D">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581E434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59B1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11" w:type="dxa"/>
            <w:vAlign w:val="center"/>
          </w:tcPr>
          <w:p w14:paraId="12428C1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3038152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7E03B85B">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1F54AF3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1E07993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5322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811" w:type="dxa"/>
            <w:vAlign w:val="center"/>
          </w:tcPr>
          <w:p w14:paraId="785D0E0E">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1CE4853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17BE812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2FE8361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1802F8A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1169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811" w:type="dxa"/>
            <w:vAlign w:val="center"/>
          </w:tcPr>
          <w:p w14:paraId="09BF06B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971" w:type="dxa"/>
            <w:vAlign w:val="center"/>
          </w:tcPr>
          <w:p w14:paraId="272A984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722" w:type="dxa"/>
            <w:vAlign w:val="center"/>
          </w:tcPr>
          <w:p w14:paraId="632F38AD">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47" w:type="dxa"/>
            <w:vAlign w:val="center"/>
          </w:tcPr>
          <w:p w14:paraId="09EF0F1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07" w:type="dxa"/>
            <w:vAlign w:val="center"/>
          </w:tcPr>
          <w:p w14:paraId="383E9CB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bl>
    <w:p w14:paraId="2904551B">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14172E75">
      <w:pPr>
        <w:pStyle w:val="2"/>
        <w:rPr>
          <w:rFonts w:hint="eastAsia" w:ascii="宋体" w:hAnsi="宋体" w:eastAsia="宋体" w:cs="宋体"/>
          <w:color w:val="auto"/>
          <w:highlight w:val="none"/>
        </w:rPr>
      </w:pPr>
    </w:p>
    <w:p w14:paraId="37EF7356">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31A70B7A">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09823573">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004692F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65EBCC40">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2D87E968">
      <w:pPr>
        <w:pStyle w:val="44"/>
        <w:keepNext w:val="0"/>
        <w:keepLines w:val="0"/>
        <w:pageBreakBefore w:val="0"/>
        <w:kinsoku/>
        <w:wordWrap/>
        <w:overflowPunct/>
        <w:topLinePunct w:val="0"/>
        <w:bidi w:val="0"/>
        <w:spacing w:line="360" w:lineRule="auto"/>
        <w:jc w:val="left"/>
        <w:outlineLvl w:val="9"/>
        <w:rPr>
          <w:rFonts w:hint="eastAsia" w:ascii="宋体" w:hAnsi="宋体" w:eastAsia="宋体" w:cs="宋体"/>
          <w:b/>
          <w:color w:val="auto"/>
          <w:sz w:val="28"/>
          <w:highlight w:val="none"/>
        </w:rPr>
      </w:pPr>
    </w:p>
    <w:p w14:paraId="3E2E32DB">
      <w:pPr>
        <w:pStyle w:val="44"/>
        <w:keepNext w:val="0"/>
        <w:keepLines w:val="0"/>
        <w:pageBreakBefore w:val="0"/>
        <w:kinsoku/>
        <w:wordWrap/>
        <w:overflowPunct/>
        <w:topLinePunct w:val="0"/>
        <w:bidi w:val="0"/>
        <w:spacing w:line="360" w:lineRule="auto"/>
        <w:jc w:val="left"/>
        <w:outlineLvl w:val="9"/>
        <w:rPr>
          <w:rFonts w:hint="eastAsia" w:ascii="宋体" w:hAnsi="宋体" w:eastAsia="宋体" w:cs="宋体"/>
          <w:b/>
          <w:color w:val="auto"/>
          <w:sz w:val="28"/>
          <w:highlight w:val="none"/>
        </w:rPr>
      </w:pPr>
    </w:p>
    <w:p w14:paraId="33702811">
      <w:pPr>
        <w:pStyle w:val="44"/>
        <w:keepNext w:val="0"/>
        <w:keepLines w:val="0"/>
        <w:pageBreakBefore w:val="0"/>
        <w:kinsoku/>
        <w:wordWrap/>
        <w:overflowPunct/>
        <w:topLinePunct w:val="0"/>
        <w:bidi w:val="0"/>
        <w:spacing w:line="360" w:lineRule="auto"/>
        <w:jc w:val="left"/>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61D025CD">
      <w:pPr>
        <w:pStyle w:val="44"/>
        <w:keepNext w:val="0"/>
        <w:keepLines w:val="0"/>
        <w:pageBreakBefore w:val="0"/>
        <w:kinsoku/>
        <w:wordWrap/>
        <w:overflowPunct/>
        <w:topLinePunct w:val="0"/>
        <w:bidi w:val="0"/>
        <w:spacing w:line="360" w:lineRule="auto"/>
        <w:jc w:val="left"/>
        <w:outlineLvl w:val="9"/>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0</w:t>
      </w:r>
    </w:p>
    <w:p w14:paraId="5A1E9CCD">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企业证书一览表</w:t>
      </w:r>
    </w:p>
    <w:p w14:paraId="22904304">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highlight w:val="none"/>
        </w:rPr>
      </w:pPr>
    </w:p>
    <w:tbl>
      <w:tblPr>
        <w:tblStyle w:val="24"/>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14:paraId="695E30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double" w:color="auto" w:sz="4" w:space="0"/>
              <w:left w:val="single" w:color="auto" w:sz="4" w:space="0"/>
            </w:tcBorders>
          </w:tcPr>
          <w:p w14:paraId="3D8FFB83">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证书名称</w:t>
            </w:r>
          </w:p>
        </w:tc>
        <w:tc>
          <w:tcPr>
            <w:tcW w:w="2258" w:type="dxa"/>
            <w:tcBorders>
              <w:top w:val="double" w:color="auto" w:sz="4" w:space="0"/>
            </w:tcBorders>
          </w:tcPr>
          <w:p w14:paraId="4C4FA7D3">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发证单位</w:t>
            </w:r>
          </w:p>
        </w:tc>
        <w:tc>
          <w:tcPr>
            <w:tcW w:w="2260" w:type="dxa"/>
            <w:tcBorders>
              <w:top w:val="double" w:color="auto" w:sz="4" w:space="0"/>
            </w:tcBorders>
          </w:tcPr>
          <w:p w14:paraId="19D2A4AE">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证书等级</w:t>
            </w:r>
          </w:p>
        </w:tc>
        <w:tc>
          <w:tcPr>
            <w:tcW w:w="2047" w:type="dxa"/>
            <w:tcBorders>
              <w:top w:val="double" w:color="auto" w:sz="4" w:space="0"/>
              <w:right w:val="single" w:color="auto" w:sz="4" w:space="0"/>
            </w:tcBorders>
          </w:tcPr>
          <w:p w14:paraId="2027E9E8">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证书有效期</w:t>
            </w:r>
          </w:p>
        </w:tc>
      </w:tr>
      <w:tr w14:paraId="3AB4C3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7168FD5A">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14D7A210">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5A77C377">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337AFA27">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2242D4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2089AF75">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7AFAC879">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289FE5ED">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09871E0C">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088F05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33926392">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0AA18EAB">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530827E4">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22CC7CA2">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00DB73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16227A84">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19FAC53B">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3BF44215">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09736BB1">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438434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4353C29A">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43814706">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36DF0AB6">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1273D2D2">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186E72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10B1FEB9">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Pr>
          <w:p w14:paraId="2FB83255">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Pr>
          <w:p w14:paraId="036C5F3F">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right w:val="single" w:color="auto" w:sz="4" w:space="0"/>
            </w:tcBorders>
          </w:tcPr>
          <w:p w14:paraId="10B20A3B">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r w14:paraId="435DC3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double" w:color="auto" w:sz="4" w:space="0"/>
            </w:tcBorders>
          </w:tcPr>
          <w:p w14:paraId="1EA4CE7F">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58" w:type="dxa"/>
            <w:tcBorders>
              <w:bottom w:val="double" w:color="auto" w:sz="4" w:space="0"/>
            </w:tcBorders>
          </w:tcPr>
          <w:p w14:paraId="4AF74D9A">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260" w:type="dxa"/>
            <w:tcBorders>
              <w:bottom w:val="double" w:color="auto" w:sz="4" w:space="0"/>
            </w:tcBorders>
          </w:tcPr>
          <w:p w14:paraId="45CAD237">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c>
          <w:tcPr>
            <w:tcW w:w="2047" w:type="dxa"/>
            <w:tcBorders>
              <w:bottom w:val="double" w:color="auto" w:sz="4" w:space="0"/>
              <w:right w:val="single" w:color="auto" w:sz="4" w:space="0"/>
            </w:tcBorders>
          </w:tcPr>
          <w:p w14:paraId="1148BA0B">
            <w:pPr>
              <w:pStyle w:val="45"/>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p>
        </w:tc>
      </w:tr>
    </w:tbl>
    <w:p w14:paraId="30A2CAD7">
      <w:pPr>
        <w:pStyle w:val="45"/>
        <w:keepNext w:val="0"/>
        <w:keepLines w:val="0"/>
        <w:pageBreakBefore w:val="0"/>
        <w:tabs>
          <w:tab w:val="left" w:pos="1050"/>
        </w:tabs>
        <w:kinsoku/>
        <w:wordWrap/>
        <w:overflowPunct/>
        <w:topLinePunct w:val="0"/>
        <w:bidi w:val="0"/>
        <w:spacing w:line="360" w:lineRule="auto"/>
        <w:outlineLvl w:val="9"/>
        <w:rPr>
          <w:rFonts w:hint="eastAsia" w:ascii="宋体" w:hAnsi="宋体" w:eastAsia="宋体" w:cs="宋体"/>
          <w:color w:val="auto"/>
          <w:sz w:val="24"/>
          <w:highlight w:val="none"/>
        </w:rPr>
      </w:pPr>
    </w:p>
    <w:p w14:paraId="45E8564C">
      <w:pPr>
        <w:pStyle w:val="45"/>
        <w:keepNext w:val="0"/>
        <w:keepLines w:val="0"/>
        <w:pageBreakBefore w:val="0"/>
        <w:tabs>
          <w:tab w:val="left" w:pos="1050"/>
        </w:tabs>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要求：</w:t>
      </w:r>
    </w:p>
    <w:p w14:paraId="1C17EE90">
      <w:pPr>
        <w:pStyle w:val="45"/>
        <w:keepNext w:val="0"/>
        <w:keepLines w:val="0"/>
        <w:pageBreakBefore w:val="0"/>
        <w:tabs>
          <w:tab w:val="left" w:pos="1050"/>
        </w:tabs>
        <w:kinsoku/>
        <w:wordWrap/>
        <w:overflowPunct/>
        <w:topLinePunct w:val="0"/>
        <w:bidi w:val="0"/>
        <w:spacing w:line="360" w:lineRule="auto"/>
        <w:ind w:firstLine="424" w:firstLineChars="202"/>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填写投标人获得资质、认证或企业信誉证书；</w:t>
      </w:r>
    </w:p>
    <w:p w14:paraId="6E0DAA75">
      <w:pPr>
        <w:pStyle w:val="45"/>
        <w:keepNext w:val="0"/>
        <w:keepLines w:val="0"/>
        <w:pageBreakBefore w:val="0"/>
        <w:tabs>
          <w:tab w:val="left" w:pos="1050"/>
        </w:tabs>
        <w:kinsoku/>
        <w:wordWrap/>
        <w:overflowPunct/>
        <w:topLinePunct w:val="0"/>
        <w:bidi w:val="0"/>
        <w:spacing w:line="360" w:lineRule="auto"/>
        <w:ind w:firstLine="424" w:firstLineChars="202"/>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附所列证书复印件或其他证明材料。</w:t>
      </w:r>
    </w:p>
    <w:p w14:paraId="3040C576">
      <w:pPr>
        <w:pStyle w:val="45"/>
        <w:keepNext w:val="0"/>
        <w:keepLines w:val="0"/>
        <w:pageBreakBefore w:val="0"/>
        <w:tabs>
          <w:tab w:val="left" w:pos="1050"/>
        </w:tabs>
        <w:kinsoku/>
        <w:wordWrap/>
        <w:overflowPunct/>
        <w:topLinePunct w:val="0"/>
        <w:bidi w:val="0"/>
        <w:spacing w:line="360" w:lineRule="auto"/>
        <w:ind w:firstLine="630" w:firstLineChars="300"/>
        <w:outlineLvl w:val="9"/>
        <w:rPr>
          <w:rFonts w:hint="eastAsia" w:ascii="宋体" w:hAnsi="宋体" w:eastAsia="宋体" w:cs="宋体"/>
          <w:color w:val="auto"/>
          <w:szCs w:val="21"/>
          <w:highlight w:val="none"/>
        </w:rPr>
      </w:pPr>
    </w:p>
    <w:p w14:paraId="6F872390">
      <w:pPr>
        <w:pStyle w:val="45"/>
        <w:keepNext w:val="0"/>
        <w:keepLines w:val="0"/>
        <w:pageBreakBefore w:val="0"/>
        <w:tabs>
          <w:tab w:val="left" w:pos="1050"/>
        </w:tabs>
        <w:kinsoku/>
        <w:wordWrap/>
        <w:overflowPunct/>
        <w:topLinePunct w:val="0"/>
        <w:bidi w:val="0"/>
        <w:spacing w:line="360" w:lineRule="auto"/>
        <w:ind w:firstLine="630" w:firstLineChars="300"/>
        <w:outlineLvl w:val="9"/>
        <w:rPr>
          <w:rFonts w:hint="eastAsia" w:ascii="宋体" w:hAnsi="宋体" w:eastAsia="宋体" w:cs="宋体"/>
          <w:color w:val="auto"/>
          <w:szCs w:val="21"/>
          <w:highlight w:val="none"/>
        </w:rPr>
      </w:pPr>
    </w:p>
    <w:p w14:paraId="31DB0C4A">
      <w:pPr>
        <w:pStyle w:val="45"/>
        <w:keepNext w:val="0"/>
        <w:keepLines w:val="0"/>
        <w:pageBreakBefore w:val="0"/>
        <w:tabs>
          <w:tab w:val="left" w:pos="1050"/>
        </w:tabs>
        <w:kinsoku/>
        <w:wordWrap/>
        <w:overflowPunct/>
        <w:topLinePunct w:val="0"/>
        <w:bidi w:val="0"/>
        <w:spacing w:line="360" w:lineRule="auto"/>
        <w:ind w:firstLine="630" w:firstLineChars="300"/>
        <w:outlineLvl w:val="9"/>
        <w:rPr>
          <w:rFonts w:hint="eastAsia" w:ascii="宋体" w:hAnsi="宋体" w:eastAsia="宋体" w:cs="宋体"/>
          <w:color w:val="auto"/>
          <w:szCs w:val="21"/>
          <w:highlight w:val="none"/>
        </w:rPr>
      </w:pPr>
    </w:p>
    <w:p w14:paraId="4C8D50AD">
      <w:pPr>
        <w:keepNext w:val="0"/>
        <w:keepLines w:val="0"/>
        <w:pageBreakBefore w:val="0"/>
        <w:kinsoku/>
        <w:wordWrap/>
        <w:overflowPunct/>
        <w:topLinePunct w:val="0"/>
        <w:bidi w:val="0"/>
        <w:spacing w:line="360" w:lineRule="auto"/>
        <w:ind w:firstLine="371" w:firstLineChars="177"/>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1131EAAE">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6D49D431">
      <w:pPr>
        <w:keepNext w:val="0"/>
        <w:keepLines w:val="0"/>
        <w:pageBreakBefore w:val="0"/>
        <w:kinsoku/>
        <w:wordWrap/>
        <w:overflowPunct/>
        <w:topLinePunct w:val="0"/>
        <w:bidi w:val="0"/>
        <w:spacing w:line="360" w:lineRule="auto"/>
        <w:ind w:firstLine="371" w:firstLineChars="177"/>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406D823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130DF0F9">
      <w:pPr>
        <w:pStyle w:val="41"/>
        <w:keepNext w:val="0"/>
        <w:keepLines w:val="0"/>
        <w:pageBreakBefore w:val="0"/>
        <w:shd w:val="clear" w:color="auto" w:fill="FFFFFF"/>
        <w:kinsoku/>
        <w:wordWrap/>
        <w:overflowPunct/>
        <w:topLinePunct w:val="0"/>
        <w:bidi w:val="0"/>
        <w:spacing w:before="0" w:beforeAutospacing="0" w:after="0" w:afterAutospacing="0" w:line="360" w:lineRule="auto"/>
        <w:ind w:firstLine="371" w:firstLineChars="177"/>
        <w:outlineLvl w:val="9"/>
        <w:rPr>
          <w:rFonts w:hint="eastAsia" w:ascii="宋体" w:hAnsi="宋体" w:eastAsia="宋体" w:cs="宋体"/>
          <w:b/>
          <w:bCs/>
          <w:color w:val="auto"/>
          <w:spacing w:val="11"/>
          <w:sz w:val="21"/>
          <w:szCs w:val="21"/>
          <w:highlight w:val="none"/>
        </w:rPr>
      </w:pPr>
      <w:r>
        <w:rPr>
          <w:rFonts w:hint="eastAsia" w:ascii="宋体" w:hAnsi="宋体" w:eastAsia="宋体" w:cs="宋体"/>
          <w:color w:val="auto"/>
          <w:sz w:val="21"/>
          <w:szCs w:val="21"/>
          <w:highlight w:val="none"/>
        </w:rPr>
        <w:t>日期：：</w:t>
      </w:r>
    </w:p>
    <w:p w14:paraId="486758F4">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4"/>
          <w:highlight w:val="none"/>
        </w:rPr>
      </w:pPr>
    </w:p>
    <w:p w14:paraId="052D72E9">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2DA4E635">
      <w:pPr>
        <w:pStyle w:val="9"/>
        <w:keepNext w:val="0"/>
        <w:keepLines w:val="0"/>
        <w:pageBreakBefore w:val="0"/>
        <w:kinsoku/>
        <w:wordWrap/>
        <w:overflowPunct/>
        <w:topLinePunct w:val="0"/>
        <w:bidi w:val="0"/>
        <w:outlineLvl w:val="9"/>
        <w:rPr>
          <w:rFonts w:hint="eastAsia" w:ascii="宋体" w:hAnsi="宋体" w:eastAsia="宋体" w:cs="宋体"/>
          <w:b/>
          <w:color w:val="auto"/>
          <w:sz w:val="28"/>
          <w:highlight w:val="none"/>
        </w:rPr>
      </w:pPr>
    </w:p>
    <w:p w14:paraId="3AF281D1">
      <w:pPr>
        <w:pStyle w:val="9"/>
        <w:keepNext w:val="0"/>
        <w:keepLines w:val="0"/>
        <w:pageBreakBefore w:val="0"/>
        <w:kinsoku/>
        <w:wordWrap/>
        <w:overflowPunct/>
        <w:topLinePunct w:val="0"/>
        <w:bidi w:val="0"/>
        <w:outlineLvl w:val="9"/>
        <w:rPr>
          <w:rFonts w:hint="eastAsia" w:ascii="宋体" w:hAnsi="宋体" w:eastAsia="宋体" w:cs="宋体"/>
          <w:b/>
          <w:color w:val="auto"/>
          <w:sz w:val="28"/>
          <w:highlight w:val="none"/>
        </w:rPr>
      </w:pPr>
    </w:p>
    <w:p w14:paraId="120B1056">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1</w:t>
      </w:r>
    </w:p>
    <w:p w14:paraId="7E8DC3F1">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投标人类似项目实施情况一览表</w:t>
      </w:r>
    </w:p>
    <w:p w14:paraId="54CFBB5A">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 w:val="24"/>
          <w:highlight w:val="none"/>
        </w:rPr>
      </w:pPr>
    </w:p>
    <w:tbl>
      <w:tblPr>
        <w:tblStyle w:val="24"/>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14:paraId="6E970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14:paraId="37D9F71B">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293" w:type="dxa"/>
            <w:tcBorders>
              <w:top w:val="single" w:color="auto" w:sz="6" w:space="0"/>
              <w:left w:val="single" w:color="auto" w:sz="6" w:space="0"/>
              <w:bottom w:val="single" w:color="auto" w:sz="6" w:space="0"/>
              <w:right w:val="single" w:color="auto" w:sz="6" w:space="0"/>
            </w:tcBorders>
            <w:vAlign w:val="center"/>
          </w:tcPr>
          <w:p w14:paraId="3681CEC0">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14:paraId="64F11012">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14:paraId="3FEAF6E5">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14:paraId="62C85EF7">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14:paraId="4FE77AC6">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14:paraId="4295ABD9">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项目单位名称及其联系人电话</w:t>
            </w:r>
          </w:p>
        </w:tc>
      </w:tr>
      <w:tr w14:paraId="3F1EE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14:paraId="2CC16B4E">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93" w:type="dxa"/>
            <w:tcBorders>
              <w:top w:val="single" w:color="auto" w:sz="6" w:space="0"/>
              <w:left w:val="single" w:color="auto" w:sz="6" w:space="0"/>
              <w:bottom w:val="single" w:color="auto" w:sz="6" w:space="0"/>
              <w:right w:val="single" w:color="auto" w:sz="6" w:space="0"/>
            </w:tcBorders>
          </w:tcPr>
          <w:p w14:paraId="4B76D49B">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5FAE1E2A">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4E7A5413">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18FF30F4">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0789CCE3">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09B01E9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0D0B7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14:paraId="6140BEC3">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93" w:type="dxa"/>
            <w:tcBorders>
              <w:top w:val="single" w:color="auto" w:sz="6" w:space="0"/>
              <w:left w:val="single" w:color="auto" w:sz="6" w:space="0"/>
              <w:bottom w:val="single" w:color="auto" w:sz="6" w:space="0"/>
              <w:right w:val="single" w:color="auto" w:sz="6" w:space="0"/>
            </w:tcBorders>
          </w:tcPr>
          <w:p w14:paraId="40797A72">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3583B0B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278F0FBC">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5FDDC935">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58FE96D1">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191FF633">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1E214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14:paraId="72C530CD">
            <w:pPr>
              <w:pStyle w:val="4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293" w:type="dxa"/>
            <w:tcBorders>
              <w:top w:val="single" w:color="auto" w:sz="6" w:space="0"/>
              <w:left w:val="single" w:color="auto" w:sz="6" w:space="0"/>
              <w:bottom w:val="single" w:color="auto" w:sz="6" w:space="0"/>
              <w:right w:val="single" w:color="auto" w:sz="6" w:space="0"/>
            </w:tcBorders>
          </w:tcPr>
          <w:p w14:paraId="6A6F3D69">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60A50689">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0EAD6BC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42997419">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4DFF0AB6">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7C13577A">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582A1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1C330BCC">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93" w:type="dxa"/>
            <w:tcBorders>
              <w:top w:val="single" w:color="auto" w:sz="6" w:space="0"/>
              <w:left w:val="single" w:color="auto" w:sz="6" w:space="0"/>
              <w:bottom w:val="single" w:color="auto" w:sz="6" w:space="0"/>
              <w:right w:val="single" w:color="auto" w:sz="6" w:space="0"/>
            </w:tcBorders>
          </w:tcPr>
          <w:p w14:paraId="305D799C">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5C88975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6D9DDC0F">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2004CF92">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247E713E">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1285BD6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6447E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6E2760DB">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Pr>
          <w:p w14:paraId="6FDCAB54">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00BB11AA">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010BD366">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4E2E115C">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0C8E0E52">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4F011325">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38BC1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3FD76799">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Pr>
          <w:p w14:paraId="3F18B028">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5CB7BD2A">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015EEEEE">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7087F27F">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6148088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456CDE82">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10EE6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6FDFF8D8">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Pr>
          <w:p w14:paraId="1A79C047">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Pr>
          <w:p w14:paraId="15065AEB">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19E741B1">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452" w:type="dxa"/>
            <w:tcBorders>
              <w:top w:val="single" w:color="auto" w:sz="6" w:space="0"/>
              <w:left w:val="single" w:color="auto" w:sz="6" w:space="0"/>
              <w:bottom w:val="single" w:color="auto" w:sz="6" w:space="0"/>
              <w:right w:val="single" w:color="auto" w:sz="6" w:space="0"/>
            </w:tcBorders>
          </w:tcPr>
          <w:p w14:paraId="5D9DEF03">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83" w:type="dxa"/>
            <w:tcBorders>
              <w:top w:val="single" w:color="auto" w:sz="6" w:space="0"/>
              <w:left w:val="single" w:color="auto" w:sz="6" w:space="0"/>
              <w:bottom w:val="single" w:color="auto" w:sz="6" w:space="0"/>
              <w:right w:val="single" w:color="auto" w:sz="6" w:space="0"/>
            </w:tcBorders>
          </w:tcPr>
          <w:p w14:paraId="7C92E3A8">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37" w:type="dxa"/>
            <w:tcBorders>
              <w:top w:val="single" w:color="auto" w:sz="6" w:space="0"/>
              <w:left w:val="single" w:color="auto" w:sz="6" w:space="0"/>
              <w:bottom w:val="single" w:color="auto" w:sz="6" w:space="0"/>
              <w:right w:val="single" w:color="auto" w:sz="6" w:space="0"/>
            </w:tcBorders>
          </w:tcPr>
          <w:p w14:paraId="57F4F650">
            <w:pPr>
              <w:pStyle w:val="44"/>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bl>
    <w:p w14:paraId="0A18F340">
      <w:pPr>
        <w:keepNext w:val="0"/>
        <w:keepLines w:val="0"/>
        <w:pageBreakBefore w:val="0"/>
        <w:kinsoku/>
        <w:wordWrap/>
        <w:overflowPunct/>
        <w:topLinePunct w:val="0"/>
        <w:autoSpaceDE w:val="0"/>
        <w:autoSpaceDN w:val="0"/>
        <w:bidi w:val="0"/>
        <w:adjustRightInd w:val="0"/>
        <w:spacing w:before="156" w:beforeLines="50"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要求：</w:t>
      </w:r>
    </w:p>
    <w:p w14:paraId="3B11CD3F">
      <w:pPr>
        <w:keepNext w:val="0"/>
        <w:keepLines w:val="0"/>
        <w:pageBreakBefore w:val="0"/>
        <w:kinsoku/>
        <w:wordWrap/>
        <w:overflowPunct/>
        <w:topLinePunct w:val="0"/>
        <w:autoSpaceDE w:val="0"/>
        <w:autoSpaceDN w:val="0"/>
        <w:bidi w:val="0"/>
        <w:adjustRightInd w:val="0"/>
        <w:spacing w:before="156" w:beforeLines="50" w:line="360" w:lineRule="auto"/>
        <w:ind w:firstLine="424" w:firstLineChars="202"/>
        <w:outlineLvl w:val="9"/>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业绩证明应提供证明材料（合同复印件可只提供首页、含金额页、盖章页并加盖投标人公章）；</w:t>
      </w:r>
    </w:p>
    <w:p w14:paraId="3808D51F">
      <w:pPr>
        <w:keepNext w:val="0"/>
        <w:keepLines w:val="0"/>
        <w:pageBreakBefore w:val="0"/>
        <w:kinsoku/>
        <w:wordWrap/>
        <w:overflowPunct/>
        <w:topLinePunct w:val="0"/>
        <w:bidi w:val="0"/>
        <w:spacing w:line="360" w:lineRule="auto"/>
        <w:ind w:firstLine="424" w:firstLineChars="202"/>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报价供应商可按此表格式复制。</w:t>
      </w:r>
    </w:p>
    <w:p w14:paraId="6296726D">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0958A9D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19C08A5F">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72BF336F">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52628CF8">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05D7D2A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32F3065E">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4E081E25">
      <w:pPr>
        <w:keepNext w:val="0"/>
        <w:keepLines w:val="0"/>
        <w:pageBreakBefore w:val="0"/>
        <w:kinsoku/>
        <w:wordWrap/>
        <w:overflowPunct/>
        <w:topLinePunct w:val="0"/>
        <w:bidi w:val="0"/>
        <w:spacing w:line="360" w:lineRule="auto"/>
        <w:jc w:val="center"/>
        <w:outlineLvl w:val="9"/>
        <w:rPr>
          <w:rFonts w:hint="eastAsia" w:ascii="宋体" w:hAnsi="宋体" w:eastAsia="宋体" w:cs="宋体"/>
          <w:snapToGrid w:val="0"/>
          <w:color w:val="auto"/>
          <w:kern w:val="0"/>
          <w:szCs w:val="21"/>
          <w:highlight w:val="none"/>
        </w:rPr>
      </w:pPr>
    </w:p>
    <w:p w14:paraId="65819214">
      <w:pPr>
        <w:pStyle w:val="45"/>
        <w:keepNext w:val="0"/>
        <w:keepLines w:val="0"/>
        <w:pageBreakBefore w:val="0"/>
        <w:tabs>
          <w:tab w:val="left" w:pos="1050"/>
        </w:tabs>
        <w:kinsoku/>
        <w:wordWrap/>
        <w:overflowPunct/>
        <w:topLinePunct w:val="0"/>
        <w:bidi w:val="0"/>
        <w:spacing w:line="360" w:lineRule="auto"/>
        <w:outlineLvl w:val="9"/>
        <w:rPr>
          <w:rFonts w:hint="eastAsia" w:ascii="宋体" w:hAnsi="宋体" w:eastAsia="宋体" w:cs="宋体"/>
          <w:b/>
          <w:color w:val="auto"/>
          <w:sz w:val="28"/>
          <w:highlight w:val="none"/>
        </w:rPr>
      </w:pPr>
    </w:p>
    <w:p w14:paraId="3341CC60">
      <w:pPr>
        <w:pStyle w:val="45"/>
        <w:keepNext w:val="0"/>
        <w:keepLines w:val="0"/>
        <w:pageBreakBefore w:val="0"/>
        <w:tabs>
          <w:tab w:val="left" w:pos="1050"/>
        </w:tabs>
        <w:kinsoku/>
        <w:wordWrap/>
        <w:overflowPunct/>
        <w:topLinePunct w:val="0"/>
        <w:bidi w:val="0"/>
        <w:spacing w:line="360" w:lineRule="auto"/>
        <w:outlineLvl w:val="9"/>
        <w:rPr>
          <w:rFonts w:hint="eastAsia" w:ascii="宋体" w:hAnsi="宋体" w:eastAsia="宋体" w:cs="宋体"/>
          <w:b/>
          <w:color w:val="auto"/>
          <w:sz w:val="28"/>
          <w:highlight w:val="none"/>
        </w:rPr>
      </w:pPr>
    </w:p>
    <w:p w14:paraId="0E8A18BD">
      <w:pPr>
        <w:pStyle w:val="45"/>
        <w:keepNext w:val="0"/>
        <w:keepLines w:val="0"/>
        <w:pageBreakBefore w:val="0"/>
        <w:tabs>
          <w:tab w:val="left" w:pos="1050"/>
        </w:tabs>
        <w:kinsoku/>
        <w:wordWrap/>
        <w:overflowPunct/>
        <w:topLinePunct w:val="0"/>
        <w:bidi w:val="0"/>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2</w:t>
      </w:r>
    </w:p>
    <w:p w14:paraId="50E9EFFD">
      <w:pPr>
        <w:keepNext w:val="0"/>
        <w:keepLines w:val="0"/>
        <w:pageBreakBefore w:val="0"/>
        <w:kinsoku/>
        <w:wordWrap/>
        <w:overflowPunct/>
        <w:topLinePunct w:val="0"/>
        <w:bidi w:val="0"/>
        <w:spacing w:line="360" w:lineRule="auto"/>
        <w:ind w:left="360" w:hanging="549" w:hangingChars="171"/>
        <w:jc w:val="center"/>
        <w:outlineLvl w:val="9"/>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t>资信及商务需求响应表</w:t>
      </w:r>
    </w:p>
    <w:p w14:paraId="4DBD890A">
      <w:pPr>
        <w:keepNext w:val="0"/>
        <w:keepLines w:val="0"/>
        <w:pageBreakBefore w:val="0"/>
        <w:kinsoku/>
        <w:wordWrap/>
        <w:overflowPunct/>
        <w:topLinePunct w:val="0"/>
        <w:bidi w:val="0"/>
        <w:spacing w:line="360" w:lineRule="auto"/>
        <w:ind w:left="481" w:leftChars="229" w:firstLine="949" w:firstLineChars="450"/>
        <w:outlineLvl w:val="9"/>
        <w:rPr>
          <w:rFonts w:hint="eastAsia" w:ascii="宋体" w:hAnsi="宋体" w:eastAsia="宋体" w:cs="宋体"/>
          <w:b/>
          <w:color w:val="auto"/>
          <w:szCs w:val="21"/>
          <w:highlight w:val="none"/>
        </w:rPr>
      </w:pPr>
    </w:p>
    <w:tbl>
      <w:tblPr>
        <w:tblStyle w:val="24"/>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029"/>
        <w:gridCol w:w="1541"/>
        <w:gridCol w:w="1365"/>
        <w:gridCol w:w="2625"/>
      </w:tblGrid>
      <w:tr w14:paraId="29C2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14:paraId="60D657EE">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2029" w:type="dxa"/>
            <w:vAlign w:val="center"/>
          </w:tcPr>
          <w:p w14:paraId="3A2263A8">
            <w:pPr>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内容</w:t>
            </w:r>
          </w:p>
        </w:tc>
        <w:tc>
          <w:tcPr>
            <w:tcW w:w="1541" w:type="dxa"/>
            <w:vAlign w:val="center"/>
          </w:tcPr>
          <w:p w14:paraId="7D281F65">
            <w:pPr>
              <w:keepNext w:val="0"/>
              <w:keepLines w:val="0"/>
              <w:pageBreakBefore w:val="0"/>
              <w:kinsoku/>
              <w:wordWrap/>
              <w:overflowPunct/>
              <w:topLinePunct w:val="0"/>
              <w:bidi w:val="0"/>
              <w:spacing w:line="360" w:lineRule="auto"/>
              <w:ind w:left="53" w:leftChars="25" w:firstLine="211" w:firstLineChars="100"/>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招标需求</w:t>
            </w:r>
          </w:p>
        </w:tc>
        <w:tc>
          <w:tcPr>
            <w:tcW w:w="1365" w:type="dxa"/>
            <w:vAlign w:val="center"/>
          </w:tcPr>
          <w:p w14:paraId="6DF8EE18">
            <w:pPr>
              <w:keepNext w:val="0"/>
              <w:keepLines w:val="0"/>
              <w:pageBreakBefore w:val="0"/>
              <w:kinsoku/>
              <w:wordWrap/>
              <w:overflowPunct/>
              <w:topLinePunct w:val="0"/>
              <w:bidi w:val="0"/>
              <w:spacing w:line="360" w:lineRule="auto"/>
              <w:ind w:left="152"/>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是否响应</w:t>
            </w:r>
          </w:p>
        </w:tc>
        <w:tc>
          <w:tcPr>
            <w:tcW w:w="2625" w:type="dxa"/>
            <w:vAlign w:val="center"/>
          </w:tcPr>
          <w:p w14:paraId="64093C18">
            <w:pPr>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投标人的承诺或说明</w:t>
            </w:r>
          </w:p>
        </w:tc>
      </w:tr>
      <w:tr w14:paraId="5169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14:paraId="0608A2E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vAlign w:val="center"/>
          </w:tcPr>
          <w:p w14:paraId="4E83ABEE">
            <w:pPr>
              <w:keepNext w:val="0"/>
              <w:keepLines w:val="0"/>
              <w:pageBreakBefore w:val="0"/>
              <w:kinsoku/>
              <w:wordWrap/>
              <w:overflowPunct/>
              <w:topLinePunct w:val="0"/>
              <w:bidi w:val="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服务期</w:t>
            </w:r>
          </w:p>
        </w:tc>
        <w:tc>
          <w:tcPr>
            <w:tcW w:w="1541" w:type="dxa"/>
            <w:vAlign w:val="center"/>
          </w:tcPr>
          <w:p w14:paraId="1DAF132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1C7F8459">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628E939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6DC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60BCB92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vAlign w:val="center"/>
          </w:tcPr>
          <w:p w14:paraId="315517E9">
            <w:pPr>
              <w:keepNext w:val="0"/>
              <w:keepLines w:val="0"/>
              <w:pageBreakBefore w:val="0"/>
              <w:kinsoku/>
              <w:wordWrap/>
              <w:overflowPunct/>
              <w:topLinePunct w:val="0"/>
              <w:bidi w:val="0"/>
              <w:jc w:val="center"/>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付款方式</w:t>
            </w:r>
          </w:p>
        </w:tc>
        <w:tc>
          <w:tcPr>
            <w:tcW w:w="1541" w:type="dxa"/>
            <w:vAlign w:val="center"/>
          </w:tcPr>
          <w:p w14:paraId="66E3B9F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3666B9A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5B2173E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0434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5DA68E8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vAlign w:val="center"/>
          </w:tcPr>
          <w:p w14:paraId="75810A83">
            <w:pPr>
              <w:keepNext w:val="0"/>
              <w:keepLines w:val="0"/>
              <w:pageBreakBefore w:val="0"/>
              <w:kinsoku/>
              <w:wordWrap/>
              <w:overflowPunct/>
              <w:topLinePunct w:val="0"/>
              <w:bidi w:val="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41" w:type="dxa"/>
            <w:vAlign w:val="center"/>
          </w:tcPr>
          <w:p w14:paraId="22FBF62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3B7EC7FE">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595094FB">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32E8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0990E109">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vAlign w:val="center"/>
          </w:tcPr>
          <w:p w14:paraId="2E992D21">
            <w:pPr>
              <w:keepNext w:val="0"/>
              <w:keepLines w:val="0"/>
              <w:pageBreakBefore w:val="0"/>
              <w:kinsoku/>
              <w:wordWrap/>
              <w:overflowPunct/>
              <w:topLinePunct w:val="0"/>
              <w:bidi w:val="0"/>
              <w:jc w:val="center"/>
              <w:outlineLvl w:val="9"/>
              <w:rPr>
                <w:rFonts w:hint="eastAsia" w:ascii="宋体" w:hAnsi="宋体" w:eastAsia="宋体" w:cs="宋体"/>
                <w:color w:val="auto"/>
                <w:szCs w:val="21"/>
                <w:highlight w:val="none"/>
              </w:rPr>
            </w:pPr>
          </w:p>
        </w:tc>
        <w:tc>
          <w:tcPr>
            <w:tcW w:w="1541" w:type="dxa"/>
            <w:vAlign w:val="center"/>
          </w:tcPr>
          <w:p w14:paraId="1B3A99A7">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0161EE6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3679568A">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3EA2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14:paraId="31044E9F">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vAlign w:val="top"/>
          </w:tcPr>
          <w:p w14:paraId="39E54045">
            <w:pPr>
              <w:keepNext w:val="0"/>
              <w:keepLines w:val="0"/>
              <w:pageBreakBefore w:val="0"/>
              <w:kinsoku/>
              <w:wordWrap/>
              <w:overflowPunct/>
              <w:topLinePunct w:val="0"/>
              <w:bidi w:val="0"/>
              <w:snapToGrid w:val="0"/>
              <w:outlineLvl w:val="9"/>
              <w:rPr>
                <w:rFonts w:hint="eastAsia" w:ascii="宋体" w:hAnsi="宋体" w:eastAsia="宋体" w:cs="宋体"/>
                <w:color w:val="auto"/>
                <w:szCs w:val="21"/>
                <w:highlight w:val="none"/>
              </w:rPr>
            </w:pPr>
          </w:p>
        </w:tc>
        <w:tc>
          <w:tcPr>
            <w:tcW w:w="1541" w:type="dxa"/>
            <w:vAlign w:val="center"/>
          </w:tcPr>
          <w:p w14:paraId="1EF40371">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0B664CB4">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3A38601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r w14:paraId="5679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14:paraId="4F54AE88">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029" w:type="dxa"/>
          </w:tcPr>
          <w:p w14:paraId="1AC8DD6D">
            <w:pPr>
              <w:keepNext w:val="0"/>
              <w:keepLines w:val="0"/>
              <w:pageBreakBefore w:val="0"/>
              <w:kinsoku/>
              <w:wordWrap/>
              <w:overflowPunct/>
              <w:topLinePunct w:val="0"/>
              <w:bidi w:val="0"/>
              <w:snapToGrid w:val="0"/>
              <w:spacing w:line="360" w:lineRule="auto"/>
              <w:outlineLvl w:val="9"/>
              <w:rPr>
                <w:rFonts w:hint="eastAsia" w:ascii="宋体" w:hAnsi="宋体" w:eastAsia="宋体" w:cs="宋体"/>
                <w:color w:val="auto"/>
                <w:szCs w:val="21"/>
                <w:highlight w:val="none"/>
              </w:rPr>
            </w:pPr>
          </w:p>
        </w:tc>
        <w:tc>
          <w:tcPr>
            <w:tcW w:w="1541" w:type="dxa"/>
            <w:vAlign w:val="center"/>
          </w:tcPr>
          <w:p w14:paraId="34BF5186">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1365" w:type="dxa"/>
            <w:vAlign w:val="center"/>
          </w:tcPr>
          <w:p w14:paraId="1C2AA47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c>
          <w:tcPr>
            <w:tcW w:w="2625" w:type="dxa"/>
            <w:vAlign w:val="center"/>
          </w:tcPr>
          <w:p w14:paraId="65AC8DDD">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tc>
      </w:tr>
    </w:tbl>
    <w:p w14:paraId="7CE398A3">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5F172E32">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30650F66">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6CE514EA">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0538A396">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p>
    <w:p w14:paraId="35071EE5">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日期：</w:t>
      </w:r>
    </w:p>
    <w:p w14:paraId="598E2CED">
      <w:pPr>
        <w:keepNext w:val="0"/>
        <w:keepLines w:val="0"/>
        <w:pageBreakBefore w:val="0"/>
        <w:tabs>
          <w:tab w:val="left" w:pos="2460"/>
        </w:tabs>
        <w:kinsoku/>
        <w:wordWrap/>
        <w:overflowPunct/>
        <w:topLinePunct w:val="0"/>
        <w:bidi w:val="0"/>
        <w:spacing w:line="360" w:lineRule="auto"/>
        <w:ind w:firstLine="435"/>
        <w:outlineLvl w:val="9"/>
        <w:rPr>
          <w:rFonts w:hint="eastAsia" w:ascii="宋体" w:hAnsi="宋体" w:eastAsia="宋体" w:cs="宋体"/>
          <w:b/>
          <w:color w:val="auto"/>
          <w:sz w:val="28"/>
          <w:highlight w:val="none"/>
        </w:rPr>
      </w:pPr>
    </w:p>
    <w:p w14:paraId="4568FAF7">
      <w:pPr>
        <w:keepNext w:val="0"/>
        <w:keepLines w:val="0"/>
        <w:pageBreakBefore w:val="0"/>
        <w:tabs>
          <w:tab w:val="left" w:pos="2460"/>
        </w:tabs>
        <w:kinsoku/>
        <w:wordWrap/>
        <w:overflowPunct/>
        <w:topLinePunct w:val="0"/>
        <w:bidi w:val="0"/>
        <w:spacing w:line="360" w:lineRule="auto"/>
        <w:ind w:firstLine="435"/>
        <w:outlineLvl w:val="9"/>
        <w:rPr>
          <w:rFonts w:hint="eastAsia" w:ascii="宋体" w:hAnsi="宋体" w:eastAsia="宋体" w:cs="宋体"/>
          <w:b/>
          <w:color w:val="auto"/>
          <w:sz w:val="28"/>
          <w:highlight w:val="none"/>
        </w:rPr>
      </w:pPr>
    </w:p>
    <w:p w14:paraId="3D5D8ED0">
      <w:pPr>
        <w:keepNext w:val="0"/>
        <w:keepLines w:val="0"/>
        <w:pageBreakBefore w:val="0"/>
        <w:tabs>
          <w:tab w:val="left" w:pos="2460"/>
        </w:tabs>
        <w:kinsoku/>
        <w:wordWrap/>
        <w:overflowPunct/>
        <w:topLinePunct w:val="0"/>
        <w:bidi w:val="0"/>
        <w:spacing w:line="360" w:lineRule="auto"/>
        <w:ind w:firstLine="435"/>
        <w:outlineLvl w:val="9"/>
        <w:rPr>
          <w:rFonts w:hint="eastAsia" w:ascii="宋体" w:hAnsi="宋体" w:eastAsia="宋体" w:cs="宋体"/>
          <w:b/>
          <w:color w:val="auto"/>
          <w:sz w:val="28"/>
          <w:highlight w:val="none"/>
        </w:rPr>
      </w:pPr>
    </w:p>
    <w:p w14:paraId="42B43F22">
      <w:pPr>
        <w:pStyle w:val="9"/>
        <w:keepNext w:val="0"/>
        <w:keepLines w:val="0"/>
        <w:pageBreakBefore w:val="0"/>
        <w:kinsoku/>
        <w:wordWrap/>
        <w:overflowPunct/>
        <w:topLinePunct w:val="0"/>
        <w:bidi w:val="0"/>
        <w:outlineLvl w:val="9"/>
        <w:rPr>
          <w:rFonts w:hint="eastAsia" w:ascii="宋体" w:hAnsi="宋体" w:eastAsia="宋体" w:cs="宋体"/>
          <w:b/>
          <w:color w:val="auto"/>
          <w:sz w:val="28"/>
          <w:highlight w:val="none"/>
        </w:rPr>
      </w:pPr>
    </w:p>
    <w:p w14:paraId="04CFB6F5">
      <w:pPr>
        <w:pStyle w:val="9"/>
        <w:keepNext w:val="0"/>
        <w:keepLines w:val="0"/>
        <w:pageBreakBefore w:val="0"/>
        <w:kinsoku/>
        <w:wordWrap/>
        <w:overflowPunct/>
        <w:topLinePunct w:val="0"/>
        <w:bidi w:val="0"/>
        <w:outlineLvl w:val="9"/>
        <w:rPr>
          <w:rFonts w:hint="eastAsia" w:ascii="宋体" w:hAnsi="宋体" w:eastAsia="宋体" w:cs="宋体"/>
          <w:b/>
          <w:color w:val="auto"/>
          <w:sz w:val="28"/>
          <w:highlight w:val="none"/>
        </w:rPr>
      </w:pPr>
    </w:p>
    <w:p w14:paraId="222878D8">
      <w:pPr>
        <w:keepNext w:val="0"/>
        <w:keepLines w:val="0"/>
        <w:pageBreakBefore w:val="0"/>
        <w:tabs>
          <w:tab w:val="left" w:pos="2460"/>
        </w:tabs>
        <w:kinsoku/>
        <w:wordWrap/>
        <w:overflowPunct/>
        <w:topLinePunct w:val="0"/>
        <w:bidi w:val="0"/>
        <w:spacing w:line="360" w:lineRule="auto"/>
        <w:outlineLvl w:val="9"/>
        <w:rPr>
          <w:rFonts w:hint="eastAsia" w:ascii="宋体" w:hAnsi="宋体" w:eastAsia="宋体" w:cs="宋体"/>
          <w:b/>
          <w:color w:val="auto"/>
          <w:sz w:val="28"/>
          <w:highlight w:val="none"/>
        </w:rPr>
      </w:pPr>
    </w:p>
    <w:p w14:paraId="42918B4E">
      <w:pPr>
        <w:pStyle w:val="53"/>
        <w:keepNext w:val="0"/>
        <w:keepLines w:val="0"/>
        <w:pageBreakBefore w:val="0"/>
        <w:kinsoku/>
        <w:wordWrap/>
        <w:overflowPunct/>
        <w:topLinePunct w:val="0"/>
        <w:bidi w:val="0"/>
        <w:outlineLvl w:val="9"/>
        <w:rPr>
          <w:rFonts w:hint="eastAsia" w:ascii="宋体" w:hAnsi="宋体" w:eastAsia="宋体" w:cs="宋体"/>
          <w:color w:val="auto"/>
          <w:highlight w:val="none"/>
        </w:rPr>
      </w:pPr>
    </w:p>
    <w:p w14:paraId="38A64364">
      <w:pPr>
        <w:keepNext w:val="0"/>
        <w:keepLines w:val="0"/>
        <w:pageBreakBefore w:val="0"/>
        <w:kinsoku/>
        <w:wordWrap/>
        <w:overflowPunct/>
        <w:topLinePunct w:val="0"/>
        <w:bidi w:val="0"/>
        <w:outlineLvl w:val="9"/>
        <w:rPr>
          <w:rFonts w:hint="eastAsia" w:ascii="宋体" w:hAnsi="宋体" w:eastAsia="宋体" w:cs="宋体"/>
          <w:color w:val="auto"/>
          <w:highlight w:val="none"/>
        </w:rPr>
      </w:pPr>
    </w:p>
    <w:p w14:paraId="123B90F5">
      <w:pPr>
        <w:keepNext w:val="0"/>
        <w:keepLines w:val="0"/>
        <w:pageBreakBefore w:val="0"/>
        <w:tabs>
          <w:tab w:val="left" w:pos="2460"/>
        </w:tabs>
        <w:kinsoku/>
        <w:wordWrap/>
        <w:overflowPunct/>
        <w:topLinePunct w:val="0"/>
        <w:bidi w:val="0"/>
        <w:spacing w:line="360" w:lineRule="auto"/>
        <w:outlineLvl w:val="9"/>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3</w:t>
      </w:r>
      <w:r>
        <w:rPr>
          <w:rFonts w:hint="eastAsia" w:ascii="宋体" w:hAnsi="宋体" w:eastAsia="宋体" w:cs="宋体"/>
          <w:b/>
          <w:color w:val="auto"/>
          <w:sz w:val="28"/>
          <w:highlight w:val="none"/>
        </w:rPr>
        <w:tab/>
      </w:r>
    </w:p>
    <w:p w14:paraId="281C55D0">
      <w:pPr>
        <w:keepNext w:val="0"/>
        <w:keepLines w:val="0"/>
        <w:pageBreakBefore w:val="0"/>
        <w:kinsoku/>
        <w:wordWrap/>
        <w:overflowPunct/>
        <w:topLinePunct w:val="0"/>
        <w:bidi w:val="0"/>
        <w:spacing w:line="360" w:lineRule="auto"/>
        <w:ind w:firstLine="435"/>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售后服务情况表</w:t>
      </w:r>
    </w:p>
    <w:p w14:paraId="549596A2">
      <w:pPr>
        <w:keepNext w:val="0"/>
        <w:keepLines w:val="0"/>
        <w:pageBreakBefore w:val="0"/>
        <w:kinsoku/>
        <w:wordWrap/>
        <w:overflowPunct/>
        <w:topLinePunct w:val="0"/>
        <w:bidi w:val="0"/>
        <w:spacing w:line="360" w:lineRule="auto"/>
        <w:ind w:firstLine="435"/>
        <w:jc w:val="center"/>
        <w:outlineLvl w:val="9"/>
        <w:rPr>
          <w:rFonts w:hint="eastAsia" w:ascii="宋体" w:hAnsi="宋体" w:eastAsia="宋体" w:cs="宋体"/>
          <w:b/>
          <w:color w:val="auto"/>
          <w:sz w:val="36"/>
          <w:szCs w:val="36"/>
          <w:highlight w:val="none"/>
        </w:rPr>
      </w:pPr>
    </w:p>
    <w:tbl>
      <w:tblPr>
        <w:tblStyle w:val="24"/>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14:paraId="044B83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Borders>
              <w:top w:val="single" w:color="auto" w:sz="4" w:space="0"/>
            </w:tcBorders>
            <w:vAlign w:val="center"/>
          </w:tcPr>
          <w:p w14:paraId="69CFE643">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2355" w:type="dxa"/>
            <w:tcBorders>
              <w:top w:val="single" w:color="auto" w:sz="4" w:space="0"/>
            </w:tcBorders>
            <w:vAlign w:val="center"/>
          </w:tcPr>
          <w:p w14:paraId="208869BF">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w:t>
            </w:r>
          </w:p>
        </w:tc>
        <w:tc>
          <w:tcPr>
            <w:tcW w:w="4061" w:type="dxa"/>
            <w:tcBorders>
              <w:top w:val="single" w:color="auto" w:sz="4" w:space="0"/>
            </w:tcBorders>
            <w:vAlign w:val="center"/>
          </w:tcPr>
          <w:p w14:paraId="62777AC6">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投标人情况</w:t>
            </w:r>
          </w:p>
        </w:tc>
        <w:tc>
          <w:tcPr>
            <w:tcW w:w="1373" w:type="dxa"/>
            <w:tcBorders>
              <w:top w:val="single" w:color="auto" w:sz="4" w:space="0"/>
            </w:tcBorders>
            <w:vAlign w:val="center"/>
          </w:tcPr>
          <w:p w14:paraId="16865BD0">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14:paraId="6F118C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92" w:hRule="atLeast"/>
          <w:jc w:val="center"/>
        </w:trPr>
        <w:tc>
          <w:tcPr>
            <w:tcW w:w="739" w:type="dxa"/>
            <w:vAlign w:val="center"/>
          </w:tcPr>
          <w:p w14:paraId="1A90339C">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2355" w:type="dxa"/>
            <w:vAlign w:val="center"/>
          </w:tcPr>
          <w:p w14:paraId="03659CDA">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服务期</w:t>
            </w:r>
            <w:r>
              <w:rPr>
                <w:rFonts w:hint="eastAsia" w:ascii="宋体" w:hAnsi="宋体" w:eastAsia="宋体" w:cs="宋体"/>
                <w:bCs/>
                <w:color w:val="auto"/>
                <w:szCs w:val="21"/>
                <w:highlight w:val="none"/>
              </w:rPr>
              <w:t>内售后服务情况(服务方式、服务网点、售后服务的内容和措施等等，可用附页和宣传材料)</w:t>
            </w:r>
          </w:p>
        </w:tc>
        <w:tc>
          <w:tcPr>
            <w:tcW w:w="4061" w:type="dxa"/>
          </w:tcPr>
          <w:p w14:paraId="0185EBB5">
            <w:pPr>
              <w:pStyle w:val="46"/>
              <w:keepNext w:val="0"/>
              <w:keepLines w:val="0"/>
              <w:pageBreakBefore w:val="0"/>
              <w:kinsoku/>
              <w:wordWrap/>
              <w:overflowPunct/>
              <w:topLinePunct w:val="0"/>
              <w:bidi w:val="0"/>
              <w:spacing w:line="360" w:lineRule="auto"/>
              <w:outlineLvl w:val="9"/>
              <w:rPr>
                <w:rFonts w:hint="eastAsia" w:ascii="宋体" w:hAnsi="宋体" w:eastAsia="宋体" w:cs="宋体"/>
                <w:bCs/>
                <w:color w:val="auto"/>
                <w:szCs w:val="21"/>
                <w:highlight w:val="none"/>
              </w:rPr>
            </w:pPr>
          </w:p>
        </w:tc>
        <w:tc>
          <w:tcPr>
            <w:tcW w:w="1373" w:type="dxa"/>
          </w:tcPr>
          <w:p w14:paraId="2FF404C1">
            <w:pPr>
              <w:pStyle w:val="46"/>
              <w:keepNext w:val="0"/>
              <w:keepLines w:val="0"/>
              <w:pageBreakBefore w:val="0"/>
              <w:kinsoku/>
              <w:wordWrap/>
              <w:overflowPunct/>
              <w:topLinePunct w:val="0"/>
              <w:bidi w:val="0"/>
              <w:spacing w:line="360" w:lineRule="auto"/>
              <w:outlineLvl w:val="9"/>
              <w:rPr>
                <w:rFonts w:hint="eastAsia" w:ascii="宋体" w:hAnsi="宋体" w:eastAsia="宋体" w:cs="宋体"/>
                <w:bCs/>
                <w:color w:val="auto"/>
                <w:szCs w:val="21"/>
                <w:highlight w:val="none"/>
              </w:rPr>
            </w:pPr>
          </w:p>
        </w:tc>
      </w:tr>
      <w:tr w14:paraId="7E3345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9" w:hRule="exact"/>
          <w:jc w:val="center"/>
        </w:trPr>
        <w:tc>
          <w:tcPr>
            <w:tcW w:w="739" w:type="dxa"/>
            <w:vAlign w:val="center"/>
          </w:tcPr>
          <w:p w14:paraId="4B340959">
            <w:pPr>
              <w:pStyle w:val="46"/>
              <w:keepNext w:val="0"/>
              <w:keepLines w:val="0"/>
              <w:pageBreakBefore w:val="0"/>
              <w:kinsoku/>
              <w:wordWrap/>
              <w:overflowPunct/>
              <w:topLinePunct w:val="0"/>
              <w:bidi w:val="0"/>
              <w:spacing w:line="360" w:lineRule="auto"/>
              <w:jc w:val="center"/>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p>
        </w:tc>
        <w:tc>
          <w:tcPr>
            <w:tcW w:w="2355" w:type="dxa"/>
            <w:vAlign w:val="center"/>
          </w:tcPr>
          <w:p w14:paraId="7CC3CD10">
            <w:pPr>
              <w:pStyle w:val="46"/>
              <w:keepNext w:val="0"/>
              <w:keepLines w:val="0"/>
              <w:pageBreakBefore w:val="0"/>
              <w:kinsoku/>
              <w:wordWrap/>
              <w:overflowPunct/>
              <w:topLinePunct w:val="0"/>
              <w:bidi w:val="0"/>
              <w:spacing w:line="360" w:lineRule="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服务期满</w:t>
            </w:r>
            <w:r>
              <w:rPr>
                <w:rFonts w:hint="eastAsia" w:ascii="宋体" w:hAnsi="宋体" w:eastAsia="宋体" w:cs="宋体"/>
                <w:bCs/>
                <w:color w:val="auto"/>
                <w:szCs w:val="21"/>
                <w:highlight w:val="none"/>
              </w:rPr>
              <w:t>后售后服务</w:t>
            </w:r>
          </w:p>
        </w:tc>
        <w:tc>
          <w:tcPr>
            <w:tcW w:w="4061" w:type="dxa"/>
          </w:tcPr>
          <w:p w14:paraId="31AE81B9">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p w14:paraId="5E20E884">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p w14:paraId="4D856FDB">
            <w:pPr>
              <w:pStyle w:val="46"/>
              <w:keepNext w:val="0"/>
              <w:keepLines w:val="0"/>
              <w:pageBreakBefore w:val="0"/>
              <w:kinsoku/>
              <w:wordWrap/>
              <w:overflowPunct/>
              <w:topLinePunct w:val="0"/>
              <w:bidi w:val="0"/>
              <w:spacing w:line="360" w:lineRule="auto"/>
              <w:outlineLvl w:val="9"/>
              <w:rPr>
                <w:rFonts w:hint="eastAsia" w:ascii="宋体" w:hAnsi="宋体" w:eastAsia="宋体" w:cs="宋体"/>
                <w:bCs/>
                <w:color w:val="auto"/>
                <w:szCs w:val="21"/>
                <w:highlight w:val="none"/>
              </w:rPr>
            </w:pPr>
          </w:p>
        </w:tc>
        <w:tc>
          <w:tcPr>
            <w:tcW w:w="1373" w:type="dxa"/>
          </w:tcPr>
          <w:p w14:paraId="02DFFF55">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p w14:paraId="0D3D9A15">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p w14:paraId="5CDC61CC">
            <w:pPr>
              <w:pStyle w:val="46"/>
              <w:keepNext w:val="0"/>
              <w:keepLines w:val="0"/>
              <w:pageBreakBefore w:val="0"/>
              <w:kinsoku/>
              <w:wordWrap/>
              <w:overflowPunct/>
              <w:topLinePunct w:val="0"/>
              <w:bidi w:val="0"/>
              <w:spacing w:line="360" w:lineRule="auto"/>
              <w:outlineLvl w:val="9"/>
              <w:rPr>
                <w:rFonts w:hint="eastAsia" w:ascii="宋体" w:hAnsi="宋体" w:eastAsia="宋体" w:cs="宋体"/>
                <w:bCs/>
                <w:color w:val="auto"/>
                <w:szCs w:val="21"/>
                <w:highlight w:val="none"/>
              </w:rPr>
            </w:pPr>
          </w:p>
        </w:tc>
      </w:tr>
      <w:tr w14:paraId="3E0E72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vAlign w:val="center"/>
          </w:tcPr>
          <w:p w14:paraId="1456FF7D">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3</w:t>
            </w:r>
          </w:p>
        </w:tc>
        <w:tc>
          <w:tcPr>
            <w:tcW w:w="2355" w:type="dxa"/>
            <w:vAlign w:val="center"/>
          </w:tcPr>
          <w:p w14:paraId="018DEF23">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培训方案（可用附页）</w:t>
            </w:r>
          </w:p>
        </w:tc>
        <w:tc>
          <w:tcPr>
            <w:tcW w:w="4061" w:type="dxa"/>
          </w:tcPr>
          <w:p w14:paraId="37323DC0">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i/>
                <w:color w:val="auto"/>
                <w:szCs w:val="21"/>
                <w:highlight w:val="none"/>
              </w:rPr>
            </w:pPr>
          </w:p>
          <w:p w14:paraId="660A7823">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i/>
                <w:color w:val="auto"/>
                <w:szCs w:val="21"/>
                <w:highlight w:val="none"/>
              </w:rPr>
            </w:pPr>
          </w:p>
        </w:tc>
        <w:tc>
          <w:tcPr>
            <w:tcW w:w="1373" w:type="dxa"/>
          </w:tcPr>
          <w:p w14:paraId="60A55861">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i/>
                <w:color w:val="auto"/>
                <w:szCs w:val="21"/>
                <w:highlight w:val="none"/>
              </w:rPr>
            </w:pPr>
          </w:p>
          <w:p w14:paraId="7F5483CF">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i/>
                <w:color w:val="auto"/>
                <w:szCs w:val="21"/>
                <w:highlight w:val="none"/>
              </w:rPr>
            </w:pPr>
          </w:p>
          <w:p w14:paraId="5CD2A3F6">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i/>
                <w:color w:val="auto"/>
                <w:szCs w:val="21"/>
                <w:highlight w:val="none"/>
              </w:rPr>
            </w:pPr>
          </w:p>
        </w:tc>
      </w:tr>
      <w:tr w14:paraId="3ACA4C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Borders>
              <w:bottom w:val="single" w:color="auto" w:sz="4" w:space="0"/>
            </w:tcBorders>
            <w:vAlign w:val="center"/>
          </w:tcPr>
          <w:p w14:paraId="3C5C61FA">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p>
        </w:tc>
        <w:tc>
          <w:tcPr>
            <w:tcW w:w="2355" w:type="dxa"/>
            <w:tcBorders>
              <w:bottom w:val="single" w:color="auto" w:sz="4" w:space="0"/>
            </w:tcBorders>
            <w:vAlign w:val="center"/>
          </w:tcPr>
          <w:p w14:paraId="1E198449">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p>
        </w:tc>
        <w:tc>
          <w:tcPr>
            <w:tcW w:w="4061" w:type="dxa"/>
            <w:tcBorders>
              <w:bottom w:val="single" w:color="auto" w:sz="4" w:space="0"/>
            </w:tcBorders>
          </w:tcPr>
          <w:p w14:paraId="536A0CBD">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tc>
        <w:tc>
          <w:tcPr>
            <w:tcW w:w="1373" w:type="dxa"/>
            <w:tcBorders>
              <w:bottom w:val="single" w:color="auto" w:sz="4" w:space="0"/>
            </w:tcBorders>
          </w:tcPr>
          <w:p w14:paraId="01B95844">
            <w:pPr>
              <w:pStyle w:val="46"/>
              <w:keepNext w:val="0"/>
              <w:keepLines w:val="0"/>
              <w:pageBreakBefore w:val="0"/>
              <w:widowControl/>
              <w:kinsoku/>
              <w:wordWrap/>
              <w:overflowPunct/>
              <w:topLinePunct w:val="0"/>
              <w:bidi w:val="0"/>
              <w:spacing w:line="360" w:lineRule="auto"/>
              <w:jc w:val="left"/>
              <w:outlineLvl w:val="9"/>
              <w:rPr>
                <w:rFonts w:hint="eastAsia" w:ascii="宋体" w:hAnsi="宋体" w:eastAsia="宋体" w:cs="宋体"/>
                <w:bCs/>
                <w:color w:val="auto"/>
                <w:szCs w:val="21"/>
                <w:highlight w:val="none"/>
              </w:rPr>
            </w:pPr>
          </w:p>
        </w:tc>
      </w:tr>
    </w:tbl>
    <w:p w14:paraId="4483E94B">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43F97B0D">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7ADB4685">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1E437954">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17525091">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31216939">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2E151E7F">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5E879A93">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5F7314E8">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 w:val="24"/>
          <w:highlight w:val="none"/>
          <w:u w:val="single"/>
        </w:rPr>
      </w:pPr>
      <w:r>
        <w:rPr>
          <w:rFonts w:hint="eastAsia" w:ascii="宋体" w:hAnsi="宋体" w:eastAsia="宋体" w:cs="宋体"/>
          <w:color w:val="auto"/>
          <w:szCs w:val="21"/>
          <w:highlight w:val="none"/>
        </w:rPr>
        <w:t>日期：</w:t>
      </w:r>
    </w:p>
    <w:p w14:paraId="6A963A34">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 w:val="24"/>
          <w:highlight w:val="none"/>
          <w:u w:val="single"/>
        </w:rPr>
      </w:pPr>
    </w:p>
    <w:p w14:paraId="5D4894A3">
      <w:pPr>
        <w:pStyle w:val="47"/>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15D3DE44">
      <w:pPr>
        <w:keepNext w:val="0"/>
        <w:keepLines w:val="0"/>
        <w:pageBreakBefore w:val="0"/>
        <w:kinsoku/>
        <w:wordWrap/>
        <w:overflowPunct/>
        <w:topLinePunct w:val="0"/>
        <w:bidi w:val="0"/>
        <w:spacing w:line="360" w:lineRule="auto"/>
        <w:ind w:right="-110"/>
        <w:jc w:val="left"/>
        <w:outlineLvl w:val="9"/>
        <w:rPr>
          <w:rFonts w:hint="eastAsia" w:ascii="宋体" w:hAnsi="宋体" w:eastAsia="宋体" w:cs="宋体"/>
          <w:b/>
          <w:color w:val="auto"/>
          <w:sz w:val="28"/>
          <w:highlight w:val="none"/>
        </w:rPr>
      </w:pPr>
    </w:p>
    <w:p w14:paraId="71747A35">
      <w:pPr>
        <w:keepNext w:val="0"/>
        <w:keepLines w:val="0"/>
        <w:pageBreakBefore w:val="0"/>
        <w:kinsoku/>
        <w:wordWrap/>
        <w:overflowPunct/>
        <w:topLinePunct w:val="0"/>
        <w:bidi w:val="0"/>
        <w:spacing w:line="360" w:lineRule="auto"/>
        <w:ind w:right="-110"/>
        <w:jc w:val="left"/>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4FF4E3AA">
      <w:pPr>
        <w:keepNext w:val="0"/>
        <w:keepLines w:val="0"/>
        <w:pageBreakBefore w:val="0"/>
        <w:kinsoku/>
        <w:wordWrap/>
        <w:overflowPunct/>
        <w:topLinePunct w:val="0"/>
        <w:bidi w:val="0"/>
        <w:spacing w:line="360" w:lineRule="auto"/>
        <w:ind w:right="-110"/>
        <w:jc w:val="left"/>
        <w:outlineLvl w:val="9"/>
        <w:rPr>
          <w:rFonts w:hint="eastAsia" w:ascii="宋体" w:hAnsi="宋体" w:eastAsia="宋体" w:cs="宋体"/>
          <w:color w:val="auto"/>
          <w:spacing w:val="40"/>
          <w:sz w:val="52"/>
          <w:szCs w:val="52"/>
          <w:highlight w:val="none"/>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4</w:t>
      </w:r>
      <w:r>
        <w:rPr>
          <w:rFonts w:hint="eastAsia" w:ascii="宋体" w:hAnsi="宋体" w:eastAsia="宋体" w:cs="宋体"/>
          <w:b/>
          <w:color w:val="auto"/>
          <w:sz w:val="28"/>
          <w:highlight w:val="none"/>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Cs/>
          <w:color w:val="auto"/>
          <w:sz w:val="24"/>
          <w:highlight w:val="none"/>
        </w:rPr>
        <w:t>本</w:t>
      </w:r>
    </w:p>
    <w:p w14:paraId="039670FF">
      <w:pPr>
        <w:keepNext w:val="0"/>
        <w:keepLines w:val="0"/>
        <w:pageBreakBefore w:val="0"/>
        <w:kinsoku/>
        <w:wordWrap/>
        <w:overflowPunct/>
        <w:topLinePunct w:val="0"/>
        <w:bidi w:val="0"/>
        <w:spacing w:line="360" w:lineRule="auto"/>
        <w:ind w:right="-110"/>
        <w:jc w:val="center"/>
        <w:outlineLvl w:val="9"/>
        <w:rPr>
          <w:rFonts w:hint="eastAsia" w:ascii="宋体" w:hAnsi="宋体" w:eastAsia="宋体" w:cs="宋体"/>
          <w:color w:val="auto"/>
          <w:spacing w:val="40"/>
          <w:sz w:val="52"/>
          <w:szCs w:val="52"/>
          <w:highlight w:val="none"/>
        </w:rPr>
      </w:pPr>
      <w:r>
        <w:rPr>
          <w:rFonts w:hint="eastAsia" w:ascii="宋体" w:hAnsi="宋体" w:eastAsia="宋体" w:cs="宋体"/>
          <w:color w:val="auto"/>
          <w:spacing w:val="40"/>
          <w:sz w:val="52"/>
          <w:szCs w:val="52"/>
          <w:highlight w:val="none"/>
        </w:rPr>
        <w:t>项目名称</w:t>
      </w:r>
    </w:p>
    <w:p w14:paraId="6828E9EA">
      <w:pPr>
        <w:keepNext w:val="0"/>
        <w:keepLines w:val="0"/>
        <w:pageBreakBefore w:val="0"/>
        <w:kinsoku/>
        <w:wordWrap/>
        <w:overflowPunct/>
        <w:topLinePunct w:val="0"/>
        <w:bidi w:val="0"/>
        <w:spacing w:before="312" w:beforeLines="100" w:line="360" w:lineRule="auto"/>
        <w:ind w:right="-108"/>
        <w:jc w:val="center"/>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p>
    <w:p w14:paraId="17D8A5D1">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84"/>
          <w:szCs w:val="84"/>
          <w:highlight w:val="none"/>
        </w:rPr>
      </w:pPr>
    </w:p>
    <w:p w14:paraId="29A09912">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84"/>
          <w:szCs w:val="84"/>
          <w:highlight w:val="none"/>
        </w:rPr>
      </w:pPr>
      <w:r>
        <w:rPr>
          <w:rFonts w:hint="eastAsia" w:ascii="宋体" w:hAnsi="宋体" w:eastAsia="宋体" w:cs="宋体"/>
          <w:b/>
          <w:color w:val="auto"/>
          <w:spacing w:val="40"/>
          <w:sz w:val="84"/>
          <w:szCs w:val="84"/>
          <w:highlight w:val="none"/>
        </w:rPr>
        <w:t>报</w:t>
      </w:r>
    </w:p>
    <w:p w14:paraId="2B00AC4C">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84"/>
          <w:szCs w:val="84"/>
          <w:highlight w:val="none"/>
        </w:rPr>
      </w:pPr>
      <w:r>
        <w:rPr>
          <w:rFonts w:hint="eastAsia" w:ascii="宋体" w:hAnsi="宋体" w:eastAsia="宋体" w:cs="宋体"/>
          <w:b/>
          <w:color w:val="auto"/>
          <w:spacing w:val="40"/>
          <w:sz w:val="84"/>
          <w:szCs w:val="84"/>
          <w:highlight w:val="none"/>
        </w:rPr>
        <w:t>价</w:t>
      </w:r>
    </w:p>
    <w:p w14:paraId="3618350C">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84"/>
          <w:szCs w:val="84"/>
          <w:highlight w:val="none"/>
        </w:rPr>
      </w:pPr>
      <w:r>
        <w:rPr>
          <w:rFonts w:hint="eastAsia" w:ascii="宋体" w:hAnsi="宋体" w:eastAsia="宋体" w:cs="宋体"/>
          <w:b/>
          <w:color w:val="auto"/>
          <w:spacing w:val="40"/>
          <w:sz w:val="84"/>
          <w:szCs w:val="84"/>
          <w:highlight w:val="none"/>
        </w:rPr>
        <w:t>文</w:t>
      </w:r>
    </w:p>
    <w:p w14:paraId="24840F95">
      <w:pPr>
        <w:keepNext w:val="0"/>
        <w:keepLines w:val="0"/>
        <w:pageBreakBefore w:val="0"/>
        <w:kinsoku/>
        <w:wordWrap/>
        <w:overflowPunct/>
        <w:topLinePunct w:val="0"/>
        <w:bidi w:val="0"/>
        <w:spacing w:after="100" w:afterAutospacing="1" w:line="360" w:lineRule="auto"/>
        <w:ind w:right="-108"/>
        <w:jc w:val="center"/>
        <w:outlineLvl w:val="9"/>
        <w:rPr>
          <w:rFonts w:hint="eastAsia" w:ascii="宋体" w:hAnsi="宋体" w:eastAsia="宋体" w:cs="宋体"/>
          <w:b/>
          <w:color w:val="auto"/>
          <w:spacing w:val="40"/>
          <w:sz w:val="84"/>
          <w:szCs w:val="84"/>
          <w:highlight w:val="none"/>
        </w:rPr>
      </w:pPr>
      <w:r>
        <w:rPr>
          <w:rFonts w:hint="eastAsia" w:ascii="宋体" w:hAnsi="宋体" w:eastAsia="宋体" w:cs="宋体"/>
          <w:b/>
          <w:color w:val="auto"/>
          <w:spacing w:val="40"/>
          <w:sz w:val="84"/>
          <w:szCs w:val="84"/>
          <w:highlight w:val="none"/>
        </w:rPr>
        <w:t>件</w:t>
      </w:r>
    </w:p>
    <w:p w14:paraId="2160C5C1">
      <w:pPr>
        <w:keepNext w:val="0"/>
        <w:keepLines w:val="0"/>
        <w:pageBreakBefore w:val="0"/>
        <w:kinsoku/>
        <w:wordWrap/>
        <w:overflowPunct/>
        <w:topLinePunct w:val="0"/>
        <w:bidi w:val="0"/>
        <w:spacing w:line="360" w:lineRule="auto"/>
        <w:ind w:right="532"/>
        <w:jc w:val="center"/>
        <w:outlineLvl w:val="9"/>
        <w:rPr>
          <w:rFonts w:hint="eastAsia" w:ascii="宋体" w:hAnsi="宋体" w:eastAsia="宋体" w:cs="宋体"/>
          <w:color w:val="auto"/>
          <w:sz w:val="36"/>
          <w:szCs w:val="36"/>
          <w:highlight w:val="none"/>
        </w:rPr>
      </w:pPr>
    </w:p>
    <w:p w14:paraId="70F4BF4C">
      <w:pPr>
        <w:keepNext w:val="0"/>
        <w:keepLines w:val="0"/>
        <w:pageBreakBefore w:val="0"/>
        <w:kinsoku/>
        <w:wordWrap/>
        <w:overflowPunct/>
        <w:topLinePunct w:val="0"/>
        <w:bidi w:val="0"/>
        <w:spacing w:line="360" w:lineRule="auto"/>
        <w:ind w:right="532"/>
        <w:outlineLvl w:val="9"/>
        <w:rPr>
          <w:rFonts w:hint="eastAsia" w:ascii="宋体" w:hAnsi="宋体" w:eastAsia="宋体" w:cs="宋体"/>
          <w:color w:val="auto"/>
          <w:sz w:val="36"/>
          <w:szCs w:val="36"/>
          <w:highlight w:val="none"/>
        </w:rPr>
      </w:pPr>
    </w:p>
    <w:p w14:paraId="1ACA9FA2">
      <w:pPr>
        <w:keepNext w:val="0"/>
        <w:keepLines w:val="0"/>
        <w:pageBreakBefore w:val="0"/>
        <w:kinsoku/>
        <w:wordWrap/>
        <w:overflowPunct/>
        <w:topLinePunct w:val="0"/>
        <w:bidi w:val="0"/>
        <w:spacing w:line="360" w:lineRule="auto"/>
        <w:ind w:right="532"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供应商全称（公章）：</w:t>
      </w:r>
    </w:p>
    <w:p w14:paraId="68C9B9CF">
      <w:pPr>
        <w:keepNext w:val="0"/>
        <w:keepLines w:val="0"/>
        <w:pageBreakBefore w:val="0"/>
        <w:kinsoku/>
        <w:wordWrap/>
        <w:overflowPunct/>
        <w:topLinePunct w:val="0"/>
        <w:bidi w:val="0"/>
        <w:spacing w:line="360" w:lineRule="auto"/>
        <w:ind w:right="-108"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地址：</w:t>
      </w:r>
    </w:p>
    <w:p w14:paraId="48876572">
      <w:pPr>
        <w:keepNext w:val="0"/>
        <w:keepLines w:val="0"/>
        <w:pageBreakBefore w:val="0"/>
        <w:kinsoku/>
        <w:wordWrap/>
        <w:overflowPunct/>
        <w:topLinePunct w:val="0"/>
        <w:bidi w:val="0"/>
        <w:spacing w:line="360" w:lineRule="auto"/>
        <w:ind w:right="-108" w:firstLine="720" w:firstLineChars="200"/>
        <w:outlineLvl w:val="9"/>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时间：</w:t>
      </w:r>
    </w:p>
    <w:p w14:paraId="01399834">
      <w:pPr>
        <w:keepNext w:val="0"/>
        <w:keepLines w:val="0"/>
        <w:pageBreakBefore w:val="0"/>
        <w:kinsoku/>
        <w:wordWrap/>
        <w:overflowPunct/>
        <w:topLinePunct w:val="0"/>
        <w:bidi w:val="0"/>
        <w:spacing w:line="360" w:lineRule="auto"/>
        <w:ind w:right="-108"/>
        <w:jc w:val="center"/>
        <w:outlineLvl w:val="9"/>
        <w:rPr>
          <w:rFonts w:hint="eastAsia" w:ascii="宋体" w:hAnsi="宋体" w:eastAsia="宋体" w:cs="宋体"/>
          <w:b/>
          <w:color w:val="auto"/>
          <w:sz w:val="36"/>
          <w:szCs w:val="32"/>
          <w:highlight w:val="none"/>
        </w:rPr>
      </w:pPr>
    </w:p>
    <w:p w14:paraId="6D467F71">
      <w:pPr>
        <w:keepNext w:val="0"/>
        <w:keepLines w:val="0"/>
        <w:pageBreakBefore w:val="0"/>
        <w:widowControl w:val="0"/>
        <w:kinsoku/>
        <w:wordWrap/>
        <w:overflowPunct/>
        <w:topLinePunct w:val="0"/>
        <w:autoSpaceDE/>
        <w:autoSpaceDN/>
        <w:bidi w:val="0"/>
        <w:adjustRightInd/>
        <w:snapToGrid/>
        <w:spacing w:line="360" w:lineRule="auto"/>
        <w:ind w:right="-108"/>
        <w:jc w:val="center"/>
        <w:textAlignment w:val="auto"/>
        <w:outlineLvl w:val="1"/>
        <w:rPr>
          <w:rFonts w:hint="eastAsia" w:ascii="宋体" w:hAnsi="宋体" w:eastAsia="宋体" w:cs="宋体"/>
          <w:b/>
          <w:color w:val="auto"/>
          <w:sz w:val="36"/>
          <w:szCs w:val="32"/>
          <w:highlight w:val="none"/>
        </w:rPr>
      </w:pPr>
      <w:r>
        <w:rPr>
          <w:rFonts w:hint="eastAsia" w:ascii="宋体" w:hAnsi="宋体" w:eastAsia="宋体" w:cs="宋体"/>
          <w:b/>
          <w:color w:val="auto"/>
          <w:sz w:val="36"/>
          <w:szCs w:val="32"/>
          <w:highlight w:val="none"/>
        </w:rPr>
        <w:t>报价文件目录</w:t>
      </w:r>
    </w:p>
    <w:p w14:paraId="5F62B100">
      <w:pPr>
        <w:keepNext w:val="0"/>
        <w:keepLines w:val="0"/>
        <w:pageBreakBefore w:val="0"/>
        <w:kinsoku/>
        <w:wordWrap/>
        <w:overflowPunct/>
        <w:topLinePunct w:val="0"/>
        <w:bidi w:val="0"/>
        <w:snapToGrid w:val="0"/>
        <w:spacing w:line="360" w:lineRule="auto"/>
        <w:outlineLvl w:val="9"/>
        <w:rPr>
          <w:rFonts w:hint="eastAsia" w:ascii="宋体" w:hAnsi="宋体" w:eastAsia="宋体" w:cs="宋体"/>
          <w:color w:val="auto"/>
          <w:sz w:val="24"/>
          <w:highlight w:val="none"/>
        </w:rPr>
      </w:pPr>
    </w:p>
    <w:p w14:paraId="7B12F2AB">
      <w:pPr>
        <w:keepNext w:val="0"/>
        <w:keepLines w:val="0"/>
        <w:pageBreakBefore w:val="0"/>
        <w:kinsoku/>
        <w:wordWrap/>
        <w:overflowPunct/>
        <w:topLinePunct w:val="0"/>
        <w:bidi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1、开标一览表（附件1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p>
    <w:p w14:paraId="7D94BCD7">
      <w:pPr>
        <w:keepNext w:val="0"/>
        <w:keepLines w:val="0"/>
        <w:pageBreakBefore w:val="0"/>
        <w:kinsoku/>
        <w:wordWrap/>
        <w:overflowPunct/>
        <w:topLinePunct w:val="0"/>
        <w:bidi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2、针对报价投标人认为其他需要说明的；</w:t>
      </w:r>
    </w:p>
    <w:p w14:paraId="44E49FBC">
      <w:pPr>
        <w:pStyle w:val="48"/>
        <w:keepNext w:val="0"/>
        <w:keepLines w:val="0"/>
        <w:pageBreakBefore w:val="0"/>
        <w:kinsoku/>
        <w:wordWrap/>
        <w:overflowPunct/>
        <w:topLinePunct w:val="0"/>
        <w:bidi w:val="0"/>
        <w:spacing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中小</w:t>
      </w:r>
      <w:r>
        <w:rPr>
          <w:rFonts w:hint="eastAsia" w:ascii="宋体" w:hAnsi="宋体" w:eastAsia="宋体" w:cs="宋体"/>
          <w:color w:val="auto"/>
          <w:highlight w:val="none"/>
        </w:rPr>
        <w:t>企业等声明函（附件1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）；（如有需提供）</w:t>
      </w:r>
    </w:p>
    <w:p w14:paraId="7C195EC7">
      <w:pPr>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p>
    <w:p w14:paraId="3ABCAAF5">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Cs w:val="21"/>
          <w:highlight w:val="none"/>
        </w:rPr>
      </w:pPr>
    </w:p>
    <w:p w14:paraId="7109CA2E">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6CC04046">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6F497DB4">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50BB0F20">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300AB521">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6DAC1DC5">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11C2FB44">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40A3C419">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7E90CAD6">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131DCF86">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68AC8CAD">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74D3632F">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0442F17C">
      <w:pPr>
        <w:pStyle w:val="9"/>
        <w:keepNext w:val="0"/>
        <w:keepLines w:val="0"/>
        <w:pageBreakBefore w:val="0"/>
        <w:kinsoku/>
        <w:wordWrap/>
        <w:overflowPunct/>
        <w:topLinePunct w:val="0"/>
        <w:bidi w:val="0"/>
        <w:outlineLvl w:val="9"/>
        <w:rPr>
          <w:rFonts w:hint="eastAsia" w:ascii="宋体" w:hAnsi="宋体" w:eastAsia="宋体" w:cs="宋体"/>
          <w:color w:val="auto"/>
          <w:highlight w:val="none"/>
        </w:rPr>
      </w:pPr>
    </w:p>
    <w:p w14:paraId="3C448694">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305C47DD">
      <w:pPr>
        <w:keepNext w:val="0"/>
        <w:keepLines w:val="0"/>
        <w:pageBreakBefore w:val="0"/>
        <w:kinsoku/>
        <w:wordWrap/>
        <w:overflowPunct/>
        <w:topLinePunct w:val="0"/>
        <w:bidi w:val="0"/>
        <w:spacing w:line="360" w:lineRule="auto"/>
        <w:ind w:left="480"/>
        <w:outlineLvl w:val="9"/>
        <w:rPr>
          <w:rFonts w:hint="eastAsia" w:ascii="宋体" w:hAnsi="宋体" w:eastAsia="宋体" w:cs="宋体"/>
          <w:b/>
          <w:color w:val="auto"/>
          <w:sz w:val="28"/>
          <w:highlight w:val="none"/>
        </w:rPr>
      </w:pPr>
    </w:p>
    <w:p w14:paraId="44CEB01D">
      <w:pPr>
        <w:pStyle w:val="9"/>
        <w:keepNext w:val="0"/>
        <w:keepLines w:val="0"/>
        <w:pageBreakBefore w:val="0"/>
        <w:kinsoku/>
        <w:wordWrap/>
        <w:overflowPunct/>
        <w:topLinePunct w:val="0"/>
        <w:bidi w:val="0"/>
        <w:outlineLvl w:val="9"/>
        <w:rPr>
          <w:rFonts w:hint="eastAsia" w:ascii="宋体" w:hAnsi="宋体" w:eastAsia="宋体" w:cs="宋体"/>
          <w:color w:val="auto"/>
          <w:highlight w:val="none"/>
        </w:rPr>
      </w:pPr>
    </w:p>
    <w:p w14:paraId="3490B466">
      <w:pPr>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14:paraId="6B2910EF">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5</w:t>
      </w:r>
    </w:p>
    <w:p w14:paraId="139E7AD7">
      <w:pPr>
        <w:keepNext w:val="0"/>
        <w:keepLines w:val="0"/>
        <w:pageBreakBefore w:val="0"/>
        <w:kinsoku/>
        <w:wordWrap/>
        <w:overflowPunct/>
        <w:topLinePunct w:val="0"/>
        <w:bidi w:val="0"/>
        <w:spacing w:line="360" w:lineRule="auto"/>
        <w:ind w:left="-2" w:hanging="2"/>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开标一览表</w:t>
      </w:r>
    </w:p>
    <w:p w14:paraId="0101BC4A">
      <w:pPr>
        <w:keepNext w:val="0"/>
        <w:keepLines w:val="0"/>
        <w:pageBreakBefore w:val="0"/>
        <w:kinsoku/>
        <w:wordWrap/>
        <w:overflowPunct/>
        <w:topLinePunct w:val="0"/>
        <w:bidi w:val="0"/>
        <w:spacing w:line="360" w:lineRule="auto"/>
        <w:ind w:left="-2" w:hanging="2"/>
        <w:jc w:val="center"/>
        <w:outlineLvl w:val="9"/>
        <w:rPr>
          <w:rFonts w:hint="eastAsia" w:ascii="宋体" w:hAnsi="宋体" w:eastAsia="宋体" w:cs="宋体"/>
          <w:b/>
          <w:color w:val="auto"/>
          <w:sz w:val="32"/>
          <w:szCs w:val="32"/>
          <w:highlight w:val="none"/>
        </w:rPr>
      </w:pPr>
    </w:p>
    <w:p w14:paraId="029FAAC5">
      <w:pPr>
        <w:pStyle w:val="13"/>
        <w:keepNext w:val="0"/>
        <w:keepLines w:val="0"/>
        <w:pageBreakBefore w:val="0"/>
        <w:kinsoku/>
        <w:wordWrap/>
        <w:overflowPunct/>
        <w:topLinePunct w:val="0"/>
        <w:bidi w:val="0"/>
        <w:spacing w:line="360" w:lineRule="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项目编号：</w:t>
      </w:r>
    </w:p>
    <w:p w14:paraId="25297265">
      <w:pPr>
        <w:pStyle w:val="50"/>
        <w:keepNext w:val="0"/>
        <w:keepLines w:val="0"/>
        <w:pageBreakBefore w:val="0"/>
        <w:kinsoku/>
        <w:wordWrap/>
        <w:overflowPunct/>
        <w:topLinePunct w:val="0"/>
        <w:bidi w:val="0"/>
        <w:spacing w:line="360" w:lineRule="auto"/>
        <w:ind w:right="480"/>
        <w:jc w:val="left"/>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项目名称：</w:t>
      </w:r>
      <w:r>
        <w:rPr>
          <w:rFonts w:hint="eastAsia" w:ascii="宋体" w:hAnsi="宋体" w:eastAsia="宋体" w:cs="宋体"/>
          <w:color w:val="auto"/>
          <w:szCs w:val="21"/>
          <w:highlight w:val="none"/>
        </w:rPr>
        <w:t xml:space="preserve">                                     [货币单位：人民币元]</w:t>
      </w:r>
    </w:p>
    <w:tbl>
      <w:tblPr>
        <w:tblStyle w:val="24"/>
        <w:tblW w:w="8218"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553"/>
        <w:gridCol w:w="1278"/>
        <w:gridCol w:w="4387"/>
      </w:tblGrid>
      <w:tr w14:paraId="4564A2E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41" w:hRule="atLeast"/>
          <w:jc w:val="center"/>
        </w:trPr>
        <w:tc>
          <w:tcPr>
            <w:tcW w:w="2553" w:type="dxa"/>
            <w:vMerge w:val="restart"/>
            <w:tcBorders>
              <w:top w:val="single" w:color="auto" w:sz="12" w:space="0"/>
              <w:bottom w:val="single" w:color="auto" w:sz="4" w:space="0"/>
              <w:right w:val="single" w:color="auto" w:sz="4" w:space="0"/>
            </w:tcBorders>
            <w:vAlign w:val="center"/>
          </w:tcPr>
          <w:p w14:paraId="4F617073">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w:t>
            </w:r>
            <w:r>
              <w:rPr>
                <w:rFonts w:hint="eastAsia" w:ascii="宋体" w:hAnsi="宋体" w:eastAsia="宋体" w:cs="宋体"/>
                <w:b/>
                <w:bCs/>
                <w:color w:val="auto"/>
                <w:szCs w:val="21"/>
                <w:highlight w:val="none"/>
                <w:lang w:val="en-US" w:eastAsia="zh-CN"/>
              </w:rPr>
              <w:t>单价</w:t>
            </w:r>
            <w:r>
              <w:rPr>
                <w:rFonts w:hint="eastAsia" w:ascii="宋体" w:hAnsi="宋体" w:eastAsia="宋体" w:cs="宋体"/>
                <w:b/>
                <w:bCs/>
                <w:color w:val="auto"/>
                <w:szCs w:val="21"/>
                <w:highlight w:val="none"/>
              </w:rPr>
              <w:t>(元</w:t>
            </w:r>
            <w:r>
              <w:rPr>
                <w:rFonts w:hint="eastAsia" w:ascii="宋体" w:hAnsi="宋体" w:eastAsia="宋体" w:cs="宋体"/>
                <w:b/>
                <w:bCs/>
                <w:color w:val="auto"/>
                <w:szCs w:val="21"/>
                <w:highlight w:val="none"/>
                <w:lang w:val="en-US" w:eastAsia="zh-CN"/>
              </w:rPr>
              <w:t>/年</w:t>
            </w:r>
            <w:r>
              <w:rPr>
                <w:rFonts w:hint="eastAsia" w:ascii="宋体" w:hAnsi="宋体" w:eastAsia="宋体" w:cs="宋体"/>
                <w:b/>
                <w:bCs/>
                <w:color w:val="auto"/>
                <w:szCs w:val="21"/>
                <w:highlight w:val="none"/>
              </w:rPr>
              <w:t>)</w:t>
            </w:r>
          </w:p>
        </w:tc>
        <w:tc>
          <w:tcPr>
            <w:tcW w:w="1278" w:type="dxa"/>
            <w:tcBorders>
              <w:top w:val="single" w:color="auto" w:sz="12" w:space="0"/>
              <w:left w:val="single" w:color="auto" w:sz="4" w:space="0"/>
              <w:bottom w:val="single" w:color="auto" w:sz="4" w:space="0"/>
              <w:right w:val="single" w:color="auto" w:sz="4" w:space="0"/>
            </w:tcBorders>
            <w:vAlign w:val="center"/>
          </w:tcPr>
          <w:p w14:paraId="771EA3F6">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大写</w:t>
            </w:r>
          </w:p>
        </w:tc>
        <w:tc>
          <w:tcPr>
            <w:tcW w:w="4387" w:type="dxa"/>
            <w:tcBorders>
              <w:top w:val="single" w:color="auto" w:sz="12" w:space="0"/>
              <w:left w:val="single" w:color="auto" w:sz="4" w:space="0"/>
              <w:bottom w:val="single" w:color="auto" w:sz="4" w:space="0"/>
            </w:tcBorders>
            <w:vAlign w:val="center"/>
          </w:tcPr>
          <w:p w14:paraId="367B858A">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color w:val="auto"/>
                <w:szCs w:val="21"/>
                <w:highlight w:val="none"/>
              </w:rPr>
            </w:pPr>
          </w:p>
        </w:tc>
      </w:tr>
      <w:tr w14:paraId="4485E8F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41" w:hRule="atLeast"/>
          <w:jc w:val="center"/>
        </w:trPr>
        <w:tc>
          <w:tcPr>
            <w:tcW w:w="2553" w:type="dxa"/>
            <w:vMerge w:val="continue"/>
            <w:tcBorders>
              <w:top w:val="single" w:color="auto" w:sz="12" w:space="0"/>
              <w:bottom w:val="single" w:color="auto" w:sz="4" w:space="0"/>
              <w:right w:val="single" w:color="auto" w:sz="4" w:space="0"/>
            </w:tcBorders>
            <w:vAlign w:val="center"/>
          </w:tcPr>
          <w:p w14:paraId="3DED16E9">
            <w:pPr>
              <w:keepNext w:val="0"/>
              <w:keepLines w:val="0"/>
              <w:pageBreakBefore w:val="0"/>
              <w:kinsoku/>
              <w:wordWrap/>
              <w:overflowPunct/>
              <w:topLinePunct w:val="0"/>
              <w:bidi w:val="0"/>
              <w:spacing w:line="360" w:lineRule="auto"/>
              <w:outlineLvl w:val="9"/>
              <w:rPr>
                <w:rFonts w:hint="eastAsia" w:ascii="宋体" w:hAnsi="宋体" w:eastAsia="宋体" w:cs="宋体"/>
                <w:b/>
                <w:bCs/>
                <w:color w:val="auto"/>
                <w:szCs w:val="21"/>
                <w:highlight w:val="none"/>
              </w:rPr>
            </w:pPr>
          </w:p>
        </w:tc>
        <w:tc>
          <w:tcPr>
            <w:tcW w:w="1278" w:type="dxa"/>
            <w:tcBorders>
              <w:top w:val="single" w:color="auto" w:sz="12" w:space="0"/>
              <w:left w:val="single" w:color="auto" w:sz="4" w:space="0"/>
              <w:bottom w:val="single" w:color="auto" w:sz="4" w:space="0"/>
              <w:right w:val="single" w:color="auto" w:sz="4" w:space="0"/>
            </w:tcBorders>
            <w:vAlign w:val="center"/>
          </w:tcPr>
          <w:p w14:paraId="2BDC6706">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小写</w:t>
            </w:r>
          </w:p>
        </w:tc>
        <w:tc>
          <w:tcPr>
            <w:tcW w:w="4387" w:type="dxa"/>
            <w:tcBorders>
              <w:top w:val="single" w:color="auto" w:sz="12" w:space="0"/>
              <w:left w:val="single" w:color="auto" w:sz="4" w:space="0"/>
              <w:bottom w:val="single" w:color="auto" w:sz="4" w:space="0"/>
            </w:tcBorders>
            <w:vAlign w:val="center"/>
          </w:tcPr>
          <w:p w14:paraId="0CD05E4A">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color w:val="auto"/>
                <w:szCs w:val="21"/>
                <w:highlight w:val="none"/>
              </w:rPr>
            </w:pPr>
          </w:p>
        </w:tc>
      </w:tr>
      <w:tr w14:paraId="2C321B4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41" w:hRule="atLeast"/>
          <w:jc w:val="center"/>
        </w:trPr>
        <w:tc>
          <w:tcPr>
            <w:tcW w:w="2553" w:type="dxa"/>
            <w:tcBorders>
              <w:top w:val="single" w:color="auto" w:sz="12" w:space="0"/>
              <w:bottom w:val="single" w:color="auto" w:sz="4" w:space="0"/>
              <w:right w:val="single" w:color="auto" w:sz="4" w:space="0"/>
            </w:tcBorders>
            <w:vAlign w:val="center"/>
          </w:tcPr>
          <w:p w14:paraId="4999C4F0">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服务期限</w:t>
            </w:r>
          </w:p>
        </w:tc>
        <w:tc>
          <w:tcPr>
            <w:tcW w:w="5665" w:type="dxa"/>
            <w:gridSpan w:val="2"/>
            <w:tcBorders>
              <w:top w:val="single" w:color="auto" w:sz="12" w:space="0"/>
              <w:left w:val="single" w:color="auto" w:sz="4" w:space="0"/>
              <w:bottom w:val="single" w:color="auto" w:sz="4" w:space="0"/>
            </w:tcBorders>
            <w:vAlign w:val="center"/>
          </w:tcPr>
          <w:p w14:paraId="6C2A028C">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3年</w:t>
            </w:r>
          </w:p>
        </w:tc>
      </w:tr>
      <w:tr w14:paraId="38D01BA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41" w:hRule="atLeast"/>
          <w:jc w:val="center"/>
        </w:trPr>
        <w:tc>
          <w:tcPr>
            <w:tcW w:w="2553" w:type="dxa"/>
            <w:vMerge w:val="restart"/>
            <w:tcBorders>
              <w:top w:val="single" w:color="auto" w:sz="12" w:space="0"/>
              <w:bottom w:val="single" w:color="auto" w:sz="4" w:space="0"/>
              <w:right w:val="single" w:color="auto" w:sz="4" w:space="0"/>
            </w:tcBorders>
            <w:vAlign w:val="center"/>
          </w:tcPr>
          <w:p w14:paraId="62282170">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投标总报价(元)</w:t>
            </w:r>
          </w:p>
        </w:tc>
        <w:tc>
          <w:tcPr>
            <w:tcW w:w="1278" w:type="dxa"/>
            <w:tcBorders>
              <w:top w:val="single" w:color="auto" w:sz="12" w:space="0"/>
              <w:left w:val="single" w:color="auto" w:sz="4" w:space="0"/>
              <w:bottom w:val="single" w:color="auto" w:sz="4" w:space="0"/>
              <w:right w:val="single" w:color="auto" w:sz="4" w:space="0"/>
            </w:tcBorders>
            <w:vAlign w:val="center"/>
          </w:tcPr>
          <w:p w14:paraId="20F4ED3E">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大写</w:t>
            </w:r>
          </w:p>
        </w:tc>
        <w:tc>
          <w:tcPr>
            <w:tcW w:w="4387" w:type="dxa"/>
            <w:tcBorders>
              <w:top w:val="single" w:color="auto" w:sz="12" w:space="0"/>
              <w:left w:val="single" w:color="auto" w:sz="4" w:space="0"/>
              <w:bottom w:val="single" w:color="auto" w:sz="4" w:space="0"/>
            </w:tcBorders>
            <w:vAlign w:val="center"/>
          </w:tcPr>
          <w:p w14:paraId="37A8538A">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color w:val="auto"/>
                <w:szCs w:val="21"/>
                <w:highlight w:val="none"/>
              </w:rPr>
            </w:pPr>
          </w:p>
        </w:tc>
      </w:tr>
      <w:tr w14:paraId="39656E6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76" w:hRule="atLeast"/>
          <w:jc w:val="center"/>
        </w:trPr>
        <w:tc>
          <w:tcPr>
            <w:tcW w:w="2553" w:type="dxa"/>
            <w:vMerge w:val="continue"/>
            <w:tcBorders>
              <w:top w:val="single" w:color="auto" w:sz="12" w:space="0"/>
              <w:bottom w:val="single" w:color="auto" w:sz="4" w:space="0"/>
              <w:right w:val="single" w:color="auto" w:sz="4" w:space="0"/>
            </w:tcBorders>
            <w:vAlign w:val="center"/>
          </w:tcPr>
          <w:p w14:paraId="664588A0">
            <w:pPr>
              <w:keepNext w:val="0"/>
              <w:keepLines w:val="0"/>
              <w:pageBreakBefore w:val="0"/>
              <w:kinsoku/>
              <w:wordWrap/>
              <w:overflowPunct/>
              <w:topLinePunct w:val="0"/>
              <w:bidi w:val="0"/>
              <w:spacing w:line="360" w:lineRule="auto"/>
              <w:outlineLvl w:val="9"/>
              <w:rPr>
                <w:rFonts w:hint="eastAsia" w:ascii="宋体" w:hAnsi="宋体" w:eastAsia="宋体" w:cs="宋体"/>
                <w:b/>
                <w:bCs/>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14:paraId="3739F8D5">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小写</w:t>
            </w:r>
          </w:p>
        </w:tc>
        <w:tc>
          <w:tcPr>
            <w:tcW w:w="4387" w:type="dxa"/>
            <w:tcBorders>
              <w:top w:val="single" w:color="auto" w:sz="4" w:space="0"/>
              <w:left w:val="single" w:color="auto" w:sz="4" w:space="0"/>
              <w:bottom w:val="single" w:color="auto" w:sz="4" w:space="0"/>
            </w:tcBorders>
            <w:vAlign w:val="center"/>
          </w:tcPr>
          <w:p w14:paraId="4775FB47">
            <w:pPr>
              <w:keepNext w:val="0"/>
              <w:keepLines w:val="0"/>
              <w:pageBreakBefore w:val="0"/>
              <w:kinsoku/>
              <w:wordWrap/>
              <w:overflowPunct/>
              <w:topLinePunct w:val="0"/>
              <w:autoSpaceDE w:val="0"/>
              <w:autoSpaceDN w:val="0"/>
              <w:bidi w:val="0"/>
              <w:spacing w:line="360" w:lineRule="auto"/>
              <w:jc w:val="center"/>
              <w:textAlignment w:val="bottom"/>
              <w:outlineLvl w:val="9"/>
              <w:rPr>
                <w:rFonts w:hint="eastAsia" w:ascii="宋体" w:hAnsi="宋体" w:eastAsia="宋体" w:cs="宋体"/>
                <w:color w:val="auto"/>
                <w:szCs w:val="21"/>
                <w:highlight w:val="none"/>
              </w:rPr>
            </w:pPr>
          </w:p>
        </w:tc>
      </w:tr>
    </w:tbl>
    <w:p w14:paraId="70D95BF0">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填报要求：</w:t>
      </w:r>
    </w:p>
    <w:p w14:paraId="17A50DA8">
      <w:pPr>
        <w:keepNext w:val="0"/>
        <w:keepLines w:val="0"/>
        <w:pageBreakBefore w:val="0"/>
        <w:kinsoku/>
        <w:wordWrap/>
        <w:overflowPunct/>
        <w:topLinePunct w:val="0"/>
        <w:bidi w:val="0"/>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sz w:val="21"/>
          <w:szCs w:val="21"/>
          <w:highlight w:val="none"/>
          <w:lang w:val="en-US" w:eastAsia="zh-CN"/>
        </w:rPr>
        <w:t>投标总报价为完成本项目的所有费用，包括所有人员的人工费、交通费、住宿费、伙食费、办公设施费、管理费、利润、税金、合同包含的所有风险责任等各项费用及不可预见费等所需的全部费用，全部费用已包含在投标总报价中</w:t>
      </w:r>
      <w:r>
        <w:rPr>
          <w:rFonts w:hint="eastAsia" w:ascii="宋体" w:hAnsi="宋体" w:eastAsia="宋体" w:cs="宋体"/>
          <w:color w:val="auto"/>
          <w:szCs w:val="21"/>
          <w:highlight w:val="none"/>
        </w:rPr>
        <w:t>。</w:t>
      </w:r>
    </w:p>
    <w:p w14:paraId="3CD4DA5D">
      <w:pPr>
        <w:spacing w:line="360" w:lineRule="auto"/>
        <w:ind w:firstLine="420" w:firstLineChars="200"/>
        <w:rPr>
          <w:rFonts w:hint="eastAsia" w:ascii="宋体" w:hAnsi="宋体" w:eastAsia="宋体" w:cs="宋体"/>
          <w:b/>
          <w:i/>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报价一经涂改，应在涂改处加盖单位公章，或者由法定代表人或全权代表</w:t>
      </w:r>
      <w:r>
        <w:rPr>
          <w:rFonts w:hint="eastAsia" w:ascii="宋体" w:hAnsi="宋体" w:eastAsia="宋体" w:cs="宋体"/>
          <w:color w:val="auto"/>
          <w:kern w:val="0"/>
          <w:szCs w:val="21"/>
          <w:highlight w:val="none"/>
          <w:lang w:eastAsia="zh-CN"/>
        </w:rPr>
        <w:t>签字</w:t>
      </w:r>
      <w:r>
        <w:rPr>
          <w:rFonts w:hint="eastAsia" w:ascii="宋体" w:hAnsi="宋体" w:eastAsia="宋体" w:cs="宋体"/>
          <w:color w:val="auto"/>
          <w:kern w:val="0"/>
          <w:szCs w:val="21"/>
          <w:highlight w:val="none"/>
        </w:rPr>
        <w:t>或盖章，否则其投标作无效标处理。</w:t>
      </w:r>
    </w:p>
    <w:p w14:paraId="7FABE70A">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662C4199">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投标人名称（盖章）：</w:t>
      </w:r>
    </w:p>
    <w:p w14:paraId="0DE6423B">
      <w:pPr>
        <w:keepNext w:val="0"/>
        <w:keepLines w:val="0"/>
        <w:pageBreakBefore w:val="0"/>
        <w:kinsoku/>
        <w:wordWrap/>
        <w:overflowPunct/>
        <w:topLinePunct w:val="0"/>
        <w:bidi w:val="0"/>
        <w:spacing w:line="360" w:lineRule="auto"/>
        <w:ind w:left="420"/>
        <w:outlineLvl w:val="9"/>
        <w:rPr>
          <w:rFonts w:hint="eastAsia" w:ascii="宋体" w:hAnsi="宋体" w:eastAsia="宋体" w:cs="宋体"/>
          <w:color w:val="auto"/>
          <w:szCs w:val="21"/>
          <w:highlight w:val="none"/>
        </w:rPr>
      </w:pPr>
    </w:p>
    <w:p w14:paraId="51BD8B3A">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法定代表人或授权委托代理人（签字或盖章）：</w:t>
      </w:r>
    </w:p>
    <w:p w14:paraId="5C1D2A52">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p>
    <w:p w14:paraId="04331EBE">
      <w:pPr>
        <w:keepNext w:val="0"/>
        <w:keepLines w:val="0"/>
        <w:pageBreakBefore w:val="0"/>
        <w:kinsoku/>
        <w:wordWrap/>
        <w:overflowPunct/>
        <w:topLinePunct w:val="0"/>
        <w:bidi w:val="0"/>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17DD5AEC">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3330ADEE">
      <w:pPr>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highlight w:val="none"/>
        </w:rPr>
      </w:pPr>
    </w:p>
    <w:p w14:paraId="09776D1C">
      <w:pPr>
        <w:keepNext w:val="0"/>
        <w:keepLines w:val="0"/>
        <w:pageBreakBefore w:val="0"/>
        <w:kinsoku/>
        <w:wordWrap/>
        <w:overflowPunct/>
        <w:topLinePunct w:val="0"/>
        <w:bidi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41B3038">
      <w:pPr>
        <w:keepNext w:val="0"/>
        <w:keepLines w:val="0"/>
        <w:pageBreakBefore w:val="0"/>
        <w:kinsoku/>
        <w:wordWrap/>
        <w:overflowPunct/>
        <w:topLinePunct w:val="0"/>
        <w:bidi w:val="0"/>
        <w:spacing w:line="400" w:lineRule="exact"/>
        <w:outlineLvl w:val="9"/>
        <w:rPr>
          <w:rFonts w:hint="eastAsia" w:ascii="宋体" w:hAnsi="宋体" w:eastAsia="宋体" w:cs="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4914B052">
      <w:pPr>
        <w:keepNext w:val="0"/>
        <w:keepLines w:val="0"/>
        <w:pageBreakBefore w:val="0"/>
        <w:kinsoku/>
        <w:wordWrap/>
        <w:overflowPunct/>
        <w:topLinePunct w:val="0"/>
        <w:bidi w:val="0"/>
        <w:spacing w:line="400" w:lineRule="exact"/>
        <w:outlineLvl w:val="9"/>
        <w:rPr>
          <w:rFonts w:hint="eastAsia" w:ascii="宋体" w:hAnsi="宋体" w:eastAsia="宋体" w:cs="宋体"/>
          <w:bCs/>
          <w:color w:val="auto"/>
          <w:sz w:val="30"/>
          <w:szCs w:val="30"/>
          <w:highlight w:val="none"/>
          <w:lang w:eastAsia="zh-CN"/>
        </w:rPr>
      </w:pPr>
      <w:r>
        <w:rPr>
          <w:rFonts w:hint="eastAsia" w:ascii="宋体" w:hAnsi="宋体" w:eastAsia="宋体" w:cs="宋体"/>
          <w:b/>
          <w:color w:val="auto"/>
          <w:sz w:val="28"/>
          <w:highlight w:val="none"/>
        </w:rPr>
        <w:t>附件1</w:t>
      </w:r>
      <w:r>
        <w:rPr>
          <w:rFonts w:hint="eastAsia" w:ascii="宋体" w:hAnsi="宋体" w:eastAsia="宋体" w:cs="宋体"/>
          <w:b/>
          <w:color w:val="auto"/>
          <w:sz w:val="28"/>
          <w:highlight w:val="none"/>
          <w:lang w:val="en-US" w:eastAsia="zh-CN"/>
        </w:rPr>
        <w:t>6</w:t>
      </w:r>
    </w:p>
    <w:p w14:paraId="7802A3C6">
      <w:pPr>
        <w:snapToGrid w:val="0"/>
        <w:spacing w:beforeLines="50" w:after="50"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中小企业声明函</w:t>
      </w:r>
    </w:p>
    <w:p w14:paraId="13ABCA5E">
      <w:pPr>
        <w:pStyle w:val="9"/>
        <w:spacing w:before="5"/>
        <w:rPr>
          <w:rFonts w:hint="eastAsia" w:ascii="宋体" w:hAnsi="宋体" w:eastAsia="宋体" w:cs="宋体"/>
          <w:b/>
          <w:color w:val="auto"/>
          <w:sz w:val="18"/>
          <w:szCs w:val="18"/>
          <w:highlight w:val="none"/>
        </w:rPr>
      </w:pPr>
    </w:p>
    <w:p w14:paraId="73E4FE8E">
      <w:pPr>
        <w:pStyle w:val="9"/>
        <w:autoSpaceDE w:val="0"/>
        <w:autoSpaceDN w:val="0"/>
        <w:adjustRightInd/>
        <w:spacing w:line="360" w:lineRule="auto"/>
        <w:ind w:right="-54" w:firstLine="420" w:firstLineChars="200"/>
        <w:jc w:val="both"/>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本公司（联合体）郑重声明，根据《政府采购促进中小企业发展管理办法》（财库﹝2020﹞46号）的规定，本公司（联合体）参加</w:t>
      </w:r>
      <w:r>
        <w:rPr>
          <w:rFonts w:hint="eastAsia" w:ascii="宋体" w:hAnsi="宋体" w:eastAsia="宋体" w:cs="宋体"/>
          <w:i w:val="0"/>
          <w:iCs/>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i w:val="0"/>
          <w:iCs/>
          <w:color w:val="auto"/>
          <w:sz w:val="21"/>
          <w:szCs w:val="21"/>
          <w:highlight w:val="none"/>
          <w:u w:val="single"/>
        </w:rPr>
        <w:t>（项目名称）</w:t>
      </w:r>
      <w:r>
        <w:rPr>
          <w:rFonts w:hint="eastAsia" w:ascii="宋体" w:hAnsi="宋体" w:eastAsia="宋体" w:cs="宋体"/>
          <w:color w:val="auto"/>
          <w:sz w:val="21"/>
          <w:szCs w:val="21"/>
          <w:highlight w:val="none"/>
        </w:rPr>
        <w:t>采购活动，</w:t>
      </w:r>
      <w:r>
        <w:rPr>
          <w:rFonts w:hint="eastAsia" w:ascii="宋体" w:hAnsi="宋体" w:eastAsia="宋体" w:cs="宋体"/>
          <w:color w:val="auto"/>
          <w:kern w:val="2"/>
          <w:sz w:val="21"/>
          <w:szCs w:val="21"/>
          <w:highlight w:val="none"/>
          <w:lang w:val="zh-CN" w:eastAsia="zh-CN" w:bidi="ar-SA"/>
        </w:rPr>
        <w:t>服务全部由符合政策要求的中小企业承接。相关企业（含联合体中的中小企业、签订分包意向协议的中小企业）的具体情况如下：</w:t>
      </w:r>
    </w:p>
    <w:p w14:paraId="22ED2A5E">
      <w:pPr>
        <w:pStyle w:val="9"/>
        <w:autoSpaceDE w:val="0"/>
        <w:autoSpaceDN w:val="0"/>
        <w:adjustRightInd/>
        <w:spacing w:line="360" w:lineRule="auto"/>
        <w:ind w:right="-54" w:firstLine="402" w:firstLineChars="200"/>
        <w:jc w:val="both"/>
        <w:textAlignment w:val="auto"/>
        <w:rPr>
          <w:rFonts w:hint="eastAsia" w:ascii="宋体" w:hAnsi="宋体" w:eastAsia="宋体" w:cs="宋体"/>
          <w:i w:val="0"/>
          <w:iCs/>
          <w:color w:val="auto"/>
          <w:w w:val="99"/>
          <w:sz w:val="21"/>
          <w:szCs w:val="21"/>
          <w:highlight w:val="none"/>
        </w:rPr>
      </w:pPr>
      <w:r>
        <w:rPr>
          <w:rFonts w:hint="eastAsia" w:ascii="宋体" w:hAnsi="宋体" w:eastAsia="宋体" w:cs="宋体"/>
          <w:iCs/>
          <w:color w:val="auto"/>
          <w:w w:val="96"/>
          <w:sz w:val="21"/>
          <w:szCs w:val="21"/>
          <w:highlight w:val="none"/>
          <w:lang w:val="en-US" w:eastAsia="zh-CN"/>
        </w:rPr>
        <w:t>一</w:t>
      </w:r>
      <w:r>
        <w:rPr>
          <w:rFonts w:hint="eastAsia" w:ascii="宋体" w:hAnsi="宋体" w:eastAsia="宋体" w:cs="宋体"/>
          <w:iCs/>
          <w:color w:val="auto"/>
          <w:w w:val="96"/>
          <w:sz w:val="21"/>
          <w:szCs w:val="21"/>
          <w:highlight w:val="none"/>
          <w:lang w:eastAsia="zh-CN"/>
        </w:rPr>
        <w:t>、</w:t>
      </w:r>
      <w:r>
        <w:rPr>
          <w:rFonts w:hint="eastAsia" w:ascii="宋体" w:hAnsi="宋体" w:eastAsia="宋体" w:cs="宋体"/>
          <w:i w:val="0"/>
          <w:iCs/>
          <w:color w:val="auto"/>
          <w:w w:val="96"/>
          <w:sz w:val="21"/>
          <w:szCs w:val="21"/>
          <w:highlight w:val="none"/>
          <w:u w:val="single"/>
        </w:rPr>
        <w:t>（标的名称）</w:t>
      </w:r>
      <w:r>
        <w:rPr>
          <w:rFonts w:hint="eastAsia" w:ascii="宋体" w:hAnsi="宋体" w:eastAsia="宋体" w:cs="宋体"/>
          <w:color w:val="auto"/>
          <w:w w:val="99"/>
          <w:sz w:val="21"/>
          <w:szCs w:val="21"/>
          <w:highlight w:val="none"/>
        </w:rPr>
        <w:t>，属于</w:t>
      </w:r>
      <w:r>
        <w:rPr>
          <w:rFonts w:hint="eastAsia" w:ascii="宋体" w:hAnsi="宋体" w:eastAsia="宋体" w:cs="宋体"/>
          <w:i w:val="0"/>
          <w:iCs/>
          <w:color w:val="auto"/>
          <w:w w:val="96"/>
          <w:sz w:val="21"/>
          <w:szCs w:val="21"/>
          <w:highlight w:val="none"/>
        </w:rPr>
        <w:t>（</w:t>
      </w:r>
      <w:r>
        <w:rPr>
          <w:rFonts w:hint="eastAsia" w:ascii="宋体" w:hAnsi="宋体" w:eastAsia="宋体" w:cs="宋体"/>
          <w:i w:val="0"/>
          <w:iCs/>
          <w:color w:val="auto"/>
          <w:w w:val="96"/>
          <w:sz w:val="21"/>
          <w:szCs w:val="21"/>
          <w:highlight w:val="none"/>
          <w:u w:val="single"/>
        </w:rPr>
        <w:t>采购文件中明确的所属行业）</w:t>
      </w:r>
      <w:r>
        <w:rPr>
          <w:rFonts w:hint="eastAsia" w:ascii="宋体" w:hAnsi="宋体" w:eastAsia="宋体" w:cs="宋体"/>
          <w:color w:val="auto"/>
          <w:w w:val="99"/>
          <w:sz w:val="21"/>
          <w:szCs w:val="21"/>
          <w:highlight w:val="none"/>
        </w:rPr>
        <w:t>；承建（承接）企业为</w:t>
      </w:r>
      <w:r>
        <w:rPr>
          <w:rFonts w:hint="eastAsia" w:ascii="宋体" w:hAnsi="宋体" w:eastAsia="宋体" w:cs="宋体"/>
          <w:i w:val="0"/>
          <w:iCs/>
          <w:color w:val="auto"/>
          <w:w w:val="96"/>
          <w:sz w:val="21"/>
          <w:szCs w:val="21"/>
          <w:highlight w:val="none"/>
          <w:u w:val="single"/>
        </w:rPr>
        <w:t>（企业名称）</w:t>
      </w:r>
      <w:r>
        <w:rPr>
          <w:rFonts w:hint="eastAsia" w:ascii="宋体" w:hAnsi="宋体" w:eastAsia="宋体" w:cs="宋体"/>
          <w:color w:val="auto"/>
          <w:w w:val="99"/>
          <w:sz w:val="21"/>
          <w:szCs w:val="21"/>
          <w:highlight w:val="none"/>
        </w:rPr>
        <w:t>，从业人员</w:t>
      </w:r>
      <w:r>
        <w:rPr>
          <w:rFonts w:hint="eastAsia" w:ascii="宋体" w:hAnsi="宋体" w:eastAsia="宋体" w:cs="宋体"/>
          <w:color w:val="auto"/>
          <w:w w:val="99"/>
          <w:sz w:val="21"/>
          <w:szCs w:val="21"/>
          <w:highlight w:val="none"/>
          <w:u w:val="single"/>
        </w:rPr>
        <w:t xml:space="preserve">  </w:t>
      </w:r>
      <w:r>
        <w:rPr>
          <w:rFonts w:hint="eastAsia" w:ascii="宋体" w:hAnsi="宋体" w:eastAsia="宋体" w:cs="宋体"/>
          <w:color w:val="auto"/>
          <w:w w:val="99"/>
          <w:sz w:val="21"/>
          <w:szCs w:val="21"/>
          <w:highlight w:val="none"/>
        </w:rPr>
        <w:t>人，营业</w:t>
      </w:r>
      <w:r>
        <w:rPr>
          <w:rFonts w:hint="eastAsia" w:ascii="宋体" w:hAnsi="宋体" w:eastAsia="宋体" w:cs="宋体"/>
          <w:color w:val="auto"/>
          <w:sz w:val="21"/>
          <w:szCs w:val="21"/>
          <w:highlight w:val="none"/>
        </w:rPr>
        <w:t>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vertAlign w:val="superscript"/>
        </w:rPr>
        <w:t>1</w:t>
      </w:r>
      <w:r>
        <w:rPr>
          <w:rFonts w:hint="eastAsia" w:ascii="宋体" w:hAnsi="宋体" w:eastAsia="宋体" w:cs="宋体"/>
          <w:color w:val="auto"/>
          <w:sz w:val="21"/>
          <w:szCs w:val="21"/>
          <w:highlight w:val="none"/>
        </w:rPr>
        <w:t>，属于</w:t>
      </w:r>
      <w:r>
        <w:rPr>
          <w:rFonts w:hint="eastAsia" w:ascii="宋体" w:hAnsi="宋体" w:eastAsia="宋体" w:cs="宋体"/>
          <w:i w:val="0"/>
          <w:iCs/>
          <w:color w:val="auto"/>
          <w:sz w:val="21"/>
          <w:szCs w:val="21"/>
          <w:highlight w:val="none"/>
          <w:u w:val="single"/>
        </w:rPr>
        <w:t>（中型企业、</w:t>
      </w:r>
      <w:r>
        <w:rPr>
          <w:rFonts w:hint="eastAsia" w:ascii="宋体" w:hAnsi="宋体" w:eastAsia="宋体" w:cs="宋体"/>
          <w:i w:val="0"/>
          <w:iCs/>
          <w:color w:val="auto"/>
          <w:w w:val="96"/>
          <w:sz w:val="21"/>
          <w:szCs w:val="21"/>
          <w:highlight w:val="none"/>
          <w:u w:val="single"/>
        </w:rPr>
        <w:t>小型企业、微型企业）</w:t>
      </w:r>
      <w:r>
        <w:rPr>
          <w:rFonts w:hint="eastAsia" w:ascii="宋体" w:hAnsi="宋体" w:eastAsia="宋体" w:cs="宋体"/>
          <w:i w:val="0"/>
          <w:iCs/>
          <w:color w:val="auto"/>
          <w:w w:val="99"/>
          <w:sz w:val="21"/>
          <w:szCs w:val="21"/>
          <w:highlight w:val="none"/>
        </w:rPr>
        <w:t>；</w:t>
      </w:r>
    </w:p>
    <w:p w14:paraId="159E9300">
      <w:pPr>
        <w:pStyle w:val="9"/>
        <w:autoSpaceDE w:val="0"/>
        <w:autoSpaceDN w:val="0"/>
        <w:adjustRightInd/>
        <w:spacing w:line="360" w:lineRule="auto"/>
        <w:ind w:right="-54" w:firstLine="402" w:firstLineChars="200"/>
        <w:jc w:val="both"/>
        <w:textAlignment w:val="auto"/>
        <w:rPr>
          <w:rFonts w:hint="eastAsia" w:ascii="宋体" w:hAnsi="宋体" w:eastAsia="宋体" w:cs="宋体"/>
          <w:i w:val="0"/>
          <w:iCs/>
          <w:color w:val="auto"/>
          <w:w w:val="99"/>
          <w:sz w:val="21"/>
          <w:szCs w:val="21"/>
          <w:highlight w:val="none"/>
        </w:rPr>
      </w:pPr>
      <w:r>
        <w:rPr>
          <w:rFonts w:hint="eastAsia" w:ascii="宋体" w:hAnsi="宋体" w:eastAsia="宋体" w:cs="宋体"/>
          <w:iCs/>
          <w:color w:val="auto"/>
          <w:w w:val="96"/>
          <w:sz w:val="21"/>
          <w:szCs w:val="21"/>
          <w:highlight w:val="none"/>
          <w:lang w:val="en-US" w:eastAsia="zh-CN"/>
        </w:rPr>
        <w:t>二</w:t>
      </w:r>
      <w:r>
        <w:rPr>
          <w:rFonts w:hint="eastAsia" w:ascii="宋体" w:hAnsi="宋体" w:eastAsia="宋体" w:cs="宋体"/>
          <w:iCs/>
          <w:color w:val="auto"/>
          <w:w w:val="96"/>
          <w:sz w:val="21"/>
          <w:szCs w:val="21"/>
          <w:highlight w:val="none"/>
          <w:lang w:eastAsia="zh-CN"/>
        </w:rPr>
        <w:t>、</w:t>
      </w:r>
      <w:r>
        <w:rPr>
          <w:rFonts w:hint="eastAsia" w:ascii="宋体" w:hAnsi="宋体" w:eastAsia="宋体" w:cs="宋体"/>
          <w:i w:val="0"/>
          <w:iCs/>
          <w:color w:val="auto"/>
          <w:w w:val="96"/>
          <w:sz w:val="21"/>
          <w:szCs w:val="21"/>
          <w:highlight w:val="none"/>
          <w:u w:val="single"/>
        </w:rPr>
        <w:t>（标的名称）</w:t>
      </w:r>
      <w:r>
        <w:rPr>
          <w:rFonts w:hint="eastAsia" w:ascii="宋体" w:hAnsi="宋体" w:eastAsia="宋体" w:cs="宋体"/>
          <w:color w:val="auto"/>
          <w:w w:val="99"/>
          <w:sz w:val="21"/>
          <w:szCs w:val="21"/>
          <w:highlight w:val="none"/>
        </w:rPr>
        <w:t>，属于</w:t>
      </w:r>
      <w:r>
        <w:rPr>
          <w:rFonts w:hint="eastAsia" w:ascii="宋体" w:hAnsi="宋体" w:eastAsia="宋体" w:cs="宋体"/>
          <w:i w:val="0"/>
          <w:iCs/>
          <w:color w:val="auto"/>
          <w:w w:val="96"/>
          <w:sz w:val="21"/>
          <w:szCs w:val="21"/>
          <w:highlight w:val="none"/>
        </w:rPr>
        <w:t>（</w:t>
      </w:r>
      <w:r>
        <w:rPr>
          <w:rFonts w:hint="eastAsia" w:ascii="宋体" w:hAnsi="宋体" w:eastAsia="宋体" w:cs="宋体"/>
          <w:i w:val="0"/>
          <w:iCs/>
          <w:color w:val="auto"/>
          <w:w w:val="96"/>
          <w:sz w:val="21"/>
          <w:szCs w:val="21"/>
          <w:highlight w:val="none"/>
          <w:u w:val="single"/>
        </w:rPr>
        <w:t>采购文件中明确的所属行业）</w:t>
      </w:r>
      <w:r>
        <w:rPr>
          <w:rFonts w:hint="eastAsia" w:ascii="宋体" w:hAnsi="宋体" w:eastAsia="宋体" w:cs="宋体"/>
          <w:color w:val="auto"/>
          <w:w w:val="99"/>
          <w:sz w:val="21"/>
          <w:szCs w:val="21"/>
          <w:highlight w:val="none"/>
        </w:rPr>
        <w:t>；承建（承接）企业为</w:t>
      </w:r>
      <w:r>
        <w:rPr>
          <w:rFonts w:hint="eastAsia" w:ascii="宋体" w:hAnsi="宋体" w:eastAsia="宋体" w:cs="宋体"/>
          <w:i w:val="0"/>
          <w:iCs/>
          <w:color w:val="auto"/>
          <w:w w:val="96"/>
          <w:sz w:val="21"/>
          <w:szCs w:val="21"/>
          <w:highlight w:val="none"/>
          <w:u w:val="single"/>
        </w:rPr>
        <w:t>（企业名称）</w:t>
      </w:r>
      <w:r>
        <w:rPr>
          <w:rFonts w:hint="eastAsia" w:ascii="宋体" w:hAnsi="宋体" w:eastAsia="宋体" w:cs="宋体"/>
          <w:color w:val="auto"/>
          <w:w w:val="99"/>
          <w:sz w:val="21"/>
          <w:szCs w:val="21"/>
          <w:highlight w:val="none"/>
        </w:rPr>
        <w:t>，从业人员</w:t>
      </w:r>
      <w:r>
        <w:rPr>
          <w:rFonts w:hint="eastAsia" w:ascii="宋体" w:hAnsi="宋体" w:eastAsia="宋体" w:cs="宋体"/>
          <w:color w:val="auto"/>
          <w:w w:val="99"/>
          <w:sz w:val="21"/>
          <w:szCs w:val="21"/>
          <w:highlight w:val="none"/>
          <w:u w:val="single"/>
        </w:rPr>
        <w:t xml:space="preserve">  </w:t>
      </w:r>
      <w:r>
        <w:rPr>
          <w:rFonts w:hint="eastAsia" w:ascii="宋体" w:hAnsi="宋体" w:eastAsia="宋体" w:cs="宋体"/>
          <w:color w:val="auto"/>
          <w:w w:val="99"/>
          <w:sz w:val="21"/>
          <w:szCs w:val="21"/>
          <w:highlight w:val="none"/>
        </w:rPr>
        <w:t>人，营业</w:t>
      </w:r>
      <w:r>
        <w:rPr>
          <w:rFonts w:hint="eastAsia" w:ascii="宋体" w:hAnsi="宋体" w:eastAsia="宋体" w:cs="宋体"/>
          <w:color w:val="auto"/>
          <w:sz w:val="21"/>
          <w:szCs w:val="21"/>
          <w:highlight w:val="none"/>
        </w:rPr>
        <w:t>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i w:val="0"/>
          <w:iCs/>
          <w:color w:val="auto"/>
          <w:sz w:val="21"/>
          <w:szCs w:val="21"/>
          <w:highlight w:val="none"/>
          <w:u w:val="single"/>
        </w:rPr>
        <w:t>（中型企业、</w:t>
      </w:r>
      <w:r>
        <w:rPr>
          <w:rFonts w:hint="eastAsia" w:ascii="宋体" w:hAnsi="宋体" w:eastAsia="宋体" w:cs="宋体"/>
          <w:i w:val="0"/>
          <w:iCs/>
          <w:color w:val="auto"/>
          <w:w w:val="96"/>
          <w:sz w:val="21"/>
          <w:szCs w:val="21"/>
          <w:highlight w:val="none"/>
          <w:u w:val="single"/>
        </w:rPr>
        <w:t>小型企业、微型企业）</w:t>
      </w:r>
      <w:r>
        <w:rPr>
          <w:rFonts w:hint="eastAsia" w:ascii="宋体" w:hAnsi="宋体" w:eastAsia="宋体" w:cs="宋体"/>
          <w:i w:val="0"/>
          <w:iCs/>
          <w:color w:val="auto"/>
          <w:w w:val="99"/>
          <w:sz w:val="21"/>
          <w:szCs w:val="21"/>
          <w:highlight w:val="none"/>
        </w:rPr>
        <w:t>；</w:t>
      </w:r>
    </w:p>
    <w:p w14:paraId="4C9D9C02">
      <w:pPr>
        <w:pStyle w:val="9"/>
        <w:autoSpaceDE w:val="0"/>
        <w:autoSpaceDN w:val="0"/>
        <w:adjustRightInd/>
        <w:spacing w:line="360" w:lineRule="auto"/>
        <w:ind w:right="-54"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790295BA">
      <w:pPr>
        <w:pStyle w:val="9"/>
        <w:autoSpaceDE w:val="0"/>
        <w:autoSpaceDN w:val="0"/>
        <w:adjustRightInd/>
        <w:spacing w:line="360" w:lineRule="auto"/>
        <w:ind w:right="-54"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14:paraId="35261489">
      <w:pPr>
        <w:pStyle w:val="9"/>
        <w:autoSpaceDE w:val="0"/>
        <w:autoSpaceDN w:val="0"/>
        <w:adjustRightInd/>
        <w:spacing w:line="360" w:lineRule="auto"/>
        <w:ind w:right="-54"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14:paraId="066CEBAF">
      <w:pPr>
        <w:pStyle w:val="9"/>
        <w:autoSpaceDE w:val="0"/>
        <w:autoSpaceDN w:val="0"/>
        <w:adjustRightInd/>
        <w:spacing w:before="29" w:line="360" w:lineRule="auto"/>
        <w:ind w:left="4060" w:right="-54"/>
        <w:textAlignment w:val="auto"/>
        <w:rPr>
          <w:rFonts w:hint="eastAsia" w:ascii="宋体" w:hAnsi="宋体" w:eastAsia="宋体" w:cs="宋体"/>
          <w:color w:val="auto"/>
          <w:w w:val="99"/>
          <w:sz w:val="21"/>
          <w:szCs w:val="21"/>
          <w:highlight w:val="none"/>
        </w:rPr>
      </w:pPr>
    </w:p>
    <w:p w14:paraId="435C14AD">
      <w:pPr>
        <w:pStyle w:val="9"/>
        <w:autoSpaceDE w:val="0"/>
        <w:autoSpaceDN w:val="0"/>
        <w:adjustRightInd/>
        <w:spacing w:before="29" w:line="360" w:lineRule="auto"/>
        <w:ind w:left="4060" w:right="-54"/>
        <w:textAlignment w:val="auto"/>
        <w:rPr>
          <w:rFonts w:hint="eastAsia" w:ascii="宋体" w:hAnsi="宋体" w:eastAsia="宋体" w:cs="宋体"/>
          <w:color w:val="auto"/>
          <w:w w:val="99"/>
          <w:sz w:val="21"/>
          <w:szCs w:val="21"/>
          <w:highlight w:val="none"/>
        </w:rPr>
      </w:pPr>
    </w:p>
    <w:p w14:paraId="3D30F10C">
      <w:pPr>
        <w:pStyle w:val="9"/>
        <w:autoSpaceDE w:val="0"/>
        <w:autoSpaceDN w:val="0"/>
        <w:adjustRightInd/>
        <w:spacing w:before="29" w:line="360" w:lineRule="auto"/>
        <w:ind w:right="-54" w:firstLine="3990" w:firstLineChars="1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企业名称（盖章）：</w:t>
      </w:r>
    </w:p>
    <w:p w14:paraId="67A78B8D">
      <w:pPr>
        <w:pStyle w:val="9"/>
        <w:autoSpaceDE w:val="0"/>
        <w:autoSpaceDN w:val="0"/>
        <w:adjustRightInd/>
        <w:spacing w:before="29" w:line="360" w:lineRule="auto"/>
        <w:ind w:right="-54" w:firstLine="3990" w:firstLineChars="1900"/>
        <w:textAlignment w:val="auto"/>
        <w:rPr>
          <w:rFonts w:hint="eastAsia" w:ascii="宋体" w:hAnsi="宋体" w:eastAsia="宋体" w:cs="宋体"/>
          <w:color w:val="auto"/>
          <w:kern w:val="0"/>
          <w:szCs w:val="21"/>
          <w:highlight w:val="none"/>
        </w:rPr>
      </w:pPr>
      <w:r>
        <w:rPr>
          <w:rFonts w:hint="eastAsia" w:ascii="宋体" w:hAnsi="宋体" w:eastAsia="宋体" w:cs="宋体"/>
          <w:color w:val="auto"/>
          <w:sz w:val="21"/>
          <w:szCs w:val="21"/>
          <w:highlight w:val="none"/>
        </w:rPr>
        <w:t>日期：</w:t>
      </w:r>
    </w:p>
    <w:p w14:paraId="6FBE0637">
      <w:pPr>
        <w:pStyle w:val="13"/>
        <w:spacing w:line="360" w:lineRule="auto"/>
        <w:rPr>
          <w:rFonts w:hint="eastAsia" w:ascii="宋体" w:hAnsi="宋体" w:eastAsia="宋体" w:cs="宋体"/>
          <w:b/>
          <w:color w:val="auto"/>
          <w:highlight w:val="none"/>
        </w:rPr>
      </w:pPr>
      <w:r>
        <w:rPr>
          <w:rFonts w:hint="eastAsia" w:ascii="宋体" w:hAnsi="宋体" w:eastAsia="宋体" w:cs="宋体"/>
          <w:color w:val="auto"/>
          <w:szCs w:val="21"/>
          <w:highlight w:val="none"/>
        </w:rPr>
        <w:t>注：1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从业人员、营业收入、资产总额填报上一年度数据，无上一年度数据的新成立企业可不填报。</w:t>
      </w:r>
    </w:p>
    <w:p w14:paraId="1BB1F3FE">
      <w:pPr>
        <w:pStyle w:val="51"/>
        <w:numPr>
          <w:ilvl w:val="0"/>
          <w:numId w:val="0"/>
        </w:numPr>
        <w:spacing w:line="360" w:lineRule="auto"/>
        <w:ind w:left="403" w:leftChars="0"/>
        <w:jc w:val="both"/>
        <w:rPr>
          <w:rFonts w:hint="eastAsia" w:ascii="宋体" w:hAnsi="宋体" w:eastAsia="宋体" w:cs="宋体"/>
          <w:color w:val="auto"/>
          <w:spacing w:val="20"/>
          <w:kern w:val="0"/>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pacing w:val="20"/>
          <w:kern w:val="0"/>
          <w:szCs w:val="21"/>
          <w:highlight w:val="none"/>
        </w:rPr>
        <w:t>投标人按各自参加投标的对应标包分别编制、分别成册、分别提交。</w:t>
      </w:r>
    </w:p>
    <w:p w14:paraId="1668AAF5">
      <w:pPr>
        <w:pStyle w:val="13"/>
        <w:spacing w:line="360" w:lineRule="auto"/>
        <w:jc w:val="center"/>
        <w:outlineLvl w:val="9"/>
        <w:rPr>
          <w:rFonts w:hint="eastAsia" w:ascii="宋体" w:hAnsi="宋体" w:eastAsia="宋体" w:cs="宋体"/>
          <w:b/>
          <w:color w:val="auto"/>
          <w:sz w:val="32"/>
          <w:szCs w:val="32"/>
          <w:highlight w:val="none"/>
          <w:lang w:val="en-GB"/>
        </w:rPr>
      </w:pPr>
    </w:p>
    <w:p w14:paraId="7E395D1B">
      <w:pPr>
        <w:pStyle w:val="13"/>
        <w:spacing w:line="360" w:lineRule="auto"/>
        <w:jc w:val="center"/>
        <w:outlineLvl w:val="9"/>
        <w:rPr>
          <w:rFonts w:hint="eastAsia" w:ascii="宋体" w:hAnsi="宋体" w:eastAsia="宋体" w:cs="宋体"/>
          <w:b/>
          <w:color w:val="auto"/>
          <w:sz w:val="32"/>
          <w:szCs w:val="32"/>
          <w:highlight w:val="none"/>
          <w:lang w:val="en-GB"/>
        </w:rPr>
      </w:pPr>
    </w:p>
    <w:p w14:paraId="719A95F3">
      <w:pPr>
        <w:pStyle w:val="13"/>
        <w:keepNext w:val="0"/>
        <w:keepLines w:val="0"/>
        <w:pageBreakBefore w:val="0"/>
        <w:kinsoku/>
        <w:wordWrap/>
        <w:overflowPunct/>
        <w:topLinePunct w:val="0"/>
        <w:bidi w:val="0"/>
        <w:spacing w:line="360" w:lineRule="auto"/>
        <w:jc w:val="center"/>
        <w:outlineLvl w:val="9"/>
        <w:rPr>
          <w:rFonts w:hint="eastAsia" w:ascii="宋体" w:hAnsi="宋体" w:eastAsia="宋体" w:cs="宋体"/>
          <w:b/>
          <w:color w:val="auto"/>
          <w:sz w:val="32"/>
          <w:szCs w:val="32"/>
          <w:highlight w:val="none"/>
          <w:lang w:val="en-GB"/>
        </w:rPr>
      </w:pPr>
      <w:r>
        <w:rPr>
          <w:rFonts w:hint="eastAsia" w:ascii="宋体" w:hAnsi="宋体" w:eastAsia="宋体" w:cs="宋体"/>
          <w:b/>
          <w:color w:val="auto"/>
          <w:sz w:val="32"/>
          <w:szCs w:val="32"/>
          <w:highlight w:val="none"/>
          <w:lang w:val="en-GB"/>
        </w:rPr>
        <w:t>残疾人福利性单位声明函</w:t>
      </w:r>
    </w:p>
    <w:p w14:paraId="4B4743F2">
      <w:pPr>
        <w:keepNext w:val="0"/>
        <w:keepLines w:val="0"/>
        <w:pageBreakBefore w:val="0"/>
        <w:kinsoku/>
        <w:wordWrap/>
        <w:overflowPunct/>
        <w:topLinePunct w:val="0"/>
        <w:bidi w:val="0"/>
        <w:spacing w:line="360" w:lineRule="auto"/>
        <w:ind w:firstLine="444" w:firstLineChars="200"/>
        <w:outlineLvl w:val="9"/>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本单位郑重声明，根据《财政部民政部中国残疾人联合会关于促进残疾人就业政府采购政策的通知》（财库〔2017〕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32BCA06C">
      <w:pPr>
        <w:keepNext w:val="0"/>
        <w:keepLines w:val="0"/>
        <w:pageBreakBefore w:val="0"/>
        <w:kinsoku/>
        <w:wordWrap/>
        <w:overflowPunct/>
        <w:topLinePunct w:val="0"/>
        <w:bidi w:val="0"/>
        <w:spacing w:line="360" w:lineRule="auto"/>
        <w:ind w:firstLine="444" w:firstLineChars="200"/>
        <w:outlineLvl w:val="9"/>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本单位对上述声明的真实性负责。如有虚假，将依法承担相应责任。</w:t>
      </w:r>
    </w:p>
    <w:p w14:paraId="740768E4">
      <w:pPr>
        <w:keepNext w:val="0"/>
        <w:keepLines w:val="0"/>
        <w:pageBreakBefore w:val="0"/>
        <w:tabs>
          <w:tab w:val="left" w:pos="4860"/>
        </w:tabs>
        <w:kinsoku/>
        <w:wordWrap/>
        <w:overflowPunct/>
        <w:topLinePunct w:val="0"/>
        <w:bidi w:val="0"/>
        <w:spacing w:line="360" w:lineRule="auto"/>
        <w:ind w:right="1560" w:firstLine="444" w:firstLineChars="200"/>
        <w:jc w:val="center"/>
        <w:outlineLvl w:val="9"/>
        <w:rPr>
          <w:rFonts w:hint="eastAsia" w:ascii="宋体" w:hAnsi="宋体" w:eastAsia="宋体" w:cs="宋体"/>
          <w:color w:val="auto"/>
          <w:spacing w:val="6"/>
          <w:szCs w:val="21"/>
          <w:highlight w:val="none"/>
        </w:rPr>
      </w:pPr>
    </w:p>
    <w:p w14:paraId="3431C974">
      <w:pPr>
        <w:keepNext w:val="0"/>
        <w:keepLines w:val="0"/>
        <w:pageBreakBefore w:val="0"/>
        <w:tabs>
          <w:tab w:val="left" w:pos="4860"/>
        </w:tabs>
        <w:kinsoku/>
        <w:wordWrap/>
        <w:overflowPunct/>
        <w:topLinePunct w:val="0"/>
        <w:bidi w:val="0"/>
        <w:spacing w:line="360" w:lineRule="auto"/>
        <w:ind w:right="1560" w:firstLine="444" w:firstLineChars="200"/>
        <w:jc w:val="center"/>
        <w:outlineLvl w:val="9"/>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单位名称（盖章）：</w:t>
      </w:r>
    </w:p>
    <w:p w14:paraId="436E78C8">
      <w:pPr>
        <w:keepNext w:val="0"/>
        <w:keepLines w:val="0"/>
        <w:pageBreakBefore w:val="0"/>
        <w:tabs>
          <w:tab w:val="left" w:pos="4860"/>
        </w:tabs>
        <w:kinsoku/>
        <w:wordWrap/>
        <w:overflowPunct/>
        <w:topLinePunct w:val="0"/>
        <w:bidi w:val="0"/>
        <w:spacing w:line="360" w:lineRule="auto"/>
        <w:ind w:right="1560" w:firstLine="1890" w:firstLineChars="90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 w:val="21"/>
          <w:szCs w:val="21"/>
          <w:highlight w:val="none"/>
          <w:lang w:eastAsia="zh-CN"/>
        </w:rPr>
        <w:t>（签字或盖章）</w:t>
      </w:r>
      <w:r>
        <w:rPr>
          <w:rFonts w:hint="eastAsia" w:ascii="宋体" w:hAnsi="宋体" w:eastAsia="宋体" w:cs="宋体"/>
          <w:color w:val="auto"/>
          <w:szCs w:val="21"/>
          <w:highlight w:val="none"/>
        </w:rPr>
        <w:t>：</w:t>
      </w:r>
    </w:p>
    <w:p w14:paraId="77C16950">
      <w:pPr>
        <w:keepNext w:val="0"/>
        <w:keepLines w:val="0"/>
        <w:pageBreakBefore w:val="0"/>
        <w:tabs>
          <w:tab w:val="left" w:pos="4860"/>
        </w:tabs>
        <w:kinsoku/>
        <w:wordWrap/>
        <w:overflowPunct/>
        <w:topLinePunct w:val="0"/>
        <w:bidi w:val="0"/>
        <w:spacing w:line="360" w:lineRule="auto"/>
        <w:ind w:right="1560" w:firstLine="444" w:firstLineChars="200"/>
        <w:jc w:val="center"/>
        <w:outlineLvl w:val="9"/>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日期：</w:t>
      </w:r>
    </w:p>
    <w:p w14:paraId="39BBB308">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08A93F2D">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3EFA0211">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013CA579">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6CBC9BAB">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3059BA06">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578850D1">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02FE5DDA">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214D9FD0">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12316007">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3FF55A77">
      <w:pPr>
        <w:pStyle w:val="51"/>
        <w:keepNext w:val="0"/>
        <w:keepLines w:val="0"/>
        <w:pageBreakBefore w:val="0"/>
        <w:kinsoku/>
        <w:wordWrap/>
        <w:overflowPunct/>
        <w:topLinePunct w:val="0"/>
        <w:bidi w:val="0"/>
        <w:spacing w:line="360" w:lineRule="auto"/>
        <w:outlineLvl w:val="9"/>
        <w:rPr>
          <w:rFonts w:hint="eastAsia" w:ascii="宋体" w:hAnsi="宋体" w:eastAsia="宋体" w:cs="宋体"/>
          <w:b/>
          <w:color w:val="auto"/>
          <w:sz w:val="28"/>
          <w:szCs w:val="28"/>
          <w:highlight w:val="none"/>
        </w:rPr>
      </w:pPr>
    </w:p>
    <w:p w14:paraId="0911F73A">
      <w:pPr>
        <w:pStyle w:val="9"/>
        <w:rPr>
          <w:rFonts w:hint="eastAsia" w:ascii="宋体" w:hAnsi="宋体" w:eastAsia="宋体" w:cs="宋体"/>
          <w:color w:val="auto"/>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0B676">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14703C">
                          <w:pPr>
                            <w:pStyle w:val="1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DF8ZnSAAAABAEAAA8AAAAAAAAAAQAgAAAAIgAAAGRycy9kb3ducmV2LnhtbFBLAQIU&#10;ABQAAAAIAIdO4kADt5T0MgIAAGMEAAAOAAAAAAAAAAEAIAAAACEBAABkcnMvZTJvRG9jLnhtbFBL&#10;BQYAAAAABgAGAFkBAADFBQAAAAA=&#10;">
              <v:fill on="f" focussize="0,0"/>
              <v:stroke on="f" weight="0.5pt"/>
              <v:imagedata o:title=""/>
              <o:lock v:ext="edit" aspectratio="f"/>
              <v:textbox inset="0mm,0mm,0mm,0mm" style="mso-fit-shape-to-text:t;">
                <w:txbxContent>
                  <w:p w14:paraId="5D14703C">
                    <w:pPr>
                      <w:pStyle w:val="1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438AD">
    <w:pPr>
      <w:pStyle w:val="1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0E591B">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0p704MQIAAGMEAAAOAAAAAAAAAAEAIAAAAB8BAABkcnMvZTJvRG9jLnhtbFBLBQYA&#10;AAAABgAGAFkBAADCBQAAAAA=&#10;">
              <v:fill on="f" focussize="0,0"/>
              <v:stroke on="f" weight="0.5pt"/>
              <v:imagedata o:title=""/>
              <o:lock v:ext="edit" aspectratio="f"/>
              <v:textbox inset="0mm,0mm,0mm,0mm" style="mso-fit-shape-to-text:t;">
                <w:txbxContent>
                  <w:p w14:paraId="2B0E591B">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A2132">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3B3E7D">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63B3E7D">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2AF42">
    <w:pPr>
      <w:rPr>
        <w:rFonts w:hint="eastAsia" w:eastAsia="宋体"/>
        <w:iCs/>
        <w:lang w:eastAsia="zh-CN"/>
      </w:rPr>
    </w:pPr>
    <w:r>
      <w:rPr>
        <w:rFonts w:hint="eastAsia"/>
        <w:b/>
        <w:iCs/>
        <w:color w:val="000000"/>
        <w:kern w:val="0"/>
        <w:sz w:val="18"/>
        <w:u w:val="single"/>
      </w:rPr>
      <w:t>政府采购招标文件</w:t>
    </w:r>
    <w:r>
      <w:rPr>
        <w:b/>
        <w:iCs/>
        <w:color w:val="000000"/>
        <w:kern w:val="0"/>
        <w:sz w:val="18"/>
        <w:u w:val="single"/>
      </w:rPr>
      <w:t>--</w:t>
    </w:r>
    <w:r>
      <w:rPr>
        <w:rFonts w:hint="eastAsia"/>
        <w:b/>
        <w:iCs/>
        <w:color w:val="000000"/>
        <w:kern w:val="0"/>
        <w:sz w:val="18"/>
        <w:u w:val="single"/>
        <w:lang w:eastAsia="zh-CN"/>
      </w:rPr>
      <w:t>路桥区2025-2027年粮油种植面积核查服务项目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E0DEC">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D2986">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ADBEB"/>
    <w:multiLevelType w:val="singleLevel"/>
    <w:tmpl w:val="84EADBEB"/>
    <w:lvl w:ilvl="0" w:tentative="0">
      <w:start w:val="1"/>
      <w:numFmt w:val="chineseCounting"/>
      <w:suff w:val="nothing"/>
      <w:lvlText w:val="%1、"/>
      <w:lvlJc w:val="left"/>
      <w:rPr>
        <w:rFonts w:hint="eastAsia"/>
      </w:rPr>
    </w:lvl>
  </w:abstractNum>
  <w:abstractNum w:abstractNumId="1">
    <w:nsid w:val="98A1DCDC"/>
    <w:multiLevelType w:val="singleLevel"/>
    <w:tmpl w:val="98A1DCDC"/>
    <w:lvl w:ilvl="0" w:tentative="0">
      <w:start w:val="1"/>
      <w:numFmt w:val="decimal"/>
      <w:suff w:val="nothing"/>
      <w:lvlText w:val="%1、"/>
      <w:lvlJc w:val="left"/>
    </w:lvl>
  </w:abstractNum>
  <w:abstractNum w:abstractNumId="2">
    <w:nsid w:val="26A9FC51"/>
    <w:multiLevelType w:val="singleLevel"/>
    <w:tmpl w:val="26A9FC51"/>
    <w:lvl w:ilvl="0" w:tentative="0">
      <w:start w:val="1"/>
      <w:numFmt w:val="decimal"/>
      <w:suff w:val="nothing"/>
      <w:lvlText w:val="%1、"/>
      <w:lvlJc w:val="left"/>
    </w:lvl>
  </w:abstractNum>
  <w:abstractNum w:abstractNumId="3">
    <w:nsid w:val="461E5E94"/>
    <w:multiLevelType w:val="singleLevel"/>
    <w:tmpl w:val="461E5E94"/>
    <w:lvl w:ilvl="0" w:tentative="0">
      <w:start w:val="2"/>
      <w:numFmt w:val="chineseCounting"/>
      <w:suff w:val="space"/>
      <w:lvlText w:val="第%1章"/>
      <w:lvlJc w:val="left"/>
      <w:rPr>
        <w:rFonts w:hint="eastAsia" w:cs="Times New Roman"/>
      </w:rPr>
    </w:lvl>
  </w:abstractNum>
  <w:abstractNum w:abstractNumId="4">
    <w:nsid w:val="471E06A1"/>
    <w:multiLevelType w:val="singleLevel"/>
    <w:tmpl w:val="471E06A1"/>
    <w:lvl w:ilvl="0" w:tentative="0">
      <w:start w:val="1"/>
      <w:numFmt w:val="japaneseCounting"/>
      <w:lvlText w:val="%1、"/>
      <w:lvlJc w:val="left"/>
      <w:pPr>
        <w:tabs>
          <w:tab w:val="left" w:pos="960"/>
        </w:tabs>
        <w:ind w:left="960" w:hanging="600"/>
      </w:pPr>
      <w:rPr>
        <w:rFonts w:hint="eastAsia" w:cs="Times New Roman"/>
      </w:rPr>
    </w:lvl>
  </w:abstractNum>
  <w:abstractNum w:abstractNumId="5">
    <w:nsid w:val="58CA50F0"/>
    <w:multiLevelType w:val="multilevel"/>
    <w:tmpl w:val="58CA50F0"/>
    <w:lvl w:ilvl="0" w:tentative="0">
      <w:start w:val="1"/>
      <w:numFmt w:val="chineseCounting"/>
      <w:pStyle w:val="3"/>
      <w:lvlText w:val="第%1章 "/>
      <w:lvlJc w:val="left"/>
      <w:pPr>
        <w:tabs>
          <w:tab w:val="left" w:pos="432"/>
        </w:tabs>
        <w:ind w:left="432" w:hanging="432"/>
      </w:pPr>
      <w:rPr>
        <w:rFonts w:hint="eastAsia" w:ascii="Times New Roman" w:hAnsi="Times New Roman" w:eastAsia="仿宋_GB2312" w:cs="宋体"/>
      </w:rPr>
    </w:lvl>
    <w:lvl w:ilvl="1" w:tentative="0">
      <w:start w:val="1"/>
      <w:numFmt w:val="decimal"/>
      <w:isLgl/>
      <w:lvlText w:val="%1.%2."/>
      <w:lvlJc w:val="left"/>
      <w:pPr>
        <w:tabs>
          <w:tab w:val="left" w:pos="210"/>
        </w:tabs>
        <w:ind w:left="0" w:firstLine="0"/>
      </w:pPr>
      <w:rPr>
        <w:rFonts w:hint="eastAsia" w:ascii="宋体" w:hAnsi="宋体" w:eastAsia="宋体" w:cs="宋体"/>
      </w:rPr>
    </w:lvl>
    <w:lvl w:ilvl="2" w:tentative="0">
      <w:start w:val="1"/>
      <w:numFmt w:val="decimal"/>
      <w:isLgl/>
      <w:lvlText w:val="%1.%2.%3."/>
      <w:lvlJc w:val="left"/>
      <w:pPr>
        <w:tabs>
          <w:tab w:val="left" w:pos="210"/>
        </w:tabs>
        <w:ind w:left="0" w:firstLine="0"/>
      </w:pPr>
      <w:rPr>
        <w:rFonts w:hint="eastAsia" w:ascii="宋体" w:hAnsi="宋体" w:eastAsia="宋体" w:cs="宋体"/>
      </w:rPr>
    </w:lvl>
    <w:lvl w:ilvl="3" w:tentative="0">
      <w:start w:val="1"/>
      <w:numFmt w:val="decimal"/>
      <w:isLgl/>
      <w:lvlText w:val="%1.%2.%3.%4."/>
      <w:lvlJc w:val="left"/>
      <w:pPr>
        <w:tabs>
          <w:tab w:val="left" w:pos="210"/>
        </w:tabs>
        <w:ind w:left="0" w:firstLine="0"/>
      </w:pPr>
      <w:rPr>
        <w:rFonts w:hint="eastAsia" w:ascii="宋体" w:hAnsi="宋体" w:eastAsia="宋体" w:cs="宋体"/>
      </w:rPr>
    </w:lvl>
    <w:lvl w:ilvl="4" w:tentative="0">
      <w:start w:val="1"/>
      <w:numFmt w:val="decimal"/>
      <w:isLgl/>
      <w:lvlText w:val="%1.%2.%3.%4.%5."/>
      <w:lvlJc w:val="left"/>
      <w:pPr>
        <w:tabs>
          <w:tab w:val="left" w:pos="210"/>
        </w:tabs>
        <w:ind w:left="0" w:firstLine="0"/>
      </w:pPr>
      <w:rPr>
        <w:rFonts w:hint="eastAsia" w:ascii="宋体" w:hAnsi="宋体" w:eastAsia="宋体" w:cs="宋体"/>
      </w:rPr>
    </w:lvl>
    <w:lvl w:ilvl="5" w:tentative="0">
      <w:start w:val="1"/>
      <w:numFmt w:val="decimal"/>
      <w:lvlText w:val="%1.%2.%3.%4.%5.%6."/>
      <w:lvlJc w:val="left"/>
      <w:pPr>
        <w:tabs>
          <w:tab w:val="left" w:pos="1151"/>
        </w:tabs>
        <w:ind w:left="1151" w:hanging="1151"/>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3"/>
        </w:tabs>
        <w:ind w:left="1583" w:hanging="1583"/>
      </w:pPr>
      <w:rPr>
        <w:rFonts w:hint="eastAsia"/>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崽崽">
    <w15:presenceInfo w15:providerId="WPS Office" w15:userId="746982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displayBackgroundShape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ZTZlMTNlMjNjM2QyOGE2NDYyNTI3Yzk4M2Y5ODkifQ=="/>
  </w:docVars>
  <w:rsids>
    <w:rsidRoot w:val="00BE3149"/>
    <w:rsid w:val="000321B6"/>
    <w:rsid w:val="0003476A"/>
    <w:rsid w:val="00055C56"/>
    <w:rsid w:val="0008396C"/>
    <w:rsid w:val="000E0D3F"/>
    <w:rsid w:val="001241E8"/>
    <w:rsid w:val="00215442"/>
    <w:rsid w:val="0028159A"/>
    <w:rsid w:val="002C6DDC"/>
    <w:rsid w:val="003929D9"/>
    <w:rsid w:val="003C6577"/>
    <w:rsid w:val="0043417D"/>
    <w:rsid w:val="00446A93"/>
    <w:rsid w:val="004C3D04"/>
    <w:rsid w:val="005079B9"/>
    <w:rsid w:val="00532108"/>
    <w:rsid w:val="005C68A9"/>
    <w:rsid w:val="006052DD"/>
    <w:rsid w:val="00641C5C"/>
    <w:rsid w:val="00650A79"/>
    <w:rsid w:val="006E681F"/>
    <w:rsid w:val="00703AFD"/>
    <w:rsid w:val="007C0A85"/>
    <w:rsid w:val="008202AE"/>
    <w:rsid w:val="00842483"/>
    <w:rsid w:val="009C6908"/>
    <w:rsid w:val="009E7B9B"/>
    <w:rsid w:val="00A76558"/>
    <w:rsid w:val="00B7243C"/>
    <w:rsid w:val="00B8754F"/>
    <w:rsid w:val="00BE3149"/>
    <w:rsid w:val="00D27694"/>
    <w:rsid w:val="00DD40BE"/>
    <w:rsid w:val="00E04ED8"/>
    <w:rsid w:val="00E873B3"/>
    <w:rsid w:val="00EB0E14"/>
    <w:rsid w:val="00F05701"/>
    <w:rsid w:val="00F3299C"/>
    <w:rsid w:val="00F4609D"/>
    <w:rsid w:val="00FF74E6"/>
    <w:rsid w:val="0120224E"/>
    <w:rsid w:val="014632E9"/>
    <w:rsid w:val="014D4625"/>
    <w:rsid w:val="0170542D"/>
    <w:rsid w:val="01714809"/>
    <w:rsid w:val="01DC112F"/>
    <w:rsid w:val="01DF2F86"/>
    <w:rsid w:val="01F86678"/>
    <w:rsid w:val="022D15A4"/>
    <w:rsid w:val="022E26FA"/>
    <w:rsid w:val="02380D19"/>
    <w:rsid w:val="03045C2B"/>
    <w:rsid w:val="032047EC"/>
    <w:rsid w:val="033D2CAB"/>
    <w:rsid w:val="03B22EB7"/>
    <w:rsid w:val="03E57F1E"/>
    <w:rsid w:val="03EF0F68"/>
    <w:rsid w:val="043B3781"/>
    <w:rsid w:val="043F7FC4"/>
    <w:rsid w:val="044E734A"/>
    <w:rsid w:val="049525BD"/>
    <w:rsid w:val="05157BA2"/>
    <w:rsid w:val="051F6421"/>
    <w:rsid w:val="05470381"/>
    <w:rsid w:val="05AE1E48"/>
    <w:rsid w:val="05C56ED2"/>
    <w:rsid w:val="06C90101"/>
    <w:rsid w:val="07195D48"/>
    <w:rsid w:val="08386081"/>
    <w:rsid w:val="08390248"/>
    <w:rsid w:val="084A3762"/>
    <w:rsid w:val="087F5981"/>
    <w:rsid w:val="088053BC"/>
    <w:rsid w:val="09107AD0"/>
    <w:rsid w:val="091240AB"/>
    <w:rsid w:val="094B2DCA"/>
    <w:rsid w:val="096609CC"/>
    <w:rsid w:val="09C75C91"/>
    <w:rsid w:val="09E03F7D"/>
    <w:rsid w:val="09F33DD0"/>
    <w:rsid w:val="0A026C9D"/>
    <w:rsid w:val="0AD0034B"/>
    <w:rsid w:val="0AF64F0D"/>
    <w:rsid w:val="0BE81B6C"/>
    <w:rsid w:val="0D1F4CD0"/>
    <w:rsid w:val="0D9A128E"/>
    <w:rsid w:val="0E3E39CE"/>
    <w:rsid w:val="0E6A2D0C"/>
    <w:rsid w:val="0F693D05"/>
    <w:rsid w:val="0F7812F7"/>
    <w:rsid w:val="0F7E6199"/>
    <w:rsid w:val="0FA47B58"/>
    <w:rsid w:val="0FD146C5"/>
    <w:rsid w:val="0FE74D1C"/>
    <w:rsid w:val="10063514"/>
    <w:rsid w:val="10452B67"/>
    <w:rsid w:val="10860B6D"/>
    <w:rsid w:val="10BE10ED"/>
    <w:rsid w:val="1181632B"/>
    <w:rsid w:val="118B7249"/>
    <w:rsid w:val="11AE1162"/>
    <w:rsid w:val="11D07E07"/>
    <w:rsid w:val="11D16BFE"/>
    <w:rsid w:val="12080872"/>
    <w:rsid w:val="121665CB"/>
    <w:rsid w:val="127358CC"/>
    <w:rsid w:val="12EC03CE"/>
    <w:rsid w:val="134E49AB"/>
    <w:rsid w:val="13F07810"/>
    <w:rsid w:val="13F45D5A"/>
    <w:rsid w:val="142825B6"/>
    <w:rsid w:val="14F67552"/>
    <w:rsid w:val="153867FF"/>
    <w:rsid w:val="155B6DDB"/>
    <w:rsid w:val="15BA7E68"/>
    <w:rsid w:val="15D17152"/>
    <w:rsid w:val="15FD1904"/>
    <w:rsid w:val="167269F6"/>
    <w:rsid w:val="168339D9"/>
    <w:rsid w:val="16D57191"/>
    <w:rsid w:val="17192D6B"/>
    <w:rsid w:val="171D6CDD"/>
    <w:rsid w:val="17461D47"/>
    <w:rsid w:val="176F1112"/>
    <w:rsid w:val="177873A9"/>
    <w:rsid w:val="17B91B1C"/>
    <w:rsid w:val="17D2330C"/>
    <w:rsid w:val="18BF3E36"/>
    <w:rsid w:val="1997313A"/>
    <w:rsid w:val="19CE3838"/>
    <w:rsid w:val="1A076244"/>
    <w:rsid w:val="1A8E26BF"/>
    <w:rsid w:val="1B2E4E30"/>
    <w:rsid w:val="1B702AB5"/>
    <w:rsid w:val="1B974A15"/>
    <w:rsid w:val="1C1A6523"/>
    <w:rsid w:val="1C43370A"/>
    <w:rsid w:val="1C6D212E"/>
    <w:rsid w:val="1C7E5C21"/>
    <w:rsid w:val="1C8769FD"/>
    <w:rsid w:val="1CC61F19"/>
    <w:rsid w:val="1D1B615D"/>
    <w:rsid w:val="1D465475"/>
    <w:rsid w:val="1D5E7E5F"/>
    <w:rsid w:val="1D6A3BB0"/>
    <w:rsid w:val="1DB05BC4"/>
    <w:rsid w:val="1E470974"/>
    <w:rsid w:val="1F162724"/>
    <w:rsid w:val="1F3C25C1"/>
    <w:rsid w:val="1F941997"/>
    <w:rsid w:val="1FF84BF6"/>
    <w:rsid w:val="201C7B31"/>
    <w:rsid w:val="20872069"/>
    <w:rsid w:val="20ED3C16"/>
    <w:rsid w:val="221338AA"/>
    <w:rsid w:val="224700DF"/>
    <w:rsid w:val="226D1098"/>
    <w:rsid w:val="22946A87"/>
    <w:rsid w:val="22F6774D"/>
    <w:rsid w:val="22F87273"/>
    <w:rsid w:val="231F022B"/>
    <w:rsid w:val="232D0B4C"/>
    <w:rsid w:val="24B45A43"/>
    <w:rsid w:val="24EA2708"/>
    <w:rsid w:val="2527505B"/>
    <w:rsid w:val="25836610"/>
    <w:rsid w:val="259A2034"/>
    <w:rsid w:val="25C5310A"/>
    <w:rsid w:val="25F3318F"/>
    <w:rsid w:val="262D145C"/>
    <w:rsid w:val="26353EFB"/>
    <w:rsid w:val="26B707B1"/>
    <w:rsid w:val="27012F51"/>
    <w:rsid w:val="27216271"/>
    <w:rsid w:val="281C4C20"/>
    <w:rsid w:val="2842142F"/>
    <w:rsid w:val="285B1E4F"/>
    <w:rsid w:val="28FA6455"/>
    <w:rsid w:val="29367CF7"/>
    <w:rsid w:val="29861651"/>
    <w:rsid w:val="29B55529"/>
    <w:rsid w:val="29DE075F"/>
    <w:rsid w:val="2A1E1287"/>
    <w:rsid w:val="2A713A65"/>
    <w:rsid w:val="2B050160"/>
    <w:rsid w:val="2B2160A9"/>
    <w:rsid w:val="2B381D70"/>
    <w:rsid w:val="2B4A1AA4"/>
    <w:rsid w:val="2BAB5764"/>
    <w:rsid w:val="2BF15C4A"/>
    <w:rsid w:val="2BFD44C9"/>
    <w:rsid w:val="2C4C727A"/>
    <w:rsid w:val="2C6170A5"/>
    <w:rsid w:val="2C736C5F"/>
    <w:rsid w:val="2CE649EF"/>
    <w:rsid w:val="2D0B0DBF"/>
    <w:rsid w:val="2D772AF0"/>
    <w:rsid w:val="2DAC07F4"/>
    <w:rsid w:val="2E114AFB"/>
    <w:rsid w:val="2E150147"/>
    <w:rsid w:val="2E1924DD"/>
    <w:rsid w:val="2E3B3926"/>
    <w:rsid w:val="2EB07E70"/>
    <w:rsid w:val="2EEA15D4"/>
    <w:rsid w:val="2EF44200"/>
    <w:rsid w:val="2F4F1437"/>
    <w:rsid w:val="2F7B1BB4"/>
    <w:rsid w:val="30355402"/>
    <w:rsid w:val="30562C99"/>
    <w:rsid w:val="30696528"/>
    <w:rsid w:val="30EB3632"/>
    <w:rsid w:val="30F06C49"/>
    <w:rsid w:val="3122031C"/>
    <w:rsid w:val="323740AF"/>
    <w:rsid w:val="328E2D44"/>
    <w:rsid w:val="33413EC8"/>
    <w:rsid w:val="33554436"/>
    <w:rsid w:val="34772ADD"/>
    <w:rsid w:val="35105C51"/>
    <w:rsid w:val="351A4B95"/>
    <w:rsid w:val="355B2A13"/>
    <w:rsid w:val="35AA4EFE"/>
    <w:rsid w:val="35F8117C"/>
    <w:rsid w:val="36D706BD"/>
    <w:rsid w:val="36DF5796"/>
    <w:rsid w:val="371F2036"/>
    <w:rsid w:val="37584051"/>
    <w:rsid w:val="37757208"/>
    <w:rsid w:val="37E4758B"/>
    <w:rsid w:val="385413D3"/>
    <w:rsid w:val="385F7EDF"/>
    <w:rsid w:val="38B24523"/>
    <w:rsid w:val="38C90950"/>
    <w:rsid w:val="39071754"/>
    <w:rsid w:val="39477622"/>
    <w:rsid w:val="3950109A"/>
    <w:rsid w:val="3A2A53FC"/>
    <w:rsid w:val="3A316D41"/>
    <w:rsid w:val="3A3A497F"/>
    <w:rsid w:val="3A6A7A6C"/>
    <w:rsid w:val="3A7A6F1E"/>
    <w:rsid w:val="3A841BE7"/>
    <w:rsid w:val="3B194DD7"/>
    <w:rsid w:val="3B4D2A31"/>
    <w:rsid w:val="3B627D51"/>
    <w:rsid w:val="3B64677C"/>
    <w:rsid w:val="3B8406BA"/>
    <w:rsid w:val="3C042224"/>
    <w:rsid w:val="3C49136C"/>
    <w:rsid w:val="3C522566"/>
    <w:rsid w:val="3D0D66C9"/>
    <w:rsid w:val="3D18555E"/>
    <w:rsid w:val="3DA07301"/>
    <w:rsid w:val="3DD75419"/>
    <w:rsid w:val="3E086240"/>
    <w:rsid w:val="3E261EFC"/>
    <w:rsid w:val="3E3A7116"/>
    <w:rsid w:val="3E41042A"/>
    <w:rsid w:val="3E642B43"/>
    <w:rsid w:val="3E682C63"/>
    <w:rsid w:val="3E902AC7"/>
    <w:rsid w:val="3EA22625"/>
    <w:rsid w:val="3F1D6D60"/>
    <w:rsid w:val="3F654DFF"/>
    <w:rsid w:val="3F95513E"/>
    <w:rsid w:val="3FD65A63"/>
    <w:rsid w:val="400E7381"/>
    <w:rsid w:val="4066556A"/>
    <w:rsid w:val="408F2131"/>
    <w:rsid w:val="40A436F8"/>
    <w:rsid w:val="40E8793D"/>
    <w:rsid w:val="41326E0A"/>
    <w:rsid w:val="41BA58A9"/>
    <w:rsid w:val="41ED1EFE"/>
    <w:rsid w:val="42154F37"/>
    <w:rsid w:val="42A16F0F"/>
    <w:rsid w:val="434118E3"/>
    <w:rsid w:val="4364349F"/>
    <w:rsid w:val="43937907"/>
    <w:rsid w:val="43AD217F"/>
    <w:rsid w:val="44EB79FC"/>
    <w:rsid w:val="455E0086"/>
    <w:rsid w:val="458B72B5"/>
    <w:rsid w:val="46D0725A"/>
    <w:rsid w:val="46D64180"/>
    <w:rsid w:val="47911A42"/>
    <w:rsid w:val="47925F0D"/>
    <w:rsid w:val="4797223C"/>
    <w:rsid w:val="47C11F07"/>
    <w:rsid w:val="485A65BA"/>
    <w:rsid w:val="48AE2974"/>
    <w:rsid w:val="48D11615"/>
    <w:rsid w:val="48FA1FBB"/>
    <w:rsid w:val="49555F11"/>
    <w:rsid w:val="4A45552A"/>
    <w:rsid w:val="4BCA00D6"/>
    <w:rsid w:val="4BD6102D"/>
    <w:rsid w:val="4C9C6B0B"/>
    <w:rsid w:val="4CEC2563"/>
    <w:rsid w:val="4CF72E0A"/>
    <w:rsid w:val="4D0D668F"/>
    <w:rsid w:val="4D39613E"/>
    <w:rsid w:val="4D425940"/>
    <w:rsid w:val="4D662315"/>
    <w:rsid w:val="4DD20634"/>
    <w:rsid w:val="4DFA74A7"/>
    <w:rsid w:val="4E007FCD"/>
    <w:rsid w:val="4E0A1174"/>
    <w:rsid w:val="4E3623E0"/>
    <w:rsid w:val="4ED56BBA"/>
    <w:rsid w:val="4F5368C9"/>
    <w:rsid w:val="4F632809"/>
    <w:rsid w:val="4F9A7897"/>
    <w:rsid w:val="4F9F2966"/>
    <w:rsid w:val="504601DC"/>
    <w:rsid w:val="504F0E3F"/>
    <w:rsid w:val="507706BC"/>
    <w:rsid w:val="50D628CB"/>
    <w:rsid w:val="51402C90"/>
    <w:rsid w:val="51492932"/>
    <w:rsid w:val="51CE3145"/>
    <w:rsid w:val="51D9182F"/>
    <w:rsid w:val="51EB6DCF"/>
    <w:rsid w:val="51EC7777"/>
    <w:rsid w:val="51F43DFB"/>
    <w:rsid w:val="5214040A"/>
    <w:rsid w:val="5215308E"/>
    <w:rsid w:val="52FC308C"/>
    <w:rsid w:val="535541B9"/>
    <w:rsid w:val="54893142"/>
    <w:rsid w:val="54B20087"/>
    <w:rsid w:val="54B30803"/>
    <w:rsid w:val="54CF56D2"/>
    <w:rsid w:val="553E5FE2"/>
    <w:rsid w:val="557C0E2E"/>
    <w:rsid w:val="55AE418F"/>
    <w:rsid w:val="56301712"/>
    <w:rsid w:val="56775382"/>
    <w:rsid w:val="57AE5C45"/>
    <w:rsid w:val="57BD4AA6"/>
    <w:rsid w:val="5801790F"/>
    <w:rsid w:val="585D74AD"/>
    <w:rsid w:val="58A6161D"/>
    <w:rsid w:val="58D35C9F"/>
    <w:rsid w:val="5947124D"/>
    <w:rsid w:val="59633CBC"/>
    <w:rsid w:val="5A717E39"/>
    <w:rsid w:val="5B800A46"/>
    <w:rsid w:val="5BED59B0"/>
    <w:rsid w:val="5BFD7927"/>
    <w:rsid w:val="5C757E7F"/>
    <w:rsid w:val="5D004137"/>
    <w:rsid w:val="5D191106"/>
    <w:rsid w:val="5D683466"/>
    <w:rsid w:val="5E07046A"/>
    <w:rsid w:val="5ECD0CBA"/>
    <w:rsid w:val="5EEE1974"/>
    <w:rsid w:val="606B23C8"/>
    <w:rsid w:val="60CA0DE4"/>
    <w:rsid w:val="61096DE8"/>
    <w:rsid w:val="616B6A69"/>
    <w:rsid w:val="618A50EB"/>
    <w:rsid w:val="61CD4084"/>
    <w:rsid w:val="61EE3878"/>
    <w:rsid w:val="622136D2"/>
    <w:rsid w:val="62227EFF"/>
    <w:rsid w:val="62821D6C"/>
    <w:rsid w:val="62E33669"/>
    <w:rsid w:val="62F63414"/>
    <w:rsid w:val="636C365E"/>
    <w:rsid w:val="63791A82"/>
    <w:rsid w:val="6406501C"/>
    <w:rsid w:val="64252A00"/>
    <w:rsid w:val="643E149E"/>
    <w:rsid w:val="64826984"/>
    <w:rsid w:val="650F02D7"/>
    <w:rsid w:val="65191233"/>
    <w:rsid w:val="6522491C"/>
    <w:rsid w:val="66123FF3"/>
    <w:rsid w:val="66947BB5"/>
    <w:rsid w:val="66950943"/>
    <w:rsid w:val="66F72652"/>
    <w:rsid w:val="673E235F"/>
    <w:rsid w:val="673F0D45"/>
    <w:rsid w:val="677F69C1"/>
    <w:rsid w:val="678705FA"/>
    <w:rsid w:val="678A0557"/>
    <w:rsid w:val="67DF7076"/>
    <w:rsid w:val="67E934CF"/>
    <w:rsid w:val="68182AFD"/>
    <w:rsid w:val="68CA1553"/>
    <w:rsid w:val="68D26659"/>
    <w:rsid w:val="692D12BE"/>
    <w:rsid w:val="69A91168"/>
    <w:rsid w:val="6A2A76AB"/>
    <w:rsid w:val="6A3B3D8A"/>
    <w:rsid w:val="6A516961"/>
    <w:rsid w:val="6A9861F3"/>
    <w:rsid w:val="6ACC152B"/>
    <w:rsid w:val="6AD211AF"/>
    <w:rsid w:val="6B0242A5"/>
    <w:rsid w:val="6B2265C4"/>
    <w:rsid w:val="6B23122A"/>
    <w:rsid w:val="6BB34520"/>
    <w:rsid w:val="6C0114FC"/>
    <w:rsid w:val="6CAC2C89"/>
    <w:rsid w:val="6D140F40"/>
    <w:rsid w:val="6D1B24E8"/>
    <w:rsid w:val="6D521646"/>
    <w:rsid w:val="6D5358B5"/>
    <w:rsid w:val="6D643BB1"/>
    <w:rsid w:val="6DCD73EF"/>
    <w:rsid w:val="6E0077C5"/>
    <w:rsid w:val="6E08381B"/>
    <w:rsid w:val="6E1149F8"/>
    <w:rsid w:val="6EC1514D"/>
    <w:rsid w:val="6EC81378"/>
    <w:rsid w:val="6EFF1686"/>
    <w:rsid w:val="6F3703CD"/>
    <w:rsid w:val="6F52577A"/>
    <w:rsid w:val="6FA83C70"/>
    <w:rsid w:val="6FB47993"/>
    <w:rsid w:val="704F29F9"/>
    <w:rsid w:val="71946BA2"/>
    <w:rsid w:val="720C7DC2"/>
    <w:rsid w:val="732D4BB8"/>
    <w:rsid w:val="73830D52"/>
    <w:rsid w:val="73843B20"/>
    <w:rsid w:val="73F25E01"/>
    <w:rsid w:val="743D357C"/>
    <w:rsid w:val="745647DF"/>
    <w:rsid w:val="748266FC"/>
    <w:rsid w:val="74BB1228"/>
    <w:rsid w:val="74EA3555"/>
    <w:rsid w:val="7513740C"/>
    <w:rsid w:val="75514582"/>
    <w:rsid w:val="759A4515"/>
    <w:rsid w:val="75A81617"/>
    <w:rsid w:val="75C567D4"/>
    <w:rsid w:val="75EA3234"/>
    <w:rsid w:val="76092670"/>
    <w:rsid w:val="761402B1"/>
    <w:rsid w:val="76680F03"/>
    <w:rsid w:val="767D593D"/>
    <w:rsid w:val="767E397C"/>
    <w:rsid w:val="769C0CAD"/>
    <w:rsid w:val="769E59C5"/>
    <w:rsid w:val="76CF1DF7"/>
    <w:rsid w:val="76DD3FCF"/>
    <w:rsid w:val="770171A7"/>
    <w:rsid w:val="770A7D21"/>
    <w:rsid w:val="777C5946"/>
    <w:rsid w:val="78524E73"/>
    <w:rsid w:val="78867147"/>
    <w:rsid w:val="78B73442"/>
    <w:rsid w:val="78D775D8"/>
    <w:rsid w:val="78DC3E7D"/>
    <w:rsid w:val="78E41C51"/>
    <w:rsid w:val="791F7C53"/>
    <w:rsid w:val="7929784F"/>
    <w:rsid w:val="795E2293"/>
    <w:rsid w:val="795F3624"/>
    <w:rsid w:val="79964C4B"/>
    <w:rsid w:val="79F24465"/>
    <w:rsid w:val="7AF144E1"/>
    <w:rsid w:val="7B1B3E90"/>
    <w:rsid w:val="7B376CA9"/>
    <w:rsid w:val="7BEB0099"/>
    <w:rsid w:val="7BF70459"/>
    <w:rsid w:val="7C084414"/>
    <w:rsid w:val="7C710949"/>
    <w:rsid w:val="7D9E1C75"/>
    <w:rsid w:val="7DBB54B6"/>
    <w:rsid w:val="7DFD5ACF"/>
    <w:rsid w:val="7E4E7602"/>
    <w:rsid w:val="7E5316BF"/>
    <w:rsid w:val="7EDE320A"/>
    <w:rsid w:val="7F4C6327"/>
    <w:rsid w:val="7F536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340" w:after="330"/>
      <w:ind w:left="0" w:firstLine="0"/>
      <w:jc w:val="center"/>
      <w:outlineLvl w:val="0"/>
    </w:pPr>
    <w:rPr>
      <w:rFonts w:ascii="Calibri" w:hAnsi="Calibri"/>
      <w:b/>
      <w:kern w:val="44"/>
      <w:sz w:val="44"/>
      <w:szCs w:val="20"/>
    </w:rPr>
  </w:style>
  <w:style w:type="paragraph" w:styleId="4">
    <w:name w:val="heading 2"/>
    <w:basedOn w:val="1"/>
    <w:next w:val="1"/>
    <w:autoRedefine/>
    <w:qFormat/>
    <w:uiPriority w:val="99"/>
    <w:pPr>
      <w:keepNext/>
      <w:keepLines/>
      <w:snapToGrid w:val="0"/>
      <w:spacing w:beforeLines="50" w:line="300" w:lineRule="auto"/>
      <w:ind w:firstLine="200" w:firstLineChars="200"/>
      <w:outlineLvl w:val="1"/>
    </w:pPr>
    <w:rPr>
      <w:rFonts w:ascii="Arial" w:hAnsi="Arial"/>
      <w:b/>
      <w:bCs/>
      <w:szCs w:val="32"/>
    </w:rPr>
  </w:style>
  <w:style w:type="paragraph" w:styleId="5">
    <w:name w:val="heading 3"/>
    <w:basedOn w:val="1"/>
    <w:next w:val="1"/>
    <w:autoRedefine/>
    <w:qFormat/>
    <w:uiPriority w:val="99"/>
    <w:pPr>
      <w:widowControl/>
      <w:autoSpaceDE w:val="0"/>
      <w:autoSpaceDN w:val="0"/>
      <w:snapToGrid w:val="0"/>
      <w:spacing w:line="300" w:lineRule="auto"/>
      <w:ind w:firstLine="200" w:firstLineChars="200"/>
      <w:outlineLvl w:val="2"/>
    </w:pPr>
    <w:rPr>
      <w:rFonts w:ascii="Arial" w:hAnsi="Arial"/>
      <w:b/>
      <w:szCs w:val="20"/>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2">
    <w:name w:val="[Normal]"/>
    <w:autoRedefine/>
    <w:qFormat/>
    <w:uiPriority w:val="0"/>
    <w:rPr>
      <w:rFonts w:ascii="宋体" w:hAnsi="宋体" w:eastAsia="宋体" w:cs="Times New Roman"/>
      <w:sz w:val="24"/>
      <w:szCs w:val="22"/>
      <w:lang w:val="zh-CN" w:eastAsia="zh-CN" w:bidi="ar-SA"/>
    </w:rPr>
  </w:style>
  <w:style w:type="paragraph" w:styleId="6">
    <w:name w:val="Normal Indent"/>
    <w:basedOn w:val="1"/>
    <w:next w:val="7"/>
    <w:autoRedefine/>
    <w:qFormat/>
    <w:uiPriority w:val="0"/>
    <w:pPr>
      <w:ind w:firstLine="420"/>
    </w:pPr>
    <w:rPr>
      <w:szCs w:val="20"/>
    </w:rPr>
  </w:style>
  <w:style w:type="paragraph" w:styleId="7">
    <w:name w:val="toc 2"/>
    <w:basedOn w:val="1"/>
    <w:next w:val="1"/>
    <w:autoRedefine/>
    <w:qFormat/>
    <w:uiPriority w:val="0"/>
    <w:pPr>
      <w:tabs>
        <w:tab w:val="right" w:leader="dot" w:pos="10070"/>
      </w:tabs>
      <w:spacing w:line="480" w:lineRule="auto"/>
      <w:ind w:left="200" w:leftChars="200"/>
    </w:pPr>
  </w:style>
  <w:style w:type="paragraph" w:styleId="8">
    <w:name w:val="annotation text"/>
    <w:basedOn w:val="1"/>
    <w:link w:val="63"/>
    <w:autoRedefine/>
    <w:qFormat/>
    <w:uiPriority w:val="0"/>
    <w:pPr>
      <w:jc w:val="left"/>
    </w:pPr>
  </w:style>
  <w:style w:type="paragraph" w:styleId="9">
    <w:name w:val="Body Text"/>
    <w:basedOn w:val="1"/>
    <w:next w:val="10"/>
    <w:link w:val="34"/>
    <w:autoRedefine/>
    <w:semiHidden/>
    <w:unhideWhenUsed/>
    <w:qFormat/>
    <w:uiPriority w:val="99"/>
    <w:pPr>
      <w:spacing w:after="120"/>
    </w:pPr>
  </w:style>
  <w:style w:type="paragraph" w:styleId="10">
    <w:name w:val="Body Text First Indent"/>
    <w:basedOn w:val="9"/>
    <w:next w:val="1"/>
    <w:autoRedefine/>
    <w:qFormat/>
    <w:uiPriority w:val="0"/>
    <w:pPr>
      <w:ind w:firstLine="420" w:firstLineChars="100"/>
    </w:pPr>
  </w:style>
  <w:style w:type="paragraph" w:styleId="11">
    <w:name w:val="Body Text Indent"/>
    <w:basedOn w:val="1"/>
    <w:next w:val="1"/>
    <w:link w:val="35"/>
    <w:autoRedefine/>
    <w:qFormat/>
    <w:uiPriority w:val="99"/>
    <w:pPr>
      <w:spacing w:after="120"/>
      <w:ind w:left="420" w:leftChars="200"/>
    </w:pPr>
  </w:style>
  <w:style w:type="paragraph" w:styleId="12">
    <w:name w:val="Block Text"/>
    <w:basedOn w:val="1"/>
    <w:autoRedefine/>
    <w:qFormat/>
    <w:uiPriority w:val="0"/>
    <w:pPr>
      <w:adjustRightInd w:val="0"/>
      <w:snapToGrid w:val="0"/>
      <w:spacing w:line="360" w:lineRule="auto"/>
      <w:ind w:left="567" w:leftChars="270" w:right="-150" w:rightChars="-150" w:firstLine="480" w:firstLineChars="200"/>
    </w:pPr>
    <w:rPr>
      <w:rFonts w:ascii="宋体"/>
      <w:sz w:val="24"/>
    </w:rPr>
  </w:style>
  <w:style w:type="paragraph" w:styleId="13">
    <w:name w:val="Plain Text"/>
    <w:basedOn w:val="1"/>
    <w:next w:val="14"/>
    <w:autoRedefine/>
    <w:qFormat/>
    <w:uiPriority w:val="0"/>
    <w:rPr>
      <w:rFonts w:ascii="宋体" w:hAnsi="Courier New" w:cstheme="minorBidi"/>
    </w:rPr>
  </w:style>
  <w:style w:type="paragraph" w:styleId="14">
    <w:name w:val="Date"/>
    <w:basedOn w:val="1"/>
    <w:next w:val="1"/>
    <w:autoRedefine/>
    <w:qFormat/>
    <w:uiPriority w:val="99"/>
    <w:pPr>
      <w:ind w:left="2500" w:leftChars="2500"/>
    </w:pPr>
    <w:rPr>
      <w:rFonts w:ascii="Calibri" w:hAnsi="Calibri" w:eastAsia="楷体_GB2312"/>
      <w:sz w:val="32"/>
      <w:szCs w:val="22"/>
    </w:rPr>
  </w:style>
  <w:style w:type="paragraph" w:styleId="15">
    <w:name w:val="Body Text Indent 2"/>
    <w:basedOn w:val="1"/>
    <w:qFormat/>
    <w:uiPriority w:val="0"/>
    <w:pPr>
      <w:ind w:firstLine="560" w:firstLineChars="200"/>
    </w:pPr>
    <w:rPr>
      <w:rFonts w:ascii="仿宋_GB2312" w:eastAsia="仿宋_GB2312"/>
      <w:bCs/>
      <w:sz w:val="28"/>
      <w:szCs w:val="44"/>
    </w:rPr>
  </w:style>
  <w:style w:type="paragraph" w:styleId="16">
    <w:name w:val="Balloon Text"/>
    <w:basedOn w:val="1"/>
    <w:link w:val="36"/>
    <w:autoRedefine/>
    <w:semiHidden/>
    <w:unhideWhenUsed/>
    <w:qFormat/>
    <w:uiPriority w:val="99"/>
    <w:rPr>
      <w:sz w:val="18"/>
      <w:szCs w:val="18"/>
    </w:rPr>
  </w:style>
  <w:style w:type="paragraph" w:styleId="17">
    <w:name w:val="footer"/>
    <w:basedOn w:val="1"/>
    <w:link w:val="33"/>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32"/>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1">
    <w:name w:val="Title"/>
    <w:basedOn w:val="1"/>
    <w:next w:val="1"/>
    <w:autoRedefine/>
    <w:qFormat/>
    <w:uiPriority w:val="10"/>
    <w:pPr>
      <w:spacing w:before="240" w:after="60"/>
      <w:jc w:val="center"/>
      <w:outlineLvl w:val="0"/>
    </w:pPr>
    <w:rPr>
      <w:rFonts w:asciiTheme="majorHAnsi" w:hAnsiTheme="majorHAnsi" w:cstheme="majorBidi"/>
      <w:b/>
      <w:bCs/>
      <w:sz w:val="32"/>
      <w:szCs w:val="32"/>
    </w:rPr>
  </w:style>
  <w:style w:type="paragraph" w:styleId="22">
    <w:name w:val="annotation subject"/>
    <w:basedOn w:val="8"/>
    <w:next w:val="8"/>
    <w:link w:val="64"/>
    <w:autoRedefine/>
    <w:semiHidden/>
    <w:unhideWhenUsed/>
    <w:qFormat/>
    <w:uiPriority w:val="99"/>
    <w:rPr>
      <w:b/>
      <w:bCs/>
    </w:rPr>
  </w:style>
  <w:style w:type="paragraph" w:styleId="23">
    <w:name w:val="Body Text First Indent 2"/>
    <w:basedOn w:val="11"/>
    <w:next w:val="1"/>
    <w:autoRedefine/>
    <w:qFormat/>
    <w:uiPriority w:val="99"/>
    <w:pPr>
      <w:ind w:firstLine="42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autoRedefine/>
    <w:qFormat/>
    <w:uiPriority w:val="0"/>
    <w:rPr>
      <w:rFonts w:ascii="Tahoma" w:hAnsi="Tahoma" w:cs="Tahoma"/>
      <w:b/>
      <w:sz w:val="24"/>
    </w:rPr>
  </w:style>
  <w:style w:type="character" w:styleId="28">
    <w:name w:val="page number"/>
    <w:basedOn w:val="26"/>
    <w:autoRedefine/>
    <w:qFormat/>
    <w:uiPriority w:val="0"/>
  </w:style>
  <w:style w:type="character" w:styleId="29">
    <w:name w:val="Hyperlink"/>
    <w:autoRedefine/>
    <w:unhideWhenUsed/>
    <w:qFormat/>
    <w:uiPriority w:val="0"/>
    <w:rPr>
      <w:color w:val="0000FF"/>
      <w:u w:val="single"/>
    </w:rPr>
  </w:style>
  <w:style w:type="character" w:styleId="30">
    <w:name w:val="annotation reference"/>
    <w:basedOn w:val="26"/>
    <w:autoRedefine/>
    <w:semiHidden/>
    <w:unhideWhenUsed/>
    <w:qFormat/>
    <w:uiPriority w:val="99"/>
    <w:rPr>
      <w:sz w:val="21"/>
      <w:szCs w:val="21"/>
    </w:rPr>
  </w:style>
  <w:style w:type="paragraph" w:customStyle="1" w:styleId="31">
    <w:name w:val="Normal Indent1"/>
    <w:basedOn w:val="1"/>
    <w:autoRedefine/>
    <w:qFormat/>
    <w:uiPriority w:val="0"/>
    <w:pPr>
      <w:ind w:firstLine="420" w:firstLineChars="200"/>
    </w:pPr>
  </w:style>
  <w:style w:type="character" w:customStyle="1" w:styleId="32">
    <w:name w:val="页眉 Char"/>
    <w:basedOn w:val="26"/>
    <w:link w:val="18"/>
    <w:autoRedefine/>
    <w:qFormat/>
    <w:uiPriority w:val="99"/>
    <w:rPr>
      <w:sz w:val="18"/>
      <w:szCs w:val="18"/>
    </w:rPr>
  </w:style>
  <w:style w:type="character" w:customStyle="1" w:styleId="33">
    <w:name w:val="页脚 Char"/>
    <w:basedOn w:val="26"/>
    <w:link w:val="17"/>
    <w:autoRedefine/>
    <w:qFormat/>
    <w:uiPriority w:val="99"/>
    <w:rPr>
      <w:sz w:val="18"/>
      <w:szCs w:val="18"/>
    </w:rPr>
  </w:style>
  <w:style w:type="character" w:customStyle="1" w:styleId="34">
    <w:name w:val="正文文本 Char"/>
    <w:basedOn w:val="26"/>
    <w:link w:val="9"/>
    <w:autoRedefine/>
    <w:semiHidden/>
    <w:qFormat/>
    <w:uiPriority w:val="99"/>
    <w:rPr>
      <w:rFonts w:ascii="Times New Roman" w:hAnsi="Times New Roman" w:eastAsia="宋体" w:cs="Times New Roman"/>
      <w:szCs w:val="24"/>
    </w:rPr>
  </w:style>
  <w:style w:type="character" w:customStyle="1" w:styleId="35">
    <w:name w:val="正文文本缩进 Char"/>
    <w:basedOn w:val="26"/>
    <w:link w:val="11"/>
    <w:autoRedefine/>
    <w:qFormat/>
    <w:uiPriority w:val="99"/>
    <w:rPr>
      <w:rFonts w:ascii="Times New Roman" w:hAnsi="Times New Roman" w:eastAsia="宋体" w:cs="Times New Roman"/>
      <w:szCs w:val="24"/>
    </w:rPr>
  </w:style>
  <w:style w:type="character" w:customStyle="1" w:styleId="36">
    <w:name w:val="批注框文本 Char"/>
    <w:basedOn w:val="26"/>
    <w:link w:val="16"/>
    <w:autoRedefine/>
    <w:semiHidden/>
    <w:qFormat/>
    <w:uiPriority w:val="99"/>
    <w:rPr>
      <w:rFonts w:ascii="Times New Roman" w:hAnsi="Times New Roman" w:eastAsia="宋体" w:cs="Times New Roman"/>
      <w:sz w:val="18"/>
      <w:szCs w:val="18"/>
    </w:rPr>
  </w:style>
  <w:style w:type="character" w:customStyle="1" w:styleId="37">
    <w:name w:val="无"/>
    <w:autoRedefine/>
    <w:qFormat/>
    <w:uiPriority w:val="99"/>
  </w:style>
  <w:style w:type="paragraph" w:customStyle="1" w:styleId="38">
    <w:name w:val="表格文字"/>
    <w:basedOn w:val="1"/>
    <w:next w:val="9"/>
    <w:autoRedefine/>
    <w:qFormat/>
    <w:uiPriority w:val="99"/>
    <w:pPr>
      <w:adjustRightInd w:val="0"/>
      <w:spacing w:line="420" w:lineRule="atLeast"/>
      <w:jc w:val="left"/>
      <w:textAlignment w:val="baseline"/>
    </w:pPr>
    <w:rPr>
      <w:kern w:val="0"/>
    </w:rPr>
  </w:style>
  <w:style w:type="paragraph" w:customStyle="1" w:styleId="39">
    <w:name w:val="正文_8_0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正文_10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1">
    <w:name w:val="reader-word-layer"/>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42">
    <w:name w:val="正文_3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14"/>
    <w:autoRedefine/>
    <w:qFormat/>
    <w:uiPriority w:val="99"/>
    <w:rPr>
      <w:rFonts w:ascii="Times New Roman" w:hAnsi="Times New Roman" w:eastAsia="宋体" w:cs="Times New Roman"/>
      <w:sz w:val="21"/>
      <w:szCs w:val="22"/>
      <w:lang w:val="en-US" w:eastAsia="zh-CN" w:bidi="ar-SA"/>
    </w:rPr>
  </w:style>
  <w:style w:type="paragraph" w:customStyle="1" w:styleId="44">
    <w:name w:val="正文_4"/>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5"/>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1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纯文本_3"/>
    <w:basedOn w:val="46"/>
    <w:autoRedefine/>
    <w:qFormat/>
    <w:uiPriority w:val="99"/>
    <w:pPr>
      <w:widowControl/>
      <w:jc w:val="left"/>
    </w:pPr>
    <w:rPr>
      <w:rFonts w:ascii="宋体" w:hAnsi="Courier New"/>
      <w:szCs w:val="21"/>
    </w:rPr>
  </w:style>
  <w:style w:type="paragraph" w:customStyle="1" w:styleId="48">
    <w:name w:val="纯文本_0_1"/>
    <w:basedOn w:val="1"/>
    <w:autoRedefine/>
    <w:qFormat/>
    <w:uiPriority w:val="99"/>
    <w:pPr>
      <w:widowControl/>
      <w:jc w:val="left"/>
    </w:pPr>
    <w:rPr>
      <w:rFonts w:ascii="宋体" w:hAnsi="Courier New"/>
      <w:szCs w:val="21"/>
    </w:rPr>
  </w:style>
  <w:style w:type="paragraph" w:customStyle="1" w:styleId="49">
    <w:name w:val="正文_17"/>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2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6"/>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Normal_15"/>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
    <w:name w:val="正文1"/>
    <w:next w:val="1"/>
    <w:autoRedefine/>
    <w:qFormat/>
    <w:uiPriority w:val="0"/>
    <w:pPr>
      <w:widowControl w:val="0"/>
      <w:adjustRightInd w:val="0"/>
      <w:spacing w:line="240" w:lineRule="atLeast"/>
      <w:jc w:val="both"/>
    </w:pPr>
    <w:rPr>
      <w:rFonts w:ascii="宋体" w:hAnsi="Times New Roman" w:eastAsia="宋体" w:cs="Times New Roman"/>
      <w:sz w:val="34"/>
      <w:lang w:val="en-US" w:eastAsia="zh-CN" w:bidi="ar-SA"/>
    </w:rPr>
  </w:style>
  <w:style w:type="paragraph" w:customStyle="1" w:styleId="54">
    <w:name w:val="p0"/>
    <w:basedOn w:val="1"/>
    <w:autoRedefine/>
    <w:qFormat/>
    <w:uiPriority w:val="0"/>
    <w:pPr>
      <w:widowControl/>
    </w:pPr>
    <w:rPr>
      <w:rFonts w:ascii="Calibri" w:hAnsi="Calibri" w:cs="宋体"/>
      <w:kern w:val="0"/>
      <w:szCs w:val="21"/>
    </w:rPr>
  </w:style>
  <w:style w:type="paragraph" w:styleId="55">
    <w:name w:val="List Paragraph"/>
    <w:basedOn w:val="1"/>
    <w:autoRedefine/>
    <w:qFormat/>
    <w:uiPriority w:val="0"/>
    <w:pPr>
      <w:ind w:firstLine="420" w:firstLineChars="200"/>
    </w:pPr>
  </w:style>
  <w:style w:type="paragraph" w:customStyle="1" w:styleId="56">
    <w:name w:val="正文（首行缩进2字符）"/>
    <w:basedOn w:val="1"/>
    <w:autoRedefine/>
    <w:qFormat/>
    <w:uiPriority w:val="0"/>
    <w:pPr>
      <w:ind w:firstLine="480" w:firstLineChars="200"/>
    </w:pPr>
    <w:rPr>
      <w:sz w:val="24"/>
      <w:szCs w:val="20"/>
    </w:rPr>
  </w:style>
  <w:style w:type="paragraph" w:customStyle="1" w:styleId="57">
    <w:name w:val="ssfa 正文"/>
    <w:basedOn w:val="1"/>
    <w:autoRedefine/>
    <w:qFormat/>
    <w:uiPriority w:val="0"/>
    <w:pPr>
      <w:spacing w:line="360" w:lineRule="auto"/>
      <w:ind w:firstLine="200" w:firstLineChars="200"/>
    </w:pPr>
    <w:rPr>
      <w:kern w:val="0"/>
      <w:sz w:val="24"/>
      <w:szCs w:val="28"/>
      <w:lang w:val="zh-CN"/>
    </w:rPr>
  </w:style>
  <w:style w:type="character" w:customStyle="1" w:styleId="58">
    <w:name w:val="NormalCharacter"/>
    <w:autoRedefine/>
    <w:semiHidden/>
    <w:qFormat/>
    <w:uiPriority w:val="0"/>
  </w:style>
  <w:style w:type="paragraph" w:customStyle="1" w:styleId="59">
    <w:name w:val="Body Text First Indent Char Char"/>
    <w:basedOn w:val="1"/>
    <w:autoRedefine/>
    <w:qFormat/>
    <w:uiPriority w:val="0"/>
    <w:pPr>
      <w:spacing w:after="120"/>
      <w:ind w:firstLine="100" w:firstLineChars="100"/>
    </w:pPr>
    <w:rPr>
      <w:rFonts w:cs="宋体"/>
      <w:szCs w:val="21"/>
    </w:rPr>
  </w:style>
  <w:style w:type="paragraph" w:customStyle="1" w:styleId="60">
    <w:name w:val="列出段落1"/>
    <w:basedOn w:val="1"/>
    <w:autoRedefine/>
    <w:qFormat/>
    <w:uiPriority w:val="34"/>
    <w:pPr>
      <w:ind w:firstLine="420" w:firstLineChars="200"/>
    </w:pPr>
  </w:style>
  <w:style w:type="paragraph" w:customStyle="1" w:styleId="61">
    <w:name w:val="表格内容"/>
    <w:basedOn w:val="1"/>
    <w:next w:val="1"/>
    <w:autoRedefine/>
    <w:qFormat/>
    <w:uiPriority w:val="0"/>
    <w:pPr>
      <w:adjustRightInd w:val="0"/>
      <w:snapToGrid w:val="0"/>
      <w:jc w:val="center"/>
      <w:textAlignment w:val="baseline"/>
    </w:pPr>
    <w:rPr>
      <w:rFonts w:ascii="Calibri" w:hAnsi="Calibri" w:cs="黑体"/>
      <w:color w:val="000000"/>
      <w:szCs w:val="22"/>
    </w:rPr>
  </w:style>
  <w:style w:type="paragraph" w:customStyle="1" w:styleId="62">
    <w:name w:val="Table Paragraph"/>
    <w:basedOn w:val="1"/>
    <w:autoRedefine/>
    <w:qFormat/>
    <w:uiPriority w:val="1"/>
    <w:pPr>
      <w:jc w:val="left"/>
    </w:pPr>
    <w:rPr>
      <w:kern w:val="0"/>
      <w:sz w:val="22"/>
      <w:lang w:eastAsia="en-US"/>
    </w:rPr>
  </w:style>
  <w:style w:type="character" w:customStyle="1" w:styleId="63">
    <w:name w:val="批注文字 Char"/>
    <w:basedOn w:val="26"/>
    <w:link w:val="8"/>
    <w:autoRedefine/>
    <w:qFormat/>
    <w:uiPriority w:val="0"/>
    <w:rPr>
      <w:kern w:val="2"/>
      <w:sz w:val="21"/>
      <w:szCs w:val="24"/>
    </w:rPr>
  </w:style>
  <w:style w:type="character" w:customStyle="1" w:styleId="64">
    <w:name w:val="批注主题 Char"/>
    <w:basedOn w:val="63"/>
    <w:link w:val="22"/>
    <w:autoRedefine/>
    <w:semiHidden/>
    <w:qFormat/>
    <w:uiPriority w:val="99"/>
    <w:rPr>
      <w:b/>
      <w:bCs/>
      <w:kern w:val="2"/>
      <w:sz w:val="21"/>
      <w:szCs w:val="24"/>
    </w:rPr>
  </w:style>
  <w:style w:type="paragraph" w:customStyle="1" w:styleId="65">
    <w:name w:val="正文首行缩进1"/>
    <w:basedOn w:val="9"/>
    <w:autoRedefine/>
    <w:qFormat/>
    <w:uiPriority w:val="0"/>
    <w:pPr>
      <w:ind w:firstLine="420" w:firstLineChars="100"/>
    </w:pPr>
  </w:style>
  <w:style w:type="paragraph" w:customStyle="1" w:styleId="66">
    <w:name w:val="纯文本1"/>
    <w:basedOn w:val="53"/>
    <w:autoRedefine/>
    <w:qFormat/>
    <w:uiPriority w:val="0"/>
    <w:pPr>
      <w:widowControl/>
      <w:jc w:val="left"/>
    </w:pPr>
    <w:rPr>
      <w:rFonts w:ascii="宋体" w:hAnsi="Courier New"/>
      <w:szCs w:val="20"/>
    </w:rPr>
  </w:style>
  <w:style w:type="paragraph" w:customStyle="1" w:styleId="67">
    <w:name w:val="正文2"/>
    <w:basedOn w:val="1"/>
    <w:autoRedefine/>
    <w:qFormat/>
    <w:uiPriority w:val="0"/>
    <w:pPr>
      <w:spacing w:before="156" w:line="360" w:lineRule="auto"/>
      <w:ind w:firstLine="510" w:firstLineChars="200"/>
    </w:pPr>
    <w:rPr>
      <w:sz w:val="24"/>
      <w:szCs w:val="20"/>
    </w:rPr>
  </w:style>
  <w:style w:type="paragraph" w:customStyle="1" w:styleId="68">
    <w:name w:val="Body Text First Indent 21"/>
    <w:basedOn w:val="69"/>
    <w:autoRedefine/>
    <w:qFormat/>
    <w:uiPriority w:val="0"/>
    <w:pPr>
      <w:ind w:left="0" w:leftChars="0" w:firstLine="840"/>
    </w:pPr>
    <w:rPr>
      <w:rFonts w:cs="宋体"/>
    </w:rPr>
  </w:style>
  <w:style w:type="paragraph" w:customStyle="1" w:styleId="69">
    <w:name w:val="Body Text Indent1"/>
    <w:basedOn w:val="1"/>
    <w:next w:val="1"/>
    <w:autoRedefine/>
    <w:qFormat/>
    <w:uiPriority w:val="0"/>
    <w:pPr>
      <w:spacing w:after="12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18582</Words>
  <Characters>20039</Characters>
  <Lines>211</Lines>
  <Paragraphs>59</Paragraphs>
  <TotalTime>0</TotalTime>
  <ScaleCrop>false</ScaleCrop>
  <LinksUpToDate>false</LinksUpToDate>
  <CharactersWithSpaces>20122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2020-03-20T03:00:00Z</dcterms:created>
  <dc:creator>苏彬</dc:creator>
  <cp:lastModifiedBy>崽崽</cp:lastModifiedBy>
  <cp:lastPrinted>2020-11-27T08:28:00Z</cp:lastPrinted>
  <dcterms:modified xsi:type="dcterms:W3CDTF">2025-01-23T07:41:10Z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DD3610ABA3574F8A83202C25276BA1C8_13</vt:lpwstr>
  </property>
  <property fmtid="{D5CDD505-2E9C-101B-9397-08002B2CF9AE}" pid="4" name="commondata">
    <vt:lpwstr>eyJoZGlkIjoiNmNiNWQzMTIyZDkyNWQ5MzYxMmQ5MTE1ZmU3YjE0M2QifQ==</vt:lpwstr>
  </property>
  <property fmtid="{D5CDD505-2E9C-101B-9397-08002B2CF9AE}" pid="5" name="KSOTemplateDocerSaveRecord">
    <vt:lpwstr>eyJoZGlkIjoiODQ0YjIxNWNhZWZjM2JhMjIwYzYzOGE4MjY2ZTQ1NTYiLCJ1c2VySWQiOiIyNjE1OTIyNjUifQ==</vt:lpwstr>
  </property>
</Properties>
</file>