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p>
    <w:p w14:paraId="5914441F">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69DDE911">
      <w:pPr>
        <w:pStyle w:val="2"/>
        <w:jc w:val="center"/>
        <w:rPr>
          <w:rFonts w:hint="eastAsia" w:ascii="宋体" w:hAnsi="宋体" w:eastAsia="宋体" w:cs="宋体"/>
          <w:color w:val="auto"/>
          <w:highlight w:val="none"/>
        </w:rPr>
      </w:pPr>
    </w:p>
    <w:p w14:paraId="68BBD509">
      <w:pPr>
        <w:pStyle w:val="2"/>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tzya2024-lq65</w:t>
      </w:r>
      <w:r>
        <w:rPr>
          <w:rFonts w:hint="eastAsia" w:ascii="宋体" w:hAnsi="宋体" w:eastAsia="宋体" w:cs="宋体"/>
          <w:color w:val="auto"/>
          <w:kern w:val="0"/>
          <w:sz w:val="28"/>
          <w:szCs w:val="28"/>
          <w:highlight w:val="none"/>
          <w:u w:val="single"/>
          <w:lang w:val="en-US" w:eastAsia="zh-CN"/>
        </w:rPr>
        <w:t xml:space="preserve"> </w:t>
      </w:r>
    </w:p>
    <w:p w14:paraId="5E66ADEA">
      <w:pPr>
        <w:pStyle w:val="2"/>
        <w:jc w:val="center"/>
        <w:rPr>
          <w:rFonts w:hint="eastAsia" w:ascii="宋体" w:hAnsi="宋体" w:eastAsia="宋体" w:cs="宋体"/>
          <w:color w:val="auto"/>
          <w:highlight w:val="none"/>
        </w:rPr>
      </w:pPr>
    </w:p>
    <w:p w14:paraId="7BDBAFF3">
      <w:pPr>
        <w:pStyle w:val="2"/>
        <w:jc w:val="both"/>
        <w:rPr>
          <w:rFonts w:hint="eastAsia" w:ascii="宋体" w:hAnsi="宋体" w:eastAsia="宋体" w:cs="宋体"/>
          <w:color w:val="auto"/>
          <w:highlight w:val="none"/>
        </w:rPr>
      </w:pPr>
    </w:p>
    <w:p w14:paraId="2A19EF38">
      <w:pPr>
        <w:pStyle w:val="2"/>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路桥区非道路移动机械治理项目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台州市生态环境局路桥分局</w:t>
      </w:r>
    </w:p>
    <w:p w14:paraId="50A0712E">
      <w:pPr>
        <w:pStyle w:val="2"/>
        <w:rPr>
          <w:rFonts w:hint="eastAsia" w:ascii="宋体" w:hAnsi="宋体" w:eastAsia="宋体" w:cs="宋体"/>
          <w:color w:val="auto"/>
          <w:highlight w:val="none"/>
        </w:rPr>
      </w:pPr>
    </w:p>
    <w:p w14:paraId="3DB07839">
      <w:pPr>
        <w:pStyle w:val="2"/>
        <w:rPr>
          <w:rFonts w:hint="eastAsia" w:ascii="宋体" w:hAnsi="宋体" w:eastAsia="宋体" w:cs="宋体"/>
          <w:color w:val="auto"/>
          <w:highlight w:val="none"/>
        </w:rPr>
      </w:pPr>
    </w:p>
    <w:p w14:paraId="1CFE532B">
      <w:pPr>
        <w:pStyle w:val="2"/>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2"/>
        <w:rPr>
          <w:rFonts w:hint="eastAsia" w:ascii="宋体" w:hAnsi="宋体" w:eastAsia="宋体" w:cs="宋体"/>
          <w:color w:val="auto"/>
          <w:highlight w:val="none"/>
        </w:rPr>
      </w:pPr>
    </w:p>
    <w:p w14:paraId="2D24640F">
      <w:pPr>
        <w:pStyle w:val="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w:t>
      </w:r>
      <w:r>
        <w:rPr>
          <w:rFonts w:hint="eastAsia" w:ascii="宋体" w:hAnsi="宋体" w:cs="宋体"/>
          <w:color w:val="auto"/>
          <w:kern w:val="0"/>
          <w:sz w:val="28"/>
          <w:szCs w:val="28"/>
          <w:highlight w:val="none"/>
          <w:lang w:val="en-US" w:eastAsia="zh-CN" w:bidi="ar-SA"/>
        </w:rPr>
        <w:t>二四年八月</w:t>
      </w:r>
    </w:p>
    <w:p w14:paraId="185725BE">
      <w:pPr>
        <w:pStyle w:val="2"/>
        <w:jc w:val="center"/>
        <w:rPr>
          <w:rFonts w:hint="eastAsia" w:ascii="宋体" w:hAnsi="宋体" w:eastAsia="宋体" w:cs="宋体"/>
          <w:color w:val="auto"/>
          <w:kern w:val="0"/>
          <w:szCs w:val="21"/>
          <w:highlight w:val="none"/>
        </w:rPr>
      </w:pPr>
    </w:p>
    <w:p w14:paraId="5C064B3B">
      <w:pPr>
        <w:pStyle w:val="2"/>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2"/>
        <w:jc w:val="center"/>
        <w:rPr>
          <w:rFonts w:hint="eastAsia" w:ascii="宋体" w:hAnsi="宋体" w:eastAsia="宋体" w:cs="宋体"/>
          <w:color w:val="auto"/>
          <w:highlight w:val="none"/>
        </w:rPr>
      </w:pPr>
    </w:p>
    <w:p w14:paraId="042E56A3">
      <w:pPr>
        <w:pStyle w:val="2"/>
        <w:jc w:val="center"/>
        <w:rPr>
          <w:rFonts w:hint="eastAsia" w:ascii="宋体" w:hAnsi="宋体" w:eastAsia="宋体" w:cs="宋体"/>
          <w:color w:val="auto"/>
          <w:highlight w:val="none"/>
        </w:rPr>
      </w:pPr>
    </w:p>
    <w:p w14:paraId="2C8288CA">
      <w:pPr>
        <w:pStyle w:val="2"/>
        <w:jc w:val="center"/>
        <w:rPr>
          <w:rFonts w:hint="eastAsia" w:ascii="宋体" w:hAnsi="宋体" w:eastAsia="宋体" w:cs="宋体"/>
          <w:color w:val="auto"/>
          <w:highlight w:val="none"/>
        </w:rPr>
      </w:pPr>
    </w:p>
    <w:p w14:paraId="65800D02">
      <w:pPr>
        <w:pStyle w:val="2"/>
        <w:jc w:val="center"/>
        <w:rPr>
          <w:rFonts w:hint="eastAsia" w:ascii="宋体" w:hAnsi="宋体" w:eastAsia="宋体" w:cs="宋体"/>
          <w:color w:val="auto"/>
          <w:highlight w:val="none"/>
        </w:rPr>
      </w:pPr>
    </w:p>
    <w:p w14:paraId="692109DE">
      <w:pPr>
        <w:pStyle w:val="2"/>
        <w:jc w:val="center"/>
        <w:rPr>
          <w:rFonts w:hint="eastAsia" w:ascii="宋体" w:hAnsi="宋体" w:eastAsia="宋体" w:cs="宋体"/>
          <w:color w:val="auto"/>
          <w:highlight w:val="none"/>
        </w:rPr>
      </w:pPr>
    </w:p>
    <w:p w14:paraId="3ACEE434">
      <w:pPr>
        <w:pStyle w:val="2"/>
        <w:jc w:val="center"/>
        <w:rPr>
          <w:rFonts w:hint="eastAsia" w:ascii="宋体" w:hAnsi="宋体" w:eastAsia="宋体" w:cs="宋体"/>
          <w:color w:val="auto"/>
          <w:highlight w:val="none"/>
        </w:rPr>
      </w:pPr>
    </w:p>
    <w:p w14:paraId="61A06842">
      <w:pPr>
        <w:pStyle w:val="2"/>
        <w:jc w:val="center"/>
        <w:rPr>
          <w:rFonts w:hint="eastAsia" w:ascii="宋体" w:hAnsi="宋体" w:eastAsia="宋体" w:cs="宋体"/>
          <w:color w:val="auto"/>
          <w:highlight w:val="none"/>
        </w:rPr>
      </w:pPr>
    </w:p>
    <w:p w14:paraId="4D3B55B3">
      <w:pPr>
        <w:pStyle w:val="2"/>
        <w:jc w:val="center"/>
        <w:rPr>
          <w:rFonts w:hint="eastAsia" w:ascii="宋体" w:hAnsi="宋体" w:eastAsia="宋体" w:cs="宋体"/>
          <w:color w:val="auto"/>
          <w:highlight w:val="none"/>
        </w:rPr>
      </w:pPr>
    </w:p>
    <w:p w14:paraId="1B7890E4">
      <w:pPr>
        <w:pStyle w:val="2"/>
        <w:jc w:val="center"/>
        <w:rPr>
          <w:rFonts w:hint="eastAsia" w:ascii="宋体" w:hAnsi="宋体" w:eastAsia="宋体" w:cs="宋体"/>
          <w:color w:val="auto"/>
          <w:highlight w:val="none"/>
        </w:rPr>
      </w:pPr>
    </w:p>
    <w:p w14:paraId="1127D630">
      <w:pPr>
        <w:pStyle w:val="2"/>
        <w:jc w:val="center"/>
        <w:rPr>
          <w:rFonts w:hint="eastAsia" w:ascii="宋体" w:hAnsi="宋体" w:eastAsia="宋体" w:cs="宋体"/>
          <w:color w:val="auto"/>
          <w:highlight w:val="none"/>
        </w:rPr>
      </w:pPr>
    </w:p>
    <w:p w14:paraId="5F880009">
      <w:pPr>
        <w:pStyle w:val="2"/>
        <w:jc w:val="center"/>
        <w:rPr>
          <w:rFonts w:hint="eastAsia" w:ascii="宋体" w:hAnsi="宋体" w:eastAsia="宋体" w:cs="宋体"/>
          <w:color w:val="auto"/>
          <w:highlight w:val="none"/>
        </w:rPr>
      </w:pPr>
    </w:p>
    <w:p w14:paraId="1A643C10">
      <w:pPr>
        <w:pStyle w:val="2"/>
        <w:jc w:val="center"/>
        <w:rPr>
          <w:rFonts w:hint="eastAsia" w:ascii="宋体" w:hAnsi="宋体" w:eastAsia="宋体" w:cs="宋体"/>
          <w:color w:val="auto"/>
          <w:highlight w:val="none"/>
        </w:rPr>
      </w:pPr>
    </w:p>
    <w:p w14:paraId="72E7C426">
      <w:pPr>
        <w:pStyle w:val="2"/>
        <w:jc w:val="center"/>
        <w:rPr>
          <w:rFonts w:hint="eastAsia" w:ascii="宋体" w:hAnsi="宋体" w:eastAsia="宋体" w:cs="宋体"/>
          <w:color w:val="auto"/>
          <w:highlight w:val="none"/>
        </w:rPr>
      </w:pPr>
    </w:p>
    <w:p w14:paraId="304BE940">
      <w:pPr>
        <w:pStyle w:val="2"/>
        <w:jc w:val="center"/>
        <w:rPr>
          <w:rFonts w:hint="eastAsia" w:ascii="宋体" w:hAnsi="宋体" w:eastAsia="宋体" w:cs="宋体"/>
          <w:color w:val="auto"/>
          <w:highlight w:val="none"/>
        </w:rPr>
      </w:pPr>
    </w:p>
    <w:p w14:paraId="1D8907FB">
      <w:pPr>
        <w:pStyle w:val="2"/>
        <w:jc w:val="center"/>
        <w:rPr>
          <w:rFonts w:hint="eastAsia" w:ascii="宋体" w:hAnsi="宋体" w:eastAsia="宋体" w:cs="宋体"/>
          <w:color w:val="auto"/>
          <w:highlight w:val="none"/>
        </w:rPr>
      </w:pPr>
    </w:p>
    <w:p w14:paraId="44AFD141">
      <w:pPr>
        <w:pStyle w:val="2"/>
        <w:jc w:val="center"/>
        <w:rPr>
          <w:rFonts w:hint="eastAsia" w:ascii="宋体" w:hAnsi="宋体" w:eastAsia="宋体" w:cs="宋体"/>
          <w:color w:val="auto"/>
          <w:highlight w:val="none"/>
        </w:rPr>
      </w:pPr>
    </w:p>
    <w:p w14:paraId="573C318E">
      <w:pPr>
        <w:pStyle w:val="2"/>
        <w:jc w:val="center"/>
        <w:rPr>
          <w:rFonts w:hint="eastAsia" w:ascii="宋体" w:hAnsi="宋体" w:eastAsia="宋体" w:cs="宋体"/>
          <w:color w:val="auto"/>
          <w:highlight w:val="none"/>
        </w:rPr>
      </w:pPr>
    </w:p>
    <w:p w14:paraId="79E54CA4">
      <w:pPr>
        <w:pStyle w:val="2"/>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eastAsia="宋体" w:cs="宋体"/>
          <w:b/>
          <w:bCs/>
          <w:color w:val="auto"/>
          <w:sz w:val="21"/>
          <w:szCs w:val="21"/>
          <w:highlight w:val="none"/>
          <w:lang w:eastAsia="zh-CN"/>
        </w:rPr>
        <w:t>台州市生态环境局路桥分局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路桥区非道路移动机械治理项目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tzya2024-lq65</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19"/>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76"/>
        <w:gridCol w:w="1424"/>
        <w:gridCol w:w="667"/>
        <w:gridCol w:w="697"/>
        <w:gridCol w:w="1543"/>
        <w:gridCol w:w="1296"/>
        <w:gridCol w:w="1296"/>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76"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1976"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424"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67"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97"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543" w:type="dxa"/>
            <w:vAlign w:val="center"/>
          </w:tcPr>
          <w:p w14:paraId="3749CFA3">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125519A2">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96" w:type="dxa"/>
            <w:vAlign w:val="center"/>
          </w:tcPr>
          <w:p w14:paraId="1DB0453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最高限价</w:t>
            </w:r>
          </w:p>
          <w:p w14:paraId="63B4EDDA">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（万元）</w:t>
            </w:r>
          </w:p>
        </w:tc>
        <w:tc>
          <w:tcPr>
            <w:tcW w:w="1296" w:type="dxa"/>
            <w:vAlign w:val="center"/>
          </w:tcPr>
          <w:p w14:paraId="33F30E5E">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备注</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6"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976"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路桥区非道路移动机械治理项目</w:t>
            </w:r>
          </w:p>
        </w:tc>
        <w:tc>
          <w:tcPr>
            <w:tcW w:w="1424"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667"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97"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543" w:type="dxa"/>
            <w:vAlign w:val="center"/>
          </w:tcPr>
          <w:p w14:paraId="032FCA6C">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62.7</w:t>
            </w:r>
          </w:p>
        </w:tc>
        <w:tc>
          <w:tcPr>
            <w:tcW w:w="1296" w:type="dxa"/>
            <w:vAlign w:val="center"/>
          </w:tcPr>
          <w:p w14:paraId="2F8DA0F8">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55</w:t>
            </w:r>
          </w:p>
        </w:tc>
        <w:tc>
          <w:tcPr>
            <w:tcW w:w="1296" w:type="dxa"/>
            <w:vAlign w:val="center"/>
          </w:tcPr>
          <w:p w14:paraId="1B2EB786">
            <w:pPr>
              <w:tabs>
                <w:tab w:val="left" w:pos="8280"/>
              </w:tabs>
              <w:autoSpaceDE w:val="0"/>
              <w:autoSpaceDN w:val="0"/>
              <w:adjustRightInd w:val="0"/>
              <w:ind w:right="25" w:rightChars="0"/>
              <w:jc w:val="both"/>
              <w:rPr>
                <w:rFonts w:hint="eastAsia" w:ascii="宋体" w:hAnsi="宋体" w:eastAsia="宋体" w:cs="宋体"/>
                <w:color w:val="auto"/>
                <w:sz w:val="21"/>
                <w:szCs w:val="21"/>
                <w:highlight w:val="none"/>
              </w:rPr>
            </w:pP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目接受联合体投标。</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2"/>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2"/>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2"/>
          <w:rFonts w:hint="eastAsia" w:ascii="宋体" w:hAnsi="宋体" w:eastAsia="宋体" w:cs="宋体"/>
          <w:i w:val="0"/>
          <w:caps w:val="0"/>
          <w:color w:val="auto"/>
          <w:spacing w:val="0"/>
          <w:sz w:val="21"/>
          <w:szCs w:val="21"/>
          <w:highlight w:val="none"/>
        </w:rPr>
        <w:t>方式：潜在供应商登陆</w:t>
      </w:r>
      <w:r>
        <w:rPr>
          <w:rStyle w:val="22"/>
          <w:rFonts w:hint="eastAsia" w:ascii="宋体" w:hAnsi="宋体" w:eastAsia="宋体" w:cs="宋体"/>
          <w:i w:val="0"/>
          <w:caps w:val="0"/>
          <w:color w:val="auto"/>
          <w:spacing w:val="0"/>
          <w:sz w:val="21"/>
          <w:szCs w:val="21"/>
          <w:highlight w:val="none"/>
          <w:lang w:val="en-US" w:eastAsia="zh-CN"/>
        </w:rPr>
        <w:t>政府采购</w:t>
      </w:r>
      <w:r>
        <w:rPr>
          <w:rStyle w:val="22"/>
          <w:rFonts w:hint="eastAsia" w:ascii="宋体" w:hAnsi="宋体" w:eastAsia="宋体" w:cs="宋体"/>
          <w:i w:val="0"/>
          <w:caps w:val="0"/>
          <w:color w:val="auto"/>
          <w:spacing w:val="0"/>
          <w:sz w:val="21"/>
          <w:szCs w:val="21"/>
          <w:highlight w:val="none"/>
        </w:rPr>
        <w:t>云平台，在线申请获取招标文件</w:t>
      </w:r>
      <w:r>
        <w:rPr>
          <w:rStyle w:val="22"/>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2"/>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2"/>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2"/>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2"/>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2"/>
          <w:rFonts w:hint="eastAsia" w:ascii="宋体" w:hAnsi="宋体" w:eastAsia="宋体" w:cs="宋体"/>
          <w:b w:val="0"/>
          <w:bCs w:val="0"/>
          <w:i w:val="0"/>
          <w:caps w:val="0"/>
          <w:color w:val="auto"/>
          <w:spacing w:val="0"/>
          <w:sz w:val="21"/>
          <w:szCs w:val="21"/>
          <w:highlight w:val="none"/>
          <w:lang w:val="en-US" w:eastAsia="zh-CN"/>
        </w:rPr>
        <w:t>5</w:t>
      </w:r>
      <w:r>
        <w:rPr>
          <w:rStyle w:val="22"/>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2"/>
          <w:rFonts w:hint="eastAsia" w:ascii="宋体" w:hAnsi="宋体" w:eastAsia="宋体" w:cs="宋体"/>
          <w:i w:val="0"/>
          <w:caps w:val="0"/>
          <w:color w:val="auto"/>
          <w:spacing w:val="0"/>
          <w:sz w:val="21"/>
          <w:szCs w:val="21"/>
          <w:highlight w:val="none"/>
          <w:lang w:val="en-US" w:eastAsia="zh-CN"/>
        </w:rPr>
        <w:t>6</w:t>
      </w:r>
      <w:r>
        <w:rPr>
          <w:rStyle w:val="22"/>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2"/>
          <w:rFonts w:hint="eastAsia" w:ascii="宋体" w:hAnsi="宋体" w:eastAsia="宋体" w:cs="宋体"/>
          <w:i w:val="0"/>
          <w:caps w:val="0"/>
          <w:color w:val="auto"/>
          <w:spacing w:val="0"/>
          <w:sz w:val="21"/>
          <w:szCs w:val="21"/>
          <w:highlight w:val="none"/>
        </w:rPr>
      </w:pPr>
      <w:r>
        <w:rPr>
          <w:rStyle w:val="22"/>
          <w:rFonts w:hint="eastAsia" w:ascii="宋体" w:hAnsi="宋体" w:eastAsia="宋体" w:cs="宋体"/>
          <w:i w:val="0"/>
          <w:caps w:val="0"/>
          <w:color w:val="auto"/>
          <w:spacing w:val="0"/>
          <w:sz w:val="21"/>
          <w:szCs w:val="21"/>
          <w:highlight w:val="none"/>
        </w:rPr>
        <w:t>注：请供应商按上述要求获取招标文件，如未在“</w:t>
      </w:r>
      <w:r>
        <w:rPr>
          <w:rStyle w:val="22"/>
          <w:rFonts w:hint="eastAsia" w:ascii="宋体" w:hAnsi="宋体" w:eastAsia="宋体" w:cs="宋体"/>
          <w:i w:val="0"/>
          <w:caps w:val="0"/>
          <w:color w:val="auto"/>
          <w:spacing w:val="0"/>
          <w:sz w:val="21"/>
          <w:szCs w:val="21"/>
          <w:highlight w:val="none"/>
          <w:lang w:val="en-US" w:eastAsia="zh-CN"/>
        </w:rPr>
        <w:t>政府采购云平台</w:t>
      </w:r>
      <w:r>
        <w:rPr>
          <w:rStyle w:val="22"/>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bookmarkStart w:id="1" w:name="_GoBack"/>
      <w:bookmarkEnd w:id="1"/>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49"/>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2024年9月9日</w:t>
      </w:r>
      <w:r>
        <w:rPr>
          <w:rFonts w:hint="eastAsia" w:ascii="宋体" w:hAnsi="宋体" w:eastAsia="宋体" w:cs="宋体"/>
          <w:color w:val="auto"/>
          <w:sz w:val="21"/>
          <w:szCs w:val="21"/>
          <w:highlight w:val="none"/>
          <w:lang w:eastAsia="zh-CN"/>
        </w:rPr>
        <w:t xml:space="preserve">14:30整，地点：通过“政府采购云平台（www.zcygov.cn）”实行在线投标响应   </w:t>
      </w:r>
    </w:p>
    <w:p w14:paraId="52EAA459">
      <w:pPr>
        <w:pStyle w:val="49"/>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2024年9月9日</w:t>
      </w:r>
      <w:r>
        <w:rPr>
          <w:rFonts w:hint="eastAsia" w:ascii="宋体" w:hAnsi="宋体" w:eastAsia="宋体" w:cs="宋体"/>
          <w:color w:val="auto"/>
          <w:sz w:val="21"/>
          <w:szCs w:val="21"/>
          <w:highlight w:val="none"/>
          <w:lang w:eastAsia="zh-CN"/>
        </w:rPr>
        <w:t>14:30整，地点：通过“政府采购云平台（www.zcygov.cn）”实行在线投标响应</w:t>
      </w:r>
    </w:p>
    <w:p w14:paraId="1D0C1772">
      <w:pPr>
        <w:pStyle w:val="49"/>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2024年9月9日</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49"/>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9"/>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9"/>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2"/>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F0D3F3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CB875B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13F681F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台州市生态环境局路桥分局</w:t>
      </w:r>
    </w:p>
    <w:p w14:paraId="3A93E3C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陈先生</w:t>
      </w:r>
    </w:p>
    <w:p w14:paraId="1B1A5C38">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0576-82581137</w:t>
      </w:r>
    </w:p>
    <w:p w14:paraId="099239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路桥区</w:t>
      </w:r>
      <w:r>
        <w:rPr>
          <w:rFonts w:hint="eastAsia" w:ascii="宋体" w:hAnsi="宋体" w:eastAsia="宋体" w:cs="宋体"/>
          <w:color w:val="auto"/>
          <w:sz w:val="21"/>
          <w:szCs w:val="21"/>
          <w:highlight w:val="none"/>
        </w:rPr>
        <w:t>月河北街1号洋张大楼</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DB3AB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14:paraId="16AA3D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DA2E9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64522158">
      <w:pPr>
        <w:pStyle w:val="3"/>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0"/>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0"/>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6"/>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19"/>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Cs w:val="21"/>
          <w:highlight w:val="none"/>
        </w:rPr>
        <w:t>http://zfcg.czt.zj.gov.cn</w:t>
      </w:r>
      <w:r>
        <w:rPr>
          <w:rStyle w:val="24"/>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911BBAA">
      <w:pPr>
        <w:pStyle w:val="2"/>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二四年八月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1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0"/>
        <w:gridCol w:w="7362"/>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7"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0"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362"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0"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362"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0"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362"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0"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362"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57"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0"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362"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0"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362"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57"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0" w:type="dxa"/>
            <w:vAlign w:val="center"/>
          </w:tcPr>
          <w:p w14:paraId="63057E79">
            <w:pPr>
              <w:pStyle w:val="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362"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2024年9月9日</w:t>
            </w:r>
            <w:r>
              <w:rPr>
                <w:rFonts w:hint="eastAsia" w:ascii="宋体" w:hAnsi="宋体" w:eastAsia="宋体" w:cs="宋体"/>
                <w:b/>
                <w:bCs/>
                <w:color w:val="auto"/>
                <w:kern w:val="2"/>
                <w:sz w:val="21"/>
                <w:szCs w:val="21"/>
                <w:highlight w:val="none"/>
                <w:u w:val="single"/>
                <w:lang w:val="en-US" w:eastAsia="zh-CN" w:bidi="ar-SA"/>
              </w:rPr>
              <w:t>14:30整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57"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0"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362" w:type="dxa"/>
            <w:vAlign w:val="center"/>
          </w:tcPr>
          <w:p w14:paraId="5F3973CF">
            <w:pPr>
              <w:pStyle w:val="49"/>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2024年9月9日</w:t>
            </w:r>
            <w:r>
              <w:rPr>
                <w:rFonts w:hint="eastAsia" w:ascii="宋体" w:hAnsi="宋体" w:eastAsia="宋体" w:cs="宋体"/>
                <w:b/>
                <w:bCs/>
                <w:color w:val="auto"/>
                <w:kern w:val="2"/>
                <w:sz w:val="21"/>
                <w:szCs w:val="21"/>
                <w:highlight w:val="none"/>
                <w:u w:val="single"/>
                <w:lang w:val="en-US" w:eastAsia="zh-CN" w:bidi="ar-SA"/>
              </w:rPr>
              <w:t>14:30整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57"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0"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362" w:type="dxa"/>
            <w:vAlign w:val="center"/>
          </w:tcPr>
          <w:p w14:paraId="094FC67E">
            <w:pPr>
              <w:pStyle w:val="16"/>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7"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0"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362"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2024年9月9日</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（北京时间）</w:t>
            </w:r>
          </w:p>
          <w:p w14:paraId="15AA9BFC">
            <w:pPr>
              <w:pStyle w:val="48"/>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7"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0"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362"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6F1E04C7">
            <w:pPr>
              <w:pStyle w:val="48"/>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2、节能环保：符合国家相关法律法规；3、样品：无要求；4、现场演示：无要求</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0"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362" w:type="dxa"/>
            <w:vAlign w:val="center"/>
          </w:tcPr>
          <w:p w14:paraId="5E8F3B53">
            <w:pPr>
              <w:pStyle w:val="48"/>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48"/>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0"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362"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78A33A2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420"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362"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05FC46CB">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2C3C5F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（5）以联合体投标的，须提供联合体协议；</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Cs w:val="21"/>
          <w:highlight w:val="none"/>
        </w:rPr>
        <w:t>投标人认为需要说明的其他材料；</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2B4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w:t>
      </w:r>
      <w:r>
        <w:rPr>
          <w:rFonts w:hint="eastAsia" w:ascii="宋体" w:hAnsi="宋体" w:eastAsia="宋体" w:cs="宋体"/>
          <w:color w:val="auto"/>
          <w:spacing w:val="-3"/>
          <w:sz w:val="21"/>
          <w:szCs w:val="21"/>
          <w:highlight w:val="none"/>
        </w:rPr>
        <w:t>包括劳务费、人员工资、场地费用、材料费、仪器设备、技术服务、利润、税费、招标代理服务费、政策性文件规定及合同包含的所有风险、责任、成果验收以及采购文件约定工作内容所包含的一切费用</w:t>
      </w:r>
      <w:r>
        <w:rPr>
          <w:rFonts w:hint="eastAsia" w:ascii="宋体" w:hAnsi="宋体" w:eastAsia="宋体" w:cs="宋体"/>
          <w:color w:val="auto"/>
          <w:sz w:val="21"/>
          <w:szCs w:val="21"/>
          <w:highlight w:val="none"/>
          <w:lang w:val="en-US" w:eastAsia="zh-CN"/>
        </w:rPr>
        <w:t>。</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4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4"/>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4"/>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4"/>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3911C7BA">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14:paraId="5F3A4A8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0157C531">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23821C6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14:paraId="6AA75EF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14CC262E">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728E12B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10BE49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01BD8F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1F0213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4AD005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6A553B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3804C5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46F9CA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103B175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6"/>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976DF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F421FF4">
      <w:pPr>
        <w:rPr>
          <w:rFonts w:hint="eastAsia" w:ascii="宋体" w:hAnsi="宋体" w:eastAsia="宋体" w:cs="宋体"/>
          <w:color w:val="auto"/>
          <w:highlight w:val="none"/>
        </w:rPr>
      </w:pPr>
    </w:p>
    <w:p w14:paraId="00FC92C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13622816">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投标报价得分=(评标基准价／投标报价)×20%×100 。</w:t>
      </w:r>
    </w:p>
    <w:p w14:paraId="5EE2637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4FDA8B07">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19"/>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054"/>
        <w:gridCol w:w="6066"/>
        <w:gridCol w:w="628"/>
      </w:tblGrid>
      <w:tr w14:paraId="6D71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45" w:type="dxa"/>
            <w:gridSpan w:val="2"/>
            <w:tcBorders>
              <w:top w:val="single" w:color="auto" w:sz="4" w:space="0"/>
              <w:left w:val="single" w:color="auto" w:sz="4" w:space="0"/>
              <w:bottom w:val="single" w:color="auto" w:sz="4" w:space="0"/>
              <w:right w:val="single" w:color="auto" w:sz="4" w:space="0"/>
            </w:tcBorders>
            <w:vAlign w:val="center"/>
          </w:tcPr>
          <w:p w14:paraId="48516041">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评标因素</w:t>
            </w:r>
          </w:p>
        </w:tc>
        <w:tc>
          <w:tcPr>
            <w:tcW w:w="6066" w:type="dxa"/>
            <w:tcBorders>
              <w:top w:val="single" w:color="auto" w:sz="4" w:space="0"/>
              <w:left w:val="single" w:color="auto" w:sz="4" w:space="0"/>
              <w:bottom w:val="single" w:color="auto" w:sz="4" w:space="0"/>
              <w:right w:val="single" w:color="auto" w:sz="4" w:space="0"/>
            </w:tcBorders>
            <w:vAlign w:val="center"/>
          </w:tcPr>
          <w:p w14:paraId="0107E909">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628" w:type="dxa"/>
            <w:tcBorders>
              <w:top w:val="single" w:color="auto" w:sz="4" w:space="0"/>
              <w:left w:val="single" w:color="auto" w:sz="4" w:space="0"/>
              <w:bottom w:val="single" w:color="auto" w:sz="4" w:space="0"/>
              <w:right w:val="single" w:color="auto" w:sz="4" w:space="0"/>
            </w:tcBorders>
            <w:vAlign w:val="center"/>
          </w:tcPr>
          <w:p w14:paraId="77288DA4">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r>
      <w:tr w14:paraId="2923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991" w:type="dxa"/>
            <w:vMerge w:val="restart"/>
            <w:tcBorders>
              <w:top w:val="single" w:color="auto" w:sz="4" w:space="0"/>
              <w:left w:val="single" w:color="auto" w:sz="4" w:space="0"/>
              <w:right w:val="single" w:color="auto" w:sz="4" w:space="0"/>
            </w:tcBorders>
            <w:vAlign w:val="center"/>
          </w:tcPr>
          <w:p w14:paraId="796E36FC">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w:t>
            </w:r>
          </w:p>
          <w:p w14:paraId="5BBDC6BD">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分）</w:t>
            </w:r>
          </w:p>
        </w:tc>
        <w:tc>
          <w:tcPr>
            <w:tcW w:w="1054" w:type="dxa"/>
            <w:vMerge w:val="restart"/>
            <w:tcBorders>
              <w:top w:val="single" w:color="auto" w:sz="4" w:space="0"/>
              <w:left w:val="single" w:color="auto" w:sz="4" w:space="0"/>
              <w:right w:val="single" w:color="auto" w:sz="4" w:space="0"/>
            </w:tcBorders>
            <w:vAlign w:val="center"/>
          </w:tcPr>
          <w:p w14:paraId="7974CB3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认证和技术实力</w:t>
            </w:r>
          </w:p>
        </w:tc>
        <w:tc>
          <w:tcPr>
            <w:tcW w:w="6066" w:type="dxa"/>
            <w:tcBorders>
              <w:top w:val="single" w:color="auto" w:sz="4" w:space="0"/>
              <w:left w:val="single" w:color="auto" w:sz="4" w:space="0"/>
              <w:bottom w:val="single" w:color="auto" w:sz="4" w:space="0"/>
              <w:right w:val="single" w:color="auto" w:sz="4" w:space="0"/>
            </w:tcBorders>
            <w:vAlign w:val="center"/>
          </w:tcPr>
          <w:p w14:paraId="34994057">
            <w:pPr>
              <w:pStyle w:val="9"/>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1、投标人具有有效期内的质量管理体系认证、环境质量管理体系认证、职业健康安全管理体系认证证书的，每提供1项得1分，本项最高3分。</w:t>
            </w:r>
          </w:p>
          <w:p w14:paraId="0C70A543">
            <w:pPr>
              <w:pStyle w:val="9"/>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28" w:type="dxa"/>
            <w:tcBorders>
              <w:top w:val="single" w:color="auto" w:sz="4" w:space="0"/>
              <w:left w:val="single" w:color="auto" w:sz="4" w:space="0"/>
              <w:right w:val="single" w:color="auto" w:sz="4" w:space="0"/>
            </w:tcBorders>
            <w:vAlign w:val="center"/>
          </w:tcPr>
          <w:p w14:paraId="1E7241D8">
            <w:pPr>
              <w:pStyle w:val="9"/>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598C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91" w:type="dxa"/>
            <w:vMerge w:val="continue"/>
            <w:tcBorders>
              <w:left w:val="single" w:color="auto" w:sz="4" w:space="0"/>
              <w:right w:val="single" w:color="auto" w:sz="4" w:space="0"/>
            </w:tcBorders>
            <w:vAlign w:val="center"/>
          </w:tcPr>
          <w:p w14:paraId="2040A0B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054" w:type="dxa"/>
            <w:vMerge w:val="continue"/>
            <w:tcBorders>
              <w:left w:val="single" w:color="auto" w:sz="4" w:space="0"/>
              <w:right w:val="single" w:color="auto" w:sz="4" w:space="0"/>
            </w:tcBorders>
            <w:vAlign w:val="center"/>
          </w:tcPr>
          <w:p w14:paraId="780B84D8">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p>
        </w:tc>
        <w:tc>
          <w:tcPr>
            <w:tcW w:w="6066" w:type="dxa"/>
            <w:tcBorders>
              <w:top w:val="single" w:color="auto" w:sz="4" w:space="0"/>
              <w:left w:val="single" w:color="auto" w:sz="4" w:space="0"/>
              <w:bottom w:val="single" w:color="auto" w:sz="4" w:space="0"/>
              <w:right w:val="single" w:color="auto" w:sz="4" w:space="0"/>
            </w:tcBorders>
            <w:vAlign w:val="center"/>
          </w:tcPr>
          <w:p w14:paraId="1E321DEA">
            <w:pPr>
              <w:pStyle w:val="9"/>
              <w:keepNext w:val="0"/>
              <w:keepLines w:val="0"/>
              <w:pageBreakBefore w:val="0"/>
              <w:kinsoku/>
              <w:wordWrap/>
              <w:overflowPunct/>
              <w:topLinePunct w:val="0"/>
              <w:bidi w:val="0"/>
              <w:spacing w:line="240" w:lineRule="auto"/>
              <w:ind w:right="0" w:rightChars="0"/>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2、投标人自2020年1月1日以来（以颁发时间为准），获得过环保相关荣誉表彰的</w:t>
            </w:r>
            <w:r>
              <w:rPr>
                <w:rFonts w:hint="eastAsia" w:hAnsi="宋体" w:cs="宋体"/>
                <w:color w:val="auto"/>
                <w:kern w:val="2"/>
                <w:sz w:val="21"/>
                <w:szCs w:val="21"/>
                <w:highlight w:val="none"/>
                <w:lang w:val="en-US" w:eastAsia="zh-CN"/>
              </w:rPr>
              <w:t>得4分。</w:t>
            </w:r>
          </w:p>
          <w:p w14:paraId="33FB962A">
            <w:pPr>
              <w:pStyle w:val="9"/>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有效的荣誉</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28" w:type="dxa"/>
            <w:tcBorders>
              <w:top w:val="single" w:color="auto" w:sz="4" w:space="0"/>
              <w:left w:val="single" w:color="auto" w:sz="4" w:space="0"/>
              <w:right w:val="single" w:color="auto" w:sz="4" w:space="0"/>
            </w:tcBorders>
            <w:vAlign w:val="center"/>
          </w:tcPr>
          <w:p w14:paraId="02F362D4">
            <w:pPr>
              <w:pStyle w:val="9"/>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r>
      <w:tr w14:paraId="54F6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91" w:type="dxa"/>
            <w:vMerge w:val="continue"/>
            <w:tcBorders>
              <w:left w:val="single" w:color="auto" w:sz="4" w:space="0"/>
              <w:right w:val="single" w:color="auto" w:sz="4" w:space="0"/>
            </w:tcBorders>
            <w:vAlign w:val="center"/>
          </w:tcPr>
          <w:p w14:paraId="0831B7D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054" w:type="dxa"/>
            <w:tcBorders>
              <w:left w:val="single" w:color="auto" w:sz="4" w:space="0"/>
              <w:right w:val="single" w:color="auto" w:sz="4" w:space="0"/>
            </w:tcBorders>
            <w:vAlign w:val="center"/>
          </w:tcPr>
          <w:p w14:paraId="62CBD629">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业绩</w:t>
            </w:r>
          </w:p>
        </w:tc>
        <w:tc>
          <w:tcPr>
            <w:tcW w:w="6066" w:type="dxa"/>
            <w:tcBorders>
              <w:top w:val="single" w:color="auto" w:sz="4" w:space="0"/>
              <w:left w:val="single" w:color="auto" w:sz="4" w:space="0"/>
              <w:bottom w:val="single" w:color="auto" w:sz="4" w:space="0"/>
              <w:right w:val="single" w:color="auto" w:sz="4" w:space="0"/>
            </w:tcBorders>
            <w:vAlign w:val="center"/>
          </w:tcPr>
          <w:p w14:paraId="64D1BFCD">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根据投标人自2020年1月1日至今（以签订合同时间为准）</w:t>
            </w:r>
            <w:r>
              <w:rPr>
                <w:rFonts w:hint="eastAsia" w:ascii="宋体" w:hAnsi="宋体" w:eastAsia="宋体" w:cs="宋体"/>
                <w:color w:val="auto"/>
                <w:kern w:val="0"/>
                <w:sz w:val="21"/>
                <w:szCs w:val="21"/>
                <w:highlight w:val="none"/>
                <w:lang w:val="en-US" w:eastAsia="zh-CN"/>
              </w:rPr>
              <w:t>承接过类似上牌、检测项目业绩的</w:t>
            </w:r>
            <w:r>
              <w:rPr>
                <w:rFonts w:hint="eastAsia" w:ascii="宋体" w:hAnsi="宋体" w:eastAsia="宋体" w:cs="宋体"/>
                <w:color w:val="auto"/>
                <w:kern w:val="2"/>
                <w:sz w:val="21"/>
                <w:szCs w:val="21"/>
                <w:highlight w:val="none"/>
                <w:lang w:val="en-US" w:eastAsia="zh-CN" w:bidi="ar-SA"/>
              </w:rPr>
              <w:t>，每提供一个得0.2分，本项最高得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w:t>
            </w:r>
          </w:p>
          <w:p w14:paraId="1462E438">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有效的合同</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28" w:type="dxa"/>
            <w:tcBorders>
              <w:top w:val="single" w:color="auto" w:sz="4" w:space="0"/>
              <w:left w:val="single" w:color="auto" w:sz="4" w:space="0"/>
              <w:bottom w:val="single" w:color="auto" w:sz="4" w:space="0"/>
              <w:right w:val="single" w:color="auto" w:sz="4" w:space="0"/>
            </w:tcBorders>
            <w:vAlign w:val="center"/>
          </w:tcPr>
          <w:p w14:paraId="7E2BC20D">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2</w:t>
            </w:r>
          </w:p>
        </w:tc>
      </w:tr>
      <w:tr w14:paraId="1E7B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91" w:type="dxa"/>
            <w:vMerge w:val="continue"/>
            <w:tcBorders>
              <w:left w:val="single" w:color="auto" w:sz="4" w:space="0"/>
              <w:right w:val="single" w:color="auto" w:sz="4" w:space="0"/>
            </w:tcBorders>
            <w:vAlign w:val="center"/>
          </w:tcPr>
          <w:p w14:paraId="1C1EA8D9">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054" w:type="dxa"/>
            <w:vMerge w:val="restart"/>
            <w:tcBorders>
              <w:left w:val="single" w:color="auto" w:sz="4" w:space="0"/>
              <w:right w:val="single" w:color="auto" w:sz="4" w:space="0"/>
            </w:tcBorders>
            <w:vAlign w:val="center"/>
          </w:tcPr>
          <w:p w14:paraId="670131C4">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拟投入本项目的项目组人员</w:t>
            </w:r>
          </w:p>
        </w:tc>
        <w:tc>
          <w:tcPr>
            <w:tcW w:w="6066" w:type="dxa"/>
            <w:tcBorders>
              <w:top w:val="single" w:color="auto" w:sz="4" w:space="0"/>
              <w:left w:val="single" w:color="auto" w:sz="4" w:space="0"/>
              <w:bottom w:val="single" w:color="auto" w:sz="4" w:space="0"/>
              <w:right w:val="single" w:color="auto" w:sz="4" w:space="0"/>
            </w:tcBorders>
            <w:vAlign w:val="center"/>
          </w:tcPr>
          <w:p w14:paraId="7A84FA6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拟派项目负责人具有环保相关专业的高级工程师以上职称的得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分，环保相关专业的中级工程师职称的得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分，其他不得分。</w:t>
            </w:r>
          </w:p>
          <w:p w14:paraId="45819B8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zh-CN"/>
              </w:rPr>
              <w:t>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zh-CN"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zh-CN" w:eastAsia="zh-CN"/>
              </w:rPr>
              <w:t>或提供不全的</w:t>
            </w:r>
            <w:r>
              <w:rPr>
                <w:rFonts w:hint="eastAsia" w:ascii="宋体" w:hAnsi="宋体" w:eastAsia="宋体" w:cs="宋体"/>
                <w:b/>
                <w:bCs/>
                <w:color w:val="auto"/>
                <w:sz w:val="21"/>
                <w:szCs w:val="21"/>
                <w:highlight w:val="none"/>
                <w:lang w:val="zh-CN"/>
              </w:rPr>
              <w:t>不得分）</w:t>
            </w:r>
          </w:p>
        </w:tc>
        <w:tc>
          <w:tcPr>
            <w:tcW w:w="628" w:type="dxa"/>
            <w:tcBorders>
              <w:top w:val="single" w:color="auto" w:sz="4" w:space="0"/>
              <w:left w:val="single" w:color="auto" w:sz="4" w:space="0"/>
              <w:bottom w:val="single" w:color="auto" w:sz="4" w:space="0"/>
              <w:right w:val="single" w:color="auto" w:sz="4" w:space="0"/>
            </w:tcBorders>
            <w:vAlign w:val="center"/>
          </w:tcPr>
          <w:p w14:paraId="6394725F">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BD4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91" w:type="dxa"/>
            <w:vMerge w:val="continue"/>
            <w:tcBorders>
              <w:left w:val="single" w:color="auto" w:sz="4" w:space="0"/>
              <w:right w:val="single" w:color="auto" w:sz="4" w:space="0"/>
            </w:tcBorders>
            <w:vAlign w:val="center"/>
          </w:tcPr>
          <w:p w14:paraId="43223A02">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054" w:type="dxa"/>
            <w:vMerge w:val="continue"/>
            <w:tcBorders>
              <w:left w:val="single" w:color="auto" w:sz="4" w:space="0"/>
              <w:right w:val="single" w:color="auto" w:sz="4" w:space="0"/>
            </w:tcBorders>
            <w:vAlign w:val="center"/>
          </w:tcPr>
          <w:p w14:paraId="238034E8">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6066" w:type="dxa"/>
            <w:tcBorders>
              <w:top w:val="single" w:color="auto" w:sz="4" w:space="0"/>
              <w:left w:val="single" w:color="auto" w:sz="4" w:space="0"/>
              <w:bottom w:val="single" w:color="auto" w:sz="4" w:space="0"/>
              <w:right w:val="single" w:color="auto" w:sz="4" w:space="0"/>
            </w:tcBorders>
            <w:vAlign w:val="center"/>
          </w:tcPr>
          <w:p w14:paraId="02C32307">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项目组成员中（除项目负责人外），获得环保相关专业职称的或环保相关专业职业技能</w:t>
            </w:r>
            <w:r>
              <w:rPr>
                <w:rFonts w:hint="eastAsia" w:ascii="宋体" w:hAnsi="宋体" w:cs="宋体"/>
                <w:color w:val="auto"/>
                <w:sz w:val="21"/>
                <w:szCs w:val="21"/>
                <w:highlight w:val="none"/>
                <w:lang w:val="en-US" w:eastAsia="zh-CN"/>
              </w:rPr>
              <w:t>（合格）</w:t>
            </w:r>
            <w:r>
              <w:rPr>
                <w:rFonts w:hint="eastAsia" w:ascii="宋体" w:hAnsi="宋体" w:eastAsia="宋体" w:cs="宋体"/>
                <w:color w:val="auto"/>
                <w:sz w:val="21"/>
                <w:szCs w:val="21"/>
                <w:highlight w:val="none"/>
                <w:lang w:val="en-US" w:eastAsia="zh-CN"/>
              </w:rPr>
              <w:t>证书的，每提供一个得1分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C6C3F5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628" w:type="dxa"/>
            <w:tcBorders>
              <w:top w:val="single" w:color="auto" w:sz="4" w:space="0"/>
              <w:left w:val="single" w:color="auto" w:sz="4" w:space="0"/>
              <w:bottom w:val="single" w:color="auto" w:sz="4" w:space="0"/>
              <w:right w:val="single" w:color="auto" w:sz="4" w:space="0"/>
            </w:tcBorders>
            <w:vAlign w:val="center"/>
          </w:tcPr>
          <w:p w14:paraId="10F15AA2">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2371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991" w:type="dxa"/>
            <w:vMerge w:val="continue"/>
            <w:tcBorders>
              <w:left w:val="single" w:color="auto" w:sz="4" w:space="0"/>
              <w:right w:val="single" w:color="auto" w:sz="4" w:space="0"/>
            </w:tcBorders>
            <w:vAlign w:val="center"/>
          </w:tcPr>
          <w:p w14:paraId="2B139C52">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i w:val="0"/>
                <w:iCs w:val="0"/>
                <w:color w:val="auto"/>
                <w:sz w:val="21"/>
                <w:szCs w:val="21"/>
                <w:highlight w:val="none"/>
                <w:u w:val="none"/>
                <w:lang w:val="en-US" w:eastAsia="zh-CN"/>
              </w:rPr>
            </w:pPr>
          </w:p>
        </w:tc>
        <w:tc>
          <w:tcPr>
            <w:tcW w:w="1054" w:type="dxa"/>
            <w:vMerge w:val="restart"/>
            <w:tcBorders>
              <w:left w:val="single" w:color="auto" w:sz="4" w:space="0"/>
              <w:right w:val="single" w:color="auto" w:sz="4" w:space="0"/>
            </w:tcBorders>
            <w:vAlign w:val="center"/>
          </w:tcPr>
          <w:p w14:paraId="2A358395">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设备投入</w:t>
            </w:r>
          </w:p>
        </w:tc>
        <w:tc>
          <w:tcPr>
            <w:tcW w:w="6066" w:type="dxa"/>
            <w:tcBorders>
              <w:top w:val="single" w:color="auto" w:sz="4" w:space="0"/>
              <w:left w:val="single" w:color="auto" w:sz="4" w:space="0"/>
              <w:bottom w:val="single" w:color="auto" w:sz="4" w:space="0"/>
              <w:right w:val="single" w:color="auto" w:sz="4" w:space="0"/>
            </w:tcBorders>
            <w:vAlign w:val="center"/>
          </w:tcPr>
          <w:p w14:paraId="1D7101AD">
            <w:pPr>
              <w:pStyle w:val="3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after="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针对本项目提供的满足非道路移动机械相关工作用车打分，每提供1辆工作用车的得1分，本项最高得5分。</w:t>
            </w:r>
          </w:p>
          <w:p w14:paraId="1FDDAC8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shd w:val="clear" w:color="auto" w:fill="auto"/>
                <w:lang w:val="en-US" w:eastAsia="zh-CN" w:bidi="ar-SA"/>
              </w:rPr>
              <w:t>（若车辆为投标人自有车辆，须提供车辆行驶证原件扫描件、车辆照片</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kern w:val="0"/>
                <w:sz w:val="21"/>
                <w:szCs w:val="21"/>
                <w:highlight w:val="none"/>
                <w:u w:val="none"/>
                <w:lang w:val="en-US" w:eastAsia="zh-CN"/>
              </w:rPr>
              <w:t>若车辆为投标人租赁车辆，须提供</w:t>
            </w:r>
            <w:r>
              <w:rPr>
                <w:rFonts w:hint="eastAsia" w:ascii="宋体" w:hAnsi="宋体" w:eastAsia="宋体" w:cs="宋体"/>
                <w:b/>
                <w:bCs/>
                <w:color w:val="auto"/>
                <w:kern w:val="0"/>
                <w:sz w:val="21"/>
                <w:szCs w:val="21"/>
                <w:highlight w:val="none"/>
                <w:shd w:val="clear" w:color="auto" w:fill="auto"/>
                <w:lang w:val="en-US" w:eastAsia="zh-CN" w:bidi="ar-SA"/>
              </w:rPr>
              <w:t>车辆行驶证原件扫描件、车辆照片、车辆租赁合同扫描件</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kern w:val="0"/>
                <w:sz w:val="21"/>
                <w:szCs w:val="21"/>
                <w:highlight w:val="none"/>
                <w:shd w:val="clear" w:color="auto" w:fill="auto"/>
                <w:lang w:val="en-US" w:eastAsia="zh-CN" w:bidi="ar-SA"/>
              </w:rPr>
              <w:t>，未提供或提供不全的不得分）</w:t>
            </w:r>
          </w:p>
        </w:tc>
        <w:tc>
          <w:tcPr>
            <w:tcW w:w="628" w:type="dxa"/>
            <w:tcBorders>
              <w:top w:val="single" w:color="auto" w:sz="4" w:space="0"/>
              <w:left w:val="single" w:color="auto" w:sz="4" w:space="0"/>
              <w:bottom w:val="single" w:color="auto" w:sz="4" w:space="0"/>
              <w:right w:val="single" w:color="auto" w:sz="4" w:space="0"/>
            </w:tcBorders>
            <w:vAlign w:val="center"/>
          </w:tcPr>
          <w:p w14:paraId="00AA994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05FE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991" w:type="dxa"/>
            <w:vMerge w:val="continue"/>
            <w:tcBorders>
              <w:left w:val="single" w:color="auto" w:sz="4" w:space="0"/>
              <w:right w:val="single" w:color="auto" w:sz="4" w:space="0"/>
            </w:tcBorders>
            <w:vAlign w:val="center"/>
          </w:tcPr>
          <w:p w14:paraId="22E271AC">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054" w:type="dxa"/>
            <w:vMerge w:val="continue"/>
            <w:tcBorders>
              <w:left w:val="single" w:color="auto" w:sz="4" w:space="0"/>
              <w:right w:val="single" w:color="auto" w:sz="4" w:space="0"/>
            </w:tcBorders>
            <w:vAlign w:val="center"/>
          </w:tcPr>
          <w:p w14:paraId="128D6BAB">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6066" w:type="dxa"/>
            <w:tcBorders>
              <w:top w:val="single" w:color="auto" w:sz="4" w:space="0"/>
              <w:left w:val="single" w:color="auto" w:sz="4" w:space="0"/>
              <w:bottom w:val="single" w:color="auto" w:sz="4" w:space="0"/>
              <w:right w:val="single" w:color="auto" w:sz="4" w:space="0"/>
            </w:tcBorders>
            <w:vAlign w:val="center"/>
          </w:tcPr>
          <w:p w14:paraId="46764598">
            <w:pPr>
              <w:pStyle w:val="3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after="0" w:line="240" w:lineRule="auto"/>
              <w:ind w:left="0" w:leftChars="0" w:right="0" w:rightChars="0" w:firstLine="0" w:firstLineChars="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针对本项目拟投入使用的可操作电脑、振动式转速分析仪、风速风向仪、</w:t>
            </w:r>
            <w:r>
              <w:rPr>
                <w:rFonts w:hint="eastAsia" w:ascii="宋体" w:hAnsi="宋体" w:cs="宋体"/>
                <w:color w:val="auto"/>
                <w:sz w:val="21"/>
                <w:szCs w:val="21"/>
                <w:highlight w:val="none"/>
                <w:lang w:val="en-US" w:eastAsia="zh-CN"/>
              </w:rPr>
              <w:t>大气压力计</w:t>
            </w:r>
            <w:r>
              <w:rPr>
                <w:rFonts w:hint="eastAsia" w:ascii="宋体" w:hAnsi="宋体" w:eastAsia="宋体" w:cs="宋体"/>
                <w:color w:val="auto"/>
                <w:sz w:val="21"/>
                <w:szCs w:val="21"/>
                <w:highlight w:val="none"/>
                <w:lang w:val="zh-CN" w:eastAsia="zh-CN"/>
              </w:rPr>
              <w:t>、透射式烟度计、手持式林格曼黑度仪</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投标人每配备一种检测仪器的得1分，本项最高得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42BD270D">
            <w:pPr>
              <w:pStyle w:val="3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after="0" w:line="240" w:lineRule="auto"/>
              <w:ind w:left="0" w:leftChars="0" w:right="0" w:rightChars="0" w:firstLine="0" w:firstLineChars="0"/>
              <w:jc w:val="left"/>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注：相同设备不重复计分。</w:t>
            </w:r>
          </w:p>
          <w:p w14:paraId="0A992668">
            <w:pPr>
              <w:pStyle w:val="3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after="0" w:line="240" w:lineRule="auto"/>
              <w:ind w:left="0" w:leftChars="0" w:right="0" w:righ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eastAsia="zh-CN"/>
              </w:rPr>
              <w:t>（若设备为投标人自有设备的，须提供投标人购置合同或发票</w:t>
            </w:r>
            <w:r>
              <w:rPr>
                <w:rFonts w:hint="eastAsia" w:ascii="宋体" w:hAnsi="宋体" w:eastAsia="宋体" w:cs="宋体"/>
                <w:b/>
                <w:bCs/>
                <w:color w:val="auto"/>
                <w:kern w:val="0"/>
                <w:sz w:val="21"/>
                <w:szCs w:val="21"/>
                <w:highlight w:val="none"/>
                <w:shd w:val="clear" w:color="auto" w:fill="auto"/>
                <w:lang w:val="en-US" w:eastAsia="zh-CN" w:bidi="ar-SA"/>
              </w:rPr>
              <w:t>扫描件</w:t>
            </w:r>
            <w:r>
              <w:rPr>
                <w:rFonts w:hint="eastAsia" w:ascii="宋体" w:hAnsi="宋体" w:eastAsia="宋体" w:cs="宋体"/>
                <w:b/>
                <w:bCs/>
                <w:color w:val="auto"/>
                <w:sz w:val="21"/>
                <w:szCs w:val="21"/>
                <w:highlight w:val="none"/>
                <w:lang w:val="zh-CN" w:eastAsia="zh-CN"/>
              </w:rPr>
              <w:t>加盖投标人公章编入投标文件中；若设备为投标人租赁的，须提供设备的租赁合同</w:t>
            </w:r>
            <w:r>
              <w:rPr>
                <w:rFonts w:hint="eastAsia" w:ascii="宋体" w:hAnsi="宋体" w:eastAsia="宋体" w:cs="宋体"/>
                <w:b/>
                <w:bCs/>
                <w:color w:val="auto"/>
                <w:kern w:val="0"/>
                <w:sz w:val="21"/>
                <w:szCs w:val="21"/>
                <w:highlight w:val="none"/>
                <w:shd w:val="clear" w:color="auto" w:fill="auto"/>
                <w:lang w:val="en-US" w:eastAsia="zh-CN" w:bidi="ar-SA"/>
              </w:rPr>
              <w:t>扫描件</w:t>
            </w:r>
            <w:r>
              <w:rPr>
                <w:rFonts w:hint="eastAsia" w:ascii="宋体" w:hAnsi="宋体" w:eastAsia="宋体" w:cs="宋体"/>
                <w:b/>
                <w:bCs/>
                <w:color w:val="auto"/>
                <w:sz w:val="21"/>
                <w:szCs w:val="21"/>
                <w:highlight w:val="none"/>
                <w:lang w:val="zh-CN" w:eastAsia="zh-CN"/>
              </w:rPr>
              <w:t>加盖投标人公章编入投标文件中，</w:t>
            </w:r>
            <w:r>
              <w:rPr>
                <w:rFonts w:hint="eastAsia" w:ascii="宋体" w:hAnsi="宋体" w:eastAsia="宋体" w:cs="宋体"/>
                <w:b/>
                <w:bCs/>
                <w:color w:val="auto"/>
                <w:kern w:val="0"/>
                <w:sz w:val="21"/>
                <w:szCs w:val="21"/>
                <w:highlight w:val="none"/>
                <w:shd w:val="clear" w:color="auto" w:fill="auto"/>
                <w:lang w:val="en-US" w:eastAsia="zh-CN" w:bidi="ar-SA"/>
              </w:rPr>
              <w:t>未提供或提供不全的不得分</w:t>
            </w:r>
            <w:r>
              <w:rPr>
                <w:rFonts w:hint="eastAsia" w:ascii="宋体" w:hAnsi="宋体" w:eastAsia="宋体" w:cs="宋体"/>
                <w:b/>
                <w:bCs/>
                <w:color w:val="auto"/>
                <w:sz w:val="21"/>
                <w:szCs w:val="21"/>
                <w:highlight w:val="none"/>
                <w:lang w:val="zh-CN" w:eastAsia="zh-CN"/>
              </w:rPr>
              <w:t>）</w:t>
            </w:r>
          </w:p>
        </w:tc>
        <w:tc>
          <w:tcPr>
            <w:tcW w:w="628" w:type="dxa"/>
            <w:tcBorders>
              <w:top w:val="single" w:color="auto" w:sz="4" w:space="0"/>
              <w:left w:val="single" w:color="auto" w:sz="4" w:space="0"/>
              <w:bottom w:val="single" w:color="auto" w:sz="4" w:space="0"/>
              <w:right w:val="single" w:color="auto" w:sz="4" w:space="0"/>
            </w:tcBorders>
            <w:vAlign w:val="center"/>
          </w:tcPr>
          <w:p w14:paraId="7F5FB56A">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4BB3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91" w:type="dxa"/>
            <w:vMerge w:val="restart"/>
            <w:tcBorders>
              <w:left w:val="single" w:color="auto" w:sz="4" w:space="0"/>
              <w:right w:val="single" w:color="auto" w:sz="4" w:space="0"/>
            </w:tcBorders>
            <w:vAlign w:val="center"/>
          </w:tcPr>
          <w:p w14:paraId="305A009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技术分</w:t>
            </w:r>
          </w:p>
          <w:p w14:paraId="2462001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val="en-US" w:eastAsia="zh-CN"/>
              </w:rPr>
              <w:t>分）</w:t>
            </w:r>
          </w:p>
        </w:tc>
        <w:tc>
          <w:tcPr>
            <w:tcW w:w="1054" w:type="dxa"/>
            <w:vMerge w:val="restart"/>
            <w:tcBorders>
              <w:left w:val="single" w:color="auto" w:sz="4" w:space="0"/>
              <w:right w:val="single" w:color="auto" w:sz="4" w:space="0"/>
            </w:tcBorders>
            <w:vAlign w:val="center"/>
          </w:tcPr>
          <w:p w14:paraId="78BF9F8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技术支撑</w:t>
            </w:r>
          </w:p>
        </w:tc>
        <w:tc>
          <w:tcPr>
            <w:tcW w:w="6066" w:type="dxa"/>
            <w:tcBorders>
              <w:top w:val="single" w:color="auto" w:sz="4" w:space="0"/>
              <w:left w:val="single" w:color="auto" w:sz="4" w:space="0"/>
              <w:bottom w:val="single" w:color="auto" w:sz="4" w:space="0"/>
              <w:right w:val="single" w:color="auto" w:sz="4" w:space="0"/>
            </w:tcBorders>
            <w:vAlign w:val="center"/>
          </w:tcPr>
          <w:p w14:paraId="685759E7">
            <w:pPr>
              <w:pStyle w:val="2"/>
              <w:keepNext w:val="0"/>
              <w:keepLines w:val="0"/>
              <w:pageBreakBefore w:val="0"/>
              <w:kinsoku/>
              <w:wordWrap/>
              <w:overflowPunct/>
              <w:topLinePunct w:val="0"/>
              <w:bidi w:val="0"/>
              <w:spacing w:after="0" w:line="240" w:lineRule="auto"/>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根据投标人取得或有被授权使用“非道路移动机械信息采集软件”版权，以便于优化对本项目的日常技术支撑，包括信息采集等情况的得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14F0F863">
            <w:pPr>
              <w:pStyle w:val="2"/>
              <w:keepNext w:val="0"/>
              <w:keepLines w:val="0"/>
              <w:pageBreakBefore w:val="0"/>
              <w:kinsoku/>
              <w:wordWrap/>
              <w:overflowPunct/>
              <w:topLinePunct w:val="0"/>
              <w:bidi w:val="0"/>
              <w:spacing w:after="0"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2"/>
                <w:sz w:val="21"/>
                <w:szCs w:val="21"/>
                <w:highlight w:val="none"/>
                <w:lang w:val="en-US" w:eastAsia="zh-CN"/>
              </w:rPr>
              <w:t>相关证明材料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28" w:type="dxa"/>
            <w:tcBorders>
              <w:top w:val="single" w:color="auto" w:sz="4" w:space="0"/>
              <w:left w:val="single" w:color="auto" w:sz="4" w:space="0"/>
              <w:bottom w:val="single" w:color="auto" w:sz="4" w:space="0"/>
              <w:right w:val="single" w:color="auto" w:sz="4" w:space="0"/>
            </w:tcBorders>
            <w:vAlign w:val="center"/>
          </w:tcPr>
          <w:p w14:paraId="4167F2C8">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6B13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91" w:type="dxa"/>
            <w:vMerge w:val="continue"/>
            <w:tcBorders>
              <w:left w:val="single" w:color="auto" w:sz="4" w:space="0"/>
              <w:right w:val="single" w:color="auto" w:sz="4" w:space="0"/>
            </w:tcBorders>
            <w:vAlign w:val="center"/>
          </w:tcPr>
          <w:p w14:paraId="646153D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color w:val="auto"/>
                <w:highlight w:val="none"/>
              </w:rPr>
            </w:pPr>
          </w:p>
        </w:tc>
        <w:tc>
          <w:tcPr>
            <w:tcW w:w="1054" w:type="dxa"/>
            <w:vMerge w:val="continue"/>
            <w:tcBorders>
              <w:left w:val="single" w:color="auto" w:sz="4" w:space="0"/>
              <w:right w:val="single" w:color="auto" w:sz="4" w:space="0"/>
            </w:tcBorders>
            <w:vAlign w:val="center"/>
          </w:tcPr>
          <w:p w14:paraId="788CC84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color w:val="auto"/>
                <w:highlight w:val="none"/>
              </w:rPr>
            </w:pPr>
          </w:p>
        </w:tc>
        <w:tc>
          <w:tcPr>
            <w:tcW w:w="6066" w:type="dxa"/>
            <w:tcBorders>
              <w:top w:val="single" w:color="auto" w:sz="4" w:space="0"/>
              <w:left w:val="single" w:color="auto" w:sz="4" w:space="0"/>
              <w:bottom w:val="single" w:color="auto" w:sz="4" w:space="0"/>
              <w:right w:val="single" w:color="auto" w:sz="4" w:space="0"/>
            </w:tcBorders>
            <w:vAlign w:val="center"/>
          </w:tcPr>
          <w:p w14:paraId="0AF97ADA">
            <w:pPr>
              <w:pStyle w:val="3"/>
              <w:keepNext w:val="0"/>
              <w:keepLines w:val="0"/>
              <w:pageBreakBefore w:val="0"/>
              <w:kinsoku/>
              <w:wordWrap/>
              <w:overflowPunct/>
              <w:topLinePunct w:val="0"/>
              <w:bidi w:val="0"/>
              <w:spacing w:after="0" w:line="240" w:lineRule="auto"/>
              <w:ind w:left="0" w:leftChars="0" w:firstLine="0" w:firstLineChars="0"/>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根据投标人取得或被授权使用“机动车排气污染管理信息软件”等相关检测软件的版权，以便于优化对本项目的日常技术支撑，包括检测信息管理等情况的得3分。</w:t>
            </w:r>
          </w:p>
          <w:p w14:paraId="4986F2F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left"/>
              <w:textAlignment w:val="auto"/>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2"/>
                <w:sz w:val="21"/>
                <w:szCs w:val="21"/>
                <w:highlight w:val="none"/>
                <w:lang w:val="en-US" w:eastAsia="zh-CN"/>
              </w:rPr>
              <w:t>相关证明材料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28" w:type="dxa"/>
            <w:tcBorders>
              <w:top w:val="single" w:color="auto" w:sz="4" w:space="0"/>
              <w:left w:val="single" w:color="auto" w:sz="4" w:space="0"/>
              <w:bottom w:val="single" w:color="auto" w:sz="4" w:space="0"/>
              <w:right w:val="single" w:color="auto" w:sz="4" w:space="0"/>
            </w:tcBorders>
            <w:vAlign w:val="center"/>
          </w:tcPr>
          <w:p w14:paraId="5A1F321F">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5DE5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991" w:type="dxa"/>
            <w:vMerge w:val="continue"/>
            <w:tcBorders>
              <w:left w:val="single" w:color="auto" w:sz="4" w:space="0"/>
              <w:right w:val="single" w:color="auto" w:sz="4" w:space="0"/>
            </w:tcBorders>
            <w:vAlign w:val="center"/>
          </w:tcPr>
          <w:p w14:paraId="04661F55">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p>
        </w:tc>
        <w:tc>
          <w:tcPr>
            <w:tcW w:w="1054" w:type="dxa"/>
            <w:tcBorders>
              <w:left w:val="single" w:color="auto" w:sz="4" w:space="0"/>
              <w:right w:val="single" w:color="auto" w:sz="4" w:space="0"/>
            </w:tcBorders>
            <w:vAlign w:val="center"/>
          </w:tcPr>
          <w:p w14:paraId="2CB3D8FA">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对项目的理解和认识</w:t>
            </w:r>
          </w:p>
        </w:tc>
        <w:tc>
          <w:tcPr>
            <w:tcW w:w="6066" w:type="dxa"/>
            <w:tcBorders>
              <w:top w:val="single" w:color="auto" w:sz="4" w:space="0"/>
              <w:left w:val="single" w:color="auto" w:sz="4" w:space="0"/>
              <w:bottom w:val="single" w:color="auto" w:sz="4" w:space="0"/>
              <w:right w:val="single" w:color="auto" w:sz="4" w:space="0"/>
            </w:tcBorders>
            <w:vAlign w:val="center"/>
          </w:tcPr>
          <w:p w14:paraId="017D7EE7">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根据投标人对本项目工作内容、整体环境的现状、污染物特点分布等的认识和理解的准确性和全面性进行打分。</w:t>
            </w:r>
          </w:p>
          <w:p w14:paraId="0BE8B8CE">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项目理解方案全面，背景、现状分析有针对性的得4.1-5.0分；</w:t>
            </w:r>
          </w:p>
          <w:p w14:paraId="4BD4CA57">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项目理解内容一般，背景、现状分析针对性一般的得2.1-4.0分；</w:t>
            </w:r>
          </w:p>
          <w:p w14:paraId="19486426">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项目理解内容不足的，背景、现状分析针对性较差的的得0.1-2.0分。</w:t>
            </w:r>
          </w:p>
          <w:p w14:paraId="188971DC">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28" w:type="dxa"/>
            <w:tcBorders>
              <w:top w:val="single" w:color="auto" w:sz="4" w:space="0"/>
              <w:left w:val="single" w:color="auto" w:sz="4" w:space="0"/>
              <w:bottom w:val="single" w:color="auto" w:sz="4" w:space="0"/>
              <w:right w:val="single" w:color="auto" w:sz="4" w:space="0"/>
            </w:tcBorders>
            <w:vAlign w:val="center"/>
          </w:tcPr>
          <w:p w14:paraId="1466E6D1">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7387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991" w:type="dxa"/>
            <w:vMerge w:val="continue"/>
            <w:tcBorders>
              <w:left w:val="single" w:color="auto" w:sz="4" w:space="0"/>
              <w:right w:val="single" w:color="auto" w:sz="4" w:space="0"/>
            </w:tcBorders>
            <w:vAlign w:val="center"/>
          </w:tcPr>
          <w:p w14:paraId="2938469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054" w:type="dxa"/>
            <w:vMerge w:val="restart"/>
            <w:tcBorders>
              <w:top w:val="single" w:color="auto" w:sz="4" w:space="0"/>
              <w:left w:val="single" w:color="auto" w:sz="4" w:space="0"/>
              <w:right w:val="single" w:color="auto" w:sz="4" w:space="0"/>
            </w:tcBorders>
            <w:vAlign w:val="center"/>
          </w:tcPr>
          <w:p w14:paraId="1A934DA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工作方案</w:t>
            </w:r>
          </w:p>
        </w:tc>
        <w:tc>
          <w:tcPr>
            <w:tcW w:w="6066" w:type="dxa"/>
            <w:tcBorders>
              <w:top w:val="single" w:color="auto" w:sz="4" w:space="0"/>
              <w:left w:val="single" w:color="auto" w:sz="4" w:space="0"/>
              <w:bottom w:val="single" w:color="auto" w:sz="4" w:space="0"/>
              <w:right w:val="single" w:color="auto" w:sz="4" w:space="0"/>
            </w:tcBorders>
            <w:vAlign w:val="center"/>
          </w:tcPr>
          <w:p w14:paraId="106A7CED">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“摸底调查编码登记”</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0BD8B033">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实施方案科学可行，内容完整且符合项目需求的得6.1-</w:t>
            </w:r>
            <w:r>
              <w:rPr>
                <w:rFonts w:hint="eastAsia"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.0分；</w:t>
            </w:r>
          </w:p>
          <w:p w14:paraId="5F7E268C">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实施方案较明确，内容较为完整且较符合项目需求的得4.1-6.0分；</w:t>
            </w:r>
          </w:p>
          <w:p w14:paraId="1E3F1AC9">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方案内容有缺陷但基本符合项目需求的得1.1-3.0分；</w:t>
            </w:r>
          </w:p>
          <w:p w14:paraId="32618409">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实施方案不明确的</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方案内容不清晰的得0.1-1.0分；</w:t>
            </w:r>
          </w:p>
          <w:p w14:paraId="5C0A7F2F">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28" w:type="dxa"/>
            <w:tcBorders>
              <w:top w:val="single" w:color="auto" w:sz="4" w:space="0"/>
              <w:left w:val="single" w:color="auto" w:sz="4" w:space="0"/>
              <w:bottom w:val="single" w:color="auto" w:sz="4" w:space="0"/>
              <w:right w:val="single" w:color="auto" w:sz="4" w:space="0"/>
            </w:tcBorders>
            <w:vAlign w:val="center"/>
          </w:tcPr>
          <w:p w14:paraId="4B4A617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5B6D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991" w:type="dxa"/>
            <w:vMerge w:val="continue"/>
            <w:tcBorders>
              <w:left w:val="single" w:color="auto" w:sz="4" w:space="0"/>
              <w:right w:val="single" w:color="auto" w:sz="4" w:space="0"/>
            </w:tcBorders>
            <w:vAlign w:val="center"/>
          </w:tcPr>
          <w:p w14:paraId="251CD60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1054" w:type="dxa"/>
            <w:vMerge w:val="continue"/>
            <w:tcBorders>
              <w:left w:val="single" w:color="auto" w:sz="4" w:space="0"/>
              <w:right w:val="single" w:color="auto" w:sz="4" w:space="0"/>
            </w:tcBorders>
            <w:vAlign w:val="center"/>
          </w:tcPr>
          <w:p w14:paraId="7D79542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6066" w:type="dxa"/>
            <w:tcBorders>
              <w:top w:val="single" w:color="auto" w:sz="4" w:space="0"/>
              <w:left w:val="single" w:color="auto" w:sz="4" w:space="0"/>
              <w:bottom w:val="single" w:color="auto" w:sz="4" w:space="0"/>
              <w:right w:val="single" w:color="auto" w:sz="4" w:space="0"/>
            </w:tcBorders>
            <w:vAlign w:val="center"/>
          </w:tcPr>
          <w:p w14:paraId="6CC02745">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“尾气排放检测”</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448778E0">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实施方案科学可行，内容完整且符合项目需求的得6.1-</w:t>
            </w:r>
            <w:r>
              <w:rPr>
                <w:rFonts w:hint="eastAsia"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.0分；</w:t>
            </w:r>
          </w:p>
          <w:p w14:paraId="611880AA">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实施方案较明确，内容较为完整且较符合项目需求的得4.1-6.0分；</w:t>
            </w:r>
          </w:p>
          <w:p w14:paraId="445F6AD6">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实施方案一般的，方案内容有缺陷但基本符合项目需求的得1.1-3.0分；</w:t>
            </w:r>
          </w:p>
          <w:p w14:paraId="27965DA5">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实施方案不明确的，方案内容不清晰的得0.1-1.0分；</w:t>
            </w:r>
          </w:p>
          <w:p w14:paraId="79F8D8C3">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28" w:type="dxa"/>
            <w:tcBorders>
              <w:top w:val="single" w:color="auto" w:sz="4" w:space="0"/>
              <w:left w:val="single" w:color="auto" w:sz="4" w:space="0"/>
              <w:bottom w:val="single" w:color="auto" w:sz="4" w:space="0"/>
              <w:right w:val="single" w:color="auto" w:sz="4" w:space="0"/>
            </w:tcBorders>
            <w:vAlign w:val="center"/>
          </w:tcPr>
          <w:p w14:paraId="2F5FF3D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284C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991" w:type="dxa"/>
            <w:vMerge w:val="continue"/>
            <w:tcBorders>
              <w:left w:val="single" w:color="auto" w:sz="4" w:space="0"/>
              <w:right w:val="single" w:color="auto" w:sz="4" w:space="0"/>
            </w:tcBorders>
            <w:vAlign w:val="center"/>
          </w:tcPr>
          <w:p w14:paraId="5F30F0C5">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1054" w:type="dxa"/>
            <w:vMerge w:val="continue"/>
            <w:tcBorders>
              <w:left w:val="single" w:color="auto" w:sz="4" w:space="0"/>
              <w:right w:val="single" w:color="auto" w:sz="4" w:space="0"/>
            </w:tcBorders>
            <w:vAlign w:val="center"/>
          </w:tcPr>
          <w:p w14:paraId="0115805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6066" w:type="dxa"/>
            <w:tcBorders>
              <w:top w:val="single" w:color="auto" w:sz="4" w:space="0"/>
              <w:left w:val="single" w:color="auto" w:sz="4" w:space="0"/>
              <w:bottom w:val="single" w:color="auto" w:sz="4" w:space="0"/>
              <w:right w:val="single" w:color="auto" w:sz="4" w:space="0"/>
            </w:tcBorders>
            <w:vAlign w:val="center"/>
          </w:tcPr>
          <w:p w14:paraId="148C15FE">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“柴油货车路检路查和入户检查”</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40AF6F25">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实施方案科学可行，内容完整且符合项目需求的得6.1-</w:t>
            </w:r>
            <w:r>
              <w:rPr>
                <w:rFonts w:hint="eastAsia"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.0分；</w:t>
            </w:r>
          </w:p>
          <w:p w14:paraId="4DE39D1B">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实施方案较明确，内容较为完整且较符合项目需求的得4.1-6.0分；</w:t>
            </w:r>
          </w:p>
          <w:p w14:paraId="1CAF4C5C">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实施方案一般的，方案内容有缺陷但基本符合项目需求的得1.1-3.0分；</w:t>
            </w:r>
          </w:p>
          <w:p w14:paraId="368E7DBB">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实施方案不明确的，方案内容不清晰的得0.1-1.0分；</w:t>
            </w:r>
          </w:p>
          <w:p w14:paraId="7F6E3518">
            <w:pPr>
              <w:pStyle w:val="25"/>
              <w:keepNext w:val="0"/>
              <w:keepLines w:val="0"/>
              <w:pageBreakBefore w:val="0"/>
              <w:widowControl w:val="0"/>
              <w:numPr>
                <w:ilvl w:val="0"/>
                <w:numId w:val="0"/>
              </w:numPr>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28" w:type="dxa"/>
            <w:tcBorders>
              <w:top w:val="single" w:color="auto" w:sz="4" w:space="0"/>
              <w:left w:val="single" w:color="auto" w:sz="4" w:space="0"/>
              <w:bottom w:val="single" w:color="auto" w:sz="4" w:space="0"/>
              <w:right w:val="single" w:color="auto" w:sz="4" w:space="0"/>
            </w:tcBorders>
            <w:vAlign w:val="center"/>
          </w:tcPr>
          <w:p w14:paraId="5BD9961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3C58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991" w:type="dxa"/>
            <w:vMerge w:val="continue"/>
            <w:tcBorders>
              <w:left w:val="single" w:color="auto" w:sz="4" w:space="0"/>
              <w:right w:val="single" w:color="auto" w:sz="4" w:space="0"/>
            </w:tcBorders>
            <w:vAlign w:val="center"/>
          </w:tcPr>
          <w:p w14:paraId="6CFA2BF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054" w:type="dxa"/>
            <w:tcBorders>
              <w:left w:val="single" w:color="auto" w:sz="4" w:space="0"/>
              <w:right w:val="single" w:color="auto" w:sz="4" w:space="0"/>
            </w:tcBorders>
            <w:vAlign w:val="center"/>
          </w:tcPr>
          <w:p w14:paraId="193145D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w:t>
            </w:r>
          </w:p>
        </w:tc>
        <w:tc>
          <w:tcPr>
            <w:tcW w:w="6066" w:type="dxa"/>
            <w:tcBorders>
              <w:top w:val="single" w:color="auto" w:sz="4" w:space="0"/>
              <w:left w:val="single" w:color="auto" w:sz="4" w:space="0"/>
              <w:bottom w:val="single" w:color="auto" w:sz="4" w:space="0"/>
              <w:right w:val="single" w:color="auto" w:sz="4" w:space="0"/>
            </w:tcBorders>
            <w:vAlign w:val="center"/>
          </w:tcPr>
          <w:p w14:paraId="5FA6478D">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sz w:val="21"/>
                <w:szCs w:val="21"/>
                <w:highlight w:val="none"/>
                <w:lang w:eastAsia="zh-CN"/>
              </w:rPr>
              <w:t>针对后续实际项目实施中可能遇到的紧急事件、异常处理等应急状况处置和对应的解决措施情况进行综合评分：</w:t>
            </w:r>
          </w:p>
          <w:p w14:paraId="2346E620">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方案措施完整详细，具有科学性、合理性、可操作，符合项目需求的得4.1-</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.0分；</w:t>
            </w:r>
          </w:p>
          <w:p w14:paraId="105B7BA3">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方案措施一般、科学性、合理性、可操作性一般的得2.1-4.0分；</w:t>
            </w:r>
          </w:p>
          <w:p w14:paraId="31BF5BC2">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方案不明确，具体措施有不足的得0.1-2.0分；</w:t>
            </w:r>
          </w:p>
          <w:p w14:paraId="7F3EA8E7">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未提及此项不得分。</w:t>
            </w:r>
          </w:p>
        </w:tc>
        <w:tc>
          <w:tcPr>
            <w:tcW w:w="628" w:type="dxa"/>
            <w:tcBorders>
              <w:top w:val="single" w:color="auto" w:sz="4" w:space="0"/>
              <w:left w:val="single" w:color="auto" w:sz="4" w:space="0"/>
              <w:bottom w:val="single" w:color="auto" w:sz="4" w:space="0"/>
              <w:right w:val="single" w:color="auto" w:sz="4" w:space="0"/>
            </w:tcBorders>
            <w:vAlign w:val="center"/>
          </w:tcPr>
          <w:p w14:paraId="718FB70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5</w:t>
            </w:r>
          </w:p>
        </w:tc>
      </w:tr>
      <w:tr w14:paraId="1B3E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dxa"/>
            <w:vMerge w:val="continue"/>
            <w:tcBorders>
              <w:left w:val="single" w:color="auto" w:sz="4" w:space="0"/>
              <w:right w:val="single" w:color="auto" w:sz="4" w:space="0"/>
            </w:tcBorders>
            <w:vAlign w:val="center"/>
          </w:tcPr>
          <w:p w14:paraId="1019212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p>
        </w:tc>
        <w:tc>
          <w:tcPr>
            <w:tcW w:w="1054" w:type="dxa"/>
            <w:tcBorders>
              <w:left w:val="single" w:color="auto" w:sz="4" w:space="0"/>
              <w:right w:val="single" w:color="auto" w:sz="4" w:space="0"/>
            </w:tcBorders>
            <w:vAlign w:val="center"/>
          </w:tcPr>
          <w:p w14:paraId="44D39B6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b w:val="0"/>
                <w:bCs w:val="0"/>
                <w:color w:val="auto"/>
                <w:sz w:val="21"/>
                <w:szCs w:val="21"/>
                <w:highlight w:val="none"/>
                <w:lang w:val="en-US" w:eastAsia="zh-CN"/>
              </w:rPr>
              <w:t>质量保证措施</w:t>
            </w:r>
          </w:p>
        </w:tc>
        <w:tc>
          <w:tcPr>
            <w:tcW w:w="6066" w:type="dxa"/>
            <w:tcBorders>
              <w:top w:val="single" w:color="auto" w:sz="4" w:space="0"/>
              <w:left w:val="single" w:color="auto" w:sz="4" w:space="0"/>
              <w:bottom w:val="single" w:color="auto" w:sz="4" w:space="0"/>
              <w:right w:val="single" w:color="auto" w:sz="4" w:space="0"/>
            </w:tcBorders>
            <w:vAlign w:val="center"/>
          </w:tcPr>
          <w:p w14:paraId="3994960E">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根据投标人提供的针对质控工作中的管理规范、内控制度、质量管控措施进行综合评分。</w:t>
            </w:r>
          </w:p>
          <w:p w14:paraId="1C3B83EF">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应急措施科学可行、可实现性强、具有改进意义的得4.1-</w:t>
            </w:r>
            <w:r>
              <w:rPr>
                <w:rFonts w:hint="eastAsia"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32A556D4">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应急措施内容一般，科学性、可实现性一般的得2.1-4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16880460">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应急措施不明确，具体操作内容有不足的得0.1-2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5DA6CBBC">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未提及此项不得分。</w:t>
            </w:r>
          </w:p>
        </w:tc>
        <w:tc>
          <w:tcPr>
            <w:tcW w:w="628" w:type="dxa"/>
            <w:tcBorders>
              <w:top w:val="single" w:color="auto" w:sz="4" w:space="0"/>
              <w:left w:val="single" w:color="auto" w:sz="4" w:space="0"/>
              <w:bottom w:val="single" w:color="auto" w:sz="4" w:space="0"/>
              <w:right w:val="single" w:color="auto" w:sz="4" w:space="0"/>
            </w:tcBorders>
            <w:vAlign w:val="center"/>
          </w:tcPr>
          <w:p w14:paraId="58B7AF5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5</w:t>
            </w:r>
          </w:p>
        </w:tc>
      </w:tr>
      <w:tr w14:paraId="0A1F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991" w:type="dxa"/>
            <w:vMerge w:val="continue"/>
            <w:tcBorders>
              <w:left w:val="single" w:color="auto" w:sz="4" w:space="0"/>
              <w:right w:val="single" w:color="auto" w:sz="4" w:space="0"/>
            </w:tcBorders>
            <w:vAlign w:val="center"/>
          </w:tcPr>
          <w:p w14:paraId="7DAFD975">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kern w:val="0"/>
                <w:sz w:val="21"/>
                <w:szCs w:val="21"/>
                <w:highlight w:val="none"/>
                <w:lang w:val="en-US" w:eastAsia="zh-CN"/>
              </w:rPr>
            </w:pPr>
          </w:p>
        </w:tc>
        <w:tc>
          <w:tcPr>
            <w:tcW w:w="1054" w:type="dxa"/>
            <w:tcBorders>
              <w:left w:val="single" w:color="auto" w:sz="4" w:space="0"/>
              <w:right w:val="single" w:color="auto" w:sz="4" w:space="0"/>
            </w:tcBorders>
            <w:vAlign w:val="center"/>
          </w:tcPr>
          <w:p w14:paraId="606E8166">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0"/>
                <w:sz w:val="21"/>
                <w:szCs w:val="21"/>
                <w:highlight w:val="none"/>
                <w:lang w:val="en-US" w:eastAsia="zh-CN"/>
              </w:rPr>
              <w:t>售后服务</w:t>
            </w:r>
          </w:p>
        </w:tc>
        <w:tc>
          <w:tcPr>
            <w:tcW w:w="6066" w:type="dxa"/>
            <w:tcBorders>
              <w:top w:val="single" w:color="auto" w:sz="4" w:space="0"/>
              <w:left w:val="single" w:color="auto" w:sz="4" w:space="0"/>
              <w:bottom w:val="single" w:color="auto" w:sz="4" w:space="0"/>
              <w:right w:val="single" w:color="auto" w:sz="4" w:space="0"/>
            </w:tcBorders>
            <w:vAlign w:val="top"/>
          </w:tcPr>
          <w:p w14:paraId="08FFE9E4">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根据供应商承诺的后续服务、其他优惠条件等情况进行综合评分。</w:t>
            </w:r>
          </w:p>
          <w:p w14:paraId="44BF8CE6">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服务方案完整详细，保障措施全面可行，贴合项目实际的，其他优惠条件具有针对性的得4.1-5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39FC5693">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服务方案基本完整，保障措施基本可行，其他优惠条件缺乏针对性的得2.1-4.0分；</w:t>
            </w:r>
          </w:p>
          <w:p w14:paraId="718DD864">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服务方案不明确，具体保障措施不清晰，其他优惠条件不明确的得0.1-2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470B0D6A">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val="en-US" w:eastAsia="zh-CN" w:bidi="ar-SA"/>
              </w:rPr>
              <w:t>未提及此项不得分。</w:t>
            </w:r>
          </w:p>
        </w:tc>
        <w:tc>
          <w:tcPr>
            <w:tcW w:w="628" w:type="dxa"/>
            <w:tcBorders>
              <w:top w:val="single" w:color="auto" w:sz="4" w:space="0"/>
              <w:left w:val="single" w:color="auto" w:sz="4" w:space="0"/>
              <w:bottom w:val="single" w:color="auto" w:sz="4" w:space="0"/>
              <w:right w:val="single" w:color="auto" w:sz="4" w:space="0"/>
            </w:tcBorders>
            <w:vAlign w:val="center"/>
          </w:tcPr>
          <w:p w14:paraId="5E263F8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w:t>
            </w:r>
          </w:p>
        </w:tc>
      </w:tr>
      <w:tr w14:paraId="3BA1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91" w:type="dxa"/>
            <w:vMerge w:val="continue"/>
            <w:tcBorders>
              <w:left w:val="single" w:color="auto" w:sz="4" w:space="0"/>
              <w:right w:val="single" w:color="auto" w:sz="4" w:space="0"/>
            </w:tcBorders>
            <w:vAlign w:val="center"/>
          </w:tcPr>
          <w:p w14:paraId="1460A51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kern w:val="2"/>
                <w:sz w:val="21"/>
                <w:szCs w:val="21"/>
                <w:highlight w:val="none"/>
                <w:lang w:val="en-US" w:eastAsia="zh-CN" w:bidi="ar-SA"/>
              </w:rPr>
            </w:pPr>
          </w:p>
        </w:tc>
        <w:tc>
          <w:tcPr>
            <w:tcW w:w="1054" w:type="dxa"/>
            <w:tcBorders>
              <w:left w:val="single" w:color="auto" w:sz="4" w:space="0"/>
              <w:right w:val="single" w:color="auto" w:sz="4" w:space="0"/>
            </w:tcBorders>
            <w:vAlign w:val="center"/>
          </w:tcPr>
          <w:p w14:paraId="084C68AB">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服务响应时间</w:t>
            </w:r>
          </w:p>
        </w:tc>
        <w:tc>
          <w:tcPr>
            <w:tcW w:w="6066" w:type="dxa"/>
            <w:tcBorders>
              <w:top w:val="single" w:color="auto" w:sz="4" w:space="0"/>
              <w:left w:val="single" w:color="auto" w:sz="4" w:space="0"/>
              <w:bottom w:val="single" w:color="auto" w:sz="4" w:space="0"/>
              <w:right w:val="single" w:color="auto" w:sz="4" w:space="0"/>
            </w:tcBorders>
            <w:vAlign w:val="center"/>
          </w:tcPr>
          <w:p w14:paraId="761373C6">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根据投标人</w:t>
            </w:r>
            <w:r>
              <w:rPr>
                <w:rFonts w:hint="eastAsia" w:ascii="宋体" w:hAnsi="宋体" w:eastAsia="宋体" w:cs="宋体"/>
                <w:color w:val="auto"/>
                <w:spacing w:val="-4"/>
                <w:sz w:val="21"/>
                <w:szCs w:val="21"/>
                <w:highlight w:val="none"/>
                <w:lang w:val="en-US" w:eastAsia="zh-CN"/>
              </w:rPr>
              <w:t>承诺的服务</w:t>
            </w:r>
            <w:r>
              <w:rPr>
                <w:rFonts w:hint="eastAsia" w:ascii="宋体" w:hAnsi="宋体" w:eastAsia="宋体" w:cs="宋体"/>
                <w:color w:val="auto"/>
                <w:spacing w:val="-4"/>
                <w:sz w:val="21"/>
                <w:szCs w:val="21"/>
                <w:highlight w:val="none"/>
              </w:rPr>
              <w:t>响应时间等情况进行打分。</w:t>
            </w:r>
          </w:p>
          <w:p w14:paraId="1546BEE0">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p w14:paraId="72BC29C2">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分；</w:t>
            </w:r>
          </w:p>
          <w:p w14:paraId="59A2B047">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w:t>
            </w:r>
          </w:p>
          <w:p w14:paraId="45A6FCB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highlight w:val="none"/>
              </w:rPr>
            </w:pP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超过</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w:t>
            </w:r>
            <w:r>
              <w:rPr>
                <w:rFonts w:hint="eastAsia" w:ascii="宋体" w:hAnsi="宋体" w:eastAsia="宋体" w:cs="宋体"/>
                <w:color w:val="auto"/>
                <w:spacing w:val="-4"/>
                <w:sz w:val="21"/>
                <w:szCs w:val="21"/>
                <w:highlight w:val="none"/>
                <w:lang w:val="en-US" w:eastAsia="zh-CN"/>
              </w:rPr>
              <w:t>的</w:t>
            </w:r>
            <w:r>
              <w:rPr>
                <w:rFonts w:hint="eastAsia" w:ascii="宋体" w:hAnsi="宋体" w:eastAsia="宋体" w:cs="宋体"/>
                <w:color w:val="auto"/>
                <w:spacing w:val="-4"/>
                <w:sz w:val="21"/>
                <w:szCs w:val="21"/>
                <w:highlight w:val="none"/>
              </w:rPr>
              <w:t>不得分。</w:t>
            </w:r>
          </w:p>
        </w:tc>
        <w:tc>
          <w:tcPr>
            <w:tcW w:w="628" w:type="dxa"/>
            <w:tcBorders>
              <w:top w:val="single" w:color="auto" w:sz="4" w:space="0"/>
              <w:left w:val="single" w:color="auto" w:sz="4" w:space="0"/>
              <w:bottom w:val="single" w:color="auto" w:sz="4" w:space="0"/>
              <w:right w:val="single" w:color="auto" w:sz="4" w:space="0"/>
            </w:tcBorders>
            <w:vAlign w:val="center"/>
          </w:tcPr>
          <w:p w14:paraId="6AF3677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92D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045" w:type="dxa"/>
            <w:gridSpan w:val="2"/>
            <w:tcBorders>
              <w:left w:val="single" w:color="auto" w:sz="4" w:space="0"/>
              <w:right w:val="single" w:color="auto" w:sz="4" w:space="0"/>
            </w:tcBorders>
            <w:vAlign w:val="center"/>
          </w:tcPr>
          <w:p w14:paraId="78F0BFC5">
            <w:pPr>
              <w:keepNext w:val="0"/>
              <w:keepLines w:val="0"/>
              <w:pageBreakBefore w:val="0"/>
              <w:kinsoku/>
              <w:wordWrap/>
              <w:overflowPunct/>
              <w:topLinePunct w:val="0"/>
              <w:bidi w:val="0"/>
              <w:spacing w:beforeAutospacing="0" w:afterAutospacing="0" w:line="240" w:lineRule="auto"/>
              <w:ind w:left="0"/>
              <w:jc w:val="center"/>
              <w:textAlignment w:val="auto"/>
              <w:rPr>
                <w:rStyle w:val="53"/>
                <w:rFonts w:hint="eastAsia" w:ascii="宋体" w:hAnsi="宋体" w:eastAsia="宋体" w:cs="宋体"/>
                <w:color w:val="auto"/>
                <w:kern w:val="0"/>
                <w:sz w:val="21"/>
                <w:szCs w:val="21"/>
                <w:highlight w:val="none"/>
              </w:rPr>
            </w:pPr>
            <w:r>
              <w:rPr>
                <w:rStyle w:val="53"/>
                <w:rFonts w:hint="eastAsia" w:ascii="宋体" w:hAnsi="宋体" w:eastAsia="宋体" w:cs="宋体"/>
                <w:color w:val="auto"/>
                <w:kern w:val="0"/>
                <w:sz w:val="21"/>
                <w:szCs w:val="21"/>
                <w:highlight w:val="none"/>
              </w:rPr>
              <w:t>价格</w:t>
            </w:r>
          </w:p>
          <w:p w14:paraId="189A069A">
            <w:pPr>
              <w:keepNext w:val="0"/>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eastAsia="zh-Hans"/>
              </w:rPr>
            </w:pPr>
            <w:r>
              <w:rPr>
                <w:rStyle w:val="53"/>
                <w:rFonts w:hint="eastAsia" w:ascii="宋体" w:hAnsi="宋体" w:eastAsia="宋体" w:cs="宋体"/>
                <w:color w:val="auto"/>
                <w:kern w:val="0"/>
                <w:sz w:val="21"/>
                <w:szCs w:val="21"/>
                <w:highlight w:val="none"/>
              </w:rPr>
              <w:t>（</w:t>
            </w:r>
            <w:r>
              <w:rPr>
                <w:rStyle w:val="53"/>
                <w:rFonts w:hint="eastAsia" w:ascii="宋体" w:hAnsi="宋体" w:cs="宋体"/>
                <w:color w:val="auto"/>
                <w:kern w:val="0"/>
                <w:sz w:val="21"/>
                <w:szCs w:val="21"/>
                <w:highlight w:val="none"/>
                <w:lang w:val="en-US" w:eastAsia="zh-CN"/>
              </w:rPr>
              <w:t>20</w:t>
            </w:r>
            <w:r>
              <w:rPr>
                <w:rStyle w:val="53"/>
                <w:rFonts w:hint="eastAsia" w:ascii="宋体" w:hAnsi="宋体" w:eastAsia="宋体" w:cs="宋体"/>
                <w:color w:val="auto"/>
                <w:kern w:val="0"/>
                <w:sz w:val="21"/>
                <w:szCs w:val="21"/>
                <w:highlight w:val="none"/>
              </w:rPr>
              <w:t>分）</w:t>
            </w:r>
          </w:p>
        </w:tc>
        <w:tc>
          <w:tcPr>
            <w:tcW w:w="6066" w:type="dxa"/>
            <w:tcBorders>
              <w:top w:val="single" w:color="auto" w:sz="4" w:space="0"/>
              <w:left w:val="single" w:color="auto" w:sz="4" w:space="0"/>
              <w:bottom w:val="single" w:color="auto" w:sz="4" w:space="0"/>
              <w:right w:val="single" w:color="auto" w:sz="4" w:space="0"/>
            </w:tcBorders>
            <w:vAlign w:val="center"/>
          </w:tcPr>
          <w:p w14:paraId="63AC72CF">
            <w:pPr>
              <w:keepNext w:val="0"/>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3115D4A8">
            <w:pPr>
              <w:keepNext w:val="0"/>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28" w:type="dxa"/>
            <w:tcBorders>
              <w:top w:val="single" w:color="auto" w:sz="4" w:space="0"/>
              <w:left w:val="single" w:color="auto" w:sz="4" w:space="0"/>
              <w:bottom w:val="single" w:color="auto" w:sz="4" w:space="0"/>
              <w:right w:val="single" w:color="auto" w:sz="4" w:space="0"/>
            </w:tcBorders>
            <w:vAlign w:val="center"/>
          </w:tcPr>
          <w:p w14:paraId="1898E95A">
            <w:pPr>
              <w:keepNext w:val="0"/>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20</w:t>
            </w:r>
          </w:p>
        </w:tc>
      </w:tr>
    </w:tbl>
    <w:p w14:paraId="3F0AD7B2">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2"/>
        <w:rPr>
          <w:rFonts w:hint="eastAsia" w:ascii="宋体" w:hAnsi="宋体" w:eastAsia="宋体" w:cs="宋体"/>
          <w:b/>
          <w:color w:val="auto"/>
          <w:sz w:val="36"/>
          <w:szCs w:val="36"/>
          <w:highlight w:val="none"/>
        </w:rPr>
      </w:pPr>
    </w:p>
    <w:p w14:paraId="6D5DE14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6E88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44451810">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bookmarkStart w:id="0" w:name="_Toc98821986"/>
      <w:r>
        <w:rPr>
          <w:rFonts w:hint="eastAsia" w:ascii="宋体" w:hAnsi="宋体" w:eastAsia="宋体" w:cs="宋体"/>
          <w:b/>
          <w:color w:val="auto"/>
          <w:sz w:val="21"/>
          <w:szCs w:val="21"/>
          <w:highlight w:val="none"/>
        </w:rPr>
        <w:t>一、招标项目一览表</w:t>
      </w:r>
    </w:p>
    <w:tbl>
      <w:tblPr>
        <w:tblStyle w:val="19"/>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718"/>
        <w:gridCol w:w="750"/>
        <w:gridCol w:w="1660"/>
        <w:gridCol w:w="1395"/>
        <w:gridCol w:w="1395"/>
      </w:tblGrid>
      <w:tr w14:paraId="5F90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 w:type="dxa"/>
            <w:vAlign w:val="center"/>
          </w:tcPr>
          <w:p w14:paraId="72E73F28">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序号</w:t>
            </w:r>
          </w:p>
        </w:tc>
        <w:tc>
          <w:tcPr>
            <w:tcW w:w="2126" w:type="dxa"/>
            <w:vAlign w:val="center"/>
          </w:tcPr>
          <w:p w14:paraId="1A6FC9C2">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718" w:type="dxa"/>
            <w:vAlign w:val="center"/>
          </w:tcPr>
          <w:p w14:paraId="26A2A98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vAlign w:val="center"/>
          </w:tcPr>
          <w:p w14:paraId="45895BA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0" w:type="dxa"/>
            <w:vAlign w:val="center"/>
          </w:tcPr>
          <w:p w14:paraId="478D97DE">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E550110">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95" w:type="dxa"/>
            <w:vAlign w:val="center"/>
          </w:tcPr>
          <w:p w14:paraId="35998248">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最高限价</w:t>
            </w:r>
          </w:p>
          <w:p w14:paraId="483CEF09">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（万元）</w:t>
            </w:r>
          </w:p>
        </w:tc>
        <w:tc>
          <w:tcPr>
            <w:tcW w:w="1395" w:type="dxa"/>
            <w:vAlign w:val="center"/>
          </w:tcPr>
          <w:p w14:paraId="3CE69EB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485F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09BF32B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26" w:type="dxa"/>
            <w:vAlign w:val="center"/>
          </w:tcPr>
          <w:p w14:paraId="3B54AE68">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路桥区非道路移动机械治理项目</w:t>
            </w:r>
          </w:p>
        </w:tc>
        <w:tc>
          <w:tcPr>
            <w:tcW w:w="718" w:type="dxa"/>
            <w:vAlign w:val="center"/>
          </w:tcPr>
          <w:p w14:paraId="0ECE8ED9">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vAlign w:val="center"/>
          </w:tcPr>
          <w:p w14:paraId="6DE8C5F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60" w:type="dxa"/>
            <w:vAlign w:val="center"/>
          </w:tcPr>
          <w:p w14:paraId="537165DE">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62.7</w:t>
            </w:r>
          </w:p>
        </w:tc>
        <w:tc>
          <w:tcPr>
            <w:tcW w:w="1395" w:type="dxa"/>
            <w:vAlign w:val="center"/>
          </w:tcPr>
          <w:p w14:paraId="6247B38E">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55</w:t>
            </w:r>
          </w:p>
        </w:tc>
        <w:tc>
          <w:tcPr>
            <w:tcW w:w="1395" w:type="dxa"/>
            <w:vAlign w:val="center"/>
          </w:tcPr>
          <w:p w14:paraId="5BE9651D">
            <w:pPr>
              <w:tabs>
                <w:tab w:val="left" w:pos="8280"/>
              </w:tabs>
              <w:autoSpaceDE w:val="0"/>
              <w:autoSpaceDN w:val="0"/>
              <w:adjustRightInd w:val="0"/>
              <w:ind w:right="25"/>
              <w:jc w:val="both"/>
              <w:rPr>
                <w:rFonts w:hint="eastAsia" w:ascii="宋体" w:hAnsi="宋体" w:eastAsia="宋体" w:cs="宋体"/>
                <w:color w:val="auto"/>
                <w:sz w:val="21"/>
                <w:szCs w:val="21"/>
                <w:highlight w:val="none"/>
              </w:rPr>
            </w:pPr>
          </w:p>
        </w:tc>
      </w:tr>
    </w:tbl>
    <w:p w14:paraId="5E83D7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二、项目背景</w:t>
      </w:r>
    </w:p>
    <w:p w14:paraId="264BA701">
      <w:pPr>
        <w:pStyle w:val="55"/>
        <w:keepNext w:val="0"/>
        <w:keepLines w:val="0"/>
        <w:pageBreakBefore w:val="0"/>
        <w:numPr>
          <w:ilvl w:val="0"/>
          <w:numId w:val="0"/>
        </w:numPr>
        <w:kinsoku/>
        <w:wordWrap/>
        <w:overflowPunct/>
        <w:topLinePunct w:val="0"/>
        <w:bidi w:val="0"/>
        <w:snapToGrid/>
        <w:spacing w:line="360" w:lineRule="auto"/>
        <w:ind w:left="0" w:leftChars="0" w:right="0" w:rightChars="0" w:firstLine="434" w:firstLineChars="207"/>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为持续监管市内非道路移动机械，加强移动源污染</w:t>
      </w:r>
      <w:r>
        <w:rPr>
          <w:rFonts w:hint="eastAsia" w:ascii="宋体" w:hAnsi="宋体" w:eastAsia="宋体" w:cs="宋体"/>
          <w:color w:val="auto"/>
          <w:kern w:val="0"/>
          <w:sz w:val="21"/>
          <w:szCs w:val="21"/>
          <w:highlight w:val="none"/>
          <w:lang w:val="en-US" w:eastAsia="zh-CN" w:bidi="ar"/>
        </w:rPr>
        <w:t>综合治理</w:t>
      </w:r>
      <w:r>
        <w:rPr>
          <w:rFonts w:hint="eastAsia" w:ascii="宋体" w:hAnsi="宋体" w:eastAsia="宋体" w:cs="宋体"/>
          <w:color w:val="auto"/>
          <w:kern w:val="0"/>
          <w:sz w:val="21"/>
          <w:szCs w:val="21"/>
          <w:highlight w:val="none"/>
          <w:lang w:bidi="ar"/>
        </w:rPr>
        <w:t>，确保非道路移动机械编码登记上牌和达标排放</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我</w:t>
      </w:r>
      <w:r>
        <w:rPr>
          <w:rFonts w:hint="eastAsia" w:ascii="宋体" w:hAnsi="宋体" w:eastAsia="宋体" w:cs="宋体"/>
          <w:color w:val="auto"/>
          <w:kern w:val="0"/>
          <w:sz w:val="21"/>
          <w:szCs w:val="21"/>
          <w:highlight w:val="none"/>
          <w:lang w:val="en-US" w:eastAsia="zh-CN" w:bidi="ar"/>
        </w:rPr>
        <w:t>区</w:t>
      </w:r>
      <w:r>
        <w:rPr>
          <w:rFonts w:hint="eastAsia" w:ascii="宋体" w:hAnsi="宋体" w:eastAsia="宋体" w:cs="宋体"/>
          <w:color w:val="auto"/>
          <w:kern w:val="0"/>
          <w:sz w:val="21"/>
          <w:szCs w:val="21"/>
          <w:highlight w:val="none"/>
          <w:lang w:bidi="ar"/>
        </w:rPr>
        <w:t>202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年度非道路移动机械编码登记上牌</w:t>
      </w:r>
      <w:r>
        <w:rPr>
          <w:rFonts w:hint="eastAsia" w:ascii="宋体" w:hAnsi="宋体" w:eastAsia="宋体" w:cs="宋体"/>
          <w:color w:val="auto"/>
          <w:kern w:val="0"/>
          <w:sz w:val="21"/>
          <w:szCs w:val="21"/>
          <w:highlight w:val="none"/>
          <w:lang w:val="en-US" w:eastAsia="zh-CN" w:bidi="ar"/>
        </w:rPr>
        <w:t>任务为</w:t>
      </w:r>
      <w:r>
        <w:rPr>
          <w:rFonts w:hint="eastAsia" w:ascii="宋体" w:hAnsi="宋体" w:cs="宋体"/>
          <w:color w:val="auto"/>
          <w:kern w:val="0"/>
          <w:sz w:val="21"/>
          <w:szCs w:val="21"/>
          <w:highlight w:val="none"/>
          <w:lang w:val="en-US" w:eastAsia="zh-CN" w:bidi="ar"/>
        </w:rPr>
        <w:t>300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；非道路移动机械</w:t>
      </w:r>
      <w:r>
        <w:rPr>
          <w:rFonts w:hint="eastAsia" w:ascii="宋体" w:hAnsi="宋体" w:eastAsia="宋体" w:cs="宋体"/>
          <w:color w:val="auto"/>
          <w:kern w:val="0"/>
          <w:sz w:val="21"/>
          <w:szCs w:val="21"/>
          <w:highlight w:val="none"/>
          <w:lang w:bidi="ar"/>
        </w:rPr>
        <w:t>尾气抽测任务分别为</w:t>
      </w:r>
      <w:r>
        <w:rPr>
          <w:rFonts w:hint="eastAsia" w:ascii="宋体" w:hAnsi="宋体" w:cs="宋体"/>
          <w:color w:val="auto"/>
          <w:kern w:val="0"/>
          <w:sz w:val="21"/>
          <w:szCs w:val="21"/>
          <w:highlight w:val="none"/>
          <w:lang w:val="en-US" w:eastAsia="zh-CN" w:bidi="ar"/>
        </w:rPr>
        <w:t>1100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柴油货车路检路查和入户检查任务分别为200辆和100辆。</w:t>
      </w:r>
      <w:r>
        <w:rPr>
          <w:rFonts w:hint="eastAsia" w:ascii="宋体" w:hAnsi="宋体" w:eastAsia="宋体" w:cs="宋体"/>
          <w:color w:val="auto"/>
          <w:kern w:val="0"/>
          <w:sz w:val="21"/>
          <w:szCs w:val="21"/>
          <w:highlight w:val="none"/>
          <w:lang w:bidi="ar"/>
        </w:rPr>
        <w:t>鉴于该项目工作专业性强，技术含量高、工作量大，需委托熟悉流程的第三方机构开展。</w:t>
      </w:r>
      <w:r>
        <w:rPr>
          <w:rFonts w:hint="eastAsia" w:ascii="宋体" w:hAnsi="宋体" w:eastAsia="宋体" w:cs="宋体"/>
          <w:color w:val="auto"/>
          <w:kern w:val="0"/>
          <w:sz w:val="21"/>
          <w:szCs w:val="21"/>
          <w:highlight w:val="none"/>
          <w:lang w:val="en-US" w:eastAsia="zh-CN" w:bidi="ar"/>
        </w:rPr>
        <w:t xml:space="preserve"> </w:t>
      </w:r>
    </w:p>
    <w:p w14:paraId="50E936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lang w:val="en-US" w:eastAsia="zh-CN"/>
        </w:rPr>
        <w:t>三、采购内容</w:t>
      </w:r>
    </w:p>
    <w:p w14:paraId="05DB22A8">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2" w:firstLineChars="20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（一）非道路移动机械摸底调查和编码登记</w:t>
      </w:r>
    </w:p>
    <w:p w14:paraId="3937472E">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服务期内</w:t>
      </w:r>
      <w:r>
        <w:rPr>
          <w:rFonts w:hint="eastAsia" w:ascii="宋体" w:hAnsi="宋体" w:eastAsia="宋体" w:cs="宋体"/>
          <w:color w:val="auto"/>
          <w:sz w:val="21"/>
          <w:szCs w:val="21"/>
          <w:highlight w:val="none"/>
        </w:rPr>
        <w:t>中标单位完成</w:t>
      </w:r>
      <w:r>
        <w:rPr>
          <w:rFonts w:hint="eastAsia" w:ascii="宋体" w:hAnsi="宋体" w:eastAsia="宋体" w:cs="宋体"/>
          <w:color w:val="auto"/>
          <w:sz w:val="21"/>
          <w:szCs w:val="21"/>
          <w:highlight w:val="none"/>
          <w:lang w:val="en-US" w:eastAsia="zh-CN"/>
        </w:rPr>
        <w:t>不少于</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rPr>
        <w:t>台非道路移动机械摸底调查和编码登记工作，主要是用在施工工地、物流园区、大型工矿企业、港口码头、铁路货场作业的非道路移动机械，包括但不限于以下机械类型：挖掘机、起重机、推土机、装载机、压路机、摊铺机、平地机、叉车、打桩机、铲车、牵引车、摆渡车等，建立非道路移动机械台账。</w:t>
      </w:r>
    </w:p>
    <w:p w14:paraId="1FB7F00A">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1、摸底调查和编码登记</w:t>
      </w:r>
    </w:p>
    <w:p w14:paraId="04E77F4C">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主要包括生产厂家名称、出厂日期等基本信息，所有人或使用人名称（可为单位或个人）、联系方式等登记人信息，排放阶段、机械类型（按用途分）、燃料类型、污染控制装置等技术信息，以及机械铭牌、发动机铭牌、非道路移动机械环保信息公开标签等。</w:t>
      </w:r>
    </w:p>
    <w:p w14:paraId="7E3DC75D">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2、信息录入</w:t>
      </w:r>
    </w:p>
    <w:p w14:paraId="72BAF7B5">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将摸底调查和编码登记信息录入非道路移动机械环保监管平台，自动实现信息联网报送。</w:t>
      </w:r>
    </w:p>
    <w:p w14:paraId="63185FA4">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3、环保标牌制作和安装</w:t>
      </w:r>
    </w:p>
    <w:p w14:paraId="5993F5D5">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对完成信息登记的非道路移动机械按照国家、省环保标识牌号码编制规则和技术要求制作标牌，并固定在机械显著位置。</w:t>
      </w:r>
    </w:p>
    <w:p w14:paraId="1E3584BF">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4、环保信息采集卡制作和发放</w:t>
      </w:r>
    </w:p>
    <w:p w14:paraId="5C357D4A">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按照国家</w:t>
      </w:r>
      <w:r>
        <w:rPr>
          <w:rFonts w:hint="eastAsia" w:ascii="宋体" w:hAnsi="宋体" w:eastAsia="宋体" w:cs="宋体"/>
          <w:color w:val="auto"/>
          <w:sz w:val="21"/>
          <w:szCs w:val="21"/>
          <w:highlight w:val="none"/>
          <w:lang w:eastAsia="zh-CN"/>
        </w:rPr>
        <w:t>、省相关</w:t>
      </w:r>
      <w:r>
        <w:rPr>
          <w:rFonts w:hint="eastAsia" w:ascii="宋体" w:hAnsi="宋体" w:eastAsia="宋体" w:cs="宋体"/>
          <w:color w:val="auto"/>
          <w:sz w:val="21"/>
          <w:szCs w:val="21"/>
          <w:highlight w:val="none"/>
        </w:rPr>
        <w:t>要求规定，制作信息采集卡并发放。</w:t>
      </w:r>
    </w:p>
    <w:p w14:paraId="5C3AB79E">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（二）非道路移动机械尾气检测</w:t>
      </w:r>
    </w:p>
    <w:p w14:paraId="1F884138">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中标单位按照《非道路柴油移动机械排气烟度限值及测量方法》（GB36886-2018）对已完成编码登记的机械进行尾气排放抽测，</w:t>
      </w:r>
      <w:r>
        <w:rPr>
          <w:rFonts w:hint="eastAsia" w:ascii="宋体" w:hAnsi="宋体" w:eastAsia="宋体" w:cs="宋体"/>
          <w:color w:val="auto"/>
          <w:sz w:val="21"/>
          <w:szCs w:val="21"/>
          <w:highlight w:val="none"/>
          <w:lang w:val="en-US" w:eastAsia="zh-CN"/>
        </w:rPr>
        <w:t>按生态环境部门要求开展非道路移动机械抽测，</w:t>
      </w:r>
      <w:r>
        <w:rPr>
          <w:rFonts w:hint="eastAsia" w:ascii="宋体" w:hAnsi="宋体" w:eastAsia="宋体" w:cs="宋体"/>
          <w:color w:val="auto"/>
          <w:sz w:val="21"/>
          <w:szCs w:val="21"/>
          <w:highlight w:val="none"/>
          <w:lang w:val="zh-CN" w:eastAsia="zh-CN"/>
        </w:rPr>
        <w:t>服务期内中标单位完成不少于</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val="zh-CN" w:eastAsia="zh-CN"/>
        </w:rPr>
        <w:t>台非道路移动机械尾气排放抽测工作</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并向采购人出具 CMA 排放检测报告，报告原始记录档案保存不少于 6 年。</w:t>
      </w:r>
    </w:p>
    <w:p w14:paraId="4447F2B2">
      <w:pPr>
        <w:pStyle w:val="55"/>
        <w:keepNext w:val="0"/>
        <w:keepLines w:val="0"/>
        <w:pageBreakBefore w:val="0"/>
        <w:numPr>
          <w:ilvl w:val="0"/>
          <w:numId w:val="2"/>
        </w:numPr>
        <w:kinsoku/>
        <w:wordWrap/>
        <w:overflowPunct/>
        <w:topLinePunct w:val="0"/>
        <w:bidi w:val="0"/>
        <w:snapToGrid/>
        <w:spacing w:line="360" w:lineRule="auto"/>
        <w:ind w:left="0" w:leftChars="0" w:right="0" w:rightChars="0" w:firstLine="436" w:firstLineChars="207"/>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柴油货车路检路查、入户检查</w:t>
      </w:r>
    </w:p>
    <w:p w14:paraId="7F43F42A">
      <w:pPr>
        <w:pStyle w:val="55"/>
        <w:keepNext w:val="0"/>
        <w:keepLines w:val="0"/>
        <w:pageBreakBefore w:val="0"/>
        <w:numPr>
          <w:ilvl w:val="0"/>
          <w:numId w:val="0"/>
        </w:numPr>
        <w:kinsoku/>
        <w:wordWrap/>
        <w:overflowPunct/>
        <w:topLinePunct w:val="0"/>
        <w:bidi w:val="0"/>
        <w:spacing w:line="400" w:lineRule="exact"/>
        <w:ind w:left="-376" w:leftChars="-179" w:right="-573" w:rightChars="-273" w:firstLine="434" w:firstLineChars="207"/>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zh-CN" w:eastAsia="zh-CN"/>
        </w:rPr>
        <w:t>中标单位按照《</w:t>
      </w:r>
      <w:r>
        <w:rPr>
          <w:rFonts w:hint="eastAsia" w:ascii="宋体" w:hAnsi="宋体" w:cs="宋体"/>
          <w:color w:val="auto"/>
          <w:sz w:val="21"/>
          <w:szCs w:val="21"/>
          <w:highlight w:val="none"/>
          <w:lang w:val="en-US" w:eastAsia="zh-CN"/>
        </w:rPr>
        <w:t>柴油车污染物排放限值及测量方法（自由加速法及加载减速法）</w:t>
      </w:r>
      <w:r>
        <w:rPr>
          <w:rFonts w:hint="eastAsia" w:ascii="宋体" w:hAnsi="宋体" w:eastAsia="宋体" w:cs="宋体"/>
          <w:color w:val="auto"/>
          <w:sz w:val="21"/>
          <w:szCs w:val="21"/>
          <w:highlight w:val="none"/>
          <w:lang w:val="zh-CN" w:eastAsia="zh-CN"/>
        </w:rPr>
        <w:t>》（GB</w:t>
      </w:r>
      <w:r>
        <w:rPr>
          <w:rFonts w:hint="eastAsia" w:ascii="宋体" w:hAnsi="宋体" w:cs="宋体"/>
          <w:color w:val="auto"/>
          <w:sz w:val="21"/>
          <w:szCs w:val="21"/>
          <w:highlight w:val="none"/>
          <w:lang w:val="en-US" w:eastAsia="zh-CN"/>
        </w:rPr>
        <w:t>3847</w:t>
      </w:r>
      <w:r>
        <w:rPr>
          <w:rFonts w:hint="eastAsia" w:ascii="宋体" w:hAnsi="宋体" w:eastAsia="宋体" w:cs="宋体"/>
          <w:color w:val="auto"/>
          <w:sz w:val="21"/>
          <w:szCs w:val="21"/>
          <w:highlight w:val="none"/>
          <w:lang w:val="zh-CN" w:eastAsia="zh-CN"/>
        </w:rPr>
        <w:t>-2018）</w:t>
      </w:r>
      <w:r>
        <w:rPr>
          <w:rFonts w:hint="eastAsia" w:ascii="宋体" w:hAnsi="宋体" w:eastAsia="宋体" w:cs="宋体"/>
          <w:color w:val="auto"/>
          <w:kern w:val="0"/>
          <w:sz w:val="21"/>
          <w:szCs w:val="21"/>
          <w:highlight w:val="none"/>
          <w:lang w:val="en-US" w:eastAsia="zh-CN" w:bidi="ar-SA"/>
        </w:rPr>
        <w:t>对200辆柴油货车路检路查及100辆柴油货车入户检查并出具</w:t>
      </w:r>
      <w:r>
        <w:rPr>
          <w:rFonts w:hint="eastAsia" w:ascii="宋体" w:hAnsi="宋体" w:eastAsia="宋体" w:cs="宋体"/>
          <w:color w:val="auto"/>
          <w:sz w:val="21"/>
          <w:szCs w:val="21"/>
          <w:highlight w:val="none"/>
          <w:lang w:val="zh-CN" w:eastAsia="zh-CN"/>
        </w:rPr>
        <w:t>CMA 排放检测报告，报告原始记录档案保存不少于 6 年</w:t>
      </w:r>
      <w:r>
        <w:rPr>
          <w:rFonts w:hint="eastAsia" w:ascii="宋体" w:hAnsi="宋体" w:eastAsia="宋体" w:cs="宋体"/>
          <w:color w:val="auto"/>
          <w:kern w:val="0"/>
          <w:sz w:val="21"/>
          <w:szCs w:val="21"/>
          <w:highlight w:val="none"/>
          <w:lang w:val="en-US" w:eastAsia="zh-CN" w:bidi="ar-SA"/>
        </w:rPr>
        <w:t>。</w:t>
      </w:r>
    </w:p>
    <w:p w14:paraId="5AF49147">
      <w:pPr>
        <w:pStyle w:val="2"/>
        <w:keepNext w:val="0"/>
        <w:keepLines w:val="0"/>
        <w:pageBreakBefore w:val="0"/>
        <w:numPr>
          <w:ilvl w:val="0"/>
          <w:numId w:val="0"/>
        </w:numPr>
        <w:kinsoku/>
        <w:wordWrap/>
        <w:overflowPunct/>
        <w:topLinePunct w:val="0"/>
        <w:bidi w:val="0"/>
        <w:snapToGrid/>
        <w:spacing w:after="0" w:line="360" w:lineRule="auto"/>
        <w:ind w:left="0" w:leftChars="0" w:right="0" w:right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（四）服务保障</w:t>
      </w:r>
    </w:p>
    <w:p w14:paraId="0E1334BB">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中标单位提供专业的工作团队，团队中固定1名联络人员，负责服务期内平台数据查看、进度统筹汇总、沟通协调宣传等工作。</w:t>
      </w:r>
    </w:p>
    <w:p w14:paraId="090128F2">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0" w:firstLineChars="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四、采购费用</w:t>
      </w:r>
    </w:p>
    <w:p w14:paraId="54F4E297">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为55万元；</w:t>
      </w:r>
    </w:p>
    <w:p w14:paraId="00297B97">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本项目单价包括涉及本项目所发生的一切费用，包括劳务费、人员工资、场地费用、材料费、仪器设备、技术服务、利润、税费、招标代理服务费、政策性文件规定及合同包含的所有风险、责任、成果验收以及采购文件约定工作内容</w:t>
      </w:r>
      <w:r>
        <w:rPr>
          <w:rFonts w:hint="eastAsia" w:ascii="宋体" w:hAnsi="宋体" w:eastAsia="宋体" w:cs="宋体"/>
          <w:b w:val="0"/>
          <w:bCs w:val="0"/>
          <w:color w:val="auto"/>
          <w:kern w:val="2"/>
          <w:sz w:val="21"/>
          <w:szCs w:val="21"/>
          <w:highlight w:val="none"/>
          <w:lang w:val="en-US" w:eastAsia="zh-CN" w:bidi="ar-SA"/>
        </w:rPr>
        <w:t>所包含的一切费用。</w:t>
      </w:r>
    </w:p>
    <w:p w14:paraId="3E1C734B">
      <w:pPr>
        <w:pStyle w:val="33"/>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0" w:firstLineChars="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五、采购项目要求</w:t>
      </w:r>
    </w:p>
    <w:p w14:paraId="1E649761">
      <w:pPr>
        <w:keepNext w:val="0"/>
        <w:keepLines w:val="0"/>
        <w:pageBreakBefore w:val="0"/>
        <w:numPr>
          <w:ilvl w:val="0"/>
          <w:numId w:val="0"/>
        </w:numPr>
        <w:kinsoku/>
        <w:wordWrap/>
        <w:overflowPunct/>
        <w:topLinePunct w:val="0"/>
        <w:bidi w:val="0"/>
        <w:snapToGrid/>
        <w:spacing w:line="360" w:lineRule="auto"/>
        <w:ind w:left="0" w:leftChars="0" w:right="0" w:rightChars="0"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1、基本原则：</w:t>
      </w:r>
      <w:r>
        <w:rPr>
          <w:rFonts w:hint="eastAsia" w:ascii="宋体" w:hAnsi="宋体" w:eastAsia="宋体" w:cs="宋体"/>
          <w:b w:val="0"/>
          <w:bCs w:val="0"/>
          <w:color w:val="auto"/>
          <w:sz w:val="21"/>
          <w:szCs w:val="21"/>
          <w:highlight w:val="none"/>
          <w:lang w:val="en-US" w:eastAsia="zh-CN"/>
        </w:rPr>
        <w:t>无论机械来源何处，后期流往何地，均遵循以县（市、区）为基本单元的属地管理原则，一次有效登记、编码各地通用、互认。摸底调查与编码登记应同步进行，时间上可以有先后，不能出现仅有摸底调查而无编码登记现象。</w:t>
      </w:r>
    </w:p>
    <w:p w14:paraId="01B2C7A3">
      <w:pPr>
        <w:keepNext w:val="0"/>
        <w:keepLines w:val="0"/>
        <w:pageBreakBefore w:val="0"/>
        <w:kinsoku/>
        <w:wordWrap/>
        <w:overflowPunct/>
        <w:topLinePunct w:val="0"/>
        <w:bidi w:val="0"/>
        <w:snapToGrid/>
        <w:spacing w:line="360" w:lineRule="auto"/>
        <w:ind w:left="0" w:leftChars="0" w:right="0" w:rightChars="0"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2、工作重点：</w:t>
      </w:r>
      <w:r>
        <w:rPr>
          <w:rFonts w:hint="eastAsia" w:ascii="宋体" w:hAnsi="宋体" w:eastAsia="宋体" w:cs="宋体"/>
          <w:b w:val="0"/>
          <w:bCs w:val="0"/>
          <w:color w:val="auto"/>
          <w:sz w:val="21"/>
          <w:szCs w:val="21"/>
          <w:highlight w:val="none"/>
          <w:lang w:val="en-US" w:eastAsia="zh-CN"/>
        </w:rPr>
        <w:t>重点对在依法划定的禁止使用高排放非道路移动机械的区域（以下简称“禁用区”）内使用非道路移动机械情况协助开展执法检查和排气监督检测。</w:t>
      </w:r>
    </w:p>
    <w:p w14:paraId="6A7AA773">
      <w:pPr>
        <w:keepNext w:val="0"/>
        <w:keepLines w:val="0"/>
        <w:pageBreakBefore w:val="0"/>
        <w:kinsoku/>
        <w:wordWrap/>
        <w:overflowPunct/>
        <w:topLinePunct w:val="0"/>
        <w:bidi w:val="0"/>
        <w:snapToGrid/>
        <w:spacing w:line="360" w:lineRule="auto"/>
        <w:ind w:left="0" w:leftChars="0" w:right="0" w:rightChars="0"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3、政策宣贯：</w:t>
      </w:r>
      <w:r>
        <w:rPr>
          <w:rFonts w:hint="eastAsia" w:ascii="宋体" w:hAnsi="宋体" w:eastAsia="宋体" w:cs="宋体"/>
          <w:b w:val="0"/>
          <w:bCs w:val="0"/>
          <w:color w:val="auto"/>
          <w:sz w:val="21"/>
          <w:szCs w:val="21"/>
          <w:highlight w:val="none"/>
          <w:lang w:val="en-US" w:eastAsia="zh-CN"/>
        </w:rPr>
        <w:t>深入施工工地、物流园区、大型工矿企业、港口等场所，广泛宣传非道路移动机械摸底调查和编码登记、尾气抽测相关政策和方法。协助对有关部门、企事业单位等相关人员进行培训。</w:t>
      </w:r>
    </w:p>
    <w:p w14:paraId="370F2C5D">
      <w:pPr>
        <w:keepNext w:val="0"/>
        <w:keepLines w:val="0"/>
        <w:pageBreakBefore w:val="0"/>
        <w:widowControl w:val="0"/>
        <w:kinsoku/>
        <w:wordWrap/>
        <w:overflowPunct/>
        <w:topLinePunct w:val="0"/>
        <w:bidi w:val="0"/>
        <w:snapToGrid/>
        <w:spacing w:line="360" w:lineRule="auto"/>
        <w:ind w:left="0" w:leftChars="0" w:right="0" w:rightChars="0" w:firstLine="422"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4、监督管理：</w:t>
      </w:r>
      <w:r>
        <w:rPr>
          <w:rFonts w:hint="eastAsia" w:ascii="宋体" w:hAnsi="宋体" w:eastAsia="宋体" w:cs="宋体"/>
          <w:b w:val="0"/>
          <w:bCs w:val="0"/>
          <w:color w:val="auto"/>
          <w:kern w:val="2"/>
          <w:sz w:val="21"/>
          <w:szCs w:val="21"/>
          <w:highlight w:val="none"/>
          <w:lang w:val="en-US" w:eastAsia="zh-CN" w:bidi="ar-SA"/>
        </w:rPr>
        <w:t>在合同期内应积极配合采购人进行例行的管理抽测，对于不能达标排放的非道路移动机械或在禁用区使用不符合要求的非道路移动机械的，配合采购人开展督促整改等相关工作。</w:t>
      </w:r>
    </w:p>
    <w:p w14:paraId="386547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其他要求</w:t>
      </w:r>
    </w:p>
    <w:p w14:paraId="580DC300">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1、供应商在履行合同义务期间，应遵守国家有关法律、法规、维护采购人的合法权益。</w:t>
      </w:r>
    </w:p>
    <w:p w14:paraId="002503C9">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2、供应商应自行承担项目实施过程中的安全责任，采购人不承担任何责任。</w:t>
      </w:r>
    </w:p>
    <w:p w14:paraId="48DC4A05">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3、供应商应负责提供 7*24 小时售后技术服务，提供快速的售后服务响应。</w:t>
      </w:r>
    </w:p>
    <w:p w14:paraId="72B567FC">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、商务条款</w:t>
      </w:r>
    </w:p>
    <w:p w14:paraId="32B4A417">
      <w:pPr>
        <w:keepNext w:val="0"/>
        <w:keepLines w:val="0"/>
        <w:pageBreakBefore w:val="0"/>
        <w:widowControl/>
        <w:kinsoku/>
        <w:wordWrap/>
        <w:overflowPunct/>
        <w:topLinePunct w:val="0"/>
        <w:bidi w:val="0"/>
        <w:snapToGrid/>
        <w:spacing w:line="360" w:lineRule="auto"/>
        <w:ind w:left="0" w:leftChars="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1、服务期限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合同签订之日起</w:t>
      </w:r>
      <w:r>
        <w:rPr>
          <w:rFonts w:hint="eastAsia" w:ascii="宋体" w:hAnsi="宋体" w:cs="宋体"/>
          <w:color w:val="auto"/>
          <w:kern w:val="0"/>
          <w:sz w:val="21"/>
          <w:szCs w:val="21"/>
          <w:highlight w:val="none"/>
          <w:lang w:val="en-US" w:eastAsia="zh-CN" w:bidi="ar"/>
        </w:rPr>
        <w:t>至2024年11月30日</w:t>
      </w:r>
      <w:r>
        <w:rPr>
          <w:rFonts w:hint="eastAsia" w:ascii="宋体" w:hAnsi="宋体" w:cs="宋体"/>
          <w:color w:val="auto"/>
          <w:kern w:val="0"/>
          <w:sz w:val="21"/>
          <w:szCs w:val="21"/>
          <w:highlight w:val="none"/>
          <w:lang w:val="en-US" w:eastAsia="zh-CN" w:bidi="ar"/>
        </w:rPr>
        <w:t>或</w:t>
      </w:r>
      <w:r>
        <w:rPr>
          <w:rFonts w:hint="eastAsia" w:asciiTheme="minorEastAsia" w:hAnsiTheme="minorEastAsia" w:eastAsiaTheme="minorEastAsia" w:cstheme="minorEastAsia"/>
          <w:b w:val="0"/>
          <w:bCs w:val="0"/>
          <w:color w:val="auto"/>
          <w:szCs w:val="21"/>
          <w:highlight w:val="none"/>
          <w:lang w:val="en-US" w:eastAsia="zh-CN"/>
        </w:rPr>
        <w:t>合同应付款项已达到合同总金额</w:t>
      </w:r>
      <w:r>
        <w:rPr>
          <w:rFonts w:hint="eastAsia" w:ascii="宋体" w:hAnsi="宋体" w:eastAsia="宋体" w:cs="宋体"/>
          <w:color w:val="auto"/>
          <w:kern w:val="0"/>
          <w:sz w:val="21"/>
          <w:szCs w:val="21"/>
          <w:highlight w:val="none"/>
          <w:lang w:val="en-US" w:eastAsia="zh-CN" w:bidi="ar"/>
        </w:rPr>
        <w:t>。</w:t>
      </w:r>
    </w:p>
    <w:p w14:paraId="21BBCFA2">
      <w:pPr>
        <w:keepNext w:val="0"/>
        <w:keepLines w:val="0"/>
        <w:pageBreakBefore w:val="0"/>
        <w:widowControl/>
        <w:kinsoku/>
        <w:wordWrap/>
        <w:overflowPunct/>
        <w:topLinePunct w:val="0"/>
        <w:bidi w:val="0"/>
        <w:snapToGrid/>
        <w:spacing w:line="360" w:lineRule="auto"/>
        <w:ind w:left="0" w:leftChars="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2、付款方式：签订合同后，在合同生效以及具备实施条件后7个工作日内支付合同金额的50%作为预付款，按实结算支付剩余金额，且不超过合同总金额。</w:t>
      </w:r>
    </w:p>
    <w:p w14:paraId="27EC93A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1CCF5787">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F47A656">
      <w:pPr>
        <w:pStyle w:val="4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7A62B9FF">
      <w:pPr>
        <w:rPr>
          <w:rFonts w:hint="eastAsia" w:ascii="宋体" w:hAnsi="宋体" w:eastAsia="宋体" w:cs="宋体"/>
          <w:color w:val="auto"/>
          <w:highlight w:val="none"/>
        </w:rPr>
      </w:pPr>
    </w:p>
    <w:p w14:paraId="660BB57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eastAsia="宋体" w:cs="宋体"/>
          <w:color w:val="auto"/>
          <w:sz w:val="21"/>
          <w:szCs w:val="21"/>
          <w:highlight w:val="none"/>
          <w:lang w:eastAsia="zh-CN"/>
        </w:rPr>
        <w:t>台州市生态环境局路桥分局</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3C410370">
      <w:pPr>
        <w:pStyle w:val="9"/>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3FF8DFEF">
      <w:pPr>
        <w:pStyle w:val="9"/>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049C516">
      <w:pPr>
        <w:pStyle w:val="9"/>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D4603E7">
      <w:pPr>
        <w:pStyle w:val="9"/>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路桥区非道路移动机械治理项目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65A8A00">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31F7825E">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为持续监管市内非道路移动机械，加强移动源污染</w:t>
      </w:r>
      <w:r>
        <w:rPr>
          <w:rFonts w:hint="eastAsia" w:ascii="宋体" w:hAnsi="宋体" w:eastAsia="宋体" w:cs="宋体"/>
          <w:color w:val="auto"/>
          <w:kern w:val="0"/>
          <w:sz w:val="21"/>
          <w:szCs w:val="21"/>
          <w:highlight w:val="none"/>
          <w:lang w:val="en-US" w:eastAsia="zh-CN" w:bidi="ar"/>
        </w:rPr>
        <w:t>综合治理</w:t>
      </w:r>
      <w:r>
        <w:rPr>
          <w:rFonts w:hint="eastAsia" w:ascii="宋体" w:hAnsi="宋体" w:eastAsia="宋体" w:cs="宋体"/>
          <w:color w:val="auto"/>
          <w:kern w:val="0"/>
          <w:sz w:val="21"/>
          <w:szCs w:val="21"/>
          <w:highlight w:val="none"/>
          <w:lang w:bidi="ar"/>
        </w:rPr>
        <w:t>，确保非道路移动机械编码登记上牌和达标排放</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我</w:t>
      </w:r>
      <w:r>
        <w:rPr>
          <w:rFonts w:hint="eastAsia" w:ascii="宋体" w:hAnsi="宋体" w:eastAsia="宋体" w:cs="宋体"/>
          <w:color w:val="auto"/>
          <w:kern w:val="0"/>
          <w:sz w:val="21"/>
          <w:szCs w:val="21"/>
          <w:highlight w:val="none"/>
          <w:lang w:val="en-US" w:eastAsia="zh-CN" w:bidi="ar"/>
        </w:rPr>
        <w:t>区</w:t>
      </w:r>
      <w:r>
        <w:rPr>
          <w:rFonts w:hint="eastAsia" w:ascii="宋体" w:hAnsi="宋体" w:eastAsia="宋体" w:cs="宋体"/>
          <w:color w:val="auto"/>
          <w:kern w:val="0"/>
          <w:sz w:val="21"/>
          <w:szCs w:val="21"/>
          <w:highlight w:val="none"/>
          <w:lang w:bidi="ar"/>
        </w:rPr>
        <w:t>202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年度非道路移动机械编码登记上牌</w:t>
      </w:r>
      <w:r>
        <w:rPr>
          <w:rFonts w:hint="eastAsia" w:ascii="宋体" w:hAnsi="宋体" w:eastAsia="宋体" w:cs="宋体"/>
          <w:color w:val="auto"/>
          <w:kern w:val="0"/>
          <w:sz w:val="21"/>
          <w:szCs w:val="21"/>
          <w:highlight w:val="none"/>
          <w:lang w:val="en-US" w:eastAsia="zh-CN" w:bidi="ar"/>
        </w:rPr>
        <w:t>任务为</w:t>
      </w:r>
      <w:r>
        <w:rPr>
          <w:rFonts w:hint="eastAsia" w:ascii="宋体" w:hAnsi="宋体" w:cs="宋体"/>
          <w:color w:val="auto"/>
          <w:kern w:val="0"/>
          <w:sz w:val="21"/>
          <w:szCs w:val="21"/>
          <w:highlight w:val="none"/>
          <w:lang w:val="en-US" w:eastAsia="zh-CN" w:bidi="ar"/>
        </w:rPr>
        <w:t>300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；非道路移动机械</w:t>
      </w:r>
      <w:r>
        <w:rPr>
          <w:rFonts w:hint="eastAsia" w:ascii="宋体" w:hAnsi="宋体" w:eastAsia="宋体" w:cs="宋体"/>
          <w:color w:val="auto"/>
          <w:kern w:val="0"/>
          <w:sz w:val="21"/>
          <w:szCs w:val="21"/>
          <w:highlight w:val="none"/>
          <w:lang w:bidi="ar"/>
        </w:rPr>
        <w:t>尾气抽测任务分别为</w:t>
      </w:r>
      <w:r>
        <w:rPr>
          <w:rFonts w:hint="eastAsia" w:ascii="宋体" w:hAnsi="宋体" w:cs="宋体"/>
          <w:color w:val="auto"/>
          <w:kern w:val="0"/>
          <w:sz w:val="21"/>
          <w:szCs w:val="21"/>
          <w:highlight w:val="none"/>
          <w:lang w:val="en-US" w:eastAsia="zh-CN" w:bidi="ar"/>
        </w:rPr>
        <w:t>1100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柴油货车路检路查和入户检查任务分别为200辆和100辆。</w:t>
      </w:r>
    </w:p>
    <w:p w14:paraId="43C522D7">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347D3681">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二、合同金额</w:t>
      </w:r>
    </w:p>
    <w:p w14:paraId="78F60273">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元) 人民币。</w:t>
      </w:r>
    </w:p>
    <w:tbl>
      <w:tblPr>
        <w:tblStyle w:val="19"/>
        <w:tblW w:w="7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747"/>
        <w:gridCol w:w="935"/>
        <w:gridCol w:w="1014"/>
        <w:gridCol w:w="741"/>
        <w:gridCol w:w="797"/>
        <w:gridCol w:w="1122"/>
        <w:gridCol w:w="714"/>
      </w:tblGrid>
      <w:tr w14:paraId="0AC2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5" w:type="dxa"/>
            <w:vAlign w:val="center"/>
          </w:tcPr>
          <w:p w14:paraId="74E93708">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47" w:type="dxa"/>
            <w:vAlign w:val="center"/>
          </w:tcPr>
          <w:p w14:paraId="6055AED8">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935" w:type="dxa"/>
            <w:vAlign w:val="center"/>
          </w:tcPr>
          <w:p w14:paraId="74F8EF15">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承接企业名称</w:t>
            </w:r>
          </w:p>
        </w:tc>
        <w:tc>
          <w:tcPr>
            <w:tcW w:w="1014" w:type="dxa"/>
            <w:vAlign w:val="center"/>
          </w:tcPr>
          <w:p w14:paraId="3B26E3B5">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是否是小微企业</w:t>
            </w:r>
          </w:p>
        </w:tc>
        <w:tc>
          <w:tcPr>
            <w:tcW w:w="741" w:type="dxa"/>
            <w:vAlign w:val="center"/>
          </w:tcPr>
          <w:p w14:paraId="7D5E5AD4">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所属</w:t>
            </w:r>
          </w:p>
          <w:p w14:paraId="0A8895D1">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行业</w:t>
            </w:r>
          </w:p>
        </w:tc>
        <w:tc>
          <w:tcPr>
            <w:tcW w:w="797" w:type="dxa"/>
            <w:vAlign w:val="center"/>
          </w:tcPr>
          <w:p w14:paraId="38F8B59F">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数量</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台</w:t>
            </w:r>
            <w:r>
              <w:rPr>
                <w:rFonts w:hint="eastAsia" w:ascii="宋体" w:hAnsi="宋体" w:eastAsia="宋体" w:cs="宋体"/>
                <w:b/>
                <w:color w:val="auto"/>
                <w:sz w:val="21"/>
                <w:szCs w:val="21"/>
                <w:highlight w:val="none"/>
                <w:lang w:eastAsia="zh-CN"/>
              </w:rPr>
              <w:t>）</w:t>
            </w:r>
          </w:p>
        </w:tc>
        <w:tc>
          <w:tcPr>
            <w:tcW w:w="1122" w:type="dxa"/>
            <w:vAlign w:val="center"/>
          </w:tcPr>
          <w:p w14:paraId="1E8F61D2">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单价</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元/台</w:t>
            </w:r>
            <w:r>
              <w:rPr>
                <w:rFonts w:hint="eastAsia" w:ascii="宋体" w:hAnsi="宋体" w:cs="宋体"/>
                <w:b/>
                <w:color w:val="auto"/>
                <w:sz w:val="21"/>
                <w:szCs w:val="21"/>
                <w:highlight w:val="none"/>
                <w:lang w:eastAsia="zh-CN"/>
              </w:rPr>
              <w:t>）</w:t>
            </w:r>
          </w:p>
        </w:tc>
        <w:tc>
          <w:tcPr>
            <w:tcW w:w="714" w:type="dxa"/>
            <w:vAlign w:val="center"/>
          </w:tcPr>
          <w:p w14:paraId="642161B9">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小计</w:t>
            </w:r>
          </w:p>
        </w:tc>
      </w:tr>
      <w:tr w14:paraId="2F45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95" w:type="dxa"/>
            <w:vAlign w:val="center"/>
          </w:tcPr>
          <w:p w14:paraId="714CF320">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747" w:type="dxa"/>
            <w:vAlign w:val="center"/>
          </w:tcPr>
          <w:p w14:paraId="4050664F">
            <w:pPr>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非道路移动机械摸底调查和编码登记</w:t>
            </w:r>
          </w:p>
        </w:tc>
        <w:tc>
          <w:tcPr>
            <w:tcW w:w="935" w:type="dxa"/>
            <w:vAlign w:val="center"/>
          </w:tcPr>
          <w:p w14:paraId="476AB10D">
            <w:pPr>
              <w:spacing w:line="240" w:lineRule="auto"/>
              <w:jc w:val="center"/>
              <w:rPr>
                <w:rFonts w:hint="eastAsia" w:ascii="宋体" w:hAnsi="宋体" w:eastAsia="宋体" w:cs="宋体"/>
                <w:b/>
                <w:color w:val="auto"/>
                <w:sz w:val="21"/>
                <w:szCs w:val="21"/>
                <w:highlight w:val="none"/>
              </w:rPr>
            </w:pPr>
          </w:p>
        </w:tc>
        <w:tc>
          <w:tcPr>
            <w:tcW w:w="1014" w:type="dxa"/>
            <w:vAlign w:val="center"/>
          </w:tcPr>
          <w:p w14:paraId="2ECC6A36">
            <w:pPr>
              <w:spacing w:line="240" w:lineRule="auto"/>
              <w:jc w:val="center"/>
              <w:rPr>
                <w:rFonts w:hint="eastAsia" w:ascii="宋体" w:hAnsi="宋体" w:eastAsia="宋体" w:cs="宋体"/>
                <w:b/>
                <w:color w:val="auto"/>
                <w:sz w:val="21"/>
                <w:szCs w:val="21"/>
                <w:highlight w:val="none"/>
              </w:rPr>
            </w:pPr>
          </w:p>
        </w:tc>
        <w:tc>
          <w:tcPr>
            <w:tcW w:w="741" w:type="dxa"/>
            <w:vAlign w:val="center"/>
          </w:tcPr>
          <w:p w14:paraId="7B08D6AE">
            <w:pPr>
              <w:spacing w:line="240" w:lineRule="auto"/>
              <w:jc w:val="center"/>
              <w:rPr>
                <w:rFonts w:hint="eastAsia" w:ascii="宋体" w:hAnsi="宋体" w:eastAsia="宋体" w:cs="宋体"/>
                <w:b/>
                <w:color w:val="auto"/>
                <w:sz w:val="21"/>
                <w:szCs w:val="21"/>
                <w:highlight w:val="none"/>
              </w:rPr>
            </w:pPr>
          </w:p>
        </w:tc>
        <w:tc>
          <w:tcPr>
            <w:tcW w:w="797" w:type="dxa"/>
            <w:vAlign w:val="center"/>
          </w:tcPr>
          <w:p w14:paraId="21391829">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c>
          <w:tcPr>
            <w:tcW w:w="1122" w:type="dxa"/>
            <w:vAlign w:val="center"/>
          </w:tcPr>
          <w:p w14:paraId="45FD0493">
            <w:pPr>
              <w:spacing w:line="240" w:lineRule="auto"/>
              <w:jc w:val="center"/>
              <w:rPr>
                <w:rFonts w:hint="eastAsia" w:ascii="宋体" w:hAnsi="宋体" w:eastAsia="宋体" w:cs="宋体"/>
                <w:b/>
                <w:color w:val="auto"/>
                <w:sz w:val="21"/>
                <w:szCs w:val="21"/>
                <w:highlight w:val="none"/>
              </w:rPr>
            </w:pPr>
          </w:p>
        </w:tc>
        <w:tc>
          <w:tcPr>
            <w:tcW w:w="714" w:type="dxa"/>
            <w:vAlign w:val="center"/>
          </w:tcPr>
          <w:p w14:paraId="1FF23F57">
            <w:pPr>
              <w:spacing w:line="240" w:lineRule="auto"/>
              <w:jc w:val="center"/>
              <w:rPr>
                <w:rFonts w:hint="eastAsia" w:ascii="宋体" w:hAnsi="宋体" w:eastAsia="宋体" w:cs="宋体"/>
                <w:b/>
                <w:color w:val="auto"/>
                <w:sz w:val="21"/>
                <w:szCs w:val="21"/>
                <w:highlight w:val="none"/>
              </w:rPr>
            </w:pPr>
          </w:p>
        </w:tc>
      </w:tr>
      <w:tr w14:paraId="311C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95" w:type="dxa"/>
            <w:vAlign w:val="center"/>
          </w:tcPr>
          <w:p w14:paraId="4C18EC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747" w:type="dxa"/>
            <w:vAlign w:val="center"/>
          </w:tcPr>
          <w:p w14:paraId="00C8E6F4">
            <w:pPr>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非道路移动机械尾气检测</w:t>
            </w:r>
          </w:p>
        </w:tc>
        <w:tc>
          <w:tcPr>
            <w:tcW w:w="935" w:type="dxa"/>
            <w:vAlign w:val="center"/>
          </w:tcPr>
          <w:p w14:paraId="3F1AF49C">
            <w:pPr>
              <w:spacing w:line="240" w:lineRule="auto"/>
              <w:jc w:val="center"/>
              <w:rPr>
                <w:rFonts w:hint="eastAsia" w:ascii="宋体" w:hAnsi="宋体" w:eastAsia="宋体" w:cs="宋体"/>
                <w:b/>
                <w:color w:val="auto"/>
                <w:sz w:val="21"/>
                <w:szCs w:val="21"/>
                <w:highlight w:val="none"/>
              </w:rPr>
            </w:pPr>
          </w:p>
        </w:tc>
        <w:tc>
          <w:tcPr>
            <w:tcW w:w="1014" w:type="dxa"/>
            <w:vAlign w:val="center"/>
          </w:tcPr>
          <w:p w14:paraId="0DAB1909">
            <w:pPr>
              <w:spacing w:line="240" w:lineRule="auto"/>
              <w:jc w:val="center"/>
              <w:rPr>
                <w:rFonts w:hint="eastAsia" w:ascii="宋体" w:hAnsi="宋体" w:eastAsia="宋体" w:cs="宋体"/>
                <w:b/>
                <w:color w:val="auto"/>
                <w:sz w:val="21"/>
                <w:szCs w:val="21"/>
                <w:highlight w:val="none"/>
              </w:rPr>
            </w:pPr>
          </w:p>
        </w:tc>
        <w:tc>
          <w:tcPr>
            <w:tcW w:w="741" w:type="dxa"/>
            <w:vAlign w:val="center"/>
          </w:tcPr>
          <w:p w14:paraId="10133251">
            <w:pPr>
              <w:spacing w:line="240" w:lineRule="auto"/>
              <w:jc w:val="center"/>
              <w:rPr>
                <w:rFonts w:hint="eastAsia" w:ascii="宋体" w:hAnsi="宋体" w:eastAsia="宋体" w:cs="宋体"/>
                <w:color w:val="auto"/>
                <w:sz w:val="21"/>
                <w:szCs w:val="21"/>
                <w:highlight w:val="none"/>
              </w:rPr>
            </w:pPr>
          </w:p>
        </w:tc>
        <w:tc>
          <w:tcPr>
            <w:tcW w:w="797" w:type="dxa"/>
            <w:vAlign w:val="center"/>
          </w:tcPr>
          <w:p w14:paraId="7B128E69">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1100</w:t>
            </w:r>
          </w:p>
        </w:tc>
        <w:tc>
          <w:tcPr>
            <w:tcW w:w="1122" w:type="dxa"/>
            <w:vAlign w:val="center"/>
          </w:tcPr>
          <w:p w14:paraId="5FBD1974">
            <w:pPr>
              <w:spacing w:line="240" w:lineRule="auto"/>
              <w:jc w:val="center"/>
              <w:rPr>
                <w:rFonts w:hint="eastAsia" w:ascii="宋体" w:hAnsi="宋体" w:eastAsia="宋体" w:cs="宋体"/>
                <w:b/>
                <w:color w:val="auto"/>
                <w:sz w:val="21"/>
                <w:szCs w:val="21"/>
                <w:highlight w:val="none"/>
              </w:rPr>
            </w:pPr>
          </w:p>
        </w:tc>
        <w:tc>
          <w:tcPr>
            <w:tcW w:w="714" w:type="dxa"/>
            <w:vAlign w:val="center"/>
          </w:tcPr>
          <w:p w14:paraId="16435ADF">
            <w:pPr>
              <w:spacing w:line="240" w:lineRule="auto"/>
              <w:jc w:val="center"/>
              <w:rPr>
                <w:rFonts w:hint="eastAsia" w:ascii="宋体" w:hAnsi="宋体" w:eastAsia="宋体" w:cs="宋体"/>
                <w:b/>
                <w:color w:val="auto"/>
                <w:sz w:val="21"/>
                <w:szCs w:val="21"/>
                <w:highlight w:val="none"/>
              </w:rPr>
            </w:pPr>
          </w:p>
        </w:tc>
      </w:tr>
      <w:tr w14:paraId="5585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95" w:type="dxa"/>
            <w:vAlign w:val="center"/>
          </w:tcPr>
          <w:p w14:paraId="60A7560D">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747" w:type="dxa"/>
            <w:vAlign w:val="center"/>
          </w:tcPr>
          <w:p w14:paraId="712111D0">
            <w:pPr>
              <w:spacing w:line="24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柴油货车路检路查  </w:t>
            </w:r>
          </w:p>
        </w:tc>
        <w:tc>
          <w:tcPr>
            <w:tcW w:w="935" w:type="dxa"/>
            <w:vAlign w:val="center"/>
          </w:tcPr>
          <w:p w14:paraId="01E9EB82">
            <w:pPr>
              <w:spacing w:line="240" w:lineRule="auto"/>
              <w:jc w:val="center"/>
              <w:rPr>
                <w:rFonts w:hint="eastAsia" w:ascii="宋体" w:hAnsi="宋体" w:eastAsia="宋体" w:cs="宋体"/>
                <w:b/>
                <w:color w:val="auto"/>
                <w:sz w:val="21"/>
                <w:szCs w:val="21"/>
                <w:highlight w:val="none"/>
              </w:rPr>
            </w:pPr>
          </w:p>
        </w:tc>
        <w:tc>
          <w:tcPr>
            <w:tcW w:w="1014" w:type="dxa"/>
            <w:vAlign w:val="center"/>
          </w:tcPr>
          <w:p w14:paraId="1EF32392">
            <w:pPr>
              <w:spacing w:line="240" w:lineRule="auto"/>
              <w:jc w:val="center"/>
              <w:rPr>
                <w:rFonts w:hint="eastAsia" w:ascii="宋体" w:hAnsi="宋体" w:eastAsia="宋体" w:cs="宋体"/>
                <w:b/>
                <w:color w:val="auto"/>
                <w:sz w:val="21"/>
                <w:szCs w:val="21"/>
                <w:highlight w:val="none"/>
              </w:rPr>
            </w:pPr>
          </w:p>
        </w:tc>
        <w:tc>
          <w:tcPr>
            <w:tcW w:w="741" w:type="dxa"/>
            <w:vAlign w:val="center"/>
          </w:tcPr>
          <w:p w14:paraId="582A8ECC">
            <w:pPr>
              <w:spacing w:line="240" w:lineRule="auto"/>
              <w:jc w:val="center"/>
              <w:rPr>
                <w:rFonts w:hint="eastAsia" w:ascii="宋体" w:hAnsi="宋体" w:eastAsia="宋体" w:cs="宋体"/>
                <w:color w:val="auto"/>
                <w:sz w:val="21"/>
                <w:szCs w:val="21"/>
                <w:highlight w:val="none"/>
              </w:rPr>
            </w:pPr>
          </w:p>
        </w:tc>
        <w:tc>
          <w:tcPr>
            <w:tcW w:w="797" w:type="dxa"/>
            <w:vAlign w:val="center"/>
          </w:tcPr>
          <w:p w14:paraId="32F6DFF5">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00</w:t>
            </w:r>
          </w:p>
        </w:tc>
        <w:tc>
          <w:tcPr>
            <w:tcW w:w="1122" w:type="dxa"/>
            <w:vAlign w:val="center"/>
          </w:tcPr>
          <w:p w14:paraId="0405B1C1">
            <w:pPr>
              <w:spacing w:line="240" w:lineRule="auto"/>
              <w:jc w:val="center"/>
              <w:rPr>
                <w:rFonts w:hint="eastAsia" w:ascii="宋体" w:hAnsi="宋体" w:eastAsia="宋体" w:cs="宋体"/>
                <w:b/>
                <w:color w:val="auto"/>
                <w:sz w:val="21"/>
                <w:szCs w:val="21"/>
                <w:highlight w:val="none"/>
              </w:rPr>
            </w:pPr>
          </w:p>
        </w:tc>
        <w:tc>
          <w:tcPr>
            <w:tcW w:w="714" w:type="dxa"/>
            <w:vAlign w:val="center"/>
          </w:tcPr>
          <w:p w14:paraId="64850247">
            <w:pPr>
              <w:spacing w:line="240" w:lineRule="auto"/>
              <w:jc w:val="center"/>
              <w:rPr>
                <w:rFonts w:hint="eastAsia" w:ascii="宋体" w:hAnsi="宋体" w:eastAsia="宋体" w:cs="宋体"/>
                <w:b/>
                <w:color w:val="auto"/>
                <w:sz w:val="21"/>
                <w:szCs w:val="21"/>
                <w:highlight w:val="none"/>
              </w:rPr>
            </w:pPr>
          </w:p>
        </w:tc>
      </w:tr>
      <w:tr w14:paraId="76A0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95" w:type="dxa"/>
            <w:vAlign w:val="center"/>
          </w:tcPr>
          <w:p w14:paraId="0BABD0F0">
            <w:pPr>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1747" w:type="dxa"/>
            <w:vAlign w:val="center"/>
          </w:tcPr>
          <w:p w14:paraId="753E4BDB">
            <w:pPr>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柴油货车入户检查 </w:t>
            </w:r>
          </w:p>
        </w:tc>
        <w:tc>
          <w:tcPr>
            <w:tcW w:w="935" w:type="dxa"/>
            <w:vAlign w:val="center"/>
          </w:tcPr>
          <w:p w14:paraId="2E21A80A">
            <w:pPr>
              <w:spacing w:line="240" w:lineRule="auto"/>
              <w:jc w:val="center"/>
              <w:rPr>
                <w:rFonts w:hint="eastAsia" w:ascii="宋体" w:hAnsi="宋体" w:eastAsia="宋体" w:cs="宋体"/>
                <w:b/>
                <w:color w:val="auto"/>
                <w:sz w:val="21"/>
                <w:szCs w:val="21"/>
                <w:highlight w:val="none"/>
              </w:rPr>
            </w:pPr>
          </w:p>
        </w:tc>
        <w:tc>
          <w:tcPr>
            <w:tcW w:w="1014" w:type="dxa"/>
            <w:vAlign w:val="center"/>
          </w:tcPr>
          <w:p w14:paraId="4515B6DE">
            <w:pPr>
              <w:spacing w:line="240" w:lineRule="auto"/>
              <w:jc w:val="center"/>
              <w:rPr>
                <w:rFonts w:hint="eastAsia" w:ascii="宋体" w:hAnsi="宋体" w:eastAsia="宋体" w:cs="宋体"/>
                <w:b/>
                <w:color w:val="auto"/>
                <w:sz w:val="21"/>
                <w:szCs w:val="21"/>
                <w:highlight w:val="none"/>
              </w:rPr>
            </w:pPr>
          </w:p>
        </w:tc>
        <w:tc>
          <w:tcPr>
            <w:tcW w:w="741" w:type="dxa"/>
            <w:vAlign w:val="center"/>
          </w:tcPr>
          <w:p w14:paraId="2500CB0C">
            <w:pPr>
              <w:spacing w:line="240" w:lineRule="auto"/>
              <w:jc w:val="center"/>
              <w:rPr>
                <w:rFonts w:hint="eastAsia" w:ascii="宋体" w:hAnsi="宋体" w:eastAsia="宋体" w:cs="宋体"/>
                <w:color w:val="auto"/>
                <w:sz w:val="21"/>
                <w:szCs w:val="21"/>
                <w:highlight w:val="none"/>
              </w:rPr>
            </w:pPr>
          </w:p>
        </w:tc>
        <w:tc>
          <w:tcPr>
            <w:tcW w:w="797" w:type="dxa"/>
            <w:vAlign w:val="center"/>
          </w:tcPr>
          <w:p w14:paraId="681A0BDA">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1122" w:type="dxa"/>
            <w:vAlign w:val="center"/>
          </w:tcPr>
          <w:p w14:paraId="285A77C3">
            <w:pPr>
              <w:spacing w:line="240" w:lineRule="auto"/>
              <w:jc w:val="center"/>
              <w:rPr>
                <w:rFonts w:hint="eastAsia" w:ascii="宋体" w:hAnsi="宋体" w:eastAsia="宋体" w:cs="宋体"/>
                <w:b/>
                <w:color w:val="auto"/>
                <w:sz w:val="21"/>
                <w:szCs w:val="21"/>
                <w:highlight w:val="none"/>
              </w:rPr>
            </w:pPr>
          </w:p>
        </w:tc>
        <w:tc>
          <w:tcPr>
            <w:tcW w:w="714" w:type="dxa"/>
            <w:vAlign w:val="center"/>
          </w:tcPr>
          <w:p w14:paraId="671D370D">
            <w:pPr>
              <w:spacing w:line="240" w:lineRule="auto"/>
              <w:jc w:val="center"/>
              <w:rPr>
                <w:rFonts w:hint="eastAsia" w:ascii="宋体" w:hAnsi="宋体" w:eastAsia="宋体" w:cs="宋体"/>
                <w:b/>
                <w:color w:val="auto"/>
                <w:sz w:val="21"/>
                <w:szCs w:val="21"/>
                <w:highlight w:val="none"/>
              </w:rPr>
            </w:pPr>
          </w:p>
        </w:tc>
      </w:tr>
      <w:tr w14:paraId="2D1D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65" w:type="dxa"/>
            <w:gridSpan w:val="8"/>
            <w:vAlign w:val="center"/>
          </w:tcPr>
          <w:p w14:paraId="5549780B">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合计人民币：</w:t>
            </w:r>
          </w:p>
          <w:p w14:paraId="6D7B51BC">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lang w:eastAsia="zh-CN"/>
              </w:rPr>
              <w:t>：</w:t>
            </w:r>
          </w:p>
          <w:p w14:paraId="2895CDE1">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lang w:eastAsia="zh-CN"/>
              </w:rPr>
              <w:t>：</w:t>
            </w:r>
          </w:p>
        </w:tc>
      </w:tr>
    </w:tbl>
    <w:p w14:paraId="1DE1C545">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三、技术资料</w:t>
      </w:r>
    </w:p>
    <w:p w14:paraId="227E2259">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乙方应按招标文件规定的时间向甲方提供有关技术资料。</w:t>
      </w:r>
    </w:p>
    <w:p w14:paraId="5EFAD666">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8EB3AA">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四、知识产权</w:t>
      </w:r>
    </w:p>
    <w:p w14:paraId="5450AD52">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乙方应保证提供服务过程中不会侵犯任何第三方的知识产权。</w:t>
      </w:r>
    </w:p>
    <w:p w14:paraId="11099FB7">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本项目所有成果的版权属甲方所有，乙方不得以任何形式向第三方提供，否则，按国家法律和有关规定追究乙方的一切责任。</w:t>
      </w:r>
    </w:p>
    <w:p w14:paraId="0CB62804">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本项目作业过程中提供的或涉及的所有数据属甲方拥有，乙方无权在技术要求规定之外自行处置数据，不得自行删除、复制、调整完善、转移数据，不得以任何形式向第三方提供。</w:t>
      </w:r>
    </w:p>
    <w:p w14:paraId="7AFEA6C6">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4、若侵犯,由乙方赔偿甲方因此遭受的损失（包括但不限于应对及追偿过程中所支付的律师费、差旅费、诉讼费、保全费、鉴定费、评估费等）。</w:t>
      </w:r>
    </w:p>
    <w:p w14:paraId="051C20C0">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转包或分包</w:t>
      </w:r>
    </w:p>
    <w:p w14:paraId="3E4BF3B3">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本合同范围的服务，应由乙方直接供应，不得转让他人供应；</w:t>
      </w:r>
    </w:p>
    <w:p w14:paraId="39CAF8EC">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除非得到甲方的书面同意，乙方不得将本合同范围的服务全部或部分分包给他人供应；</w:t>
      </w:r>
    </w:p>
    <w:p w14:paraId="79C44381">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如有转让和未经甲方同意的分包行为，甲方有权解除合同并追究乙方的违约责任。</w:t>
      </w:r>
    </w:p>
    <w:p w14:paraId="770151DE">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六、服务期限</w:t>
      </w:r>
    </w:p>
    <w:p w14:paraId="2E7B410F">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服务期限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合同签订之日起</w:t>
      </w:r>
      <w:r>
        <w:rPr>
          <w:rFonts w:hint="eastAsia" w:ascii="宋体" w:hAnsi="宋体" w:cs="宋体"/>
          <w:color w:val="auto"/>
          <w:kern w:val="0"/>
          <w:sz w:val="21"/>
          <w:szCs w:val="21"/>
          <w:highlight w:val="none"/>
          <w:lang w:val="en-US" w:eastAsia="zh-CN" w:bidi="ar"/>
        </w:rPr>
        <w:t>至2024年11月30日</w:t>
      </w:r>
      <w:r>
        <w:rPr>
          <w:rFonts w:hint="eastAsia" w:ascii="宋体" w:hAnsi="宋体" w:cs="宋体"/>
          <w:color w:val="auto"/>
          <w:kern w:val="0"/>
          <w:sz w:val="21"/>
          <w:szCs w:val="21"/>
          <w:highlight w:val="none"/>
          <w:lang w:val="en-US" w:eastAsia="zh-CN" w:bidi="ar"/>
        </w:rPr>
        <w:t>或</w:t>
      </w:r>
      <w:r>
        <w:rPr>
          <w:rFonts w:hint="eastAsia" w:asciiTheme="minorEastAsia" w:hAnsiTheme="minorEastAsia" w:eastAsiaTheme="minorEastAsia" w:cstheme="minorEastAsia"/>
          <w:b w:val="0"/>
          <w:bCs w:val="0"/>
          <w:color w:val="auto"/>
          <w:szCs w:val="21"/>
          <w:highlight w:val="none"/>
          <w:lang w:val="en-US" w:eastAsia="zh-CN"/>
        </w:rPr>
        <w:t>合同应付款项已达到合同总金额</w:t>
      </w:r>
      <w:r>
        <w:rPr>
          <w:rFonts w:hint="eastAsia" w:ascii="宋体" w:hAnsi="宋体" w:eastAsia="宋体" w:cs="宋体"/>
          <w:color w:val="auto"/>
          <w:sz w:val="21"/>
          <w:szCs w:val="21"/>
          <w:highlight w:val="none"/>
        </w:rPr>
        <w:t>。</w:t>
      </w:r>
    </w:p>
    <w:p w14:paraId="2423A0CE">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、款项支付</w:t>
      </w:r>
    </w:p>
    <w:p w14:paraId="23744160">
      <w:pPr>
        <w:keepNext w:val="0"/>
        <w:keepLines w:val="0"/>
        <w:pageBreakBefore w:val="0"/>
        <w:widowControl/>
        <w:kinsoku/>
        <w:wordWrap/>
        <w:overflowPunct/>
        <w:topLinePunct w:val="0"/>
        <w:bidi w:val="0"/>
        <w:snapToGrid/>
        <w:spacing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签订合同后，在合同生效以及具备实施条件后7个工作日内支付合同金额的50%作为预付款，按实结算支付剩余金额，且不超过合同总金额。</w:t>
      </w:r>
    </w:p>
    <w:p w14:paraId="31EF783F">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八、税费</w:t>
      </w:r>
    </w:p>
    <w:p w14:paraId="100F1333">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本合同执行中相关的一切税费均由乙方负担。</w:t>
      </w:r>
    </w:p>
    <w:p w14:paraId="6DB9E72B">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九、违约责任</w:t>
      </w:r>
    </w:p>
    <w:p w14:paraId="695AB2D6">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1、甲方无正当理由拒收接受服务的，甲方向乙方支付合同款项百分之五作为违约金。</w:t>
      </w:r>
    </w:p>
    <w:p w14:paraId="3D5DEF48">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2、甲方无故逾期验收和办理款项支付手续的，甲方应按逾期付款总额向乙方支付每日万分之五违约金。</w:t>
      </w:r>
    </w:p>
    <w:p w14:paraId="08128806">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0208DBD9">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4、若发生纠纷，由违约方赔偿守约方因纠纷所支付的费用（包括但不限于律师费、差旅费、诉讼费、保全费、鉴定费、评估费等）。</w:t>
      </w:r>
    </w:p>
    <w:p w14:paraId="23632E7D">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十、不可抗力事件处理</w:t>
      </w:r>
    </w:p>
    <w:p w14:paraId="3FFD0737">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1、在合同有效期内，任何一方因不可抗力事件导致不能履行合同，则合同履行期可延长，其延长期与不可抗力影响期相同。</w:t>
      </w:r>
    </w:p>
    <w:p w14:paraId="366CC3C6">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2、不可抗力事件发生后，应立即通知对方，并寄送有关权威机构出具的证明。</w:t>
      </w:r>
    </w:p>
    <w:p w14:paraId="0CF79252">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3、不可抗力事件延续120天以上，双方应通过友好协商，确定是否继续履行合同。</w:t>
      </w:r>
    </w:p>
    <w:p w14:paraId="70A805CB">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4、如合同履行时间内，因疫情原因需要延迟相关活动或解除合同的，由双方进行协商；合同解除后，双方根据乙方的实际履行支付情况及凭证（发票）进行结算。</w:t>
      </w:r>
    </w:p>
    <w:p w14:paraId="36A1FD43">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十一、诉讼</w:t>
      </w:r>
    </w:p>
    <w:p w14:paraId="7D1A2415">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1、双方在执行合同中所发生的一切争议，应通过协商解决。如协商不成，可向甲方所在地法院起诉。</w:t>
      </w:r>
    </w:p>
    <w:p w14:paraId="370EFEFF">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十二、合同生效及其它</w:t>
      </w:r>
    </w:p>
    <w:p w14:paraId="0075C912">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1、合同经双方法定代表人或授权代表签字并加盖单位公章后生效。</w:t>
      </w:r>
    </w:p>
    <w:p w14:paraId="560C5ACD">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2、合同执行中涉及采购资金和采购内容修改或补充的，须经财政部门审批，并签书面补充协议报政府采购监督管理部门备案，方可作为主合同不可分割的一部分。</w:t>
      </w:r>
    </w:p>
    <w:p w14:paraId="2FC5F8EA">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3、本合同未尽事宜，遵照《民法典》有关条文执行。</w:t>
      </w:r>
    </w:p>
    <w:p w14:paraId="7B2EA4F9">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4、本合同壹式陆份，甲、乙双方、招标代理公司各执贰份。本项目未尽事宜以招标文件、投标文件及澄清文件等为准。</w:t>
      </w:r>
    </w:p>
    <w:p w14:paraId="06E9595A">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5、与本合同有关标书及记录同本合同具有同等法律效果。</w:t>
      </w:r>
    </w:p>
    <w:p w14:paraId="43E14286">
      <w:pPr>
        <w:widowControl/>
        <w:spacing w:line="360" w:lineRule="auto"/>
        <w:ind w:firstLine="315"/>
        <w:rPr>
          <w:rFonts w:hint="eastAsia" w:ascii="宋体" w:hAnsi="宋体" w:eastAsia="宋体" w:cs="宋体"/>
          <w:color w:val="auto"/>
          <w:kern w:val="0"/>
          <w:sz w:val="21"/>
          <w:szCs w:val="21"/>
          <w:highlight w:val="none"/>
        </w:rPr>
      </w:pPr>
    </w:p>
    <w:p w14:paraId="626D23A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744FCDAB">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法定代表人或委托人：                      法定代表人或委托人：         </w:t>
      </w:r>
    </w:p>
    <w:p w14:paraId="2CB2D4D7">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0EBD05CF">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63E98624">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552E8BAF">
      <w:pPr>
        <w:widowControl/>
        <w:spacing w:line="360" w:lineRule="auto"/>
        <w:ind w:firstLine="315"/>
        <w:rPr>
          <w:rFonts w:hint="eastAsia" w:ascii="宋体" w:hAnsi="宋体" w:eastAsia="宋体" w:cs="宋体"/>
          <w:color w:val="auto"/>
          <w:kern w:val="0"/>
          <w:sz w:val="21"/>
          <w:szCs w:val="21"/>
          <w:highlight w:val="none"/>
        </w:rPr>
      </w:pPr>
    </w:p>
    <w:p w14:paraId="6948D780">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val="en-US" w:eastAsia="zh-CN"/>
        </w:rPr>
        <w:t>见</w:t>
      </w:r>
      <w:r>
        <w:rPr>
          <w:rFonts w:hint="eastAsia" w:ascii="宋体" w:hAnsi="宋体" w:eastAsia="宋体" w:cs="宋体"/>
          <w:color w:val="auto"/>
          <w:kern w:val="0"/>
          <w:sz w:val="21"/>
          <w:szCs w:val="21"/>
          <w:highlight w:val="none"/>
        </w:rPr>
        <w:t>证方：</w:t>
      </w:r>
    </w:p>
    <w:p w14:paraId="4471673D">
      <w:pPr>
        <w:widowControl/>
        <w:spacing w:line="360" w:lineRule="auto"/>
        <w:ind w:firstLine="315"/>
        <w:rPr>
          <w:rFonts w:hint="eastAsia" w:ascii="宋体" w:hAnsi="宋体" w:eastAsia="宋体" w:cs="宋体"/>
          <w:color w:val="auto"/>
          <w:sz w:val="21"/>
          <w:szCs w:val="21"/>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1"/>
          <w:szCs w:val="21"/>
          <w:highlight w:val="none"/>
        </w:rPr>
        <w:t xml:space="preserve">签订日期：       年     月     日     </w:t>
      </w:r>
      <w:r>
        <w:rPr>
          <w:rFonts w:hint="eastAsia" w:ascii="宋体" w:hAnsi="宋体" w:eastAsia="宋体" w:cs="宋体"/>
          <w:color w:val="auto"/>
          <w:sz w:val="21"/>
          <w:szCs w:val="21"/>
          <w:highlight w:val="none"/>
        </w:rPr>
        <w:t xml:space="preserve">  </w:t>
      </w: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48"/>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41111F3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5、以联合体投标的，须提供联合体协议</w:t>
      </w:r>
      <w:r>
        <w:rPr>
          <w:rFonts w:hint="eastAsia" w:ascii="宋体" w:hAnsi="宋体" w:cs="宋体"/>
          <w:color w:val="auto"/>
          <w:kern w:val="0"/>
          <w:sz w:val="24"/>
          <w:szCs w:val="24"/>
          <w:highlight w:val="none"/>
          <w:lang w:val="en-US" w:eastAsia="zh-CN"/>
        </w:rPr>
        <w:t>（附件5）；</w:t>
      </w:r>
    </w:p>
    <w:p w14:paraId="6614C8C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投标人认为需要说明的其他材料</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路桥区非道路移动机械治理项目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tzya2024-lq65</w:t>
      </w:r>
      <w:r>
        <w:rPr>
          <w:rFonts w:hint="eastAsia" w:ascii="宋体" w:hAnsi="宋体" w:eastAsia="宋体" w:cs="宋体"/>
          <w:color w:val="auto"/>
          <w:sz w:val="21"/>
          <w:szCs w:val="21"/>
          <w:highlight w:val="none"/>
        </w:rPr>
        <w:t>）的投标，为此，我公司就本次投标有关事项郑重声明如下：</w:t>
      </w:r>
    </w:p>
    <w:p w14:paraId="273126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005E7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20961F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3A08A45E">
      <w:pPr>
        <w:spacing w:line="360" w:lineRule="auto"/>
        <w:ind w:firstLine="420" w:firstLineChars="200"/>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A1961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14:paraId="55642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本单位若违反以上承诺，将无条件接受项目主管部门和有关监督管理部门的调查，并愿意承担取消中标资格及限制在本地区参与投标等一切法律责任。</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9"/>
        <w:spacing w:line="360" w:lineRule="auto"/>
        <w:ind w:left="24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9"/>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路桥区非道路移动机械治理项目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9"/>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9"/>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A9E9489">
      <w:pPr>
        <w:pStyle w:val="51"/>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2"/>
        <w:spacing w:before="5"/>
        <w:rPr>
          <w:rFonts w:hint="eastAsia" w:ascii="宋体" w:hAnsi="宋体" w:eastAsia="宋体" w:cs="宋体"/>
          <w:b/>
          <w:color w:val="auto"/>
          <w:sz w:val="18"/>
          <w:szCs w:val="18"/>
          <w:highlight w:val="none"/>
        </w:rPr>
      </w:pPr>
    </w:p>
    <w:p w14:paraId="1C5F3477">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9"/>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6"/>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9"/>
        <w:spacing w:line="360" w:lineRule="auto"/>
        <w:jc w:val="center"/>
        <w:outlineLvl w:val="9"/>
        <w:rPr>
          <w:rFonts w:hint="eastAsia" w:ascii="宋体" w:hAnsi="宋体" w:eastAsia="宋体" w:cs="宋体"/>
          <w:b/>
          <w:color w:val="auto"/>
          <w:sz w:val="32"/>
          <w:szCs w:val="32"/>
          <w:highlight w:val="none"/>
          <w:lang w:val="en-GB"/>
        </w:rPr>
      </w:pPr>
    </w:p>
    <w:p w14:paraId="4BB16F56">
      <w:pPr>
        <w:pStyle w:val="9"/>
        <w:spacing w:line="360" w:lineRule="auto"/>
        <w:jc w:val="center"/>
        <w:outlineLvl w:val="9"/>
        <w:rPr>
          <w:rFonts w:hint="eastAsia" w:ascii="宋体" w:hAnsi="宋体" w:eastAsia="宋体" w:cs="宋体"/>
          <w:b/>
          <w:color w:val="auto"/>
          <w:sz w:val="32"/>
          <w:szCs w:val="32"/>
          <w:highlight w:val="none"/>
          <w:lang w:val="en-GB"/>
        </w:rPr>
      </w:pPr>
    </w:p>
    <w:p w14:paraId="49ADBE6D">
      <w:pPr>
        <w:pStyle w:val="9"/>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6"/>
        <w:spacing w:line="360" w:lineRule="auto"/>
        <w:rPr>
          <w:rFonts w:hint="eastAsia" w:ascii="宋体" w:hAnsi="宋体" w:eastAsia="宋体" w:cs="宋体"/>
          <w:b/>
          <w:color w:val="auto"/>
          <w:sz w:val="28"/>
          <w:szCs w:val="28"/>
          <w:highlight w:val="none"/>
        </w:rPr>
      </w:pPr>
    </w:p>
    <w:p w14:paraId="23B11885">
      <w:pPr>
        <w:pStyle w:val="46"/>
        <w:spacing w:line="360" w:lineRule="auto"/>
        <w:rPr>
          <w:rFonts w:hint="eastAsia" w:ascii="宋体" w:hAnsi="宋体" w:eastAsia="宋体" w:cs="宋体"/>
          <w:b/>
          <w:color w:val="auto"/>
          <w:sz w:val="28"/>
          <w:szCs w:val="28"/>
          <w:highlight w:val="none"/>
        </w:rPr>
      </w:pPr>
    </w:p>
    <w:p w14:paraId="21177F72">
      <w:pPr>
        <w:pStyle w:val="46"/>
        <w:spacing w:line="360" w:lineRule="auto"/>
        <w:rPr>
          <w:rFonts w:hint="eastAsia" w:ascii="宋体" w:hAnsi="宋体" w:eastAsia="宋体" w:cs="宋体"/>
          <w:b/>
          <w:color w:val="auto"/>
          <w:sz w:val="28"/>
          <w:szCs w:val="28"/>
          <w:highlight w:val="none"/>
        </w:rPr>
      </w:pPr>
    </w:p>
    <w:p w14:paraId="2131F873">
      <w:pPr>
        <w:pStyle w:val="46"/>
        <w:spacing w:line="360" w:lineRule="auto"/>
        <w:rPr>
          <w:rFonts w:hint="eastAsia" w:ascii="宋体" w:hAnsi="宋体" w:eastAsia="宋体" w:cs="宋体"/>
          <w:b/>
          <w:color w:val="auto"/>
          <w:sz w:val="28"/>
          <w:szCs w:val="28"/>
          <w:highlight w:val="none"/>
        </w:rPr>
      </w:pPr>
    </w:p>
    <w:p w14:paraId="17D28319">
      <w:pPr>
        <w:pStyle w:val="46"/>
        <w:spacing w:line="360" w:lineRule="auto"/>
        <w:rPr>
          <w:rFonts w:hint="eastAsia" w:ascii="宋体" w:hAnsi="宋体" w:eastAsia="宋体" w:cs="宋体"/>
          <w:b/>
          <w:color w:val="auto"/>
          <w:sz w:val="28"/>
          <w:szCs w:val="28"/>
          <w:highlight w:val="none"/>
        </w:rPr>
      </w:pPr>
    </w:p>
    <w:p w14:paraId="6DA1DA2C">
      <w:pPr>
        <w:pStyle w:val="46"/>
        <w:spacing w:line="360" w:lineRule="auto"/>
        <w:rPr>
          <w:rFonts w:hint="eastAsia" w:ascii="宋体" w:hAnsi="宋体" w:eastAsia="宋体" w:cs="宋体"/>
          <w:b/>
          <w:color w:val="auto"/>
          <w:sz w:val="28"/>
          <w:szCs w:val="28"/>
          <w:highlight w:val="none"/>
        </w:rPr>
      </w:pPr>
    </w:p>
    <w:p w14:paraId="3E5A8E70">
      <w:pPr>
        <w:pStyle w:val="46"/>
        <w:spacing w:line="360" w:lineRule="auto"/>
        <w:rPr>
          <w:rFonts w:hint="eastAsia" w:ascii="宋体" w:hAnsi="宋体" w:eastAsia="宋体" w:cs="宋体"/>
          <w:b/>
          <w:color w:val="auto"/>
          <w:sz w:val="28"/>
          <w:szCs w:val="28"/>
          <w:highlight w:val="none"/>
        </w:rPr>
      </w:pPr>
    </w:p>
    <w:p w14:paraId="40A304A4">
      <w:pPr>
        <w:pStyle w:val="46"/>
        <w:spacing w:line="360" w:lineRule="auto"/>
        <w:rPr>
          <w:rFonts w:hint="eastAsia" w:ascii="宋体" w:hAnsi="宋体" w:eastAsia="宋体" w:cs="宋体"/>
          <w:b/>
          <w:color w:val="auto"/>
          <w:sz w:val="28"/>
          <w:szCs w:val="28"/>
          <w:highlight w:val="none"/>
        </w:rPr>
      </w:pPr>
    </w:p>
    <w:p w14:paraId="266432AE">
      <w:pPr>
        <w:pStyle w:val="46"/>
        <w:spacing w:line="360" w:lineRule="auto"/>
        <w:rPr>
          <w:rFonts w:hint="eastAsia" w:ascii="宋体" w:hAnsi="宋体" w:eastAsia="宋体" w:cs="宋体"/>
          <w:b/>
          <w:color w:val="auto"/>
          <w:sz w:val="28"/>
          <w:szCs w:val="28"/>
          <w:highlight w:val="none"/>
        </w:rPr>
      </w:pPr>
    </w:p>
    <w:p w14:paraId="311F0E83">
      <w:pPr>
        <w:pStyle w:val="46"/>
        <w:spacing w:line="360" w:lineRule="auto"/>
        <w:rPr>
          <w:rFonts w:hint="eastAsia" w:ascii="宋体" w:hAnsi="宋体" w:eastAsia="宋体" w:cs="宋体"/>
          <w:b/>
          <w:color w:val="auto"/>
          <w:sz w:val="28"/>
          <w:szCs w:val="28"/>
          <w:highlight w:val="none"/>
        </w:rPr>
      </w:pPr>
    </w:p>
    <w:p w14:paraId="4446D5ED">
      <w:pPr>
        <w:pStyle w:val="2"/>
        <w:jc w:val="both"/>
        <w:rPr>
          <w:rFonts w:hint="eastAsia" w:ascii="宋体" w:hAnsi="宋体" w:eastAsia="宋体" w:cs="宋体"/>
          <w:color w:val="auto"/>
          <w:highlight w:val="none"/>
        </w:rPr>
      </w:pPr>
    </w:p>
    <w:p w14:paraId="0BEECA29">
      <w:pPr>
        <w:pStyle w:val="51"/>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210F1A42">
      <w:pPr>
        <w:ind w:left="-18" w:leftChars="-85" w:hanging="160" w:hangingChars="57"/>
        <w:jc w:val="both"/>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p>
    <w:p w14:paraId="597546DD">
      <w:pPr>
        <w:ind w:left="5" w:leftChars="-85" w:hanging="183" w:hangingChars="57"/>
        <w:jc w:val="center"/>
        <w:rPr>
          <w:rFonts w:hint="eastAsia" w:ascii="宋体" w:hAnsi="宋体" w:eastAsia="宋体" w:cs="宋体"/>
          <w:b/>
          <w:bCs/>
          <w:color w:val="auto"/>
          <w:sz w:val="24"/>
          <w:szCs w:val="24"/>
          <w:highlight w:val="none"/>
        </w:rPr>
      </w:pPr>
      <w:r>
        <w:rPr>
          <w:rFonts w:hint="eastAsia" w:ascii="宋体" w:hAnsi="宋体" w:eastAsia="宋体" w:cs="宋体"/>
          <w:b/>
          <w:color w:val="auto"/>
          <w:kern w:val="2"/>
          <w:sz w:val="32"/>
          <w:szCs w:val="32"/>
          <w:highlight w:val="none"/>
          <w:lang w:val="en-US" w:eastAsia="zh-CN" w:bidi="ar-SA"/>
        </w:rPr>
        <w:t>联合体协议书</w:t>
      </w:r>
    </w:p>
    <w:p w14:paraId="3663C120">
      <w:pPr>
        <w:spacing w:line="420" w:lineRule="exact"/>
        <w:rPr>
          <w:rFonts w:hint="eastAsia" w:ascii="宋体" w:hAnsi="宋体" w:eastAsia="宋体" w:cs="宋体"/>
          <w:b/>
          <w:color w:val="auto"/>
          <w:sz w:val="24"/>
          <w:szCs w:val="24"/>
          <w:highlight w:val="none"/>
        </w:rPr>
      </w:pPr>
    </w:p>
    <w:p w14:paraId="2D4562F4">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（所有成员单位名称）</w:t>
      </w:r>
      <w:r>
        <w:rPr>
          <w:rFonts w:hint="eastAsia" w:ascii="宋体" w:hAnsi="宋体" w:eastAsia="宋体" w:cs="宋体"/>
          <w:color w:val="auto"/>
          <w:sz w:val="21"/>
          <w:szCs w:val="21"/>
          <w:highlight w:val="none"/>
        </w:rPr>
        <w:t>自愿组成联合体，共同参加</w:t>
      </w:r>
      <w:r>
        <w:rPr>
          <w:rFonts w:hint="eastAsia" w:ascii="宋体" w:hAnsi="宋体" w:eastAsia="宋体" w:cs="宋体"/>
          <w:color w:val="auto"/>
          <w:sz w:val="21"/>
          <w:szCs w:val="21"/>
          <w:highlight w:val="none"/>
          <w:u w:val="single"/>
          <w:lang w:eastAsia="zh-CN"/>
        </w:rPr>
        <w:t>路桥区非道路移动机械治理项目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z w:val="21"/>
          <w:szCs w:val="21"/>
          <w:highlight w:val="none"/>
          <w:u w:val="single"/>
          <w:lang w:eastAsia="zh-CN"/>
        </w:rPr>
        <w:t>tzya2023-lq79</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投标。现就联合体投标事宜订立如下协议。</w:t>
      </w:r>
    </w:p>
    <w:p w14:paraId="7B31D833">
      <w:pPr>
        <w:snapToGrid w:val="0"/>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（某成员单位名称）为牵头人。</w:t>
      </w:r>
    </w:p>
    <w:p w14:paraId="67633720">
      <w:pPr>
        <w:snapToGrid w:val="0"/>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联合体牵头人合法代表联合体各成员负责本项目响应文件递交和合同谈判活动，并代表联合体提交和接受相关的资料、信息及指示，并处理与之有关的一切事务，并负责合同实施阶段的主办、组织和协调工作。</w:t>
      </w:r>
    </w:p>
    <w:p w14:paraId="71FC051E">
      <w:pPr>
        <w:snapToGrid w:val="0"/>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联合体将严格按照磋商文件的各项要求，递交响应文件，履行合同，并对外承担连带责任。</w:t>
      </w:r>
    </w:p>
    <w:p w14:paraId="2B7DD9AC">
      <w:pPr>
        <w:snapToGrid w:val="0"/>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联合体牵头人代表联合体签署响应文件，联合体牵头人的所有承诺均认为代表了联合体各成员。</w:t>
      </w:r>
    </w:p>
    <w:p w14:paraId="10797482">
      <w:pPr>
        <w:snapToGrid w:val="0"/>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联合体各成员单位内部的职责分工如下：</w:t>
      </w:r>
      <w:r>
        <w:rPr>
          <w:rFonts w:hint="eastAsia" w:ascii="宋体" w:hAnsi="宋体" w:eastAsia="宋体" w:cs="宋体"/>
          <w:color w:val="auto"/>
          <w:sz w:val="21"/>
          <w:szCs w:val="21"/>
          <w:highlight w:val="none"/>
          <w:u w:val="single"/>
        </w:rPr>
        <w:t xml:space="preserve">    （牵头人名称） </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（成员名称） </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工作内容。</w:t>
      </w:r>
    </w:p>
    <w:p w14:paraId="699CE6D6">
      <w:pPr>
        <w:snapToGrid w:val="0"/>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响应工作和联合体在成交后服务过程中的有关费用按各自承担的工作量分摊。</w:t>
      </w:r>
    </w:p>
    <w:p w14:paraId="17B9A45D">
      <w:pPr>
        <w:snapToGrid w:val="0"/>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（所有成员单位名称）以联合体形式参加采购活动，且联合体中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TW" w:eastAsia="zh-TW"/>
        </w:rPr>
        <w:t>小微企业的合同份额占到合同总金额</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(比例)。</w:t>
      </w:r>
    </w:p>
    <w:p w14:paraId="4777A07D">
      <w:pPr>
        <w:snapToGrid w:val="0"/>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本协议书自签署之日起生效，合同履行完毕后自动失效。</w:t>
      </w:r>
    </w:p>
    <w:p w14:paraId="67EE328C">
      <w:pPr>
        <w:snapToGrid w:val="0"/>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份，联合体成员和采购人各执一份。</w:t>
      </w:r>
    </w:p>
    <w:p w14:paraId="361380FE">
      <w:pPr>
        <w:snapToGrid w:val="0"/>
        <w:spacing w:line="420" w:lineRule="exact"/>
        <w:rPr>
          <w:rFonts w:hint="eastAsia" w:ascii="宋体" w:hAnsi="宋体" w:eastAsia="宋体" w:cs="宋体"/>
          <w:color w:val="auto"/>
          <w:sz w:val="21"/>
          <w:szCs w:val="21"/>
          <w:highlight w:val="none"/>
        </w:rPr>
      </w:pPr>
    </w:p>
    <w:p w14:paraId="799E1953">
      <w:pPr>
        <w:snapToGrid w:val="0"/>
        <w:spacing w:line="42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（盖章单位）</w:t>
      </w:r>
    </w:p>
    <w:p w14:paraId="5701C126">
      <w:pPr>
        <w:snapToGrid w:val="0"/>
        <w:spacing w:line="42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（盖章或签字）</w:t>
      </w:r>
    </w:p>
    <w:p w14:paraId="3D5C77B4">
      <w:pPr>
        <w:snapToGrid w:val="0"/>
        <w:spacing w:line="420" w:lineRule="exact"/>
        <w:rPr>
          <w:rFonts w:hint="eastAsia" w:ascii="宋体" w:hAnsi="宋体" w:eastAsia="宋体" w:cs="宋体"/>
          <w:color w:val="auto"/>
          <w:sz w:val="21"/>
          <w:szCs w:val="21"/>
          <w:highlight w:val="none"/>
        </w:rPr>
      </w:pPr>
    </w:p>
    <w:p w14:paraId="7872CDEF">
      <w:pPr>
        <w:snapToGrid w:val="0"/>
        <w:spacing w:line="42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（盖章单位）</w:t>
      </w:r>
    </w:p>
    <w:p w14:paraId="707E4256">
      <w:pPr>
        <w:snapToGrid w:val="0"/>
        <w:spacing w:line="42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（盖章或签字）</w:t>
      </w:r>
    </w:p>
    <w:p w14:paraId="1B53D423">
      <w:pPr>
        <w:snapToGrid w:val="0"/>
        <w:spacing w:line="420" w:lineRule="exact"/>
        <w:ind w:firstLine="435"/>
        <w:rPr>
          <w:rFonts w:hint="eastAsia" w:ascii="宋体" w:hAnsi="宋体" w:eastAsia="宋体" w:cs="宋体"/>
          <w:color w:val="auto"/>
          <w:sz w:val="21"/>
          <w:szCs w:val="21"/>
          <w:highlight w:val="none"/>
        </w:rPr>
      </w:pPr>
    </w:p>
    <w:p w14:paraId="2CD8F62F">
      <w:pPr>
        <w:snapToGrid w:val="0"/>
        <w:spacing w:line="420" w:lineRule="exact"/>
        <w:rPr>
          <w:rFonts w:hint="eastAsia" w:ascii="宋体" w:hAnsi="宋体" w:eastAsia="宋体" w:cs="宋体"/>
          <w:color w:val="auto"/>
          <w:sz w:val="21"/>
          <w:szCs w:val="21"/>
          <w:highlight w:val="none"/>
        </w:rPr>
      </w:pPr>
    </w:p>
    <w:p w14:paraId="3233FF44">
      <w:pPr>
        <w:snapToGrid w:val="0"/>
        <w:spacing w:line="420" w:lineRule="exact"/>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2B70C22C">
      <w:pPr>
        <w:pStyle w:val="51"/>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p>
    <w:p w14:paraId="6C4FCB1B">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762C99F1">
      <w:pPr>
        <w:pStyle w:val="51"/>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1"/>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1"/>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路桥区非道路移动机械治理项目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tzya2024-lq65</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48"/>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48"/>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48"/>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48"/>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1"/>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48"/>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48"/>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48"/>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1"/>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0274204A">
      <w:pPr>
        <w:spacing w:line="360" w:lineRule="auto"/>
        <w:ind w:right="-110"/>
        <w:jc w:val="both"/>
        <w:outlineLvl w:val="9"/>
        <w:rPr>
          <w:rFonts w:hint="default" w:ascii="宋体" w:hAnsi="宋体" w:eastAsia="宋体" w:cs="宋体"/>
          <w:b/>
          <w:color w:val="auto"/>
          <w:sz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6</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3"/>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7</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2166AFC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67B7F5FA">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6"/>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p>
    <w:p w14:paraId="383D79D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lang w:val="en-US" w:eastAsia="zh-CN"/>
        </w:rPr>
        <w:t>评标索引：自评表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898"/>
        <w:gridCol w:w="5123"/>
        <w:gridCol w:w="546"/>
        <w:gridCol w:w="546"/>
        <w:gridCol w:w="546"/>
      </w:tblGrid>
      <w:tr w14:paraId="7F1C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58" w:type="dxa"/>
            <w:gridSpan w:val="2"/>
            <w:tcBorders>
              <w:top w:val="single" w:color="auto" w:sz="4" w:space="0"/>
              <w:left w:val="single" w:color="auto" w:sz="4" w:space="0"/>
              <w:bottom w:val="single" w:color="auto" w:sz="4" w:space="0"/>
              <w:right w:val="single" w:color="auto" w:sz="4" w:space="0"/>
            </w:tcBorders>
            <w:vAlign w:val="center"/>
          </w:tcPr>
          <w:p w14:paraId="75688070">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评标因素</w:t>
            </w:r>
          </w:p>
        </w:tc>
        <w:tc>
          <w:tcPr>
            <w:tcW w:w="5123" w:type="dxa"/>
            <w:tcBorders>
              <w:top w:val="single" w:color="auto" w:sz="4" w:space="0"/>
              <w:left w:val="single" w:color="auto" w:sz="4" w:space="0"/>
              <w:bottom w:val="single" w:color="auto" w:sz="4" w:space="0"/>
              <w:right w:val="single" w:color="auto" w:sz="4" w:space="0"/>
            </w:tcBorders>
            <w:vAlign w:val="center"/>
          </w:tcPr>
          <w:p w14:paraId="757D7BCE">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546" w:type="dxa"/>
            <w:tcBorders>
              <w:top w:val="single" w:color="auto" w:sz="4" w:space="0"/>
              <w:left w:val="single" w:color="auto" w:sz="4" w:space="0"/>
              <w:bottom w:val="single" w:color="auto" w:sz="4" w:space="0"/>
              <w:right w:val="single" w:color="auto" w:sz="4" w:space="0"/>
            </w:tcBorders>
            <w:vAlign w:val="center"/>
          </w:tcPr>
          <w:p w14:paraId="427DFD8F">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c>
          <w:tcPr>
            <w:tcW w:w="546" w:type="dxa"/>
            <w:tcBorders>
              <w:top w:val="single" w:color="auto" w:sz="4" w:space="0"/>
              <w:left w:val="single" w:color="auto" w:sz="4" w:space="0"/>
              <w:bottom w:val="single" w:color="auto" w:sz="4" w:space="0"/>
              <w:right w:val="single" w:color="auto" w:sz="4" w:space="0"/>
            </w:tcBorders>
            <w:vAlign w:val="center"/>
          </w:tcPr>
          <w:p w14:paraId="7180561C">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546" w:type="dxa"/>
            <w:tcBorders>
              <w:top w:val="single" w:color="auto" w:sz="4" w:space="0"/>
              <w:left w:val="single" w:color="auto" w:sz="4" w:space="0"/>
              <w:bottom w:val="single" w:color="auto" w:sz="4" w:space="0"/>
              <w:right w:val="single" w:color="auto" w:sz="4" w:space="0"/>
            </w:tcBorders>
            <w:vAlign w:val="center"/>
          </w:tcPr>
          <w:p w14:paraId="684EBD0A">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3069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0" w:type="dxa"/>
            <w:vMerge w:val="restart"/>
            <w:tcBorders>
              <w:top w:val="single" w:color="auto" w:sz="4" w:space="0"/>
              <w:left w:val="single" w:color="auto" w:sz="4" w:space="0"/>
              <w:right w:val="single" w:color="auto" w:sz="4" w:space="0"/>
            </w:tcBorders>
            <w:vAlign w:val="center"/>
          </w:tcPr>
          <w:p w14:paraId="564C8142">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w:t>
            </w:r>
          </w:p>
          <w:p w14:paraId="486C299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分）</w:t>
            </w:r>
          </w:p>
        </w:tc>
        <w:tc>
          <w:tcPr>
            <w:tcW w:w="898" w:type="dxa"/>
            <w:vMerge w:val="restart"/>
            <w:tcBorders>
              <w:top w:val="single" w:color="auto" w:sz="4" w:space="0"/>
              <w:left w:val="single" w:color="auto" w:sz="4" w:space="0"/>
              <w:right w:val="single" w:color="auto" w:sz="4" w:space="0"/>
            </w:tcBorders>
            <w:vAlign w:val="center"/>
          </w:tcPr>
          <w:p w14:paraId="6D75CA8F">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认证和技术实力</w:t>
            </w:r>
          </w:p>
        </w:tc>
        <w:tc>
          <w:tcPr>
            <w:tcW w:w="5123" w:type="dxa"/>
            <w:tcBorders>
              <w:top w:val="single" w:color="auto" w:sz="4" w:space="0"/>
              <w:left w:val="single" w:color="auto" w:sz="4" w:space="0"/>
              <w:bottom w:val="single" w:color="auto" w:sz="4" w:space="0"/>
              <w:right w:val="single" w:color="auto" w:sz="4" w:space="0"/>
            </w:tcBorders>
            <w:vAlign w:val="center"/>
          </w:tcPr>
          <w:p w14:paraId="44902B9E">
            <w:pPr>
              <w:pStyle w:val="9"/>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1、投标人具有有效期内的质量管理体系认证、环境质量管理体系认证、职业健康安全管理体系认证证书的，每提供1项得1分，本项最高3分。</w:t>
            </w:r>
          </w:p>
          <w:p w14:paraId="3A47ABA2">
            <w:pPr>
              <w:pStyle w:val="9"/>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546" w:type="dxa"/>
            <w:tcBorders>
              <w:top w:val="single" w:color="auto" w:sz="4" w:space="0"/>
              <w:left w:val="single" w:color="auto" w:sz="4" w:space="0"/>
              <w:right w:val="single" w:color="auto" w:sz="4" w:space="0"/>
            </w:tcBorders>
            <w:vAlign w:val="center"/>
          </w:tcPr>
          <w:p w14:paraId="14810593">
            <w:pPr>
              <w:pStyle w:val="9"/>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46" w:type="dxa"/>
            <w:tcBorders>
              <w:top w:val="single" w:color="auto" w:sz="4" w:space="0"/>
              <w:left w:val="single" w:color="auto" w:sz="4" w:space="0"/>
              <w:right w:val="single" w:color="auto" w:sz="4" w:space="0"/>
            </w:tcBorders>
            <w:vAlign w:val="center"/>
          </w:tcPr>
          <w:p w14:paraId="7C52AC3C">
            <w:pPr>
              <w:pStyle w:val="9"/>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546" w:type="dxa"/>
            <w:tcBorders>
              <w:top w:val="single" w:color="auto" w:sz="4" w:space="0"/>
              <w:left w:val="single" w:color="auto" w:sz="4" w:space="0"/>
              <w:right w:val="single" w:color="auto" w:sz="4" w:space="0"/>
            </w:tcBorders>
            <w:vAlign w:val="center"/>
          </w:tcPr>
          <w:p w14:paraId="1E3E4076">
            <w:pPr>
              <w:pStyle w:val="9"/>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r>
      <w:tr w14:paraId="7A61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60" w:type="dxa"/>
            <w:vMerge w:val="continue"/>
            <w:tcBorders>
              <w:left w:val="single" w:color="auto" w:sz="4" w:space="0"/>
              <w:right w:val="single" w:color="auto" w:sz="4" w:space="0"/>
            </w:tcBorders>
            <w:vAlign w:val="center"/>
          </w:tcPr>
          <w:p w14:paraId="00E903E1">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898" w:type="dxa"/>
            <w:vMerge w:val="continue"/>
            <w:tcBorders>
              <w:left w:val="single" w:color="auto" w:sz="4" w:space="0"/>
              <w:right w:val="single" w:color="auto" w:sz="4" w:space="0"/>
            </w:tcBorders>
            <w:vAlign w:val="center"/>
          </w:tcPr>
          <w:p w14:paraId="2F5F3240">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p>
        </w:tc>
        <w:tc>
          <w:tcPr>
            <w:tcW w:w="5123" w:type="dxa"/>
            <w:tcBorders>
              <w:top w:val="single" w:color="auto" w:sz="4" w:space="0"/>
              <w:left w:val="single" w:color="auto" w:sz="4" w:space="0"/>
              <w:bottom w:val="single" w:color="auto" w:sz="4" w:space="0"/>
              <w:right w:val="single" w:color="auto" w:sz="4" w:space="0"/>
            </w:tcBorders>
            <w:vAlign w:val="center"/>
          </w:tcPr>
          <w:p w14:paraId="1F5AC551">
            <w:pPr>
              <w:pStyle w:val="9"/>
              <w:keepNext w:val="0"/>
              <w:keepLines w:val="0"/>
              <w:pageBreakBefore w:val="0"/>
              <w:kinsoku/>
              <w:wordWrap/>
              <w:overflowPunct/>
              <w:topLinePunct w:val="0"/>
              <w:bidi w:val="0"/>
              <w:spacing w:line="240" w:lineRule="auto"/>
              <w:ind w:right="0" w:rightChars="0"/>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2、投标人自2020年1月1日以来（以颁发时间为准），获得过环保相关荣誉表彰的</w:t>
            </w:r>
            <w:r>
              <w:rPr>
                <w:rFonts w:hint="eastAsia" w:hAnsi="宋体" w:cs="宋体"/>
                <w:color w:val="auto"/>
                <w:kern w:val="2"/>
                <w:sz w:val="21"/>
                <w:szCs w:val="21"/>
                <w:highlight w:val="none"/>
                <w:lang w:val="en-US" w:eastAsia="zh-CN"/>
              </w:rPr>
              <w:t>得4分。</w:t>
            </w:r>
          </w:p>
          <w:p w14:paraId="1F464205">
            <w:pPr>
              <w:pStyle w:val="9"/>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有效的荣誉</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546" w:type="dxa"/>
            <w:tcBorders>
              <w:top w:val="single" w:color="auto" w:sz="4" w:space="0"/>
              <w:left w:val="single" w:color="auto" w:sz="4" w:space="0"/>
              <w:right w:val="single" w:color="auto" w:sz="4" w:space="0"/>
            </w:tcBorders>
            <w:vAlign w:val="center"/>
          </w:tcPr>
          <w:p w14:paraId="18F1B9B9">
            <w:pPr>
              <w:pStyle w:val="9"/>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546" w:type="dxa"/>
            <w:tcBorders>
              <w:top w:val="single" w:color="auto" w:sz="4" w:space="0"/>
              <w:left w:val="single" w:color="auto" w:sz="4" w:space="0"/>
              <w:right w:val="single" w:color="auto" w:sz="4" w:space="0"/>
            </w:tcBorders>
            <w:vAlign w:val="center"/>
          </w:tcPr>
          <w:p w14:paraId="44D81E46">
            <w:pPr>
              <w:pStyle w:val="9"/>
              <w:keepNext w:val="0"/>
              <w:keepLines w:val="0"/>
              <w:pageBreakBefore w:val="0"/>
              <w:kinsoku/>
              <w:wordWrap/>
              <w:overflowPunct/>
              <w:topLinePunct w:val="0"/>
              <w:bidi w:val="0"/>
              <w:spacing w:line="240" w:lineRule="auto"/>
              <w:ind w:right="0" w:rightChars="0"/>
              <w:jc w:val="center"/>
              <w:rPr>
                <w:rFonts w:hint="eastAsia" w:hAnsi="宋体" w:cs="宋体"/>
                <w:color w:val="auto"/>
                <w:sz w:val="21"/>
                <w:szCs w:val="21"/>
                <w:highlight w:val="none"/>
                <w:lang w:val="en-US" w:eastAsia="zh-CN"/>
              </w:rPr>
            </w:pPr>
          </w:p>
        </w:tc>
        <w:tc>
          <w:tcPr>
            <w:tcW w:w="546" w:type="dxa"/>
            <w:tcBorders>
              <w:top w:val="single" w:color="auto" w:sz="4" w:space="0"/>
              <w:left w:val="single" w:color="auto" w:sz="4" w:space="0"/>
              <w:right w:val="single" w:color="auto" w:sz="4" w:space="0"/>
            </w:tcBorders>
            <w:vAlign w:val="center"/>
          </w:tcPr>
          <w:p w14:paraId="1B894E26">
            <w:pPr>
              <w:pStyle w:val="9"/>
              <w:keepNext w:val="0"/>
              <w:keepLines w:val="0"/>
              <w:pageBreakBefore w:val="0"/>
              <w:kinsoku/>
              <w:wordWrap/>
              <w:overflowPunct/>
              <w:topLinePunct w:val="0"/>
              <w:bidi w:val="0"/>
              <w:spacing w:line="240" w:lineRule="auto"/>
              <w:ind w:right="0" w:rightChars="0"/>
              <w:jc w:val="center"/>
              <w:rPr>
                <w:rFonts w:hint="eastAsia" w:hAnsi="宋体" w:cs="宋体"/>
                <w:color w:val="auto"/>
                <w:sz w:val="21"/>
                <w:szCs w:val="21"/>
                <w:highlight w:val="none"/>
                <w:lang w:val="en-US" w:eastAsia="zh-CN"/>
              </w:rPr>
            </w:pPr>
          </w:p>
        </w:tc>
      </w:tr>
      <w:tr w14:paraId="4387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60" w:type="dxa"/>
            <w:vMerge w:val="continue"/>
            <w:tcBorders>
              <w:left w:val="single" w:color="auto" w:sz="4" w:space="0"/>
              <w:right w:val="single" w:color="auto" w:sz="4" w:space="0"/>
            </w:tcBorders>
            <w:vAlign w:val="center"/>
          </w:tcPr>
          <w:p w14:paraId="49B842C0">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898" w:type="dxa"/>
            <w:tcBorders>
              <w:left w:val="single" w:color="auto" w:sz="4" w:space="0"/>
              <w:right w:val="single" w:color="auto" w:sz="4" w:space="0"/>
            </w:tcBorders>
            <w:vAlign w:val="center"/>
          </w:tcPr>
          <w:p w14:paraId="2A636481">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业绩</w:t>
            </w:r>
          </w:p>
        </w:tc>
        <w:tc>
          <w:tcPr>
            <w:tcW w:w="5123" w:type="dxa"/>
            <w:tcBorders>
              <w:top w:val="single" w:color="auto" w:sz="4" w:space="0"/>
              <w:left w:val="single" w:color="auto" w:sz="4" w:space="0"/>
              <w:bottom w:val="single" w:color="auto" w:sz="4" w:space="0"/>
              <w:right w:val="single" w:color="auto" w:sz="4" w:space="0"/>
            </w:tcBorders>
            <w:vAlign w:val="center"/>
          </w:tcPr>
          <w:p w14:paraId="74955C27">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根据投标人自2020年1月1日至今（以签订合同时间为准）</w:t>
            </w:r>
            <w:r>
              <w:rPr>
                <w:rFonts w:hint="eastAsia" w:ascii="宋体" w:hAnsi="宋体" w:eastAsia="宋体" w:cs="宋体"/>
                <w:color w:val="auto"/>
                <w:kern w:val="0"/>
                <w:sz w:val="21"/>
                <w:szCs w:val="21"/>
                <w:highlight w:val="none"/>
                <w:lang w:val="en-US" w:eastAsia="zh-CN"/>
              </w:rPr>
              <w:t>承接过类似上牌、检测项目业绩的</w:t>
            </w:r>
            <w:r>
              <w:rPr>
                <w:rFonts w:hint="eastAsia" w:ascii="宋体" w:hAnsi="宋体" w:eastAsia="宋体" w:cs="宋体"/>
                <w:color w:val="auto"/>
                <w:kern w:val="2"/>
                <w:sz w:val="21"/>
                <w:szCs w:val="21"/>
                <w:highlight w:val="none"/>
                <w:lang w:val="en-US" w:eastAsia="zh-CN" w:bidi="ar-SA"/>
              </w:rPr>
              <w:t>，每提供一个得0.2分，本项最高得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w:t>
            </w:r>
          </w:p>
          <w:p w14:paraId="10AA88C1">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有效的合同</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546" w:type="dxa"/>
            <w:tcBorders>
              <w:top w:val="single" w:color="auto" w:sz="4" w:space="0"/>
              <w:left w:val="single" w:color="auto" w:sz="4" w:space="0"/>
              <w:bottom w:val="single" w:color="auto" w:sz="4" w:space="0"/>
              <w:right w:val="single" w:color="auto" w:sz="4" w:space="0"/>
            </w:tcBorders>
            <w:vAlign w:val="center"/>
          </w:tcPr>
          <w:p w14:paraId="2EB5DCF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2</w:t>
            </w:r>
          </w:p>
        </w:tc>
        <w:tc>
          <w:tcPr>
            <w:tcW w:w="546" w:type="dxa"/>
            <w:tcBorders>
              <w:top w:val="single" w:color="auto" w:sz="4" w:space="0"/>
              <w:left w:val="single" w:color="auto" w:sz="4" w:space="0"/>
              <w:bottom w:val="single" w:color="auto" w:sz="4" w:space="0"/>
              <w:right w:val="single" w:color="auto" w:sz="4" w:space="0"/>
            </w:tcBorders>
            <w:vAlign w:val="center"/>
          </w:tcPr>
          <w:p w14:paraId="2816B10F">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kern w:val="2"/>
                <w:sz w:val="21"/>
                <w:szCs w:val="21"/>
                <w:highlight w:val="none"/>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14:paraId="349CCC13">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kern w:val="2"/>
                <w:sz w:val="21"/>
                <w:szCs w:val="21"/>
                <w:highlight w:val="none"/>
                <w:lang w:val="en-US" w:eastAsia="zh-CN" w:bidi="ar-SA"/>
              </w:rPr>
            </w:pPr>
          </w:p>
        </w:tc>
      </w:tr>
      <w:tr w14:paraId="1C23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60" w:type="dxa"/>
            <w:vMerge w:val="continue"/>
            <w:tcBorders>
              <w:left w:val="single" w:color="auto" w:sz="4" w:space="0"/>
              <w:right w:val="single" w:color="auto" w:sz="4" w:space="0"/>
            </w:tcBorders>
            <w:vAlign w:val="center"/>
          </w:tcPr>
          <w:p w14:paraId="4AFAE3E2">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898" w:type="dxa"/>
            <w:vMerge w:val="restart"/>
            <w:tcBorders>
              <w:left w:val="single" w:color="auto" w:sz="4" w:space="0"/>
              <w:right w:val="single" w:color="auto" w:sz="4" w:space="0"/>
            </w:tcBorders>
            <w:vAlign w:val="center"/>
          </w:tcPr>
          <w:p w14:paraId="250F653D">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拟投入本项目的项目组人员</w:t>
            </w:r>
          </w:p>
        </w:tc>
        <w:tc>
          <w:tcPr>
            <w:tcW w:w="5123" w:type="dxa"/>
            <w:tcBorders>
              <w:top w:val="single" w:color="auto" w:sz="4" w:space="0"/>
              <w:left w:val="single" w:color="auto" w:sz="4" w:space="0"/>
              <w:bottom w:val="single" w:color="auto" w:sz="4" w:space="0"/>
              <w:right w:val="single" w:color="auto" w:sz="4" w:space="0"/>
            </w:tcBorders>
            <w:vAlign w:val="center"/>
          </w:tcPr>
          <w:p w14:paraId="034521C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拟派项目负责人具有环保相关专业的高级工程师以上职称的得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分，环保相关专业的中级工程师职称的得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分，其他不得分。</w:t>
            </w:r>
          </w:p>
          <w:p w14:paraId="6968F7A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zh-CN"/>
              </w:rPr>
              <w:t>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zh-CN"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zh-CN" w:eastAsia="zh-CN"/>
              </w:rPr>
              <w:t>或提供不全的</w:t>
            </w:r>
            <w:r>
              <w:rPr>
                <w:rFonts w:hint="eastAsia" w:ascii="宋体" w:hAnsi="宋体" w:eastAsia="宋体" w:cs="宋体"/>
                <w:b/>
                <w:bCs/>
                <w:color w:val="auto"/>
                <w:sz w:val="21"/>
                <w:szCs w:val="21"/>
                <w:highlight w:val="none"/>
                <w:lang w:val="zh-CN"/>
              </w:rPr>
              <w:t>不得分）</w:t>
            </w:r>
          </w:p>
        </w:tc>
        <w:tc>
          <w:tcPr>
            <w:tcW w:w="546" w:type="dxa"/>
            <w:tcBorders>
              <w:top w:val="single" w:color="auto" w:sz="4" w:space="0"/>
              <w:left w:val="single" w:color="auto" w:sz="4" w:space="0"/>
              <w:bottom w:val="single" w:color="auto" w:sz="4" w:space="0"/>
              <w:right w:val="single" w:color="auto" w:sz="4" w:space="0"/>
            </w:tcBorders>
            <w:vAlign w:val="center"/>
          </w:tcPr>
          <w:p w14:paraId="75497B22">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46" w:type="dxa"/>
            <w:tcBorders>
              <w:top w:val="single" w:color="auto" w:sz="4" w:space="0"/>
              <w:left w:val="single" w:color="auto" w:sz="4" w:space="0"/>
              <w:bottom w:val="single" w:color="auto" w:sz="4" w:space="0"/>
              <w:right w:val="single" w:color="auto" w:sz="4" w:space="0"/>
            </w:tcBorders>
            <w:vAlign w:val="center"/>
          </w:tcPr>
          <w:p w14:paraId="615A3E53">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7A425D16">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75D3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60" w:type="dxa"/>
            <w:vMerge w:val="continue"/>
            <w:tcBorders>
              <w:left w:val="single" w:color="auto" w:sz="4" w:space="0"/>
              <w:right w:val="single" w:color="auto" w:sz="4" w:space="0"/>
            </w:tcBorders>
            <w:vAlign w:val="center"/>
          </w:tcPr>
          <w:p w14:paraId="3C78B963">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898" w:type="dxa"/>
            <w:vMerge w:val="continue"/>
            <w:tcBorders>
              <w:left w:val="single" w:color="auto" w:sz="4" w:space="0"/>
              <w:right w:val="single" w:color="auto" w:sz="4" w:space="0"/>
            </w:tcBorders>
            <w:vAlign w:val="center"/>
          </w:tcPr>
          <w:p w14:paraId="46328482">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5123" w:type="dxa"/>
            <w:tcBorders>
              <w:top w:val="single" w:color="auto" w:sz="4" w:space="0"/>
              <w:left w:val="single" w:color="auto" w:sz="4" w:space="0"/>
              <w:bottom w:val="single" w:color="auto" w:sz="4" w:space="0"/>
              <w:right w:val="single" w:color="auto" w:sz="4" w:space="0"/>
            </w:tcBorders>
            <w:vAlign w:val="center"/>
          </w:tcPr>
          <w:p w14:paraId="4A3E1294">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项目组成员中（除项目负责人外），获得环保相关专业职称的或环保相关专业职业技能</w:t>
            </w:r>
            <w:r>
              <w:rPr>
                <w:rFonts w:hint="eastAsia" w:ascii="宋体" w:hAnsi="宋体" w:cs="宋体"/>
                <w:color w:val="auto"/>
                <w:sz w:val="21"/>
                <w:szCs w:val="21"/>
                <w:highlight w:val="none"/>
                <w:lang w:val="en-US" w:eastAsia="zh-CN"/>
              </w:rPr>
              <w:t>（合格）</w:t>
            </w:r>
            <w:r>
              <w:rPr>
                <w:rFonts w:hint="eastAsia" w:ascii="宋体" w:hAnsi="宋体" w:eastAsia="宋体" w:cs="宋体"/>
                <w:color w:val="auto"/>
                <w:sz w:val="21"/>
                <w:szCs w:val="21"/>
                <w:highlight w:val="none"/>
                <w:lang w:val="en-US" w:eastAsia="zh-CN"/>
              </w:rPr>
              <w:t>证书的，每提供一个得1分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9C6FC55">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546" w:type="dxa"/>
            <w:tcBorders>
              <w:top w:val="single" w:color="auto" w:sz="4" w:space="0"/>
              <w:left w:val="single" w:color="auto" w:sz="4" w:space="0"/>
              <w:bottom w:val="single" w:color="auto" w:sz="4" w:space="0"/>
              <w:right w:val="single" w:color="auto" w:sz="4" w:space="0"/>
            </w:tcBorders>
            <w:vAlign w:val="center"/>
          </w:tcPr>
          <w:p w14:paraId="64B21B11">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46" w:type="dxa"/>
            <w:tcBorders>
              <w:top w:val="single" w:color="auto" w:sz="4" w:space="0"/>
              <w:left w:val="single" w:color="auto" w:sz="4" w:space="0"/>
              <w:bottom w:val="single" w:color="auto" w:sz="4" w:space="0"/>
              <w:right w:val="single" w:color="auto" w:sz="4" w:space="0"/>
            </w:tcBorders>
            <w:vAlign w:val="center"/>
          </w:tcPr>
          <w:p w14:paraId="7AE1036F">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24D70300">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r>
      <w:tr w14:paraId="45C8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60" w:type="dxa"/>
            <w:vMerge w:val="continue"/>
            <w:tcBorders>
              <w:left w:val="single" w:color="auto" w:sz="4" w:space="0"/>
              <w:right w:val="single" w:color="auto" w:sz="4" w:space="0"/>
            </w:tcBorders>
            <w:vAlign w:val="center"/>
          </w:tcPr>
          <w:p w14:paraId="5F1A486D">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i w:val="0"/>
                <w:iCs w:val="0"/>
                <w:color w:val="auto"/>
                <w:sz w:val="21"/>
                <w:szCs w:val="21"/>
                <w:highlight w:val="none"/>
                <w:u w:val="none"/>
                <w:lang w:val="en-US" w:eastAsia="zh-CN"/>
              </w:rPr>
            </w:pPr>
          </w:p>
        </w:tc>
        <w:tc>
          <w:tcPr>
            <w:tcW w:w="898" w:type="dxa"/>
            <w:vMerge w:val="restart"/>
            <w:tcBorders>
              <w:left w:val="single" w:color="auto" w:sz="4" w:space="0"/>
              <w:right w:val="single" w:color="auto" w:sz="4" w:space="0"/>
            </w:tcBorders>
            <w:vAlign w:val="center"/>
          </w:tcPr>
          <w:p w14:paraId="1EABC446">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设备投入</w:t>
            </w:r>
          </w:p>
        </w:tc>
        <w:tc>
          <w:tcPr>
            <w:tcW w:w="5123" w:type="dxa"/>
            <w:tcBorders>
              <w:top w:val="single" w:color="auto" w:sz="4" w:space="0"/>
              <w:left w:val="single" w:color="auto" w:sz="4" w:space="0"/>
              <w:bottom w:val="single" w:color="auto" w:sz="4" w:space="0"/>
              <w:right w:val="single" w:color="auto" w:sz="4" w:space="0"/>
            </w:tcBorders>
            <w:vAlign w:val="center"/>
          </w:tcPr>
          <w:p w14:paraId="1D6840CB">
            <w:pPr>
              <w:pStyle w:val="3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after="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针对本项目提供的满足非道路移动机械相关工作用车打分，每提供1辆工作用车的得1分，本项最高得5分。</w:t>
            </w:r>
          </w:p>
          <w:p w14:paraId="2F5721C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shd w:val="clear" w:color="auto" w:fill="auto"/>
                <w:lang w:val="en-US" w:eastAsia="zh-CN" w:bidi="ar-SA"/>
              </w:rPr>
              <w:t>（若车辆为投标人自有车辆，须提供车辆行驶证原件扫描件、车辆照片</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kern w:val="0"/>
                <w:sz w:val="21"/>
                <w:szCs w:val="21"/>
                <w:highlight w:val="none"/>
                <w:u w:val="none"/>
                <w:lang w:val="en-US" w:eastAsia="zh-CN"/>
              </w:rPr>
              <w:t>若车辆为投标人租赁车辆，须提供</w:t>
            </w:r>
            <w:r>
              <w:rPr>
                <w:rFonts w:hint="eastAsia" w:ascii="宋体" w:hAnsi="宋体" w:eastAsia="宋体" w:cs="宋体"/>
                <w:b/>
                <w:bCs/>
                <w:color w:val="auto"/>
                <w:kern w:val="0"/>
                <w:sz w:val="21"/>
                <w:szCs w:val="21"/>
                <w:highlight w:val="none"/>
                <w:shd w:val="clear" w:color="auto" w:fill="auto"/>
                <w:lang w:val="en-US" w:eastAsia="zh-CN" w:bidi="ar-SA"/>
              </w:rPr>
              <w:t>车辆行驶证原件扫描件、车辆照片、车辆租赁合同扫描件</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kern w:val="0"/>
                <w:sz w:val="21"/>
                <w:szCs w:val="21"/>
                <w:highlight w:val="none"/>
                <w:shd w:val="clear" w:color="auto" w:fill="auto"/>
                <w:lang w:val="en-US" w:eastAsia="zh-CN" w:bidi="ar-SA"/>
              </w:rPr>
              <w:t>，未提供或提供不全的不得分）</w:t>
            </w:r>
          </w:p>
        </w:tc>
        <w:tc>
          <w:tcPr>
            <w:tcW w:w="546" w:type="dxa"/>
            <w:tcBorders>
              <w:top w:val="single" w:color="auto" w:sz="4" w:space="0"/>
              <w:left w:val="single" w:color="auto" w:sz="4" w:space="0"/>
              <w:bottom w:val="single" w:color="auto" w:sz="4" w:space="0"/>
              <w:right w:val="single" w:color="auto" w:sz="4" w:space="0"/>
            </w:tcBorders>
            <w:vAlign w:val="center"/>
          </w:tcPr>
          <w:p w14:paraId="54DE2F9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46" w:type="dxa"/>
            <w:tcBorders>
              <w:top w:val="single" w:color="auto" w:sz="4" w:space="0"/>
              <w:left w:val="single" w:color="auto" w:sz="4" w:space="0"/>
              <w:bottom w:val="single" w:color="auto" w:sz="4" w:space="0"/>
              <w:right w:val="single" w:color="auto" w:sz="4" w:space="0"/>
            </w:tcBorders>
            <w:vAlign w:val="center"/>
          </w:tcPr>
          <w:p w14:paraId="174E597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1A98EFA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r>
      <w:tr w14:paraId="4921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60" w:type="dxa"/>
            <w:vMerge w:val="continue"/>
            <w:tcBorders>
              <w:left w:val="single" w:color="auto" w:sz="4" w:space="0"/>
              <w:right w:val="single" w:color="auto" w:sz="4" w:space="0"/>
            </w:tcBorders>
            <w:vAlign w:val="center"/>
          </w:tcPr>
          <w:p w14:paraId="5997771D">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898" w:type="dxa"/>
            <w:vMerge w:val="continue"/>
            <w:tcBorders>
              <w:left w:val="single" w:color="auto" w:sz="4" w:space="0"/>
              <w:right w:val="single" w:color="auto" w:sz="4" w:space="0"/>
            </w:tcBorders>
            <w:vAlign w:val="center"/>
          </w:tcPr>
          <w:p w14:paraId="48DE327F">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5123" w:type="dxa"/>
            <w:tcBorders>
              <w:top w:val="single" w:color="auto" w:sz="4" w:space="0"/>
              <w:left w:val="single" w:color="auto" w:sz="4" w:space="0"/>
              <w:bottom w:val="single" w:color="auto" w:sz="4" w:space="0"/>
              <w:right w:val="single" w:color="auto" w:sz="4" w:space="0"/>
            </w:tcBorders>
            <w:vAlign w:val="center"/>
          </w:tcPr>
          <w:p w14:paraId="655A4876">
            <w:pPr>
              <w:pStyle w:val="3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after="0" w:line="240" w:lineRule="auto"/>
              <w:ind w:left="0" w:leftChars="0" w:right="0" w:rightChars="0" w:firstLine="0" w:firstLineChars="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针对本项目拟投入使用的可操作电脑、振动式转速分析仪、风速风向仪、</w:t>
            </w:r>
            <w:r>
              <w:rPr>
                <w:rFonts w:hint="eastAsia" w:ascii="宋体" w:hAnsi="宋体" w:cs="宋体"/>
                <w:color w:val="auto"/>
                <w:sz w:val="21"/>
                <w:szCs w:val="21"/>
                <w:highlight w:val="none"/>
                <w:lang w:val="en-US" w:eastAsia="zh-CN"/>
              </w:rPr>
              <w:t>大气压力计</w:t>
            </w:r>
            <w:r>
              <w:rPr>
                <w:rFonts w:hint="eastAsia" w:ascii="宋体" w:hAnsi="宋体" w:eastAsia="宋体" w:cs="宋体"/>
                <w:color w:val="auto"/>
                <w:sz w:val="21"/>
                <w:szCs w:val="21"/>
                <w:highlight w:val="none"/>
                <w:lang w:val="zh-CN" w:eastAsia="zh-CN"/>
              </w:rPr>
              <w:t>、透射式烟度计、手持式林格曼黑度仪</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投标人每配备一种检测仪器的得1分，本项最高得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0A108E82">
            <w:pPr>
              <w:pStyle w:val="3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after="0" w:line="240" w:lineRule="auto"/>
              <w:ind w:left="0" w:leftChars="0" w:right="0" w:rightChars="0" w:firstLine="0" w:firstLineChars="0"/>
              <w:jc w:val="left"/>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注：相同设备不重复计分。</w:t>
            </w:r>
          </w:p>
          <w:p w14:paraId="370CD8C6">
            <w:pPr>
              <w:pStyle w:val="3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after="0" w:line="240" w:lineRule="auto"/>
              <w:ind w:left="0" w:leftChars="0" w:right="0" w:righ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eastAsia="zh-CN"/>
              </w:rPr>
              <w:t>（若设备为投标人自有设备的，须提供投标人购置合同或发票</w:t>
            </w:r>
            <w:r>
              <w:rPr>
                <w:rFonts w:hint="eastAsia" w:ascii="宋体" w:hAnsi="宋体" w:eastAsia="宋体" w:cs="宋体"/>
                <w:b/>
                <w:bCs/>
                <w:color w:val="auto"/>
                <w:kern w:val="0"/>
                <w:sz w:val="21"/>
                <w:szCs w:val="21"/>
                <w:highlight w:val="none"/>
                <w:shd w:val="clear" w:color="auto" w:fill="auto"/>
                <w:lang w:val="en-US" w:eastAsia="zh-CN" w:bidi="ar-SA"/>
              </w:rPr>
              <w:t>扫描件</w:t>
            </w:r>
            <w:r>
              <w:rPr>
                <w:rFonts w:hint="eastAsia" w:ascii="宋体" w:hAnsi="宋体" w:eastAsia="宋体" w:cs="宋体"/>
                <w:b/>
                <w:bCs/>
                <w:color w:val="auto"/>
                <w:sz w:val="21"/>
                <w:szCs w:val="21"/>
                <w:highlight w:val="none"/>
                <w:lang w:val="zh-CN" w:eastAsia="zh-CN"/>
              </w:rPr>
              <w:t>加盖投标人公章编入投标文件中；若设备为投标人租赁的，须提供设备的租赁合同</w:t>
            </w:r>
            <w:r>
              <w:rPr>
                <w:rFonts w:hint="eastAsia" w:ascii="宋体" w:hAnsi="宋体" w:eastAsia="宋体" w:cs="宋体"/>
                <w:b/>
                <w:bCs/>
                <w:color w:val="auto"/>
                <w:kern w:val="0"/>
                <w:sz w:val="21"/>
                <w:szCs w:val="21"/>
                <w:highlight w:val="none"/>
                <w:shd w:val="clear" w:color="auto" w:fill="auto"/>
                <w:lang w:val="en-US" w:eastAsia="zh-CN" w:bidi="ar-SA"/>
              </w:rPr>
              <w:t>扫描件</w:t>
            </w:r>
            <w:r>
              <w:rPr>
                <w:rFonts w:hint="eastAsia" w:ascii="宋体" w:hAnsi="宋体" w:eastAsia="宋体" w:cs="宋体"/>
                <w:b/>
                <w:bCs/>
                <w:color w:val="auto"/>
                <w:sz w:val="21"/>
                <w:szCs w:val="21"/>
                <w:highlight w:val="none"/>
                <w:lang w:val="zh-CN" w:eastAsia="zh-CN"/>
              </w:rPr>
              <w:t>加盖投标人公章编入投标文件中，</w:t>
            </w:r>
            <w:r>
              <w:rPr>
                <w:rFonts w:hint="eastAsia" w:ascii="宋体" w:hAnsi="宋体" w:eastAsia="宋体" w:cs="宋体"/>
                <w:b/>
                <w:bCs/>
                <w:color w:val="auto"/>
                <w:kern w:val="0"/>
                <w:sz w:val="21"/>
                <w:szCs w:val="21"/>
                <w:highlight w:val="none"/>
                <w:shd w:val="clear" w:color="auto" w:fill="auto"/>
                <w:lang w:val="en-US" w:eastAsia="zh-CN" w:bidi="ar-SA"/>
              </w:rPr>
              <w:t>未提供或提供不全的不得分</w:t>
            </w:r>
            <w:r>
              <w:rPr>
                <w:rFonts w:hint="eastAsia" w:ascii="宋体" w:hAnsi="宋体" w:eastAsia="宋体" w:cs="宋体"/>
                <w:b/>
                <w:bCs/>
                <w:color w:val="auto"/>
                <w:sz w:val="21"/>
                <w:szCs w:val="21"/>
                <w:highlight w:val="none"/>
                <w:lang w:val="zh-CN" w:eastAsia="zh-CN"/>
              </w:rPr>
              <w:t>）</w:t>
            </w:r>
          </w:p>
        </w:tc>
        <w:tc>
          <w:tcPr>
            <w:tcW w:w="546" w:type="dxa"/>
            <w:tcBorders>
              <w:top w:val="single" w:color="auto" w:sz="4" w:space="0"/>
              <w:left w:val="single" w:color="auto" w:sz="4" w:space="0"/>
              <w:bottom w:val="single" w:color="auto" w:sz="4" w:space="0"/>
              <w:right w:val="single" w:color="auto" w:sz="4" w:space="0"/>
            </w:tcBorders>
            <w:vAlign w:val="center"/>
          </w:tcPr>
          <w:p w14:paraId="03000F12">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46" w:type="dxa"/>
            <w:tcBorders>
              <w:top w:val="single" w:color="auto" w:sz="4" w:space="0"/>
              <w:left w:val="single" w:color="auto" w:sz="4" w:space="0"/>
              <w:bottom w:val="single" w:color="auto" w:sz="4" w:space="0"/>
              <w:right w:val="single" w:color="auto" w:sz="4" w:space="0"/>
            </w:tcBorders>
            <w:vAlign w:val="center"/>
          </w:tcPr>
          <w:p w14:paraId="337BE681">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4D59066C">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02A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60" w:type="dxa"/>
            <w:vMerge w:val="restart"/>
            <w:tcBorders>
              <w:left w:val="single" w:color="auto" w:sz="4" w:space="0"/>
              <w:right w:val="single" w:color="auto" w:sz="4" w:space="0"/>
            </w:tcBorders>
            <w:vAlign w:val="center"/>
          </w:tcPr>
          <w:p w14:paraId="22798BB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技术分</w:t>
            </w:r>
          </w:p>
          <w:p w14:paraId="07CA1FA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val="en-US" w:eastAsia="zh-CN"/>
              </w:rPr>
              <w:t>分）</w:t>
            </w:r>
          </w:p>
        </w:tc>
        <w:tc>
          <w:tcPr>
            <w:tcW w:w="898" w:type="dxa"/>
            <w:vMerge w:val="restart"/>
            <w:tcBorders>
              <w:left w:val="single" w:color="auto" w:sz="4" w:space="0"/>
              <w:right w:val="single" w:color="auto" w:sz="4" w:space="0"/>
            </w:tcBorders>
            <w:vAlign w:val="center"/>
          </w:tcPr>
          <w:p w14:paraId="4954CFE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技术支撑</w:t>
            </w:r>
          </w:p>
        </w:tc>
        <w:tc>
          <w:tcPr>
            <w:tcW w:w="5123" w:type="dxa"/>
            <w:tcBorders>
              <w:top w:val="single" w:color="auto" w:sz="4" w:space="0"/>
              <w:left w:val="single" w:color="auto" w:sz="4" w:space="0"/>
              <w:bottom w:val="single" w:color="auto" w:sz="4" w:space="0"/>
              <w:right w:val="single" w:color="auto" w:sz="4" w:space="0"/>
            </w:tcBorders>
            <w:vAlign w:val="center"/>
          </w:tcPr>
          <w:p w14:paraId="4AA39541">
            <w:pPr>
              <w:pStyle w:val="2"/>
              <w:keepNext w:val="0"/>
              <w:keepLines w:val="0"/>
              <w:pageBreakBefore w:val="0"/>
              <w:kinsoku/>
              <w:wordWrap/>
              <w:overflowPunct/>
              <w:topLinePunct w:val="0"/>
              <w:bidi w:val="0"/>
              <w:spacing w:after="0" w:line="240" w:lineRule="auto"/>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根据投标人取得或有被授权使用“非道路移动机械信息采集软件”版权，以便于优化对本项目的日常技术支撑，包括信息采集等情况的得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6EA74A87">
            <w:pPr>
              <w:pStyle w:val="2"/>
              <w:keepNext w:val="0"/>
              <w:keepLines w:val="0"/>
              <w:pageBreakBefore w:val="0"/>
              <w:kinsoku/>
              <w:wordWrap/>
              <w:overflowPunct/>
              <w:topLinePunct w:val="0"/>
              <w:bidi w:val="0"/>
              <w:spacing w:after="0"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2"/>
                <w:sz w:val="21"/>
                <w:szCs w:val="21"/>
                <w:highlight w:val="none"/>
                <w:lang w:val="en-US" w:eastAsia="zh-CN"/>
              </w:rPr>
              <w:t>相关证明材料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546" w:type="dxa"/>
            <w:tcBorders>
              <w:top w:val="single" w:color="auto" w:sz="4" w:space="0"/>
              <w:left w:val="single" w:color="auto" w:sz="4" w:space="0"/>
              <w:bottom w:val="single" w:color="auto" w:sz="4" w:space="0"/>
              <w:right w:val="single" w:color="auto" w:sz="4" w:space="0"/>
            </w:tcBorders>
            <w:vAlign w:val="center"/>
          </w:tcPr>
          <w:p w14:paraId="284F84A0">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46" w:type="dxa"/>
            <w:tcBorders>
              <w:top w:val="single" w:color="auto" w:sz="4" w:space="0"/>
              <w:left w:val="single" w:color="auto" w:sz="4" w:space="0"/>
              <w:bottom w:val="single" w:color="auto" w:sz="4" w:space="0"/>
              <w:right w:val="single" w:color="auto" w:sz="4" w:space="0"/>
            </w:tcBorders>
            <w:vAlign w:val="center"/>
          </w:tcPr>
          <w:p w14:paraId="0242DC44">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299E0C4C">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5D1A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60" w:type="dxa"/>
            <w:vMerge w:val="continue"/>
            <w:tcBorders>
              <w:left w:val="single" w:color="auto" w:sz="4" w:space="0"/>
              <w:right w:val="single" w:color="auto" w:sz="4" w:space="0"/>
            </w:tcBorders>
            <w:vAlign w:val="center"/>
          </w:tcPr>
          <w:p w14:paraId="151EE25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color w:val="auto"/>
                <w:highlight w:val="none"/>
              </w:rPr>
            </w:pPr>
          </w:p>
        </w:tc>
        <w:tc>
          <w:tcPr>
            <w:tcW w:w="898" w:type="dxa"/>
            <w:vMerge w:val="continue"/>
            <w:tcBorders>
              <w:left w:val="single" w:color="auto" w:sz="4" w:space="0"/>
              <w:right w:val="single" w:color="auto" w:sz="4" w:space="0"/>
            </w:tcBorders>
            <w:vAlign w:val="center"/>
          </w:tcPr>
          <w:p w14:paraId="2C4A26F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color w:val="auto"/>
                <w:highlight w:val="none"/>
              </w:rPr>
            </w:pPr>
          </w:p>
        </w:tc>
        <w:tc>
          <w:tcPr>
            <w:tcW w:w="5123" w:type="dxa"/>
            <w:tcBorders>
              <w:top w:val="single" w:color="auto" w:sz="4" w:space="0"/>
              <w:left w:val="single" w:color="auto" w:sz="4" w:space="0"/>
              <w:bottom w:val="single" w:color="auto" w:sz="4" w:space="0"/>
              <w:right w:val="single" w:color="auto" w:sz="4" w:space="0"/>
            </w:tcBorders>
            <w:vAlign w:val="center"/>
          </w:tcPr>
          <w:p w14:paraId="36CB27C7">
            <w:pPr>
              <w:pStyle w:val="3"/>
              <w:keepNext w:val="0"/>
              <w:keepLines w:val="0"/>
              <w:pageBreakBefore w:val="0"/>
              <w:kinsoku/>
              <w:wordWrap/>
              <w:overflowPunct/>
              <w:topLinePunct w:val="0"/>
              <w:bidi w:val="0"/>
              <w:spacing w:after="0" w:line="240" w:lineRule="auto"/>
              <w:ind w:left="0" w:leftChars="0" w:firstLine="0" w:firstLineChars="0"/>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根据投标人取得或被授权使用“机动车排气污染管理信息软件”等相关检测软件的版权，以便于优化对本项目的日常技术支撑，包括检测信息管理等情况的得3分。</w:t>
            </w:r>
          </w:p>
          <w:p w14:paraId="37968F2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left"/>
              <w:textAlignment w:val="auto"/>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2"/>
                <w:sz w:val="21"/>
                <w:szCs w:val="21"/>
                <w:highlight w:val="none"/>
                <w:lang w:val="en-US" w:eastAsia="zh-CN"/>
              </w:rPr>
              <w:t>相关证明材料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546" w:type="dxa"/>
            <w:tcBorders>
              <w:top w:val="single" w:color="auto" w:sz="4" w:space="0"/>
              <w:left w:val="single" w:color="auto" w:sz="4" w:space="0"/>
              <w:bottom w:val="single" w:color="auto" w:sz="4" w:space="0"/>
              <w:right w:val="single" w:color="auto" w:sz="4" w:space="0"/>
            </w:tcBorders>
            <w:vAlign w:val="center"/>
          </w:tcPr>
          <w:p w14:paraId="65571E6B">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46" w:type="dxa"/>
            <w:tcBorders>
              <w:top w:val="single" w:color="auto" w:sz="4" w:space="0"/>
              <w:left w:val="single" w:color="auto" w:sz="4" w:space="0"/>
              <w:bottom w:val="single" w:color="auto" w:sz="4" w:space="0"/>
              <w:right w:val="single" w:color="auto" w:sz="4" w:space="0"/>
            </w:tcBorders>
            <w:vAlign w:val="center"/>
          </w:tcPr>
          <w:p w14:paraId="2E7D2F18">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219A4917">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0834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60" w:type="dxa"/>
            <w:vMerge w:val="continue"/>
            <w:tcBorders>
              <w:left w:val="single" w:color="auto" w:sz="4" w:space="0"/>
              <w:right w:val="single" w:color="auto" w:sz="4" w:space="0"/>
            </w:tcBorders>
            <w:vAlign w:val="center"/>
          </w:tcPr>
          <w:p w14:paraId="717324A8">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p>
        </w:tc>
        <w:tc>
          <w:tcPr>
            <w:tcW w:w="898" w:type="dxa"/>
            <w:tcBorders>
              <w:left w:val="single" w:color="auto" w:sz="4" w:space="0"/>
              <w:right w:val="single" w:color="auto" w:sz="4" w:space="0"/>
            </w:tcBorders>
            <w:vAlign w:val="center"/>
          </w:tcPr>
          <w:p w14:paraId="6C7182FE">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对项目的理解和认识</w:t>
            </w:r>
          </w:p>
        </w:tc>
        <w:tc>
          <w:tcPr>
            <w:tcW w:w="5123" w:type="dxa"/>
            <w:tcBorders>
              <w:top w:val="single" w:color="auto" w:sz="4" w:space="0"/>
              <w:left w:val="single" w:color="auto" w:sz="4" w:space="0"/>
              <w:bottom w:val="single" w:color="auto" w:sz="4" w:space="0"/>
              <w:right w:val="single" w:color="auto" w:sz="4" w:space="0"/>
            </w:tcBorders>
            <w:vAlign w:val="center"/>
          </w:tcPr>
          <w:p w14:paraId="7BDED82D">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根据投标人对本项目工作内容、整体环境的现状、污染物特点分布等的认识和理解的准确性和全面性进行打分。</w:t>
            </w:r>
          </w:p>
          <w:p w14:paraId="3D9F523C">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项目理解方案全面，背景、现状分析有针对性的得4.1-5.0分；</w:t>
            </w:r>
          </w:p>
          <w:p w14:paraId="543268BE">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项目理解内容一般，背景、现状分析针对性一般的得2.1-4.0分；</w:t>
            </w:r>
          </w:p>
          <w:p w14:paraId="46A067CF">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项目理解内容不足的，背景、现状分析针对性较差的的得0.1-2.0分。</w:t>
            </w:r>
          </w:p>
          <w:p w14:paraId="1B1617A4">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546" w:type="dxa"/>
            <w:tcBorders>
              <w:top w:val="single" w:color="auto" w:sz="4" w:space="0"/>
              <w:left w:val="single" w:color="auto" w:sz="4" w:space="0"/>
              <w:bottom w:val="single" w:color="auto" w:sz="4" w:space="0"/>
              <w:right w:val="single" w:color="auto" w:sz="4" w:space="0"/>
            </w:tcBorders>
            <w:vAlign w:val="center"/>
          </w:tcPr>
          <w:p w14:paraId="2B1ACC65">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46" w:type="dxa"/>
            <w:tcBorders>
              <w:top w:val="single" w:color="auto" w:sz="4" w:space="0"/>
              <w:left w:val="single" w:color="auto" w:sz="4" w:space="0"/>
              <w:bottom w:val="single" w:color="auto" w:sz="4" w:space="0"/>
              <w:right w:val="single" w:color="auto" w:sz="4" w:space="0"/>
            </w:tcBorders>
            <w:vAlign w:val="center"/>
          </w:tcPr>
          <w:p w14:paraId="5DC4A4BB">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6826B844">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70B0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60" w:type="dxa"/>
            <w:vMerge w:val="continue"/>
            <w:tcBorders>
              <w:left w:val="single" w:color="auto" w:sz="4" w:space="0"/>
              <w:right w:val="single" w:color="auto" w:sz="4" w:space="0"/>
            </w:tcBorders>
            <w:vAlign w:val="center"/>
          </w:tcPr>
          <w:p w14:paraId="6E89505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898" w:type="dxa"/>
            <w:vMerge w:val="restart"/>
            <w:tcBorders>
              <w:top w:val="single" w:color="auto" w:sz="4" w:space="0"/>
              <w:left w:val="single" w:color="auto" w:sz="4" w:space="0"/>
              <w:right w:val="single" w:color="auto" w:sz="4" w:space="0"/>
            </w:tcBorders>
            <w:vAlign w:val="center"/>
          </w:tcPr>
          <w:p w14:paraId="28DD723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工作方案</w:t>
            </w:r>
          </w:p>
        </w:tc>
        <w:tc>
          <w:tcPr>
            <w:tcW w:w="5123" w:type="dxa"/>
            <w:tcBorders>
              <w:top w:val="single" w:color="auto" w:sz="4" w:space="0"/>
              <w:left w:val="single" w:color="auto" w:sz="4" w:space="0"/>
              <w:bottom w:val="single" w:color="auto" w:sz="4" w:space="0"/>
              <w:right w:val="single" w:color="auto" w:sz="4" w:space="0"/>
            </w:tcBorders>
            <w:vAlign w:val="center"/>
          </w:tcPr>
          <w:p w14:paraId="4CF110F2">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“摸底调查编码登记”</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747456B6">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实施方案科学可行，内容完整且符合项目需求的得6.1-</w:t>
            </w:r>
            <w:r>
              <w:rPr>
                <w:rFonts w:hint="eastAsia"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.0分；</w:t>
            </w:r>
          </w:p>
          <w:p w14:paraId="732EF0A7">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实施方案较明确，内容较为完整且较符合项目需求的得4.1-6.0分；</w:t>
            </w:r>
          </w:p>
          <w:p w14:paraId="27977F33">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方案内容有缺陷但基本符合项目需求的得1.1-3.0分；</w:t>
            </w:r>
          </w:p>
          <w:p w14:paraId="37437098">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实施方案不明确的</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方案内容不清晰的得0.1-1.0分；</w:t>
            </w:r>
          </w:p>
          <w:p w14:paraId="75177193">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546" w:type="dxa"/>
            <w:tcBorders>
              <w:top w:val="single" w:color="auto" w:sz="4" w:space="0"/>
              <w:left w:val="single" w:color="auto" w:sz="4" w:space="0"/>
              <w:bottom w:val="single" w:color="auto" w:sz="4" w:space="0"/>
              <w:right w:val="single" w:color="auto" w:sz="4" w:space="0"/>
            </w:tcBorders>
            <w:vAlign w:val="center"/>
          </w:tcPr>
          <w:p w14:paraId="7469187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46" w:type="dxa"/>
            <w:tcBorders>
              <w:top w:val="single" w:color="auto" w:sz="4" w:space="0"/>
              <w:left w:val="single" w:color="auto" w:sz="4" w:space="0"/>
              <w:bottom w:val="single" w:color="auto" w:sz="4" w:space="0"/>
              <w:right w:val="single" w:color="auto" w:sz="4" w:space="0"/>
            </w:tcBorders>
            <w:vAlign w:val="center"/>
          </w:tcPr>
          <w:p w14:paraId="714B2DF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1234D3E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4A56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60" w:type="dxa"/>
            <w:vMerge w:val="continue"/>
            <w:tcBorders>
              <w:left w:val="single" w:color="auto" w:sz="4" w:space="0"/>
              <w:right w:val="single" w:color="auto" w:sz="4" w:space="0"/>
            </w:tcBorders>
            <w:vAlign w:val="center"/>
          </w:tcPr>
          <w:p w14:paraId="07163B8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898" w:type="dxa"/>
            <w:vMerge w:val="continue"/>
            <w:tcBorders>
              <w:left w:val="single" w:color="auto" w:sz="4" w:space="0"/>
              <w:right w:val="single" w:color="auto" w:sz="4" w:space="0"/>
            </w:tcBorders>
            <w:vAlign w:val="center"/>
          </w:tcPr>
          <w:p w14:paraId="35CAC00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5123" w:type="dxa"/>
            <w:tcBorders>
              <w:top w:val="single" w:color="auto" w:sz="4" w:space="0"/>
              <w:left w:val="single" w:color="auto" w:sz="4" w:space="0"/>
              <w:bottom w:val="single" w:color="auto" w:sz="4" w:space="0"/>
              <w:right w:val="single" w:color="auto" w:sz="4" w:space="0"/>
            </w:tcBorders>
            <w:vAlign w:val="center"/>
          </w:tcPr>
          <w:p w14:paraId="4239AB16">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“尾气排放检测”</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18F6D0AB">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实施方案科学可行，内容完整且符合项目需求的得6.1-</w:t>
            </w:r>
            <w:r>
              <w:rPr>
                <w:rFonts w:hint="eastAsia"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.0分；</w:t>
            </w:r>
          </w:p>
          <w:p w14:paraId="44A11F9F">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实施方案较明确，内容较为完整且较符合项目需求的得4.1-6.0分；</w:t>
            </w:r>
          </w:p>
          <w:p w14:paraId="0EC21C58">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实施方案一般的，方案内容有缺陷但基本符合项目需求的得1.1-3.0分；</w:t>
            </w:r>
          </w:p>
          <w:p w14:paraId="34E3EDD0">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实施方案不明确的，方案内容不清晰的得0.1-1.0分；</w:t>
            </w:r>
          </w:p>
          <w:p w14:paraId="7A4DD58C">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546" w:type="dxa"/>
            <w:tcBorders>
              <w:top w:val="single" w:color="auto" w:sz="4" w:space="0"/>
              <w:left w:val="single" w:color="auto" w:sz="4" w:space="0"/>
              <w:bottom w:val="single" w:color="auto" w:sz="4" w:space="0"/>
              <w:right w:val="single" w:color="auto" w:sz="4" w:space="0"/>
            </w:tcBorders>
            <w:vAlign w:val="center"/>
          </w:tcPr>
          <w:p w14:paraId="7217C9C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46" w:type="dxa"/>
            <w:tcBorders>
              <w:top w:val="single" w:color="auto" w:sz="4" w:space="0"/>
              <w:left w:val="single" w:color="auto" w:sz="4" w:space="0"/>
              <w:bottom w:val="single" w:color="auto" w:sz="4" w:space="0"/>
              <w:right w:val="single" w:color="auto" w:sz="4" w:space="0"/>
            </w:tcBorders>
            <w:vAlign w:val="center"/>
          </w:tcPr>
          <w:p w14:paraId="00D735C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5E73B8E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7B37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60" w:type="dxa"/>
            <w:vMerge w:val="continue"/>
            <w:tcBorders>
              <w:left w:val="single" w:color="auto" w:sz="4" w:space="0"/>
              <w:right w:val="single" w:color="auto" w:sz="4" w:space="0"/>
            </w:tcBorders>
            <w:vAlign w:val="center"/>
          </w:tcPr>
          <w:p w14:paraId="31DB313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898" w:type="dxa"/>
            <w:vMerge w:val="continue"/>
            <w:tcBorders>
              <w:left w:val="single" w:color="auto" w:sz="4" w:space="0"/>
              <w:right w:val="single" w:color="auto" w:sz="4" w:space="0"/>
            </w:tcBorders>
            <w:vAlign w:val="center"/>
          </w:tcPr>
          <w:p w14:paraId="2C55DA8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5123" w:type="dxa"/>
            <w:tcBorders>
              <w:top w:val="single" w:color="auto" w:sz="4" w:space="0"/>
              <w:left w:val="single" w:color="auto" w:sz="4" w:space="0"/>
              <w:bottom w:val="single" w:color="auto" w:sz="4" w:space="0"/>
              <w:right w:val="single" w:color="auto" w:sz="4" w:space="0"/>
            </w:tcBorders>
            <w:vAlign w:val="center"/>
          </w:tcPr>
          <w:p w14:paraId="50BA2D73">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“柴油货车路检路查和入户检查”</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54734C55">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实施方案科学可行，内容完整且符合项目需求的得6.1-</w:t>
            </w:r>
            <w:r>
              <w:rPr>
                <w:rFonts w:hint="eastAsia"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.0分；</w:t>
            </w:r>
          </w:p>
          <w:p w14:paraId="232AF635">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实施方案较明确，内容较为完整且较符合项目需求的得4.1-6.0分；</w:t>
            </w:r>
          </w:p>
          <w:p w14:paraId="691DFD36">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实施方案一般的，方案内容有缺陷但基本符合项目需求的得1.1-3.0分；</w:t>
            </w:r>
          </w:p>
          <w:p w14:paraId="6231C382">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实施方案不明确的，方案内容不清晰的得0.1-1.0分；</w:t>
            </w:r>
          </w:p>
          <w:p w14:paraId="40508FD8">
            <w:pPr>
              <w:pStyle w:val="25"/>
              <w:keepNext w:val="0"/>
              <w:keepLines w:val="0"/>
              <w:pageBreakBefore w:val="0"/>
              <w:widowControl w:val="0"/>
              <w:numPr>
                <w:ilvl w:val="0"/>
                <w:numId w:val="0"/>
              </w:numPr>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546" w:type="dxa"/>
            <w:tcBorders>
              <w:top w:val="single" w:color="auto" w:sz="4" w:space="0"/>
              <w:left w:val="single" w:color="auto" w:sz="4" w:space="0"/>
              <w:bottom w:val="single" w:color="auto" w:sz="4" w:space="0"/>
              <w:right w:val="single" w:color="auto" w:sz="4" w:space="0"/>
            </w:tcBorders>
            <w:vAlign w:val="center"/>
          </w:tcPr>
          <w:p w14:paraId="6611545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46" w:type="dxa"/>
            <w:tcBorders>
              <w:top w:val="single" w:color="auto" w:sz="4" w:space="0"/>
              <w:left w:val="single" w:color="auto" w:sz="4" w:space="0"/>
              <w:bottom w:val="single" w:color="auto" w:sz="4" w:space="0"/>
              <w:right w:val="single" w:color="auto" w:sz="4" w:space="0"/>
            </w:tcBorders>
            <w:vAlign w:val="center"/>
          </w:tcPr>
          <w:p w14:paraId="0E94B39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235EDAA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3962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60" w:type="dxa"/>
            <w:vMerge w:val="continue"/>
            <w:tcBorders>
              <w:left w:val="single" w:color="auto" w:sz="4" w:space="0"/>
              <w:right w:val="single" w:color="auto" w:sz="4" w:space="0"/>
            </w:tcBorders>
            <w:vAlign w:val="center"/>
          </w:tcPr>
          <w:p w14:paraId="1EB3A15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898" w:type="dxa"/>
            <w:tcBorders>
              <w:left w:val="single" w:color="auto" w:sz="4" w:space="0"/>
              <w:right w:val="single" w:color="auto" w:sz="4" w:space="0"/>
            </w:tcBorders>
            <w:vAlign w:val="center"/>
          </w:tcPr>
          <w:p w14:paraId="246D4B4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w:t>
            </w:r>
          </w:p>
        </w:tc>
        <w:tc>
          <w:tcPr>
            <w:tcW w:w="5123" w:type="dxa"/>
            <w:tcBorders>
              <w:top w:val="single" w:color="auto" w:sz="4" w:space="0"/>
              <w:left w:val="single" w:color="auto" w:sz="4" w:space="0"/>
              <w:bottom w:val="single" w:color="auto" w:sz="4" w:space="0"/>
              <w:right w:val="single" w:color="auto" w:sz="4" w:space="0"/>
            </w:tcBorders>
            <w:vAlign w:val="center"/>
          </w:tcPr>
          <w:p w14:paraId="6E0DB24F">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sz w:val="21"/>
                <w:szCs w:val="21"/>
                <w:highlight w:val="none"/>
                <w:lang w:eastAsia="zh-CN"/>
              </w:rPr>
              <w:t>针对后续实际项目实施中可能遇到的紧急事件、异常处理等应急状况处置和对应的解决措施情况进行综合评分：</w:t>
            </w:r>
          </w:p>
          <w:p w14:paraId="76A07361">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方案措施完整详细，具有科学性、合理性、可操作，符合项目需求的得4.1-</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.0分；</w:t>
            </w:r>
          </w:p>
          <w:p w14:paraId="5064A31F">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方案措施一般、科学性、合理性、可操作性一般的得2.1-4.0分；</w:t>
            </w:r>
          </w:p>
          <w:p w14:paraId="309F11C3">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方案不明确，具体措施有不足的得0.1-2.0分；</w:t>
            </w:r>
          </w:p>
          <w:p w14:paraId="0B9982FA">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未提及此项不得分。</w:t>
            </w:r>
          </w:p>
        </w:tc>
        <w:tc>
          <w:tcPr>
            <w:tcW w:w="546" w:type="dxa"/>
            <w:tcBorders>
              <w:top w:val="single" w:color="auto" w:sz="4" w:space="0"/>
              <w:left w:val="single" w:color="auto" w:sz="4" w:space="0"/>
              <w:bottom w:val="single" w:color="auto" w:sz="4" w:space="0"/>
              <w:right w:val="single" w:color="auto" w:sz="4" w:space="0"/>
            </w:tcBorders>
            <w:vAlign w:val="center"/>
          </w:tcPr>
          <w:p w14:paraId="6B4E94D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5</w:t>
            </w:r>
          </w:p>
        </w:tc>
        <w:tc>
          <w:tcPr>
            <w:tcW w:w="546" w:type="dxa"/>
            <w:tcBorders>
              <w:top w:val="single" w:color="auto" w:sz="4" w:space="0"/>
              <w:left w:val="single" w:color="auto" w:sz="4" w:space="0"/>
              <w:bottom w:val="single" w:color="auto" w:sz="4" w:space="0"/>
              <w:right w:val="single" w:color="auto" w:sz="4" w:space="0"/>
            </w:tcBorders>
            <w:vAlign w:val="center"/>
          </w:tcPr>
          <w:p w14:paraId="4CC5387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kern w:val="2"/>
                <w:sz w:val="21"/>
                <w:szCs w:val="21"/>
                <w:highlight w:val="none"/>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14:paraId="2907C2D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kern w:val="2"/>
                <w:sz w:val="21"/>
                <w:szCs w:val="21"/>
                <w:highlight w:val="none"/>
                <w:lang w:val="en-US" w:eastAsia="zh-CN" w:bidi="ar-SA"/>
              </w:rPr>
            </w:pPr>
          </w:p>
        </w:tc>
      </w:tr>
      <w:tr w14:paraId="7197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60" w:type="dxa"/>
            <w:vMerge w:val="continue"/>
            <w:tcBorders>
              <w:left w:val="single" w:color="auto" w:sz="4" w:space="0"/>
              <w:right w:val="single" w:color="auto" w:sz="4" w:space="0"/>
            </w:tcBorders>
            <w:vAlign w:val="center"/>
          </w:tcPr>
          <w:p w14:paraId="2082D77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p>
        </w:tc>
        <w:tc>
          <w:tcPr>
            <w:tcW w:w="898" w:type="dxa"/>
            <w:tcBorders>
              <w:left w:val="single" w:color="auto" w:sz="4" w:space="0"/>
              <w:right w:val="single" w:color="auto" w:sz="4" w:space="0"/>
            </w:tcBorders>
            <w:vAlign w:val="center"/>
          </w:tcPr>
          <w:p w14:paraId="310A5EF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b w:val="0"/>
                <w:bCs w:val="0"/>
                <w:color w:val="auto"/>
                <w:sz w:val="21"/>
                <w:szCs w:val="21"/>
                <w:highlight w:val="none"/>
                <w:lang w:val="en-US" w:eastAsia="zh-CN"/>
              </w:rPr>
              <w:t>质量保证措施</w:t>
            </w:r>
          </w:p>
        </w:tc>
        <w:tc>
          <w:tcPr>
            <w:tcW w:w="5123" w:type="dxa"/>
            <w:tcBorders>
              <w:top w:val="single" w:color="auto" w:sz="4" w:space="0"/>
              <w:left w:val="single" w:color="auto" w:sz="4" w:space="0"/>
              <w:bottom w:val="single" w:color="auto" w:sz="4" w:space="0"/>
              <w:right w:val="single" w:color="auto" w:sz="4" w:space="0"/>
            </w:tcBorders>
            <w:vAlign w:val="center"/>
          </w:tcPr>
          <w:p w14:paraId="26196376">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根据投标人提供的针对质控工作中的管理规范、内控制度、质量管控措施进行综合评分。</w:t>
            </w:r>
          </w:p>
          <w:p w14:paraId="44ECF796">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应急措施科学可行、可实现性强、具有改进意义的得4.1-</w:t>
            </w:r>
            <w:r>
              <w:rPr>
                <w:rFonts w:hint="eastAsia"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4472E236">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应急措施内容一般，科学性、可实现性一般的得2.1-4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450BC1C5">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应急措施不明确，具体操作内容有不足的得0.1-2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2D362ECA">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未提及此项不得分。</w:t>
            </w:r>
          </w:p>
        </w:tc>
        <w:tc>
          <w:tcPr>
            <w:tcW w:w="546" w:type="dxa"/>
            <w:tcBorders>
              <w:top w:val="single" w:color="auto" w:sz="4" w:space="0"/>
              <w:left w:val="single" w:color="auto" w:sz="4" w:space="0"/>
              <w:bottom w:val="single" w:color="auto" w:sz="4" w:space="0"/>
              <w:right w:val="single" w:color="auto" w:sz="4" w:space="0"/>
            </w:tcBorders>
            <w:vAlign w:val="center"/>
          </w:tcPr>
          <w:p w14:paraId="2DD26EA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5</w:t>
            </w:r>
          </w:p>
        </w:tc>
        <w:tc>
          <w:tcPr>
            <w:tcW w:w="546" w:type="dxa"/>
            <w:tcBorders>
              <w:top w:val="single" w:color="auto" w:sz="4" w:space="0"/>
              <w:left w:val="single" w:color="auto" w:sz="4" w:space="0"/>
              <w:bottom w:val="single" w:color="auto" w:sz="4" w:space="0"/>
              <w:right w:val="single" w:color="auto" w:sz="4" w:space="0"/>
            </w:tcBorders>
            <w:vAlign w:val="center"/>
          </w:tcPr>
          <w:p w14:paraId="76D4CEC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b w:val="0"/>
                <w:bCs w:val="0"/>
                <w:color w:val="auto"/>
                <w:kern w:val="2"/>
                <w:sz w:val="21"/>
                <w:szCs w:val="21"/>
                <w:highlight w:val="none"/>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14:paraId="5F61F12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b w:val="0"/>
                <w:bCs w:val="0"/>
                <w:color w:val="auto"/>
                <w:kern w:val="2"/>
                <w:sz w:val="21"/>
                <w:szCs w:val="21"/>
                <w:highlight w:val="none"/>
                <w:lang w:val="en-US" w:eastAsia="zh-CN" w:bidi="ar-SA"/>
              </w:rPr>
            </w:pPr>
          </w:p>
        </w:tc>
      </w:tr>
      <w:tr w14:paraId="0015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60" w:type="dxa"/>
            <w:vMerge w:val="continue"/>
            <w:tcBorders>
              <w:left w:val="single" w:color="auto" w:sz="4" w:space="0"/>
              <w:right w:val="single" w:color="auto" w:sz="4" w:space="0"/>
            </w:tcBorders>
            <w:vAlign w:val="center"/>
          </w:tcPr>
          <w:p w14:paraId="360C5758">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kern w:val="0"/>
                <w:sz w:val="21"/>
                <w:szCs w:val="21"/>
                <w:highlight w:val="none"/>
                <w:lang w:val="en-US" w:eastAsia="zh-CN"/>
              </w:rPr>
            </w:pPr>
          </w:p>
        </w:tc>
        <w:tc>
          <w:tcPr>
            <w:tcW w:w="898" w:type="dxa"/>
            <w:tcBorders>
              <w:left w:val="single" w:color="auto" w:sz="4" w:space="0"/>
              <w:right w:val="single" w:color="auto" w:sz="4" w:space="0"/>
            </w:tcBorders>
            <w:vAlign w:val="center"/>
          </w:tcPr>
          <w:p w14:paraId="19B83A1E">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0"/>
                <w:sz w:val="21"/>
                <w:szCs w:val="21"/>
                <w:highlight w:val="none"/>
                <w:lang w:val="en-US" w:eastAsia="zh-CN"/>
              </w:rPr>
              <w:t>售后服务</w:t>
            </w:r>
          </w:p>
        </w:tc>
        <w:tc>
          <w:tcPr>
            <w:tcW w:w="5123" w:type="dxa"/>
            <w:tcBorders>
              <w:top w:val="single" w:color="auto" w:sz="4" w:space="0"/>
              <w:left w:val="single" w:color="auto" w:sz="4" w:space="0"/>
              <w:bottom w:val="single" w:color="auto" w:sz="4" w:space="0"/>
              <w:right w:val="single" w:color="auto" w:sz="4" w:space="0"/>
            </w:tcBorders>
            <w:vAlign w:val="top"/>
          </w:tcPr>
          <w:p w14:paraId="32910AC2">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根据供应商承诺的后续服务、其他优惠条件等情况进行综合评分。</w:t>
            </w:r>
          </w:p>
          <w:p w14:paraId="5313BD9B">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服务方案完整详细，保障措施全面可行，贴合项目实际的，其他优惠条件具有针对性的得4.1-5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1F402C7A">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服务方案基本完整，保障措施基本可行，其他优惠条件缺乏针对性的得2.1-4.0分；</w:t>
            </w:r>
          </w:p>
          <w:p w14:paraId="753A9BFE">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服务方案不明确，具体保障措施不清晰，其他优惠条件不明确的得0.1-2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1C774735">
            <w:pPr>
              <w:pStyle w:val="25"/>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val="en-US" w:eastAsia="zh-CN" w:bidi="ar-SA"/>
              </w:rPr>
              <w:t>未提及此项不得分。</w:t>
            </w:r>
          </w:p>
        </w:tc>
        <w:tc>
          <w:tcPr>
            <w:tcW w:w="546" w:type="dxa"/>
            <w:tcBorders>
              <w:top w:val="single" w:color="auto" w:sz="4" w:space="0"/>
              <w:left w:val="single" w:color="auto" w:sz="4" w:space="0"/>
              <w:bottom w:val="single" w:color="auto" w:sz="4" w:space="0"/>
              <w:right w:val="single" w:color="auto" w:sz="4" w:space="0"/>
            </w:tcBorders>
            <w:vAlign w:val="center"/>
          </w:tcPr>
          <w:p w14:paraId="4E1703B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5</w:t>
            </w:r>
          </w:p>
        </w:tc>
        <w:tc>
          <w:tcPr>
            <w:tcW w:w="546" w:type="dxa"/>
            <w:tcBorders>
              <w:top w:val="single" w:color="auto" w:sz="4" w:space="0"/>
              <w:left w:val="single" w:color="auto" w:sz="4" w:space="0"/>
              <w:bottom w:val="single" w:color="auto" w:sz="4" w:space="0"/>
              <w:right w:val="single" w:color="auto" w:sz="4" w:space="0"/>
            </w:tcBorders>
            <w:vAlign w:val="center"/>
          </w:tcPr>
          <w:p w14:paraId="2F279C7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14:paraId="58B034F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17B6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60" w:type="dxa"/>
            <w:vMerge w:val="continue"/>
            <w:tcBorders>
              <w:left w:val="single" w:color="auto" w:sz="4" w:space="0"/>
              <w:right w:val="single" w:color="auto" w:sz="4" w:space="0"/>
            </w:tcBorders>
            <w:vAlign w:val="center"/>
          </w:tcPr>
          <w:p w14:paraId="55B9D44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kern w:val="2"/>
                <w:sz w:val="21"/>
                <w:szCs w:val="21"/>
                <w:highlight w:val="none"/>
                <w:lang w:val="en-US" w:eastAsia="zh-CN" w:bidi="ar-SA"/>
              </w:rPr>
            </w:pPr>
          </w:p>
        </w:tc>
        <w:tc>
          <w:tcPr>
            <w:tcW w:w="898" w:type="dxa"/>
            <w:tcBorders>
              <w:left w:val="single" w:color="auto" w:sz="4" w:space="0"/>
              <w:right w:val="single" w:color="auto" w:sz="4" w:space="0"/>
            </w:tcBorders>
            <w:vAlign w:val="center"/>
          </w:tcPr>
          <w:p w14:paraId="19A9871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服务响应时间</w:t>
            </w:r>
          </w:p>
        </w:tc>
        <w:tc>
          <w:tcPr>
            <w:tcW w:w="5123" w:type="dxa"/>
            <w:tcBorders>
              <w:top w:val="single" w:color="auto" w:sz="4" w:space="0"/>
              <w:left w:val="single" w:color="auto" w:sz="4" w:space="0"/>
              <w:bottom w:val="single" w:color="auto" w:sz="4" w:space="0"/>
              <w:right w:val="single" w:color="auto" w:sz="4" w:space="0"/>
            </w:tcBorders>
            <w:vAlign w:val="center"/>
          </w:tcPr>
          <w:p w14:paraId="625CB0E0">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根据投标人</w:t>
            </w:r>
            <w:r>
              <w:rPr>
                <w:rFonts w:hint="eastAsia" w:ascii="宋体" w:hAnsi="宋体" w:eastAsia="宋体" w:cs="宋体"/>
                <w:color w:val="auto"/>
                <w:spacing w:val="-4"/>
                <w:sz w:val="21"/>
                <w:szCs w:val="21"/>
                <w:highlight w:val="none"/>
                <w:lang w:val="en-US" w:eastAsia="zh-CN"/>
              </w:rPr>
              <w:t>承诺的服务</w:t>
            </w:r>
            <w:r>
              <w:rPr>
                <w:rFonts w:hint="eastAsia" w:ascii="宋体" w:hAnsi="宋体" w:eastAsia="宋体" w:cs="宋体"/>
                <w:color w:val="auto"/>
                <w:spacing w:val="-4"/>
                <w:sz w:val="21"/>
                <w:szCs w:val="21"/>
                <w:highlight w:val="none"/>
              </w:rPr>
              <w:t>响应时间等情况进行打分。</w:t>
            </w:r>
          </w:p>
          <w:p w14:paraId="5E3E5181">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p w14:paraId="359BD776">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分；</w:t>
            </w:r>
          </w:p>
          <w:p w14:paraId="555BEFBA">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w:t>
            </w:r>
          </w:p>
          <w:p w14:paraId="684F008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highlight w:val="none"/>
              </w:rPr>
            </w:pP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超过</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w:t>
            </w:r>
            <w:r>
              <w:rPr>
                <w:rFonts w:hint="eastAsia" w:ascii="宋体" w:hAnsi="宋体" w:eastAsia="宋体" w:cs="宋体"/>
                <w:color w:val="auto"/>
                <w:spacing w:val="-4"/>
                <w:sz w:val="21"/>
                <w:szCs w:val="21"/>
                <w:highlight w:val="none"/>
                <w:lang w:val="en-US" w:eastAsia="zh-CN"/>
              </w:rPr>
              <w:t>的</w:t>
            </w:r>
            <w:r>
              <w:rPr>
                <w:rFonts w:hint="eastAsia" w:ascii="宋体" w:hAnsi="宋体" w:eastAsia="宋体" w:cs="宋体"/>
                <w:color w:val="auto"/>
                <w:spacing w:val="-4"/>
                <w:sz w:val="21"/>
                <w:szCs w:val="21"/>
                <w:highlight w:val="none"/>
              </w:rPr>
              <w:t>不得分。</w:t>
            </w:r>
          </w:p>
        </w:tc>
        <w:tc>
          <w:tcPr>
            <w:tcW w:w="546" w:type="dxa"/>
            <w:tcBorders>
              <w:top w:val="single" w:color="auto" w:sz="4" w:space="0"/>
              <w:left w:val="single" w:color="auto" w:sz="4" w:space="0"/>
              <w:bottom w:val="single" w:color="auto" w:sz="4" w:space="0"/>
              <w:right w:val="single" w:color="auto" w:sz="4" w:space="0"/>
            </w:tcBorders>
            <w:vAlign w:val="center"/>
          </w:tcPr>
          <w:p w14:paraId="780D3CD6">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46" w:type="dxa"/>
            <w:tcBorders>
              <w:top w:val="single" w:color="auto" w:sz="4" w:space="0"/>
              <w:left w:val="single" w:color="auto" w:sz="4" w:space="0"/>
              <w:bottom w:val="single" w:color="auto" w:sz="4" w:space="0"/>
              <w:right w:val="single" w:color="auto" w:sz="4" w:space="0"/>
            </w:tcBorders>
            <w:vAlign w:val="center"/>
          </w:tcPr>
          <w:p w14:paraId="15181772">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546" w:type="dxa"/>
            <w:tcBorders>
              <w:top w:val="single" w:color="auto" w:sz="4" w:space="0"/>
              <w:left w:val="single" w:color="auto" w:sz="4" w:space="0"/>
              <w:bottom w:val="single" w:color="auto" w:sz="4" w:space="0"/>
              <w:right w:val="single" w:color="auto" w:sz="4" w:space="0"/>
            </w:tcBorders>
            <w:vAlign w:val="center"/>
          </w:tcPr>
          <w:p w14:paraId="5709D2B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r>
    </w:tbl>
    <w:p w14:paraId="5FF276DF">
      <w:pPr>
        <w:pStyle w:val="36"/>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6"/>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8</w:t>
      </w:r>
    </w:p>
    <w:p w14:paraId="789700AA">
      <w:pPr>
        <w:pStyle w:val="36"/>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19"/>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6"/>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6"/>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6"/>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6"/>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6"/>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6"/>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6"/>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6"/>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6"/>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6"/>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6"/>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6"/>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6"/>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6"/>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6"/>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6"/>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6"/>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6"/>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6"/>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6"/>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6"/>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6"/>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6"/>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6"/>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6"/>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6"/>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6"/>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6"/>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6"/>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6"/>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6"/>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6"/>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6"/>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6"/>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6"/>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6"/>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6"/>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6"/>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6"/>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6"/>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6"/>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6"/>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6"/>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6"/>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7C45757">
      <w:pPr>
        <w:pStyle w:val="36"/>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6"/>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9</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19"/>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0"/>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r>
        <w:rPr>
          <w:rFonts w:hint="eastAsia" w:ascii="宋体" w:hAnsi="宋体" w:cs="宋体"/>
          <w:color w:val="auto"/>
          <w:sz w:val="21"/>
          <w:szCs w:val="21"/>
          <w:highlight w:val="none"/>
          <w:lang w:eastAsia="zh-CN"/>
        </w:rPr>
        <w:t>。</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7E7CA64E">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50D854E">
      <w:pPr>
        <w:spacing w:line="360" w:lineRule="auto"/>
        <w:outlineLvl w:val="9"/>
        <w:rPr>
          <w:rFonts w:hint="default"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11</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19"/>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02"/>
        <w:gridCol w:w="1750"/>
        <w:gridCol w:w="1571"/>
        <w:gridCol w:w="1531"/>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24" w:type="dxa"/>
            <w:vAlign w:val="center"/>
          </w:tcPr>
          <w:p w14:paraId="4FCEAFD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02" w:type="dxa"/>
            <w:vAlign w:val="center"/>
          </w:tcPr>
          <w:p w14:paraId="2D45B7A1">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750" w:type="dxa"/>
            <w:vAlign w:val="center"/>
          </w:tcPr>
          <w:p w14:paraId="28EF4126">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571" w:type="dxa"/>
            <w:vAlign w:val="center"/>
          </w:tcPr>
          <w:p w14:paraId="10D9C91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531" w:type="dxa"/>
            <w:vAlign w:val="center"/>
          </w:tcPr>
          <w:p w14:paraId="661CD9A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824" w:type="dxa"/>
            <w:vAlign w:val="center"/>
          </w:tcPr>
          <w:p w14:paraId="28A0B8E5">
            <w:pPr>
              <w:spacing w:line="360" w:lineRule="auto"/>
              <w:rPr>
                <w:rFonts w:hint="eastAsia" w:ascii="宋体" w:hAnsi="宋体" w:eastAsia="宋体" w:cs="宋体"/>
                <w:color w:val="auto"/>
                <w:sz w:val="21"/>
                <w:szCs w:val="21"/>
                <w:highlight w:val="none"/>
              </w:rPr>
            </w:pPr>
          </w:p>
        </w:tc>
        <w:tc>
          <w:tcPr>
            <w:tcW w:w="2002" w:type="dxa"/>
            <w:vAlign w:val="center"/>
          </w:tcPr>
          <w:p w14:paraId="4095D56F">
            <w:pPr>
              <w:spacing w:line="360" w:lineRule="auto"/>
              <w:rPr>
                <w:rFonts w:hint="eastAsia" w:ascii="宋体" w:hAnsi="宋体" w:eastAsia="宋体" w:cs="宋体"/>
                <w:color w:val="auto"/>
                <w:sz w:val="21"/>
                <w:szCs w:val="21"/>
                <w:highlight w:val="none"/>
              </w:rPr>
            </w:pPr>
          </w:p>
        </w:tc>
        <w:tc>
          <w:tcPr>
            <w:tcW w:w="1750" w:type="dxa"/>
            <w:vAlign w:val="center"/>
          </w:tcPr>
          <w:p w14:paraId="6F722CFC">
            <w:pPr>
              <w:spacing w:line="360" w:lineRule="auto"/>
              <w:rPr>
                <w:rFonts w:hint="eastAsia" w:ascii="宋体" w:hAnsi="宋体" w:eastAsia="宋体" w:cs="宋体"/>
                <w:color w:val="auto"/>
                <w:sz w:val="21"/>
                <w:szCs w:val="21"/>
                <w:highlight w:val="none"/>
              </w:rPr>
            </w:pPr>
          </w:p>
        </w:tc>
        <w:tc>
          <w:tcPr>
            <w:tcW w:w="1571" w:type="dxa"/>
            <w:vAlign w:val="center"/>
          </w:tcPr>
          <w:p w14:paraId="6EF70924">
            <w:pPr>
              <w:spacing w:line="360" w:lineRule="auto"/>
              <w:rPr>
                <w:rFonts w:hint="eastAsia" w:ascii="宋体" w:hAnsi="宋体" w:eastAsia="宋体" w:cs="宋体"/>
                <w:color w:val="auto"/>
                <w:sz w:val="21"/>
                <w:szCs w:val="21"/>
                <w:highlight w:val="none"/>
              </w:rPr>
            </w:pPr>
          </w:p>
        </w:tc>
        <w:tc>
          <w:tcPr>
            <w:tcW w:w="1531"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24" w:type="dxa"/>
            <w:vAlign w:val="center"/>
          </w:tcPr>
          <w:p w14:paraId="23100292">
            <w:pPr>
              <w:spacing w:line="360" w:lineRule="auto"/>
              <w:rPr>
                <w:rFonts w:hint="eastAsia" w:ascii="宋体" w:hAnsi="宋体" w:eastAsia="宋体" w:cs="宋体"/>
                <w:color w:val="auto"/>
                <w:sz w:val="21"/>
                <w:szCs w:val="21"/>
                <w:highlight w:val="none"/>
              </w:rPr>
            </w:pPr>
          </w:p>
        </w:tc>
        <w:tc>
          <w:tcPr>
            <w:tcW w:w="2002" w:type="dxa"/>
            <w:vAlign w:val="center"/>
          </w:tcPr>
          <w:p w14:paraId="71FD5317">
            <w:pPr>
              <w:spacing w:line="360" w:lineRule="auto"/>
              <w:rPr>
                <w:rFonts w:hint="eastAsia" w:ascii="宋体" w:hAnsi="宋体" w:eastAsia="宋体" w:cs="宋体"/>
                <w:color w:val="auto"/>
                <w:sz w:val="21"/>
                <w:szCs w:val="21"/>
                <w:highlight w:val="none"/>
              </w:rPr>
            </w:pPr>
          </w:p>
        </w:tc>
        <w:tc>
          <w:tcPr>
            <w:tcW w:w="1750" w:type="dxa"/>
            <w:vAlign w:val="center"/>
          </w:tcPr>
          <w:p w14:paraId="5D2BDA7C">
            <w:pPr>
              <w:spacing w:line="360" w:lineRule="auto"/>
              <w:rPr>
                <w:rFonts w:hint="eastAsia" w:ascii="宋体" w:hAnsi="宋体" w:eastAsia="宋体" w:cs="宋体"/>
                <w:color w:val="auto"/>
                <w:sz w:val="21"/>
                <w:szCs w:val="21"/>
                <w:highlight w:val="none"/>
              </w:rPr>
            </w:pPr>
          </w:p>
        </w:tc>
        <w:tc>
          <w:tcPr>
            <w:tcW w:w="1571" w:type="dxa"/>
            <w:vAlign w:val="center"/>
          </w:tcPr>
          <w:p w14:paraId="667B24B4">
            <w:pPr>
              <w:spacing w:line="360" w:lineRule="auto"/>
              <w:rPr>
                <w:rFonts w:hint="eastAsia" w:ascii="宋体" w:hAnsi="宋体" w:eastAsia="宋体" w:cs="宋体"/>
                <w:color w:val="auto"/>
                <w:sz w:val="21"/>
                <w:szCs w:val="21"/>
                <w:highlight w:val="none"/>
              </w:rPr>
            </w:pPr>
          </w:p>
        </w:tc>
        <w:tc>
          <w:tcPr>
            <w:tcW w:w="1531"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824" w:type="dxa"/>
            <w:vAlign w:val="center"/>
          </w:tcPr>
          <w:p w14:paraId="0C5F6F47">
            <w:pPr>
              <w:spacing w:line="360" w:lineRule="auto"/>
              <w:rPr>
                <w:rFonts w:hint="eastAsia" w:ascii="宋体" w:hAnsi="宋体" w:eastAsia="宋体" w:cs="宋体"/>
                <w:color w:val="auto"/>
                <w:sz w:val="21"/>
                <w:szCs w:val="21"/>
                <w:highlight w:val="none"/>
              </w:rPr>
            </w:pPr>
          </w:p>
        </w:tc>
        <w:tc>
          <w:tcPr>
            <w:tcW w:w="2002" w:type="dxa"/>
            <w:vAlign w:val="center"/>
          </w:tcPr>
          <w:p w14:paraId="3A8BA12A">
            <w:pPr>
              <w:spacing w:line="360" w:lineRule="auto"/>
              <w:rPr>
                <w:rFonts w:hint="eastAsia" w:ascii="宋体" w:hAnsi="宋体" w:eastAsia="宋体" w:cs="宋体"/>
                <w:color w:val="auto"/>
                <w:sz w:val="21"/>
                <w:szCs w:val="21"/>
                <w:highlight w:val="none"/>
              </w:rPr>
            </w:pPr>
          </w:p>
        </w:tc>
        <w:tc>
          <w:tcPr>
            <w:tcW w:w="1750" w:type="dxa"/>
            <w:vAlign w:val="center"/>
          </w:tcPr>
          <w:p w14:paraId="0DEBE542">
            <w:pPr>
              <w:spacing w:line="360" w:lineRule="auto"/>
              <w:rPr>
                <w:rFonts w:hint="eastAsia" w:ascii="宋体" w:hAnsi="宋体" w:eastAsia="宋体" w:cs="宋体"/>
                <w:color w:val="auto"/>
                <w:sz w:val="21"/>
                <w:szCs w:val="21"/>
                <w:highlight w:val="none"/>
              </w:rPr>
            </w:pPr>
          </w:p>
        </w:tc>
        <w:tc>
          <w:tcPr>
            <w:tcW w:w="1571" w:type="dxa"/>
            <w:vAlign w:val="center"/>
          </w:tcPr>
          <w:p w14:paraId="07AB1970">
            <w:pPr>
              <w:spacing w:line="360" w:lineRule="auto"/>
              <w:rPr>
                <w:rFonts w:hint="eastAsia" w:ascii="宋体" w:hAnsi="宋体" w:eastAsia="宋体" w:cs="宋体"/>
                <w:color w:val="auto"/>
                <w:sz w:val="21"/>
                <w:szCs w:val="21"/>
                <w:highlight w:val="none"/>
              </w:rPr>
            </w:pPr>
          </w:p>
        </w:tc>
        <w:tc>
          <w:tcPr>
            <w:tcW w:w="1531"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824" w:type="dxa"/>
            <w:vAlign w:val="center"/>
          </w:tcPr>
          <w:p w14:paraId="48A28A54">
            <w:pPr>
              <w:spacing w:line="360" w:lineRule="auto"/>
              <w:rPr>
                <w:rFonts w:hint="eastAsia" w:ascii="宋体" w:hAnsi="宋体" w:eastAsia="宋体" w:cs="宋体"/>
                <w:color w:val="auto"/>
                <w:sz w:val="21"/>
                <w:szCs w:val="21"/>
                <w:highlight w:val="none"/>
              </w:rPr>
            </w:pPr>
          </w:p>
        </w:tc>
        <w:tc>
          <w:tcPr>
            <w:tcW w:w="2002" w:type="dxa"/>
            <w:vAlign w:val="center"/>
          </w:tcPr>
          <w:p w14:paraId="7C9F54A6">
            <w:pPr>
              <w:spacing w:line="360" w:lineRule="auto"/>
              <w:rPr>
                <w:rFonts w:hint="eastAsia" w:ascii="宋体" w:hAnsi="宋体" w:eastAsia="宋体" w:cs="宋体"/>
                <w:color w:val="auto"/>
                <w:sz w:val="21"/>
                <w:szCs w:val="21"/>
                <w:highlight w:val="none"/>
              </w:rPr>
            </w:pPr>
          </w:p>
        </w:tc>
        <w:tc>
          <w:tcPr>
            <w:tcW w:w="1750" w:type="dxa"/>
            <w:vAlign w:val="center"/>
          </w:tcPr>
          <w:p w14:paraId="606180A3">
            <w:pPr>
              <w:spacing w:line="360" w:lineRule="auto"/>
              <w:rPr>
                <w:rFonts w:hint="eastAsia" w:ascii="宋体" w:hAnsi="宋体" w:eastAsia="宋体" w:cs="宋体"/>
                <w:color w:val="auto"/>
                <w:sz w:val="21"/>
                <w:szCs w:val="21"/>
                <w:highlight w:val="none"/>
              </w:rPr>
            </w:pPr>
          </w:p>
        </w:tc>
        <w:tc>
          <w:tcPr>
            <w:tcW w:w="1571" w:type="dxa"/>
            <w:vAlign w:val="center"/>
          </w:tcPr>
          <w:p w14:paraId="5D185133">
            <w:pPr>
              <w:spacing w:line="360" w:lineRule="auto"/>
              <w:rPr>
                <w:rFonts w:hint="eastAsia" w:ascii="宋体" w:hAnsi="宋体" w:eastAsia="宋体" w:cs="宋体"/>
                <w:color w:val="auto"/>
                <w:sz w:val="21"/>
                <w:szCs w:val="21"/>
                <w:highlight w:val="none"/>
              </w:rPr>
            </w:pPr>
          </w:p>
        </w:tc>
        <w:tc>
          <w:tcPr>
            <w:tcW w:w="1531"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24" w:type="dxa"/>
            <w:vAlign w:val="center"/>
          </w:tcPr>
          <w:p w14:paraId="04EAFA87">
            <w:pPr>
              <w:spacing w:line="360" w:lineRule="auto"/>
              <w:rPr>
                <w:rFonts w:hint="eastAsia" w:ascii="宋体" w:hAnsi="宋体" w:eastAsia="宋体" w:cs="宋体"/>
                <w:color w:val="auto"/>
                <w:sz w:val="21"/>
                <w:szCs w:val="21"/>
                <w:highlight w:val="none"/>
              </w:rPr>
            </w:pPr>
          </w:p>
        </w:tc>
        <w:tc>
          <w:tcPr>
            <w:tcW w:w="2002" w:type="dxa"/>
            <w:vAlign w:val="center"/>
          </w:tcPr>
          <w:p w14:paraId="114DB2AB">
            <w:pPr>
              <w:spacing w:line="360" w:lineRule="auto"/>
              <w:rPr>
                <w:rFonts w:hint="eastAsia" w:ascii="宋体" w:hAnsi="宋体" w:eastAsia="宋体" w:cs="宋体"/>
                <w:color w:val="auto"/>
                <w:sz w:val="21"/>
                <w:szCs w:val="21"/>
                <w:highlight w:val="none"/>
              </w:rPr>
            </w:pPr>
          </w:p>
        </w:tc>
        <w:tc>
          <w:tcPr>
            <w:tcW w:w="1750" w:type="dxa"/>
            <w:vAlign w:val="center"/>
          </w:tcPr>
          <w:p w14:paraId="2C695153">
            <w:pPr>
              <w:spacing w:line="360" w:lineRule="auto"/>
              <w:rPr>
                <w:rFonts w:hint="eastAsia" w:ascii="宋体" w:hAnsi="宋体" w:eastAsia="宋体" w:cs="宋体"/>
                <w:color w:val="auto"/>
                <w:sz w:val="21"/>
                <w:szCs w:val="21"/>
                <w:highlight w:val="none"/>
              </w:rPr>
            </w:pPr>
          </w:p>
        </w:tc>
        <w:tc>
          <w:tcPr>
            <w:tcW w:w="1571" w:type="dxa"/>
            <w:vAlign w:val="center"/>
          </w:tcPr>
          <w:p w14:paraId="7EDF94E3">
            <w:pPr>
              <w:spacing w:line="360" w:lineRule="auto"/>
              <w:rPr>
                <w:rFonts w:hint="eastAsia" w:ascii="宋体" w:hAnsi="宋体" w:eastAsia="宋体" w:cs="宋体"/>
                <w:color w:val="auto"/>
                <w:sz w:val="21"/>
                <w:szCs w:val="21"/>
                <w:highlight w:val="none"/>
              </w:rPr>
            </w:pPr>
          </w:p>
        </w:tc>
        <w:tc>
          <w:tcPr>
            <w:tcW w:w="1531"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24" w:type="dxa"/>
            <w:vAlign w:val="center"/>
          </w:tcPr>
          <w:p w14:paraId="1A31C6AD">
            <w:pPr>
              <w:spacing w:line="360" w:lineRule="auto"/>
              <w:rPr>
                <w:rFonts w:hint="eastAsia" w:ascii="宋体" w:hAnsi="宋体" w:eastAsia="宋体" w:cs="宋体"/>
                <w:color w:val="auto"/>
                <w:sz w:val="21"/>
                <w:szCs w:val="21"/>
                <w:highlight w:val="none"/>
              </w:rPr>
            </w:pPr>
          </w:p>
        </w:tc>
        <w:tc>
          <w:tcPr>
            <w:tcW w:w="2002" w:type="dxa"/>
            <w:vAlign w:val="center"/>
          </w:tcPr>
          <w:p w14:paraId="0F05600C">
            <w:pPr>
              <w:spacing w:line="360" w:lineRule="auto"/>
              <w:rPr>
                <w:rFonts w:hint="eastAsia" w:ascii="宋体" w:hAnsi="宋体" w:eastAsia="宋体" w:cs="宋体"/>
                <w:color w:val="auto"/>
                <w:sz w:val="21"/>
                <w:szCs w:val="21"/>
                <w:highlight w:val="none"/>
              </w:rPr>
            </w:pPr>
          </w:p>
        </w:tc>
        <w:tc>
          <w:tcPr>
            <w:tcW w:w="1750" w:type="dxa"/>
            <w:vAlign w:val="center"/>
          </w:tcPr>
          <w:p w14:paraId="7EB9B3D1">
            <w:pPr>
              <w:spacing w:line="360" w:lineRule="auto"/>
              <w:rPr>
                <w:rFonts w:hint="eastAsia" w:ascii="宋体" w:hAnsi="宋体" w:eastAsia="宋体" w:cs="宋体"/>
                <w:color w:val="auto"/>
                <w:sz w:val="21"/>
                <w:szCs w:val="21"/>
                <w:highlight w:val="none"/>
              </w:rPr>
            </w:pPr>
          </w:p>
        </w:tc>
        <w:tc>
          <w:tcPr>
            <w:tcW w:w="1571" w:type="dxa"/>
            <w:vAlign w:val="center"/>
          </w:tcPr>
          <w:p w14:paraId="19DB8D53">
            <w:pPr>
              <w:spacing w:line="360" w:lineRule="auto"/>
              <w:rPr>
                <w:rFonts w:hint="eastAsia" w:ascii="宋体" w:hAnsi="宋体" w:eastAsia="宋体" w:cs="宋体"/>
                <w:color w:val="auto"/>
                <w:sz w:val="21"/>
                <w:szCs w:val="21"/>
                <w:highlight w:val="none"/>
              </w:rPr>
            </w:pPr>
          </w:p>
        </w:tc>
        <w:tc>
          <w:tcPr>
            <w:tcW w:w="1531"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24" w:type="dxa"/>
            <w:vAlign w:val="center"/>
          </w:tcPr>
          <w:p w14:paraId="11D36B60">
            <w:pPr>
              <w:spacing w:line="360" w:lineRule="auto"/>
              <w:rPr>
                <w:rFonts w:hint="eastAsia" w:ascii="宋体" w:hAnsi="宋体" w:eastAsia="宋体" w:cs="宋体"/>
                <w:color w:val="auto"/>
                <w:sz w:val="21"/>
                <w:szCs w:val="21"/>
                <w:highlight w:val="none"/>
              </w:rPr>
            </w:pPr>
          </w:p>
        </w:tc>
        <w:tc>
          <w:tcPr>
            <w:tcW w:w="2002" w:type="dxa"/>
            <w:vAlign w:val="center"/>
          </w:tcPr>
          <w:p w14:paraId="4694EF4B">
            <w:pPr>
              <w:spacing w:line="360" w:lineRule="auto"/>
              <w:rPr>
                <w:rFonts w:hint="eastAsia" w:ascii="宋体" w:hAnsi="宋体" w:eastAsia="宋体" w:cs="宋体"/>
                <w:color w:val="auto"/>
                <w:sz w:val="21"/>
                <w:szCs w:val="21"/>
                <w:highlight w:val="none"/>
              </w:rPr>
            </w:pPr>
          </w:p>
        </w:tc>
        <w:tc>
          <w:tcPr>
            <w:tcW w:w="1750" w:type="dxa"/>
            <w:vAlign w:val="center"/>
          </w:tcPr>
          <w:p w14:paraId="1B4A1ED1">
            <w:pPr>
              <w:spacing w:line="360" w:lineRule="auto"/>
              <w:rPr>
                <w:rFonts w:hint="eastAsia" w:ascii="宋体" w:hAnsi="宋体" w:eastAsia="宋体" w:cs="宋体"/>
                <w:color w:val="auto"/>
                <w:sz w:val="21"/>
                <w:szCs w:val="21"/>
                <w:highlight w:val="none"/>
              </w:rPr>
            </w:pPr>
          </w:p>
        </w:tc>
        <w:tc>
          <w:tcPr>
            <w:tcW w:w="1571" w:type="dxa"/>
            <w:vAlign w:val="center"/>
          </w:tcPr>
          <w:p w14:paraId="1500BC0C">
            <w:pPr>
              <w:spacing w:line="360" w:lineRule="auto"/>
              <w:rPr>
                <w:rFonts w:hint="eastAsia" w:ascii="宋体" w:hAnsi="宋体" w:eastAsia="宋体" w:cs="宋体"/>
                <w:color w:val="auto"/>
                <w:sz w:val="21"/>
                <w:szCs w:val="21"/>
                <w:highlight w:val="none"/>
              </w:rPr>
            </w:pPr>
          </w:p>
        </w:tc>
        <w:tc>
          <w:tcPr>
            <w:tcW w:w="1531" w:type="dxa"/>
            <w:vAlign w:val="center"/>
          </w:tcPr>
          <w:p w14:paraId="6B47B0C5">
            <w:pPr>
              <w:spacing w:line="360" w:lineRule="auto"/>
              <w:rPr>
                <w:rFonts w:hint="eastAsia" w:ascii="宋体" w:hAnsi="宋体" w:eastAsia="宋体" w:cs="宋体"/>
                <w:color w:val="auto"/>
                <w:sz w:val="21"/>
                <w:szCs w:val="21"/>
                <w:highlight w:val="none"/>
              </w:rPr>
            </w:pPr>
          </w:p>
        </w:tc>
      </w:tr>
    </w:tbl>
    <w:p w14:paraId="6AF4C3A9">
      <w:pPr>
        <w:spacing w:line="360" w:lineRule="auto"/>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39"/>
        <w:spacing w:line="360" w:lineRule="auto"/>
        <w:jc w:val="left"/>
        <w:rPr>
          <w:rFonts w:hint="eastAsia" w:ascii="宋体" w:hAnsi="宋体" w:eastAsia="宋体" w:cs="宋体"/>
          <w:b/>
          <w:color w:val="auto"/>
          <w:sz w:val="28"/>
          <w:highlight w:val="none"/>
        </w:rPr>
      </w:pPr>
    </w:p>
    <w:p w14:paraId="17B2956C">
      <w:pPr>
        <w:pStyle w:val="39"/>
        <w:spacing w:line="360" w:lineRule="auto"/>
        <w:jc w:val="left"/>
        <w:outlineLvl w:val="9"/>
        <w:rPr>
          <w:rFonts w:hint="eastAsia" w:ascii="宋体" w:hAnsi="宋体" w:eastAsia="宋体" w:cs="宋体"/>
          <w:b/>
          <w:color w:val="auto"/>
          <w:sz w:val="28"/>
          <w:highlight w:val="none"/>
        </w:rPr>
      </w:pPr>
    </w:p>
    <w:p w14:paraId="0F13595D">
      <w:pPr>
        <w:pStyle w:val="39"/>
        <w:spacing w:line="360" w:lineRule="auto"/>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30E02B1">
      <w:pPr>
        <w:pStyle w:val="39"/>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2</w:t>
      </w:r>
    </w:p>
    <w:p w14:paraId="293E0193">
      <w:pPr>
        <w:pStyle w:val="4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0"/>
        <w:spacing w:line="360" w:lineRule="auto"/>
        <w:jc w:val="center"/>
        <w:rPr>
          <w:rFonts w:hint="eastAsia" w:ascii="宋体" w:hAnsi="宋体" w:eastAsia="宋体" w:cs="宋体"/>
          <w:color w:val="auto"/>
          <w:sz w:val="24"/>
          <w:highlight w:val="none"/>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40"/>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0"/>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40"/>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40"/>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0"/>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40"/>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40"/>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0"/>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40"/>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40"/>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0"/>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40"/>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40"/>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0"/>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40"/>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40"/>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0"/>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40"/>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40"/>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40"/>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40"/>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40"/>
              <w:spacing w:line="360" w:lineRule="auto"/>
              <w:jc w:val="center"/>
              <w:rPr>
                <w:rFonts w:hint="eastAsia" w:ascii="宋体" w:hAnsi="宋体" w:eastAsia="宋体" w:cs="宋体"/>
                <w:color w:val="auto"/>
                <w:sz w:val="21"/>
                <w:szCs w:val="21"/>
                <w:highlight w:val="none"/>
              </w:rPr>
            </w:pPr>
          </w:p>
        </w:tc>
      </w:tr>
    </w:tbl>
    <w:p w14:paraId="1E3BF3EB">
      <w:pPr>
        <w:pStyle w:val="40"/>
        <w:tabs>
          <w:tab w:val="left" w:pos="1050"/>
        </w:tabs>
        <w:spacing w:line="360" w:lineRule="auto"/>
        <w:rPr>
          <w:rFonts w:hint="eastAsia" w:ascii="宋体" w:hAnsi="宋体" w:eastAsia="宋体" w:cs="宋体"/>
          <w:color w:val="auto"/>
          <w:sz w:val="24"/>
          <w:highlight w:val="none"/>
        </w:rPr>
      </w:pPr>
    </w:p>
    <w:p w14:paraId="16D5BD49">
      <w:pPr>
        <w:pStyle w:val="40"/>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0"/>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0"/>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0"/>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0"/>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0"/>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6"/>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2"/>
        <w:rPr>
          <w:rFonts w:hint="eastAsia" w:ascii="宋体" w:hAnsi="宋体" w:eastAsia="宋体" w:cs="宋体"/>
          <w:b/>
          <w:color w:val="auto"/>
          <w:sz w:val="28"/>
          <w:highlight w:val="none"/>
        </w:rPr>
      </w:pPr>
    </w:p>
    <w:p w14:paraId="0231EAD6">
      <w:pPr>
        <w:pStyle w:val="2"/>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4E42F74A">
      <w:pPr>
        <w:pStyle w:val="39"/>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39"/>
        <w:spacing w:line="360" w:lineRule="auto"/>
        <w:jc w:val="center"/>
        <w:rPr>
          <w:rFonts w:hint="eastAsia" w:ascii="宋体" w:hAnsi="宋体" w:eastAsia="宋体" w:cs="宋体"/>
          <w:b/>
          <w:color w:val="auto"/>
          <w:sz w:val="24"/>
          <w:highlight w:val="none"/>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3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39"/>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3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39"/>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3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39"/>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39"/>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39"/>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39"/>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39"/>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39"/>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39"/>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39"/>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0"/>
        <w:tabs>
          <w:tab w:val="left" w:pos="1050"/>
        </w:tabs>
        <w:spacing w:line="360" w:lineRule="auto"/>
        <w:rPr>
          <w:rFonts w:hint="eastAsia" w:ascii="宋体" w:hAnsi="宋体" w:eastAsia="宋体" w:cs="宋体"/>
          <w:b/>
          <w:color w:val="auto"/>
          <w:sz w:val="28"/>
          <w:highlight w:val="none"/>
        </w:rPr>
      </w:pPr>
    </w:p>
    <w:p w14:paraId="2E907184">
      <w:pPr>
        <w:pStyle w:val="40"/>
        <w:tabs>
          <w:tab w:val="left" w:pos="1050"/>
        </w:tabs>
        <w:spacing w:line="360" w:lineRule="auto"/>
        <w:rPr>
          <w:rFonts w:hint="eastAsia" w:ascii="宋体" w:hAnsi="宋体" w:eastAsia="宋体" w:cs="宋体"/>
          <w:b/>
          <w:color w:val="auto"/>
          <w:sz w:val="28"/>
          <w:highlight w:val="none"/>
        </w:rPr>
      </w:pPr>
    </w:p>
    <w:p w14:paraId="205646D1">
      <w:pPr>
        <w:pStyle w:val="40"/>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14</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vAlign w:val="center"/>
          </w:tcPr>
          <w:p w14:paraId="6C699468">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服务时间及地点</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vAlign w:val="center"/>
          </w:tcPr>
          <w:p w14:paraId="4DF663AB">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vAlign w:val="center"/>
          </w:tcPr>
          <w:p w14:paraId="45B7569E">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center"/>
          </w:tcPr>
          <w:p w14:paraId="77934D96">
            <w:pPr>
              <w:snapToGrid w:val="0"/>
              <w:jc w:val="center"/>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center"/>
          </w:tcPr>
          <w:p w14:paraId="31B44270">
            <w:pPr>
              <w:snapToGrid w:val="0"/>
              <w:jc w:val="center"/>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vAlign w:val="center"/>
          </w:tcPr>
          <w:p w14:paraId="3EDC358E">
            <w:pPr>
              <w:snapToGrid w:val="0"/>
              <w:spacing w:line="360" w:lineRule="auto"/>
              <w:jc w:val="center"/>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6CA5F303">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2"/>
        <w:rPr>
          <w:rFonts w:hint="eastAsia" w:ascii="宋体" w:hAnsi="宋体" w:eastAsia="宋体" w:cs="宋体"/>
          <w:b/>
          <w:color w:val="auto"/>
          <w:sz w:val="28"/>
          <w:highlight w:val="none"/>
        </w:rPr>
      </w:pPr>
    </w:p>
    <w:p w14:paraId="0F1A6C8B">
      <w:pPr>
        <w:pStyle w:val="2"/>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2"/>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1"/>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1"/>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1"/>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1"/>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1"/>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1"/>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1"/>
              <w:spacing w:line="360" w:lineRule="auto"/>
              <w:rPr>
                <w:rFonts w:hint="eastAsia" w:ascii="宋体" w:hAnsi="宋体" w:eastAsia="宋体" w:cs="宋体"/>
                <w:bCs/>
                <w:color w:val="auto"/>
                <w:sz w:val="21"/>
                <w:szCs w:val="21"/>
                <w:highlight w:val="none"/>
              </w:rPr>
            </w:pPr>
          </w:p>
        </w:tc>
        <w:tc>
          <w:tcPr>
            <w:tcW w:w="1373" w:type="dxa"/>
          </w:tcPr>
          <w:p w14:paraId="67DE50F8">
            <w:pPr>
              <w:pStyle w:val="41"/>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1"/>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1"/>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1"/>
              <w:widowControl/>
              <w:spacing w:line="360" w:lineRule="auto"/>
              <w:jc w:val="left"/>
              <w:rPr>
                <w:rFonts w:hint="eastAsia" w:ascii="宋体" w:hAnsi="宋体" w:eastAsia="宋体" w:cs="宋体"/>
                <w:bCs/>
                <w:color w:val="auto"/>
                <w:sz w:val="21"/>
                <w:szCs w:val="21"/>
                <w:highlight w:val="none"/>
              </w:rPr>
            </w:pPr>
          </w:p>
          <w:p w14:paraId="199C68CE">
            <w:pPr>
              <w:pStyle w:val="41"/>
              <w:widowControl/>
              <w:spacing w:line="360" w:lineRule="auto"/>
              <w:jc w:val="left"/>
              <w:rPr>
                <w:rFonts w:hint="eastAsia" w:ascii="宋体" w:hAnsi="宋体" w:eastAsia="宋体" w:cs="宋体"/>
                <w:bCs/>
                <w:color w:val="auto"/>
                <w:sz w:val="21"/>
                <w:szCs w:val="21"/>
                <w:highlight w:val="none"/>
              </w:rPr>
            </w:pPr>
          </w:p>
          <w:p w14:paraId="372766CB">
            <w:pPr>
              <w:pStyle w:val="41"/>
              <w:spacing w:line="360" w:lineRule="auto"/>
              <w:rPr>
                <w:rFonts w:hint="eastAsia" w:ascii="宋体" w:hAnsi="宋体" w:eastAsia="宋体" w:cs="宋体"/>
                <w:bCs/>
                <w:color w:val="auto"/>
                <w:sz w:val="21"/>
                <w:szCs w:val="21"/>
                <w:highlight w:val="none"/>
              </w:rPr>
            </w:pPr>
          </w:p>
        </w:tc>
        <w:tc>
          <w:tcPr>
            <w:tcW w:w="1373" w:type="dxa"/>
          </w:tcPr>
          <w:p w14:paraId="5E1FB07A">
            <w:pPr>
              <w:pStyle w:val="41"/>
              <w:widowControl/>
              <w:spacing w:line="360" w:lineRule="auto"/>
              <w:jc w:val="left"/>
              <w:rPr>
                <w:rFonts w:hint="eastAsia" w:ascii="宋体" w:hAnsi="宋体" w:eastAsia="宋体" w:cs="宋体"/>
                <w:bCs/>
                <w:color w:val="auto"/>
                <w:sz w:val="21"/>
                <w:szCs w:val="21"/>
                <w:highlight w:val="none"/>
              </w:rPr>
            </w:pPr>
          </w:p>
          <w:p w14:paraId="6715E5B8">
            <w:pPr>
              <w:pStyle w:val="41"/>
              <w:widowControl/>
              <w:spacing w:line="360" w:lineRule="auto"/>
              <w:jc w:val="left"/>
              <w:rPr>
                <w:rFonts w:hint="eastAsia" w:ascii="宋体" w:hAnsi="宋体" w:eastAsia="宋体" w:cs="宋体"/>
                <w:bCs/>
                <w:color w:val="auto"/>
                <w:sz w:val="21"/>
                <w:szCs w:val="21"/>
                <w:highlight w:val="none"/>
              </w:rPr>
            </w:pPr>
          </w:p>
          <w:p w14:paraId="6CCDDAF9">
            <w:pPr>
              <w:pStyle w:val="41"/>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C58D56F">
            <w:pPr>
              <w:pStyle w:val="41"/>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5432553D">
            <w:pPr>
              <w:pStyle w:val="41"/>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2D2DD925">
            <w:pPr>
              <w:pStyle w:val="41"/>
              <w:widowControl/>
              <w:spacing w:line="360" w:lineRule="auto"/>
              <w:jc w:val="left"/>
              <w:rPr>
                <w:rFonts w:hint="eastAsia" w:ascii="宋体" w:hAnsi="宋体" w:eastAsia="宋体" w:cs="宋体"/>
                <w:bCs/>
                <w:i/>
                <w:color w:val="auto"/>
                <w:sz w:val="21"/>
                <w:szCs w:val="21"/>
                <w:highlight w:val="none"/>
              </w:rPr>
            </w:pPr>
          </w:p>
          <w:p w14:paraId="5E383613">
            <w:pPr>
              <w:pStyle w:val="41"/>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1"/>
              <w:widowControl/>
              <w:spacing w:line="360" w:lineRule="auto"/>
              <w:jc w:val="left"/>
              <w:rPr>
                <w:rFonts w:hint="eastAsia" w:ascii="宋体" w:hAnsi="宋体" w:eastAsia="宋体" w:cs="宋体"/>
                <w:bCs/>
                <w:i/>
                <w:color w:val="auto"/>
                <w:sz w:val="21"/>
                <w:szCs w:val="21"/>
                <w:highlight w:val="none"/>
              </w:rPr>
            </w:pPr>
          </w:p>
          <w:p w14:paraId="28B3E838">
            <w:pPr>
              <w:pStyle w:val="41"/>
              <w:widowControl/>
              <w:spacing w:line="360" w:lineRule="auto"/>
              <w:jc w:val="left"/>
              <w:rPr>
                <w:rFonts w:hint="eastAsia" w:ascii="宋体" w:hAnsi="宋体" w:eastAsia="宋体" w:cs="宋体"/>
                <w:bCs/>
                <w:i/>
                <w:color w:val="auto"/>
                <w:sz w:val="21"/>
                <w:szCs w:val="21"/>
                <w:highlight w:val="none"/>
              </w:rPr>
            </w:pPr>
          </w:p>
          <w:p w14:paraId="22E6ABFF">
            <w:pPr>
              <w:pStyle w:val="41"/>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1"/>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22B408B3">
            <w:pPr>
              <w:pStyle w:val="41"/>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191E9832">
            <w:pPr>
              <w:pStyle w:val="41"/>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1"/>
              <w:widowControl/>
              <w:spacing w:line="360" w:lineRule="auto"/>
              <w:jc w:val="left"/>
              <w:rPr>
                <w:rFonts w:hint="eastAsia" w:ascii="宋体" w:hAnsi="宋体" w:eastAsia="宋体" w:cs="宋体"/>
                <w:bCs/>
                <w:color w:val="auto"/>
                <w:sz w:val="21"/>
                <w:szCs w:val="21"/>
                <w:highlight w:val="none"/>
              </w:rPr>
            </w:pPr>
          </w:p>
        </w:tc>
      </w:tr>
    </w:tbl>
    <w:p w14:paraId="14C37552">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2"/>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77CBB612">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16</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021EB5DF">
      <w:pPr>
        <w:pStyle w:val="10"/>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2"/>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2"/>
        <w:rPr>
          <w:rFonts w:hint="eastAsia" w:ascii="宋体" w:hAnsi="宋体" w:eastAsia="宋体" w:cs="宋体"/>
          <w:color w:val="auto"/>
          <w:highlight w:val="none"/>
        </w:rPr>
      </w:pPr>
    </w:p>
    <w:p w14:paraId="56939C0A">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17</w:t>
      </w:r>
    </w:p>
    <w:p w14:paraId="2CA35D4B">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60B37274">
      <w:pPr>
        <w:spacing w:line="360" w:lineRule="auto"/>
        <w:ind w:left="-2" w:hanging="2"/>
        <w:jc w:val="center"/>
        <w:rPr>
          <w:rFonts w:hint="eastAsia" w:ascii="宋体" w:hAnsi="宋体" w:eastAsia="宋体" w:cs="宋体"/>
          <w:b/>
          <w:color w:val="auto"/>
          <w:sz w:val="32"/>
          <w:szCs w:val="32"/>
          <w:highlight w:val="none"/>
        </w:rPr>
      </w:pPr>
    </w:p>
    <w:p w14:paraId="7C3A360D">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45"/>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5C908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5C78B6A">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A29B6DE">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4C842DBC">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299482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E5063FB">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4820534">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4CDD59DE">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6"/>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val="en-US" w:eastAsia="zh-CN"/>
        </w:rPr>
        <w:t>投标总报价为完成本项目的所有费用，</w:t>
      </w:r>
      <w:r>
        <w:rPr>
          <w:rFonts w:hint="eastAsia" w:ascii="宋体" w:hAnsi="宋体" w:eastAsia="宋体" w:cs="宋体"/>
          <w:color w:val="auto"/>
          <w:spacing w:val="-3"/>
          <w:sz w:val="21"/>
          <w:szCs w:val="21"/>
          <w:highlight w:val="none"/>
        </w:rPr>
        <w:t>包括劳务费、人员工资、场地费用、材料费、仪器设备、技术服务、利润、税费、招标代理服务费、政策性文件规定及合同包含的所有风险、责任、成果验收以及采购文件约定工作内容所包含的一切费用</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40062AC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F14C00">
      <w:pPr>
        <w:spacing w:line="360" w:lineRule="auto"/>
        <w:rPr>
          <w:rFonts w:hint="eastAsia" w:ascii="宋体" w:hAnsi="宋体" w:eastAsia="宋体" w:cs="宋体"/>
          <w:b/>
          <w:color w:val="auto"/>
          <w:sz w:val="28"/>
          <w:highlight w:val="none"/>
        </w:rPr>
      </w:pPr>
    </w:p>
    <w:p w14:paraId="43AFAA24">
      <w:pPr>
        <w:spacing w:line="360" w:lineRule="auto"/>
        <w:rPr>
          <w:rFonts w:hint="eastAsia" w:ascii="宋体" w:hAnsi="宋体" w:eastAsia="宋体" w:cs="宋体"/>
          <w:b/>
          <w:color w:val="auto"/>
          <w:sz w:val="28"/>
          <w:highlight w:val="none"/>
        </w:rPr>
      </w:pPr>
    </w:p>
    <w:p w14:paraId="7F4487E1">
      <w:pPr>
        <w:pStyle w:val="2"/>
        <w:rPr>
          <w:rFonts w:hint="eastAsia" w:ascii="宋体" w:hAnsi="宋体" w:eastAsia="宋体" w:cs="宋体"/>
          <w:color w:val="auto"/>
          <w:highlight w:val="none"/>
        </w:rPr>
      </w:pPr>
    </w:p>
    <w:p w14:paraId="34358822">
      <w:pPr>
        <w:pStyle w:val="48"/>
        <w:rPr>
          <w:rFonts w:hint="eastAsia" w:ascii="宋体" w:hAnsi="宋体" w:eastAsia="宋体" w:cs="宋体"/>
          <w:color w:val="auto"/>
          <w:highlight w:val="none"/>
        </w:rPr>
      </w:pPr>
    </w:p>
    <w:p w14:paraId="33B405D0">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61519FC">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8</w:t>
      </w:r>
    </w:p>
    <w:p w14:paraId="4FAE793D">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727DCC68">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0717D60">
      <w:pPr>
        <w:pStyle w:val="45"/>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1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747"/>
        <w:gridCol w:w="935"/>
        <w:gridCol w:w="1014"/>
        <w:gridCol w:w="741"/>
        <w:gridCol w:w="797"/>
        <w:gridCol w:w="1053"/>
        <w:gridCol w:w="1047"/>
        <w:gridCol w:w="575"/>
      </w:tblGrid>
      <w:tr w14:paraId="4A86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5" w:type="dxa"/>
            <w:vAlign w:val="center"/>
          </w:tcPr>
          <w:p w14:paraId="28BA9388">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47" w:type="dxa"/>
            <w:vAlign w:val="center"/>
          </w:tcPr>
          <w:p w14:paraId="770FEDE6">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935" w:type="dxa"/>
            <w:vAlign w:val="center"/>
          </w:tcPr>
          <w:p w14:paraId="76B1A58E">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承接企业名称</w:t>
            </w:r>
          </w:p>
        </w:tc>
        <w:tc>
          <w:tcPr>
            <w:tcW w:w="1014" w:type="dxa"/>
            <w:vAlign w:val="center"/>
          </w:tcPr>
          <w:p w14:paraId="5493E763">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是否是小微企业</w:t>
            </w:r>
          </w:p>
        </w:tc>
        <w:tc>
          <w:tcPr>
            <w:tcW w:w="741" w:type="dxa"/>
            <w:vAlign w:val="center"/>
          </w:tcPr>
          <w:p w14:paraId="31BEC8DF">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所属</w:t>
            </w:r>
          </w:p>
          <w:p w14:paraId="6E764FA1">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行业</w:t>
            </w:r>
          </w:p>
        </w:tc>
        <w:tc>
          <w:tcPr>
            <w:tcW w:w="797" w:type="dxa"/>
            <w:vAlign w:val="center"/>
          </w:tcPr>
          <w:p w14:paraId="2976B9FA">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数量</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台</w:t>
            </w:r>
            <w:r>
              <w:rPr>
                <w:rFonts w:hint="eastAsia" w:ascii="宋体" w:hAnsi="宋体" w:eastAsia="宋体" w:cs="宋体"/>
                <w:b/>
                <w:color w:val="auto"/>
                <w:sz w:val="21"/>
                <w:szCs w:val="21"/>
                <w:highlight w:val="none"/>
                <w:lang w:eastAsia="zh-CN"/>
              </w:rPr>
              <w:t>）</w:t>
            </w:r>
          </w:p>
        </w:tc>
        <w:tc>
          <w:tcPr>
            <w:tcW w:w="1053" w:type="dxa"/>
            <w:vAlign w:val="center"/>
          </w:tcPr>
          <w:p w14:paraId="717BC7F6">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最高限价（元/台）</w:t>
            </w:r>
          </w:p>
        </w:tc>
        <w:tc>
          <w:tcPr>
            <w:tcW w:w="1047" w:type="dxa"/>
            <w:vAlign w:val="center"/>
          </w:tcPr>
          <w:p w14:paraId="6BDFE061">
            <w:pPr>
              <w:spacing w:line="24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单价</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元/台</w:t>
            </w:r>
            <w:r>
              <w:rPr>
                <w:rFonts w:hint="eastAsia" w:ascii="宋体" w:hAnsi="宋体" w:cs="宋体"/>
                <w:b/>
                <w:color w:val="auto"/>
                <w:sz w:val="21"/>
                <w:szCs w:val="21"/>
                <w:highlight w:val="none"/>
                <w:lang w:eastAsia="zh-CN"/>
              </w:rPr>
              <w:t>）</w:t>
            </w:r>
          </w:p>
        </w:tc>
        <w:tc>
          <w:tcPr>
            <w:tcW w:w="575" w:type="dxa"/>
            <w:vAlign w:val="center"/>
          </w:tcPr>
          <w:p w14:paraId="4AB69F95">
            <w:pPr>
              <w:spacing w:line="24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小计</w:t>
            </w:r>
          </w:p>
        </w:tc>
      </w:tr>
      <w:tr w14:paraId="13E4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95" w:type="dxa"/>
            <w:vAlign w:val="center"/>
          </w:tcPr>
          <w:p w14:paraId="34F799BD">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747" w:type="dxa"/>
            <w:vAlign w:val="center"/>
          </w:tcPr>
          <w:p w14:paraId="75C16143">
            <w:pPr>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非道路移动机械摸底调查和编码登记</w:t>
            </w:r>
          </w:p>
        </w:tc>
        <w:tc>
          <w:tcPr>
            <w:tcW w:w="935" w:type="dxa"/>
            <w:vAlign w:val="center"/>
          </w:tcPr>
          <w:p w14:paraId="1D807DE9">
            <w:pPr>
              <w:spacing w:line="240" w:lineRule="auto"/>
              <w:jc w:val="center"/>
              <w:rPr>
                <w:rFonts w:hint="eastAsia" w:ascii="宋体" w:hAnsi="宋体" w:eastAsia="宋体" w:cs="宋体"/>
                <w:b/>
                <w:color w:val="auto"/>
                <w:sz w:val="21"/>
                <w:szCs w:val="21"/>
                <w:highlight w:val="none"/>
              </w:rPr>
            </w:pPr>
          </w:p>
        </w:tc>
        <w:tc>
          <w:tcPr>
            <w:tcW w:w="1014" w:type="dxa"/>
            <w:vAlign w:val="center"/>
          </w:tcPr>
          <w:p w14:paraId="3E63C02F">
            <w:pPr>
              <w:spacing w:line="240" w:lineRule="auto"/>
              <w:jc w:val="center"/>
              <w:rPr>
                <w:rFonts w:hint="eastAsia" w:ascii="宋体" w:hAnsi="宋体" w:eastAsia="宋体" w:cs="宋体"/>
                <w:b/>
                <w:color w:val="auto"/>
                <w:sz w:val="21"/>
                <w:szCs w:val="21"/>
                <w:highlight w:val="none"/>
              </w:rPr>
            </w:pPr>
          </w:p>
        </w:tc>
        <w:tc>
          <w:tcPr>
            <w:tcW w:w="741" w:type="dxa"/>
            <w:vAlign w:val="center"/>
          </w:tcPr>
          <w:p w14:paraId="198466B9">
            <w:pPr>
              <w:spacing w:line="240" w:lineRule="auto"/>
              <w:jc w:val="center"/>
              <w:rPr>
                <w:rFonts w:hint="eastAsia" w:ascii="宋体" w:hAnsi="宋体" w:eastAsia="宋体" w:cs="宋体"/>
                <w:b/>
                <w:color w:val="auto"/>
                <w:sz w:val="21"/>
                <w:szCs w:val="21"/>
                <w:highlight w:val="none"/>
              </w:rPr>
            </w:pPr>
          </w:p>
        </w:tc>
        <w:tc>
          <w:tcPr>
            <w:tcW w:w="797" w:type="dxa"/>
            <w:vAlign w:val="center"/>
          </w:tcPr>
          <w:p w14:paraId="30C4F1E4">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c>
          <w:tcPr>
            <w:tcW w:w="1053" w:type="dxa"/>
            <w:vAlign w:val="center"/>
          </w:tcPr>
          <w:p w14:paraId="6BAE58C5">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200</w:t>
            </w:r>
          </w:p>
        </w:tc>
        <w:tc>
          <w:tcPr>
            <w:tcW w:w="1047" w:type="dxa"/>
            <w:vAlign w:val="center"/>
          </w:tcPr>
          <w:p w14:paraId="7FAD3773">
            <w:pPr>
              <w:spacing w:line="240" w:lineRule="auto"/>
              <w:jc w:val="center"/>
              <w:rPr>
                <w:rFonts w:hint="eastAsia" w:ascii="宋体" w:hAnsi="宋体" w:eastAsia="宋体" w:cs="宋体"/>
                <w:b/>
                <w:color w:val="auto"/>
                <w:sz w:val="21"/>
                <w:szCs w:val="21"/>
                <w:highlight w:val="none"/>
              </w:rPr>
            </w:pPr>
          </w:p>
        </w:tc>
        <w:tc>
          <w:tcPr>
            <w:tcW w:w="575" w:type="dxa"/>
            <w:vAlign w:val="center"/>
          </w:tcPr>
          <w:p w14:paraId="5D61DDE1">
            <w:pPr>
              <w:spacing w:line="240" w:lineRule="auto"/>
              <w:jc w:val="center"/>
              <w:rPr>
                <w:rFonts w:hint="eastAsia" w:ascii="宋体" w:hAnsi="宋体" w:eastAsia="宋体" w:cs="宋体"/>
                <w:b/>
                <w:color w:val="auto"/>
                <w:sz w:val="21"/>
                <w:szCs w:val="21"/>
                <w:highlight w:val="none"/>
              </w:rPr>
            </w:pPr>
          </w:p>
        </w:tc>
      </w:tr>
      <w:tr w14:paraId="1891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95" w:type="dxa"/>
            <w:vAlign w:val="center"/>
          </w:tcPr>
          <w:p w14:paraId="19D21F1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747" w:type="dxa"/>
            <w:vAlign w:val="center"/>
          </w:tcPr>
          <w:p w14:paraId="5A746438">
            <w:pPr>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非道路移动机械尾气检测</w:t>
            </w:r>
          </w:p>
        </w:tc>
        <w:tc>
          <w:tcPr>
            <w:tcW w:w="935" w:type="dxa"/>
            <w:vAlign w:val="center"/>
          </w:tcPr>
          <w:p w14:paraId="7C3CFF82">
            <w:pPr>
              <w:spacing w:line="240" w:lineRule="auto"/>
              <w:jc w:val="center"/>
              <w:rPr>
                <w:rFonts w:hint="eastAsia" w:ascii="宋体" w:hAnsi="宋体" w:eastAsia="宋体" w:cs="宋体"/>
                <w:b/>
                <w:color w:val="auto"/>
                <w:sz w:val="21"/>
                <w:szCs w:val="21"/>
                <w:highlight w:val="none"/>
              </w:rPr>
            </w:pPr>
          </w:p>
        </w:tc>
        <w:tc>
          <w:tcPr>
            <w:tcW w:w="1014" w:type="dxa"/>
            <w:vAlign w:val="center"/>
          </w:tcPr>
          <w:p w14:paraId="4ECABD14">
            <w:pPr>
              <w:spacing w:line="240" w:lineRule="auto"/>
              <w:jc w:val="center"/>
              <w:rPr>
                <w:rFonts w:hint="eastAsia" w:ascii="宋体" w:hAnsi="宋体" w:eastAsia="宋体" w:cs="宋体"/>
                <w:b/>
                <w:color w:val="auto"/>
                <w:sz w:val="21"/>
                <w:szCs w:val="21"/>
                <w:highlight w:val="none"/>
              </w:rPr>
            </w:pPr>
          </w:p>
        </w:tc>
        <w:tc>
          <w:tcPr>
            <w:tcW w:w="741" w:type="dxa"/>
            <w:vAlign w:val="center"/>
          </w:tcPr>
          <w:p w14:paraId="719E3BF7">
            <w:pPr>
              <w:spacing w:line="240" w:lineRule="auto"/>
              <w:jc w:val="center"/>
              <w:rPr>
                <w:rFonts w:hint="eastAsia" w:ascii="宋体" w:hAnsi="宋体" w:eastAsia="宋体" w:cs="宋体"/>
                <w:color w:val="auto"/>
                <w:sz w:val="21"/>
                <w:szCs w:val="21"/>
                <w:highlight w:val="none"/>
              </w:rPr>
            </w:pPr>
          </w:p>
        </w:tc>
        <w:tc>
          <w:tcPr>
            <w:tcW w:w="797" w:type="dxa"/>
            <w:vAlign w:val="center"/>
          </w:tcPr>
          <w:p w14:paraId="0521F5C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1100</w:t>
            </w:r>
          </w:p>
        </w:tc>
        <w:tc>
          <w:tcPr>
            <w:tcW w:w="1053" w:type="dxa"/>
            <w:vAlign w:val="center"/>
          </w:tcPr>
          <w:p w14:paraId="1A80A590">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350</w:t>
            </w:r>
          </w:p>
        </w:tc>
        <w:tc>
          <w:tcPr>
            <w:tcW w:w="1047" w:type="dxa"/>
            <w:vAlign w:val="center"/>
          </w:tcPr>
          <w:p w14:paraId="56B96DA4">
            <w:pPr>
              <w:spacing w:line="240" w:lineRule="auto"/>
              <w:jc w:val="center"/>
              <w:rPr>
                <w:rFonts w:hint="eastAsia" w:ascii="宋体" w:hAnsi="宋体" w:eastAsia="宋体" w:cs="宋体"/>
                <w:b/>
                <w:color w:val="auto"/>
                <w:sz w:val="21"/>
                <w:szCs w:val="21"/>
                <w:highlight w:val="none"/>
              </w:rPr>
            </w:pPr>
          </w:p>
        </w:tc>
        <w:tc>
          <w:tcPr>
            <w:tcW w:w="575" w:type="dxa"/>
            <w:vAlign w:val="center"/>
          </w:tcPr>
          <w:p w14:paraId="05B040A5">
            <w:pPr>
              <w:spacing w:line="240" w:lineRule="auto"/>
              <w:jc w:val="center"/>
              <w:rPr>
                <w:rFonts w:hint="eastAsia" w:ascii="宋体" w:hAnsi="宋体" w:eastAsia="宋体" w:cs="宋体"/>
                <w:b/>
                <w:color w:val="auto"/>
                <w:sz w:val="21"/>
                <w:szCs w:val="21"/>
                <w:highlight w:val="none"/>
              </w:rPr>
            </w:pPr>
          </w:p>
        </w:tc>
      </w:tr>
      <w:tr w14:paraId="7156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95" w:type="dxa"/>
            <w:vAlign w:val="center"/>
          </w:tcPr>
          <w:p w14:paraId="22A491E4">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747" w:type="dxa"/>
            <w:vAlign w:val="center"/>
          </w:tcPr>
          <w:p w14:paraId="53035BF3">
            <w:pPr>
              <w:spacing w:line="24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柴油货车路检路查  </w:t>
            </w:r>
          </w:p>
        </w:tc>
        <w:tc>
          <w:tcPr>
            <w:tcW w:w="935" w:type="dxa"/>
            <w:vAlign w:val="center"/>
          </w:tcPr>
          <w:p w14:paraId="3F1D622A">
            <w:pPr>
              <w:spacing w:line="240" w:lineRule="auto"/>
              <w:jc w:val="center"/>
              <w:rPr>
                <w:rFonts w:hint="eastAsia" w:ascii="宋体" w:hAnsi="宋体" w:eastAsia="宋体" w:cs="宋体"/>
                <w:b/>
                <w:color w:val="auto"/>
                <w:sz w:val="21"/>
                <w:szCs w:val="21"/>
                <w:highlight w:val="none"/>
              </w:rPr>
            </w:pPr>
          </w:p>
        </w:tc>
        <w:tc>
          <w:tcPr>
            <w:tcW w:w="1014" w:type="dxa"/>
            <w:vAlign w:val="center"/>
          </w:tcPr>
          <w:p w14:paraId="40F55670">
            <w:pPr>
              <w:spacing w:line="240" w:lineRule="auto"/>
              <w:jc w:val="center"/>
              <w:rPr>
                <w:rFonts w:hint="eastAsia" w:ascii="宋体" w:hAnsi="宋体" w:eastAsia="宋体" w:cs="宋体"/>
                <w:b/>
                <w:color w:val="auto"/>
                <w:sz w:val="21"/>
                <w:szCs w:val="21"/>
                <w:highlight w:val="none"/>
              </w:rPr>
            </w:pPr>
          </w:p>
        </w:tc>
        <w:tc>
          <w:tcPr>
            <w:tcW w:w="741" w:type="dxa"/>
            <w:vAlign w:val="center"/>
          </w:tcPr>
          <w:p w14:paraId="48CA2C5A">
            <w:pPr>
              <w:spacing w:line="240" w:lineRule="auto"/>
              <w:jc w:val="center"/>
              <w:rPr>
                <w:rFonts w:hint="eastAsia" w:ascii="宋体" w:hAnsi="宋体" w:eastAsia="宋体" w:cs="宋体"/>
                <w:color w:val="auto"/>
                <w:sz w:val="21"/>
                <w:szCs w:val="21"/>
                <w:highlight w:val="none"/>
              </w:rPr>
            </w:pPr>
          </w:p>
        </w:tc>
        <w:tc>
          <w:tcPr>
            <w:tcW w:w="797" w:type="dxa"/>
            <w:vAlign w:val="center"/>
          </w:tcPr>
          <w:p w14:paraId="7572BE3F">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00</w:t>
            </w:r>
          </w:p>
        </w:tc>
        <w:tc>
          <w:tcPr>
            <w:tcW w:w="1053" w:type="dxa"/>
            <w:vAlign w:val="center"/>
          </w:tcPr>
          <w:p w14:paraId="64837269">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350</w:t>
            </w:r>
          </w:p>
        </w:tc>
        <w:tc>
          <w:tcPr>
            <w:tcW w:w="1047" w:type="dxa"/>
            <w:vAlign w:val="center"/>
          </w:tcPr>
          <w:p w14:paraId="7145EAD1">
            <w:pPr>
              <w:spacing w:line="240" w:lineRule="auto"/>
              <w:jc w:val="center"/>
              <w:rPr>
                <w:rFonts w:hint="eastAsia" w:ascii="宋体" w:hAnsi="宋体" w:eastAsia="宋体" w:cs="宋体"/>
                <w:b/>
                <w:color w:val="auto"/>
                <w:sz w:val="21"/>
                <w:szCs w:val="21"/>
                <w:highlight w:val="none"/>
              </w:rPr>
            </w:pPr>
          </w:p>
        </w:tc>
        <w:tc>
          <w:tcPr>
            <w:tcW w:w="575" w:type="dxa"/>
            <w:vAlign w:val="center"/>
          </w:tcPr>
          <w:p w14:paraId="44E2A341">
            <w:pPr>
              <w:spacing w:line="240" w:lineRule="auto"/>
              <w:jc w:val="center"/>
              <w:rPr>
                <w:rFonts w:hint="eastAsia" w:ascii="宋体" w:hAnsi="宋体" w:eastAsia="宋体" w:cs="宋体"/>
                <w:b/>
                <w:color w:val="auto"/>
                <w:sz w:val="21"/>
                <w:szCs w:val="21"/>
                <w:highlight w:val="none"/>
              </w:rPr>
            </w:pPr>
          </w:p>
        </w:tc>
      </w:tr>
      <w:tr w14:paraId="23A5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95" w:type="dxa"/>
            <w:vAlign w:val="center"/>
          </w:tcPr>
          <w:p w14:paraId="4B68AB10">
            <w:pPr>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1747" w:type="dxa"/>
            <w:vAlign w:val="center"/>
          </w:tcPr>
          <w:p w14:paraId="136AFB87">
            <w:pPr>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柴油货车入户检查 </w:t>
            </w:r>
          </w:p>
        </w:tc>
        <w:tc>
          <w:tcPr>
            <w:tcW w:w="935" w:type="dxa"/>
            <w:vAlign w:val="center"/>
          </w:tcPr>
          <w:p w14:paraId="3BD18013">
            <w:pPr>
              <w:spacing w:line="240" w:lineRule="auto"/>
              <w:jc w:val="center"/>
              <w:rPr>
                <w:rFonts w:hint="eastAsia" w:ascii="宋体" w:hAnsi="宋体" w:eastAsia="宋体" w:cs="宋体"/>
                <w:b/>
                <w:color w:val="auto"/>
                <w:sz w:val="21"/>
                <w:szCs w:val="21"/>
                <w:highlight w:val="none"/>
              </w:rPr>
            </w:pPr>
          </w:p>
        </w:tc>
        <w:tc>
          <w:tcPr>
            <w:tcW w:w="1014" w:type="dxa"/>
            <w:vAlign w:val="center"/>
          </w:tcPr>
          <w:p w14:paraId="2783691E">
            <w:pPr>
              <w:spacing w:line="240" w:lineRule="auto"/>
              <w:jc w:val="center"/>
              <w:rPr>
                <w:rFonts w:hint="eastAsia" w:ascii="宋体" w:hAnsi="宋体" w:eastAsia="宋体" w:cs="宋体"/>
                <w:b/>
                <w:color w:val="auto"/>
                <w:sz w:val="21"/>
                <w:szCs w:val="21"/>
                <w:highlight w:val="none"/>
              </w:rPr>
            </w:pPr>
          </w:p>
        </w:tc>
        <w:tc>
          <w:tcPr>
            <w:tcW w:w="741" w:type="dxa"/>
            <w:vAlign w:val="center"/>
          </w:tcPr>
          <w:p w14:paraId="1CBA5142">
            <w:pPr>
              <w:spacing w:line="240" w:lineRule="auto"/>
              <w:jc w:val="center"/>
              <w:rPr>
                <w:rFonts w:hint="eastAsia" w:ascii="宋体" w:hAnsi="宋体" w:eastAsia="宋体" w:cs="宋体"/>
                <w:color w:val="auto"/>
                <w:sz w:val="21"/>
                <w:szCs w:val="21"/>
                <w:highlight w:val="none"/>
              </w:rPr>
            </w:pPr>
          </w:p>
        </w:tc>
        <w:tc>
          <w:tcPr>
            <w:tcW w:w="797" w:type="dxa"/>
            <w:vAlign w:val="center"/>
          </w:tcPr>
          <w:p w14:paraId="0BF7166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1053" w:type="dxa"/>
            <w:vAlign w:val="center"/>
          </w:tcPr>
          <w:p w14:paraId="5F85AA8B">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350</w:t>
            </w:r>
          </w:p>
        </w:tc>
        <w:tc>
          <w:tcPr>
            <w:tcW w:w="1047" w:type="dxa"/>
            <w:vAlign w:val="center"/>
          </w:tcPr>
          <w:p w14:paraId="44C165CD">
            <w:pPr>
              <w:spacing w:line="240" w:lineRule="auto"/>
              <w:jc w:val="center"/>
              <w:rPr>
                <w:rFonts w:hint="eastAsia" w:ascii="宋体" w:hAnsi="宋体" w:eastAsia="宋体" w:cs="宋体"/>
                <w:b/>
                <w:color w:val="auto"/>
                <w:sz w:val="21"/>
                <w:szCs w:val="21"/>
                <w:highlight w:val="none"/>
              </w:rPr>
            </w:pPr>
          </w:p>
        </w:tc>
        <w:tc>
          <w:tcPr>
            <w:tcW w:w="575" w:type="dxa"/>
            <w:vAlign w:val="center"/>
          </w:tcPr>
          <w:p w14:paraId="61FD160A">
            <w:pPr>
              <w:spacing w:line="240" w:lineRule="auto"/>
              <w:jc w:val="center"/>
              <w:rPr>
                <w:rFonts w:hint="eastAsia" w:ascii="宋体" w:hAnsi="宋体" w:eastAsia="宋体" w:cs="宋体"/>
                <w:b/>
                <w:color w:val="auto"/>
                <w:sz w:val="21"/>
                <w:szCs w:val="21"/>
                <w:highlight w:val="none"/>
              </w:rPr>
            </w:pPr>
          </w:p>
        </w:tc>
      </w:tr>
      <w:tr w14:paraId="0272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504" w:type="dxa"/>
            <w:gridSpan w:val="9"/>
            <w:vAlign w:val="center"/>
          </w:tcPr>
          <w:p w14:paraId="1E0AFCBB">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合计人民币：</w:t>
            </w:r>
          </w:p>
          <w:p w14:paraId="0A808153">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lang w:eastAsia="zh-CN"/>
              </w:rPr>
              <w:t>：</w:t>
            </w:r>
          </w:p>
          <w:p w14:paraId="13AF49FF">
            <w:pPr>
              <w:spacing w:line="240" w:lineRule="auto"/>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lang w:eastAsia="zh-CN"/>
              </w:rPr>
              <w:t>：</w:t>
            </w:r>
          </w:p>
        </w:tc>
      </w:tr>
    </w:tbl>
    <w:p w14:paraId="03B654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10B2B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493E746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095F6C67">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77C96C1F">
      <w:pPr>
        <w:pStyle w:val="10"/>
        <w:ind w:left="0" w:leftChars="0" w:firstLine="0" w:firstLineChars="0"/>
        <w:rPr>
          <w:rFonts w:hint="eastAsia" w:ascii="宋体" w:hAnsi="宋体" w:eastAsia="宋体" w:cs="宋体"/>
          <w:color w:val="auto"/>
          <w:highlight w:val="none"/>
        </w:rPr>
      </w:pPr>
    </w:p>
    <w:p w14:paraId="10873765">
      <w:pPr>
        <w:spacing w:line="360" w:lineRule="auto"/>
        <w:ind w:firstLine="420" w:firstLineChars="200"/>
        <w:rPr>
          <w:rFonts w:hint="eastAsia" w:ascii="宋体" w:hAnsi="宋体" w:eastAsia="宋体" w:cs="宋体"/>
          <w:color w:val="auto"/>
          <w:sz w:val="21"/>
          <w:szCs w:val="21"/>
          <w:highlight w:val="none"/>
        </w:rPr>
      </w:pPr>
    </w:p>
    <w:p w14:paraId="36A81106">
      <w:pPr>
        <w:spacing w:line="360" w:lineRule="auto"/>
        <w:ind w:firstLine="420" w:firstLineChars="200"/>
        <w:rPr>
          <w:rFonts w:hint="eastAsia" w:ascii="宋体" w:hAnsi="宋体" w:eastAsia="宋体" w:cs="宋体"/>
          <w:color w:val="auto"/>
          <w:sz w:val="21"/>
          <w:szCs w:val="21"/>
          <w:highlight w:val="none"/>
        </w:rPr>
      </w:pPr>
    </w:p>
    <w:p w14:paraId="192D5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57AE59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D5DF83B">
      <w:pPr>
        <w:spacing w:line="360" w:lineRule="auto"/>
        <w:ind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C86F">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21</w:t>
    </w:r>
    <w:r>
      <w:fldChar w:fldCharType="end"/>
    </w:r>
  </w:p>
  <w:p w14:paraId="6A43F22A">
    <w:pPr>
      <w:pStyle w:val="12"/>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55F5">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0FA9F">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50FA9F">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路桥区非道路移动机械治理项目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2152">
    <w:pPr>
      <w:pStyle w:val="13"/>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8EC3">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2461BD56"/>
    <w:multiLevelType w:val="singleLevel"/>
    <w:tmpl w:val="2461BD56"/>
    <w:lvl w:ilvl="0" w:tentative="0">
      <w:start w:val="3"/>
      <w:numFmt w:val="chineseCounting"/>
      <w:suff w:val="nothing"/>
      <w:lvlText w:val="（%1）"/>
      <w:lvlJc w:val="left"/>
      <w:rPr>
        <w:rFonts w:hint="eastAsia"/>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9C6908"/>
    <w:rsid w:val="009E7B9B"/>
    <w:rsid w:val="00BE3149"/>
    <w:rsid w:val="00D27694"/>
    <w:rsid w:val="00E04ED8"/>
    <w:rsid w:val="00FF74E6"/>
    <w:rsid w:val="016D4C32"/>
    <w:rsid w:val="017C3457"/>
    <w:rsid w:val="02033DFA"/>
    <w:rsid w:val="02380D19"/>
    <w:rsid w:val="0263032B"/>
    <w:rsid w:val="02640231"/>
    <w:rsid w:val="03010DEB"/>
    <w:rsid w:val="043F7FC4"/>
    <w:rsid w:val="04D910B5"/>
    <w:rsid w:val="05525550"/>
    <w:rsid w:val="061934E9"/>
    <w:rsid w:val="066E153A"/>
    <w:rsid w:val="073A3E1D"/>
    <w:rsid w:val="08390248"/>
    <w:rsid w:val="084A3762"/>
    <w:rsid w:val="08822F00"/>
    <w:rsid w:val="09125675"/>
    <w:rsid w:val="094B2DCA"/>
    <w:rsid w:val="09AA4D5C"/>
    <w:rsid w:val="09D451C6"/>
    <w:rsid w:val="09E03F7D"/>
    <w:rsid w:val="09F33DD0"/>
    <w:rsid w:val="09FA67D3"/>
    <w:rsid w:val="0AF64F0D"/>
    <w:rsid w:val="0C3C5E3F"/>
    <w:rsid w:val="0CA644D6"/>
    <w:rsid w:val="0D1F4CD0"/>
    <w:rsid w:val="0D434630"/>
    <w:rsid w:val="0D4A420F"/>
    <w:rsid w:val="0D502FCF"/>
    <w:rsid w:val="0F7E6199"/>
    <w:rsid w:val="0FE74D1C"/>
    <w:rsid w:val="10452B67"/>
    <w:rsid w:val="10667FE4"/>
    <w:rsid w:val="109F2C30"/>
    <w:rsid w:val="121665CB"/>
    <w:rsid w:val="1262442D"/>
    <w:rsid w:val="12A032D4"/>
    <w:rsid w:val="12EC03CE"/>
    <w:rsid w:val="12F17558"/>
    <w:rsid w:val="140034B3"/>
    <w:rsid w:val="148836A9"/>
    <w:rsid w:val="14B84A16"/>
    <w:rsid w:val="153A0A52"/>
    <w:rsid w:val="15782F5D"/>
    <w:rsid w:val="158E7346"/>
    <w:rsid w:val="15AE730C"/>
    <w:rsid w:val="15D11224"/>
    <w:rsid w:val="16403DB7"/>
    <w:rsid w:val="168339D9"/>
    <w:rsid w:val="171D6CDD"/>
    <w:rsid w:val="174332CA"/>
    <w:rsid w:val="17461D47"/>
    <w:rsid w:val="17B9072C"/>
    <w:rsid w:val="17D2330C"/>
    <w:rsid w:val="18156985"/>
    <w:rsid w:val="19590D80"/>
    <w:rsid w:val="19CE3838"/>
    <w:rsid w:val="19E91112"/>
    <w:rsid w:val="1A6B1E69"/>
    <w:rsid w:val="1B561DD8"/>
    <w:rsid w:val="1BCC21E4"/>
    <w:rsid w:val="1C136AA7"/>
    <w:rsid w:val="1C6D212E"/>
    <w:rsid w:val="1C7E5C21"/>
    <w:rsid w:val="1C990B3C"/>
    <w:rsid w:val="1CC61F19"/>
    <w:rsid w:val="1CCC7197"/>
    <w:rsid w:val="1CE74F29"/>
    <w:rsid w:val="1D465475"/>
    <w:rsid w:val="1DA83DED"/>
    <w:rsid w:val="1DBA6EF1"/>
    <w:rsid w:val="1EB63606"/>
    <w:rsid w:val="1EF07297"/>
    <w:rsid w:val="1F162724"/>
    <w:rsid w:val="1F323A94"/>
    <w:rsid w:val="201C7B31"/>
    <w:rsid w:val="20914375"/>
    <w:rsid w:val="20B74641"/>
    <w:rsid w:val="20ED3C16"/>
    <w:rsid w:val="218642E0"/>
    <w:rsid w:val="224700DF"/>
    <w:rsid w:val="22500B0D"/>
    <w:rsid w:val="22EB672F"/>
    <w:rsid w:val="23D6517B"/>
    <w:rsid w:val="23D8012C"/>
    <w:rsid w:val="23FD5C1B"/>
    <w:rsid w:val="242A1FE5"/>
    <w:rsid w:val="242B382A"/>
    <w:rsid w:val="244D0DE2"/>
    <w:rsid w:val="257E2CDC"/>
    <w:rsid w:val="25C5310A"/>
    <w:rsid w:val="25F57137"/>
    <w:rsid w:val="260A73EB"/>
    <w:rsid w:val="260B2287"/>
    <w:rsid w:val="26151D6C"/>
    <w:rsid w:val="261734BA"/>
    <w:rsid w:val="266C3097"/>
    <w:rsid w:val="27453C23"/>
    <w:rsid w:val="28DF5DEA"/>
    <w:rsid w:val="29265027"/>
    <w:rsid w:val="29682565"/>
    <w:rsid w:val="297024E8"/>
    <w:rsid w:val="29F00112"/>
    <w:rsid w:val="2A5728D1"/>
    <w:rsid w:val="2CDD2C0B"/>
    <w:rsid w:val="2D580808"/>
    <w:rsid w:val="2ED77AD3"/>
    <w:rsid w:val="2EFA2366"/>
    <w:rsid w:val="2F7B1BB4"/>
    <w:rsid w:val="2FBC45F2"/>
    <w:rsid w:val="30EB3632"/>
    <w:rsid w:val="31200E86"/>
    <w:rsid w:val="317E55D7"/>
    <w:rsid w:val="323740AF"/>
    <w:rsid w:val="32BD7223"/>
    <w:rsid w:val="32E75CE4"/>
    <w:rsid w:val="32E94054"/>
    <w:rsid w:val="33413EC8"/>
    <w:rsid w:val="334C40D6"/>
    <w:rsid w:val="346924F4"/>
    <w:rsid w:val="34772ADD"/>
    <w:rsid w:val="34EF0FC6"/>
    <w:rsid w:val="35173E74"/>
    <w:rsid w:val="36365E7F"/>
    <w:rsid w:val="36D706BD"/>
    <w:rsid w:val="36FC614A"/>
    <w:rsid w:val="374657D5"/>
    <w:rsid w:val="375E3075"/>
    <w:rsid w:val="37D96314"/>
    <w:rsid w:val="37EE586E"/>
    <w:rsid w:val="389654BC"/>
    <w:rsid w:val="389B23EA"/>
    <w:rsid w:val="395522EA"/>
    <w:rsid w:val="3A316D41"/>
    <w:rsid w:val="3A666E97"/>
    <w:rsid w:val="3A7A6F1E"/>
    <w:rsid w:val="3ADE5E41"/>
    <w:rsid w:val="3C77021F"/>
    <w:rsid w:val="3E41042A"/>
    <w:rsid w:val="3E6972FC"/>
    <w:rsid w:val="3F012022"/>
    <w:rsid w:val="3F95513E"/>
    <w:rsid w:val="402C7485"/>
    <w:rsid w:val="4033575D"/>
    <w:rsid w:val="409C6EC9"/>
    <w:rsid w:val="41126768"/>
    <w:rsid w:val="41656E5F"/>
    <w:rsid w:val="427256D6"/>
    <w:rsid w:val="42AD1E40"/>
    <w:rsid w:val="431E5B9D"/>
    <w:rsid w:val="434C2833"/>
    <w:rsid w:val="4364349F"/>
    <w:rsid w:val="44157670"/>
    <w:rsid w:val="44337C1C"/>
    <w:rsid w:val="45DC44DD"/>
    <w:rsid w:val="46615B41"/>
    <w:rsid w:val="476C394E"/>
    <w:rsid w:val="47C11F07"/>
    <w:rsid w:val="47E6400B"/>
    <w:rsid w:val="49246D1C"/>
    <w:rsid w:val="496F3A60"/>
    <w:rsid w:val="4A4275CD"/>
    <w:rsid w:val="4B261513"/>
    <w:rsid w:val="4BFD7FF6"/>
    <w:rsid w:val="4C5F1AE8"/>
    <w:rsid w:val="4CF72E0A"/>
    <w:rsid w:val="4DFA74A7"/>
    <w:rsid w:val="4E164181"/>
    <w:rsid w:val="4E3623E0"/>
    <w:rsid w:val="4E7D040D"/>
    <w:rsid w:val="4EF20F2C"/>
    <w:rsid w:val="4F751FDB"/>
    <w:rsid w:val="4FCF0F45"/>
    <w:rsid w:val="512F48CB"/>
    <w:rsid w:val="51376036"/>
    <w:rsid w:val="51B42C71"/>
    <w:rsid w:val="51F438E6"/>
    <w:rsid w:val="52103381"/>
    <w:rsid w:val="5223437A"/>
    <w:rsid w:val="52981B2E"/>
    <w:rsid w:val="539063B7"/>
    <w:rsid w:val="54206A1C"/>
    <w:rsid w:val="54CF56D2"/>
    <w:rsid w:val="5542113A"/>
    <w:rsid w:val="5647442E"/>
    <w:rsid w:val="566A1031"/>
    <w:rsid w:val="567459BC"/>
    <w:rsid w:val="576854F7"/>
    <w:rsid w:val="5801790F"/>
    <w:rsid w:val="580B08CE"/>
    <w:rsid w:val="59BD2FCE"/>
    <w:rsid w:val="59C00238"/>
    <w:rsid w:val="5A201958"/>
    <w:rsid w:val="5A2118E4"/>
    <w:rsid w:val="5BB23588"/>
    <w:rsid w:val="5C314E44"/>
    <w:rsid w:val="5CC35C70"/>
    <w:rsid w:val="5D634E68"/>
    <w:rsid w:val="5DA2673D"/>
    <w:rsid w:val="5E482992"/>
    <w:rsid w:val="5E802598"/>
    <w:rsid w:val="5EC17F8C"/>
    <w:rsid w:val="5FE071C5"/>
    <w:rsid w:val="60147621"/>
    <w:rsid w:val="601B6DA8"/>
    <w:rsid w:val="60306A6C"/>
    <w:rsid w:val="60484F6C"/>
    <w:rsid w:val="618020D7"/>
    <w:rsid w:val="61CC6311"/>
    <w:rsid w:val="62902BCA"/>
    <w:rsid w:val="6394251A"/>
    <w:rsid w:val="63971026"/>
    <w:rsid w:val="64040840"/>
    <w:rsid w:val="64A11290"/>
    <w:rsid w:val="652B6918"/>
    <w:rsid w:val="65EA56BD"/>
    <w:rsid w:val="664E3797"/>
    <w:rsid w:val="66950943"/>
    <w:rsid w:val="66966875"/>
    <w:rsid w:val="66E62AEE"/>
    <w:rsid w:val="67BF6058"/>
    <w:rsid w:val="67CE326A"/>
    <w:rsid w:val="68A5736D"/>
    <w:rsid w:val="69703D8E"/>
    <w:rsid w:val="6A0000E9"/>
    <w:rsid w:val="6A341737"/>
    <w:rsid w:val="6A4200C0"/>
    <w:rsid w:val="6A4255AD"/>
    <w:rsid w:val="6AD211AF"/>
    <w:rsid w:val="6B0242A5"/>
    <w:rsid w:val="6B5B2936"/>
    <w:rsid w:val="6C837317"/>
    <w:rsid w:val="6D643BB1"/>
    <w:rsid w:val="6DA724FC"/>
    <w:rsid w:val="6F52577A"/>
    <w:rsid w:val="6FA462B1"/>
    <w:rsid w:val="6FB47993"/>
    <w:rsid w:val="70C3769A"/>
    <w:rsid w:val="70D7550E"/>
    <w:rsid w:val="71D23A68"/>
    <w:rsid w:val="71DF5AF3"/>
    <w:rsid w:val="720C7DC2"/>
    <w:rsid w:val="742D2858"/>
    <w:rsid w:val="748266FC"/>
    <w:rsid w:val="7537199C"/>
    <w:rsid w:val="75520D4A"/>
    <w:rsid w:val="757D0DA2"/>
    <w:rsid w:val="75D44605"/>
    <w:rsid w:val="75F6649A"/>
    <w:rsid w:val="767D593D"/>
    <w:rsid w:val="76E605BF"/>
    <w:rsid w:val="770A7D21"/>
    <w:rsid w:val="78336CB1"/>
    <w:rsid w:val="78BA7D06"/>
    <w:rsid w:val="78E41C51"/>
    <w:rsid w:val="79845717"/>
    <w:rsid w:val="79B969C0"/>
    <w:rsid w:val="79E635AB"/>
    <w:rsid w:val="79F97C93"/>
    <w:rsid w:val="7A58452D"/>
    <w:rsid w:val="7A8A0DB7"/>
    <w:rsid w:val="7B1D1782"/>
    <w:rsid w:val="7B376CA9"/>
    <w:rsid w:val="7B447CBA"/>
    <w:rsid w:val="7BAA7A6F"/>
    <w:rsid w:val="7BEB0099"/>
    <w:rsid w:val="7C4F57E3"/>
    <w:rsid w:val="7DBD0412"/>
    <w:rsid w:val="7E2131B9"/>
    <w:rsid w:val="7E4E7602"/>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autoRedefine/>
    <w:qFormat/>
    <w:uiPriority w:val="0"/>
    <w:pPr>
      <w:ind w:firstLine="420"/>
    </w:pPr>
    <w:rPr>
      <w:szCs w:val="20"/>
    </w:rPr>
  </w:style>
  <w:style w:type="paragraph" w:styleId="7">
    <w:name w:val="Body Text Indent"/>
    <w:basedOn w:val="1"/>
    <w:next w:val="1"/>
    <w:link w:val="30"/>
    <w:autoRedefine/>
    <w:qFormat/>
    <w:uiPriority w:val="99"/>
    <w:pPr>
      <w:spacing w:after="120"/>
      <w:ind w:left="420" w:leftChars="200"/>
    </w:pPr>
  </w:style>
  <w:style w:type="paragraph" w:styleId="8">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9">
    <w:name w:val="Plain Text"/>
    <w:basedOn w:val="1"/>
    <w:next w:val="10"/>
    <w:autoRedefine/>
    <w:qFormat/>
    <w:uiPriority w:val="0"/>
    <w:rPr>
      <w:rFonts w:ascii="宋体" w:hAnsi="Courier New" w:cstheme="minorBidi"/>
    </w:rPr>
  </w:style>
  <w:style w:type="paragraph" w:styleId="10">
    <w:name w:val="Date"/>
    <w:basedOn w:val="1"/>
    <w:next w:val="1"/>
    <w:autoRedefine/>
    <w:qFormat/>
    <w:uiPriority w:val="99"/>
    <w:pPr>
      <w:ind w:left="2500" w:leftChars="2500"/>
    </w:pPr>
    <w:rPr>
      <w:rFonts w:ascii="Calibri" w:hAnsi="Calibri" w:eastAsia="楷体_GB2312"/>
      <w:sz w:val="32"/>
      <w:szCs w:val="22"/>
    </w:r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7">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8">
    <w:name w:val="Body Text First Indent 2"/>
    <w:basedOn w:val="7"/>
    <w:autoRedefine/>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ascii="Tahoma" w:hAnsi="Tahoma" w:cs="Tahoma"/>
      <w:b/>
      <w:sz w:val="24"/>
    </w:rPr>
  </w:style>
  <w:style w:type="character" w:styleId="23">
    <w:name w:val="page number"/>
    <w:basedOn w:val="21"/>
    <w:autoRedefine/>
    <w:qFormat/>
    <w:uiPriority w:val="0"/>
  </w:style>
  <w:style w:type="character" w:styleId="24">
    <w:name w:val="Hyperlink"/>
    <w:autoRedefine/>
    <w:unhideWhenUsed/>
    <w:qFormat/>
    <w:uiPriority w:val="0"/>
    <w:rPr>
      <w:color w:val="0000FF"/>
      <w:u w:val="single"/>
    </w:rPr>
  </w:style>
  <w:style w:type="paragraph" w:customStyle="1" w:styleId="25">
    <w:name w:val="[Normal]"/>
    <w:autoRedefine/>
    <w:qFormat/>
    <w:uiPriority w:val="0"/>
    <w:rPr>
      <w:rFonts w:ascii="宋体" w:hAnsi="宋体" w:eastAsia="宋体" w:cs="Times New Roman"/>
      <w:sz w:val="24"/>
      <w:szCs w:val="22"/>
      <w:lang w:val="zh-CN" w:eastAsia="zh-CN" w:bidi="ar-SA"/>
    </w:rPr>
  </w:style>
  <w:style w:type="paragraph" w:customStyle="1" w:styleId="26">
    <w:name w:val="正文首行缩进1"/>
    <w:basedOn w:val="2"/>
    <w:autoRedefine/>
    <w:qFormat/>
    <w:uiPriority w:val="0"/>
    <w:pPr>
      <w:ind w:firstLine="420" w:firstLineChars="100"/>
    </w:pPr>
  </w:style>
  <w:style w:type="character" w:customStyle="1" w:styleId="27">
    <w:name w:val="页眉 Char"/>
    <w:basedOn w:val="21"/>
    <w:link w:val="13"/>
    <w:autoRedefine/>
    <w:semiHidden/>
    <w:qFormat/>
    <w:uiPriority w:val="99"/>
    <w:rPr>
      <w:sz w:val="18"/>
      <w:szCs w:val="18"/>
    </w:rPr>
  </w:style>
  <w:style w:type="character" w:customStyle="1" w:styleId="28">
    <w:name w:val="页脚 Char"/>
    <w:basedOn w:val="21"/>
    <w:link w:val="12"/>
    <w:autoRedefine/>
    <w:semiHidden/>
    <w:qFormat/>
    <w:uiPriority w:val="99"/>
    <w:rPr>
      <w:sz w:val="18"/>
      <w:szCs w:val="18"/>
    </w:rPr>
  </w:style>
  <w:style w:type="character" w:customStyle="1" w:styleId="29">
    <w:name w:val="正文文本 Char"/>
    <w:basedOn w:val="21"/>
    <w:link w:val="2"/>
    <w:autoRedefine/>
    <w:semiHidden/>
    <w:qFormat/>
    <w:uiPriority w:val="99"/>
    <w:rPr>
      <w:rFonts w:ascii="Times New Roman" w:hAnsi="Times New Roman" w:eastAsia="宋体" w:cs="Times New Roman"/>
      <w:szCs w:val="24"/>
    </w:rPr>
  </w:style>
  <w:style w:type="character" w:customStyle="1" w:styleId="30">
    <w:name w:val="正文文本缩进 Char"/>
    <w:basedOn w:val="21"/>
    <w:link w:val="7"/>
    <w:autoRedefine/>
    <w:qFormat/>
    <w:uiPriority w:val="99"/>
    <w:rPr>
      <w:rFonts w:ascii="Times New Roman" w:hAnsi="Times New Roman" w:eastAsia="宋体" w:cs="Times New Roman"/>
      <w:szCs w:val="24"/>
    </w:rPr>
  </w:style>
  <w:style w:type="character" w:customStyle="1" w:styleId="31">
    <w:name w:val="批注框文本 Char"/>
    <w:basedOn w:val="21"/>
    <w:link w:val="11"/>
    <w:autoRedefine/>
    <w:semiHidden/>
    <w:qFormat/>
    <w:uiPriority w:val="99"/>
    <w:rPr>
      <w:rFonts w:ascii="Times New Roman" w:hAnsi="Times New Roman" w:eastAsia="宋体" w:cs="Times New Roman"/>
      <w:sz w:val="18"/>
      <w:szCs w:val="18"/>
    </w:rPr>
  </w:style>
  <w:style w:type="character" w:customStyle="1" w:styleId="32">
    <w:name w:val="无"/>
    <w:autoRedefine/>
    <w:qFormat/>
    <w:uiPriority w:val="99"/>
  </w:style>
  <w:style w:type="paragraph" w:customStyle="1" w:styleId="33">
    <w:name w:val="表格文字"/>
    <w:basedOn w:val="7"/>
    <w:next w:val="2"/>
    <w:autoRedefine/>
    <w:qFormat/>
    <w:uiPriority w:val="99"/>
    <w:pPr>
      <w:adjustRightInd w:val="0"/>
      <w:spacing w:line="420" w:lineRule="atLeast"/>
      <w:jc w:val="left"/>
      <w:textAlignment w:val="baseline"/>
    </w:pPr>
    <w:rPr>
      <w:kern w:val="0"/>
    </w:rPr>
  </w:style>
  <w:style w:type="paragraph" w:customStyle="1" w:styleId="34">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7">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4"/>
    <w:autoRedefine/>
    <w:qFormat/>
    <w:uiPriority w:val="99"/>
    <w:rPr>
      <w:rFonts w:ascii="Times New Roman" w:hAnsi="Times New Roman" w:eastAsia="宋体" w:cs="Times New Roman"/>
      <w:sz w:val="21"/>
      <w:szCs w:val="22"/>
      <w:lang w:val="en-US" w:eastAsia="zh-CN" w:bidi="ar-SA"/>
    </w:rPr>
  </w:style>
  <w:style w:type="paragraph" w:customStyle="1" w:styleId="39">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3"/>
    <w:basedOn w:val="41"/>
    <w:autoRedefine/>
    <w:qFormat/>
    <w:uiPriority w:val="99"/>
    <w:pPr>
      <w:widowControl/>
      <w:jc w:val="left"/>
    </w:pPr>
    <w:rPr>
      <w:rFonts w:ascii="宋体" w:hAnsi="Courier New"/>
      <w:szCs w:val="21"/>
    </w:rPr>
  </w:style>
  <w:style w:type="paragraph" w:customStyle="1" w:styleId="43">
    <w:name w:val="纯文本_0_1"/>
    <w:basedOn w:val="1"/>
    <w:autoRedefine/>
    <w:qFormat/>
    <w:uiPriority w:val="99"/>
    <w:pPr>
      <w:widowControl/>
      <w:jc w:val="left"/>
    </w:pPr>
    <w:rPr>
      <w:rFonts w:ascii="宋体" w:hAnsi="Courier New"/>
      <w:szCs w:val="21"/>
    </w:rPr>
  </w:style>
  <w:style w:type="paragraph" w:customStyle="1" w:styleId="44">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49">
    <w:name w:val="p0"/>
    <w:basedOn w:val="1"/>
    <w:autoRedefine/>
    <w:qFormat/>
    <w:uiPriority w:val="0"/>
    <w:pPr>
      <w:widowControl/>
    </w:pPr>
    <w:rPr>
      <w:rFonts w:ascii="Calibri" w:hAnsi="Calibri" w:cs="宋体"/>
      <w:kern w:val="0"/>
      <w:szCs w:val="21"/>
    </w:rPr>
  </w:style>
  <w:style w:type="paragraph" w:styleId="50">
    <w:name w:val="List Paragraph"/>
    <w:basedOn w:val="1"/>
    <w:autoRedefine/>
    <w:qFormat/>
    <w:uiPriority w:val="0"/>
    <w:pPr>
      <w:ind w:firstLine="420" w:firstLineChars="200"/>
    </w:pPr>
    <w:rPr>
      <w:szCs w:val="24"/>
    </w:rPr>
  </w:style>
  <w:style w:type="paragraph" w:customStyle="1" w:styleId="51">
    <w:name w:val="纯文本1"/>
    <w:basedOn w:val="48"/>
    <w:autoRedefine/>
    <w:qFormat/>
    <w:uiPriority w:val="0"/>
    <w:pPr>
      <w:widowControl/>
      <w:jc w:val="left"/>
    </w:pPr>
    <w:rPr>
      <w:rFonts w:ascii="宋体" w:hAnsi="Courier New"/>
      <w:szCs w:val="20"/>
    </w:rPr>
  </w:style>
  <w:style w:type="paragraph" w:customStyle="1" w:styleId="52">
    <w:name w:val="正文（首行缩进2字符）"/>
    <w:basedOn w:val="1"/>
    <w:autoRedefine/>
    <w:qFormat/>
    <w:uiPriority w:val="0"/>
    <w:pPr>
      <w:ind w:firstLine="480" w:firstLineChars="200"/>
    </w:pPr>
    <w:rPr>
      <w:sz w:val="24"/>
      <w:szCs w:val="20"/>
    </w:rPr>
  </w:style>
  <w:style w:type="character" w:customStyle="1" w:styleId="53">
    <w:name w:val="NormalCharacter"/>
    <w:autoRedefine/>
    <w:semiHidden/>
    <w:qFormat/>
    <w:uiPriority w:val="0"/>
  </w:style>
  <w:style w:type="paragraph" w:customStyle="1" w:styleId="54">
    <w:name w:val="正文2"/>
    <w:basedOn w:val="1"/>
    <w:autoRedefine/>
    <w:qFormat/>
    <w:uiPriority w:val="0"/>
    <w:pPr>
      <w:spacing w:before="156" w:line="360" w:lineRule="auto"/>
      <w:ind w:firstLine="510" w:firstLineChars="200"/>
    </w:pPr>
    <w:rPr>
      <w:sz w:val="24"/>
      <w:szCs w:val="20"/>
    </w:rPr>
  </w:style>
  <w:style w:type="paragraph" w:customStyle="1" w:styleId="55">
    <w:name w:val="BodyText"/>
    <w:basedOn w:val="1"/>
    <w:qFormat/>
    <w:uiPriority w:val="0"/>
    <w:pPr>
      <w:spacing w:line="360" w:lineRule="exact"/>
    </w:pPr>
    <w:rPr>
      <w:sz w:val="24"/>
    </w:rPr>
  </w:style>
  <w:style w:type="paragraph" w:customStyle="1" w:styleId="56">
    <w:name w:val="一级标题"/>
    <w:basedOn w:val="1"/>
    <w:next w:val="2"/>
    <w:qFormat/>
    <w:uiPriority w:val="0"/>
    <w:pPr>
      <w:outlineLvl w:val="0"/>
    </w:pPr>
    <w:rPr>
      <w:rFonts w:cs="仿宋" w:asciiTheme="minorHAnsi" w:hAnsiTheme="minorHAnsi" w:eastAsiaTheme="minorEastAsia"/>
      <w:b/>
      <w:bCs/>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30986</Words>
  <Characters>32877</Characters>
  <Lines>1</Lines>
  <Paragraphs>1</Paragraphs>
  <TotalTime>31</TotalTime>
  <ScaleCrop>false</ScaleCrop>
  <LinksUpToDate>false</LinksUpToDate>
  <CharactersWithSpaces>33996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2024-08-19T07:58:31Z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942C9DBE575B43C89E5994BF5FF67867_13</vt:lpwstr>
  </property>
  <property fmtid="{D5CDD505-2E9C-101B-9397-08002B2CF9AE}" pid="4" name="commondata">
    <vt:lpwstr>eyJoZGlkIjoiNmNiNWQzMTIyZDkyNWQ5MzYxMmQ5MTE1ZmU3YjE0M2QifQ==</vt:lpwstr>
  </property>
</Properties>
</file>