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8893957">
      <w:pPr>
        <w:rPr>
          <w:rFonts w:hint="eastAsia" w:ascii="宋体" w:hAnsi="宋体" w:eastAsia="宋体" w:cs="宋体"/>
          <w:color w:val="auto"/>
          <w:highlight w:val="none"/>
        </w:rPr>
      </w:pPr>
      <w:bookmarkStart w:id="2" w:name="_GoBack"/>
    </w:p>
    <w:p w14:paraId="312C0D65">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0D5029DF">
      <w:pPr>
        <w:pStyle w:val="2"/>
        <w:jc w:val="center"/>
        <w:rPr>
          <w:rFonts w:hint="eastAsia" w:ascii="宋体" w:hAnsi="宋体" w:eastAsia="宋体" w:cs="宋体"/>
          <w:color w:val="auto"/>
          <w:highlight w:val="none"/>
        </w:rPr>
      </w:pPr>
    </w:p>
    <w:p w14:paraId="709E95C2">
      <w:pPr>
        <w:pStyle w:val="2"/>
        <w:jc w:val="center"/>
        <w:rPr>
          <w:rFonts w:hint="eastAsia" w:ascii="宋体" w:hAnsi="宋体" w:eastAsia="宋体" w:cs="宋体"/>
          <w:color w:val="auto"/>
          <w:highlight w:val="none"/>
        </w:rPr>
      </w:pPr>
    </w:p>
    <w:p w14:paraId="176F4CCC">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0E234D6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37EF33D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6A42AA5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67338BE3">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3B9F25D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tzya2024-lq74</w:t>
      </w:r>
      <w:r>
        <w:rPr>
          <w:rFonts w:hint="eastAsia" w:ascii="宋体" w:hAnsi="宋体" w:eastAsia="宋体" w:cs="宋体"/>
          <w:color w:val="auto"/>
          <w:kern w:val="0"/>
          <w:sz w:val="28"/>
          <w:szCs w:val="28"/>
          <w:highlight w:val="none"/>
          <w:u w:val="single"/>
          <w:lang w:val="en-US" w:eastAsia="zh-CN"/>
        </w:rPr>
        <w:t xml:space="preserve"> </w:t>
      </w:r>
    </w:p>
    <w:p w14:paraId="078D2693">
      <w:pPr>
        <w:pStyle w:val="2"/>
        <w:jc w:val="center"/>
        <w:rPr>
          <w:rFonts w:hint="eastAsia" w:ascii="宋体" w:hAnsi="宋体" w:eastAsia="宋体" w:cs="宋体"/>
          <w:color w:val="auto"/>
          <w:highlight w:val="none"/>
        </w:rPr>
      </w:pPr>
    </w:p>
    <w:p w14:paraId="0220EDF1">
      <w:pPr>
        <w:pStyle w:val="2"/>
        <w:jc w:val="both"/>
        <w:rPr>
          <w:rFonts w:hint="eastAsia" w:ascii="宋体" w:hAnsi="宋体" w:eastAsia="宋体" w:cs="宋体"/>
          <w:color w:val="auto"/>
          <w:highlight w:val="none"/>
        </w:rPr>
      </w:pPr>
    </w:p>
    <w:p w14:paraId="4D25EF94">
      <w:pPr>
        <w:pStyle w:val="2"/>
        <w:jc w:val="center"/>
        <w:rPr>
          <w:rFonts w:hint="eastAsia" w:ascii="宋体" w:hAnsi="宋体" w:eastAsia="宋体" w:cs="宋体"/>
          <w:color w:val="auto"/>
          <w:highlight w:val="none"/>
        </w:rPr>
      </w:pPr>
    </w:p>
    <w:p w14:paraId="3A58D109">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2024年路桥区海洋空间资源开发利用监测评估项目</w:t>
      </w:r>
    </w:p>
    <w:p w14:paraId="33445D08">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台州市自然资源和规划局路桥分局</w:t>
      </w:r>
    </w:p>
    <w:p w14:paraId="4FEFFA61">
      <w:pPr>
        <w:pStyle w:val="2"/>
        <w:rPr>
          <w:rFonts w:hint="eastAsia" w:ascii="宋体" w:hAnsi="宋体" w:eastAsia="宋体" w:cs="宋体"/>
          <w:color w:val="auto"/>
          <w:highlight w:val="none"/>
        </w:rPr>
      </w:pPr>
    </w:p>
    <w:p w14:paraId="2ACD0F6E">
      <w:pPr>
        <w:pStyle w:val="2"/>
        <w:rPr>
          <w:rFonts w:hint="eastAsia" w:ascii="宋体" w:hAnsi="宋体" w:eastAsia="宋体" w:cs="宋体"/>
          <w:color w:val="auto"/>
          <w:highlight w:val="none"/>
        </w:rPr>
      </w:pPr>
    </w:p>
    <w:p w14:paraId="6C95E943">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57ACCD09">
      <w:pPr>
        <w:pStyle w:val="2"/>
        <w:rPr>
          <w:rFonts w:hint="eastAsia" w:ascii="宋体" w:hAnsi="宋体" w:eastAsia="宋体" w:cs="宋体"/>
          <w:color w:val="auto"/>
          <w:highlight w:val="none"/>
        </w:rPr>
      </w:pPr>
    </w:p>
    <w:p w14:paraId="7D307D3F">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二四年七月</w:t>
      </w:r>
    </w:p>
    <w:p w14:paraId="1C220353">
      <w:pPr>
        <w:pStyle w:val="2"/>
        <w:jc w:val="center"/>
        <w:rPr>
          <w:rFonts w:hint="eastAsia" w:ascii="宋体" w:hAnsi="宋体" w:eastAsia="宋体" w:cs="宋体"/>
          <w:color w:val="auto"/>
          <w:kern w:val="0"/>
          <w:szCs w:val="21"/>
          <w:highlight w:val="none"/>
        </w:rPr>
      </w:pPr>
    </w:p>
    <w:p w14:paraId="1E3B6C26">
      <w:pPr>
        <w:pStyle w:val="2"/>
        <w:jc w:val="both"/>
        <w:rPr>
          <w:rFonts w:hint="eastAsia" w:ascii="宋体" w:hAnsi="宋体" w:eastAsia="宋体" w:cs="宋体"/>
          <w:color w:val="auto"/>
          <w:highlight w:val="none"/>
        </w:rPr>
      </w:pPr>
    </w:p>
    <w:p w14:paraId="63F70ACE">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132E882">
      <w:pPr>
        <w:spacing w:line="360" w:lineRule="auto"/>
        <w:rPr>
          <w:rFonts w:hint="eastAsia" w:ascii="宋体" w:hAnsi="宋体" w:eastAsia="宋体" w:cs="宋体"/>
          <w:color w:val="auto"/>
          <w:sz w:val="28"/>
          <w:szCs w:val="28"/>
          <w:highlight w:val="none"/>
        </w:rPr>
      </w:pPr>
    </w:p>
    <w:p w14:paraId="41E71A2A">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682B578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698B150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0F30B98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5C1DEDF8">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2F893DF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E6ABFB1">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14F7018F">
      <w:pPr>
        <w:pStyle w:val="2"/>
        <w:jc w:val="center"/>
        <w:rPr>
          <w:rFonts w:hint="eastAsia" w:ascii="宋体" w:hAnsi="宋体" w:eastAsia="宋体" w:cs="宋体"/>
          <w:color w:val="auto"/>
          <w:highlight w:val="none"/>
        </w:rPr>
      </w:pPr>
    </w:p>
    <w:p w14:paraId="10CA6B85">
      <w:pPr>
        <w:pStyle w:val="2"/>
        <w:jc w:val="center"/>
        <w:rPr>
          <w:rFonts w:hint="eastAsia" w:ascii="宋体" w:hAnsi="宋体" w:eastAsia="宋体" w:cs="宋体"/>
          <w:color w:val="auto"/>
          <w:highlight w:val="none"/>
        </w:rPr>
      </w:pPr>
    </w:p>
    <w:p w14:paraId="4BF1BE54">
      <w:pPr>
        <w:pStyle w:val="2"/>
        <w:jc w:val="center"/>
        <w:rPr>
          <w:rFonts w:hint="eastAsia" w:ascii="宋体" w:hAnsi="宋体" w:eastAsia="宋体" w:cs="宋体"/>
          <w:color w:val="auto"/>
          <w:highlight w:val="none"/>
        </w:rPr>
      </w:pPr>
    </w:p>
    <w:p w14:paraId="705CFCCA">
      <w:pPr>
        <w:pStyle w:val="2"/>
        <w:jc w:val="center"/>
        <w:rPr>
          <w:rFonts w:hint="eastAsia" w:ascii="宋体" w:hAnsi="宋体" w:eastAsia="宋体" w:cs="宋体"/>
          <w:color w:val="auto"/>
          <w:highlight w:val="none"/>
        </w:rPr>
      </w:pPr>
    </w:p>
    <w:p w14:paraId="2F850CCF">
      <w:pPr>
        <w:pStyle w:val="2"/>
        <w:jc w:val="center"/>
        <w:rPr>
          <w:rFonts w:hint="eastAsia" w:ascii="宋体" w:hAnsi="宋体" w:eastAsia="宋体" w:cs="宋体"/>
          <w:color w:val="auto"/>
          <w:highlight w:val="none"/>
        </w:rPr>
      </w:pPr>
    </w:p>
    <w:p w14:paraId="1E1A5E5B">
      <w:pPr>
        <w:pStyle w:val="2"/>
        <w:jc w:val="center"/>
        <w:rPr>
          <w:rFonts w:hint="eastAsia" w:ascii="宋体" w:hAnsi="宋体" w:eastAsia="宋体" w:cs="宋体"/>
          <w:color w:val="auto"/>
          <w:highlight w:val="none"/>
        </w:rPr>
      </w:pPr>
    </w:p>
    <w:p w14:paraId="589490BB">
      <w:pPr>
        <w:pStyle w:val="2"/>
        <w:jc w:val="center"/>
        <w:rPr>
          <w:rFonts w:hint="eastAsia" w:ascii="宋体" w:hAnsi="宋体" w:eastAsia="宋体" w:cs="宋体"/>
          <w:color w:val="auto"/>
          <w:highlight w:val="none"/>
        </w:rPr>
      </w:pPr>
    </w:p>
    <w:p w14:paraId="63291F6C">
      <w:pPr>
        <w:pStyle w:val="2"/>
        <w:jc w:val="center"/>
        <w:rPr>
          <w:rFonts w:hint="eastAsia" w:ascii="宋体" w:hAnsi="宋体" w:eastAsia="宋体" w:cs="宋体"/>
          <w:color w:val="auto"/>
          <w:highlight w:val="none"/>
        </w:rPr>
      </w:pPr>
    </w:p>
    <w:p w14:paraId="416BB246">
      <w:pPr>
        <w:pStyle w:val="2"/>
        <w:jc w:val="center"/>
        <w:rPr>
          <w:rFonts w:hint="eastAsia" w:ascii="宋体" w:hAnsi="宋体" w:eastAsia="宋体" w:cs="宋体"/>
          <w:color w:val="auto"/>
          <w:highlight w:val="none"/>
        </w:rPr>
      </w:pPr>
    </w:p>
    <w:p w14:paraId="4F045554">
      <w:pPr>
        <w:pStyle w:val="2"/>
        <w:jc w:val="center"/>
        <w:rPr>
          <w:rFonts w:hint="eastAsia" w:ascii="宋体" w:hAnsi="宋体" w:eastAsia="宋体" w:cs="宋体"/>
          <w:color w:val="auto"/>
          <w:highlight w:val="none"/>
        </w:rPr>
      </w:pPr>
    </w:p>
    <w:p w14:paraId="4FE7558A">
      <w:pPr>
        <w:pStyle w:val="2"/>
        <w:jc w:val="center"/>
        <w:rPr>
          <w:rFonts w:hint="eastAsia" w:ascii="宋体" w:hAnsi="宋体" w:eastAsia="宋体" w:cs="宋体"/>
          <w:color w:val="auto"/>
          <w:highlight w:val="none"/>
        </w:rPr>
      </w:pPr>
    </w:p>
    <w:p w14:paraId="1CC23DD7">
      <w:pPr>
        <w:pStyle w:val="2"/>
        <w:jc w:val="center"/>
        <w:rPr>
          <w:rFonts w:hint="eastAsia" w:ascii="宋体" w:hAnsi="宋体" w:eastAsia="宋体" w:cs="宋体"/>
          <w:color w:val="auto"/>
          <w:highlight w:val="none"/>
        </w:rPr>
      </w:pPr>
    </w:p>
    <w:p w14:paraId="5BD5651C">
      <w:pPr>
        <w:pStyle w:val="3"/>
        <w:rPr>
          <w:rFonts w:hint="eastAsia" w:ascii="宋体" w:hAnsi="宋体" w:eastAsia="宋体" w:cs="宋体"/>
          <w:color w:val="auto"/>
          <w:highlight w:val="none"/>
        </w:rPr>
      </w:pPr>
    </w:p>
    <w:p w14:paraId="7FF52847">
      <w:pPr>
        <w:pStyle w:val="3"/>
        <w:rPr>
          <w:rFonts w:hint="eastAsia" w:ascii="宋体" w:hAnsi="宋体" w:eastAsia="宋体" w:cs="宋体"/>
          <w:color w:val="auto"/>
          <w:highlight w:val="none"/>
        </w:rPr>
      </w:pPr>
    </w:p>
    <w:p w14:paraId="573B308A">
      <w:pPr>
        <w:pStyle w:val="2"/>
        <w:jc w:val="center"/>
        <w:rPr>
          <w:rFonts w:hint="eastAsia" w:ascii="宋体" w:hAnsi="宋体" w:eastAsia="宋体" w:cs="宋体"/>
          <w:color w:val="auto"/>
          <w:highlight w:val="none"/>
        </w:rPr>
      </w:pPr>
    </w:p>
    <w:p w14:paraId="0D2E8E05">
      <w:pPr>
        <w:pStyle w:val="3"/>
        <w:rPr>
          <w:rFonts w:hint="eastAsia" w:ascii="宋体" w:hAnsi="宋体" w:eastAsia="宋体" w:cs="宋体"/>
          <w:color w:val="auto"/>
          <w:highlight w:val="none"/>
        </w:rPr>
      </w:pPr>
    </w:p>
    <w:p w14:paraId="04BDFD2A">
      <w:pPr>
        <w:pStyle w:val="2"/>
        <w:jc w:val="center"/>
        <w:rPr>
          <w:rFonts w:hint="eastAsia" w:ascii="宋体" w:hAnsi="宋体" w:eastAsia="宋体" w:cs="宋体"/>
          <w:color w:val="auto"/>
          <w:highlight w:val="none"/>
        </w:rPr>
      </w:pPr>
    </w:p>
    <w:p w14:paraId="5ADFA0C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7F3FC6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台州市自然资源和规划局路桥分局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2024年路桥区海洋空间资源开发利用监测评估项目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467A7FD5">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根据《政府向社会力量购买服务指导性目录（2024年）》中A1703内容以及《政府采购竞争性磋商采购方式管理暂行办法》第一章第三条：“符合下列情形的项目，可以采用竞争性磋商方式开展采购：政府购买服务项目”，2024年路桥区海洋空间资源开发利用监测评估项目 符合此条款要求，可采用竞争性磋商采购。</w:t>
      </w:r>
    </w:p>
    <w:p w14:paraId="3CC0905D">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tzya2024-lq74</w:t>
      </w:r>
    </w:p>
    <w:p w14:paraId="43853E4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695"/>
        <w:gridCol w:w="777"/>
        <w:gridCol w:w="982"/>
        <w:gridCol w:w="2072"/>
      </w:tblGrid>
      <w:tr w14:paraId="2181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265E430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2937015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05" w:type="dxa"/>
            <w:noWrap w:val="0"/>
            <w:vAlign w:val="center"/>
          </w:tcPr>
          <w:p w14:paraId="7DCC72C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5" w:type="dxa"/>
            <w:noWrap w:val="0"/>
            <w:vAlign w:val="center"/>
          </w:tcPr>
          <w:p w14:paraId="5E4DAF0D">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7" w:type="dxa"/>
            <w:noWrap w:val="0"/>
            <w:vAlign w:val="center"/>
          </w:tcPr>
          <w:p w14:paraId="7E6AAB10">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982" w:type="dxa"/>
            <w:noWrap w:val="0"/>
            <w:vAlign w:val="center"/>
          </w:tcPr>
          <w:p w14:paraId="6D000DD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565C836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072" w:type="dxa"/>
            <w:noWrap w:val="0"/>
            <w:vAlign w:val="center"/>
          </w:tcPr>
          <w:p w14:paraId="69646CFF">
            <w:pPr>
              <w:tabs>
                <w:tab w:val="left" w:pos="8280"/>
              </w:tabs>
              <w:autoSpaceDE w:val="0"/>
              <w:autoSpaceDN w:val="0"/>
              <w:adjustRightInd w:val="0"/>
              <w:ind w:right="25" w:rightChars="0" w:firstLine="24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备注</w:t>
            </w:r>
          </w:p>
        </w:tc>
      </w:tr>
      <w:tr w14:paraId="50A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63E46B0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00D8154F">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2024年路桥区海洋空间资源开发利用监测评估项目</w:t>
            </w:r>
          </w:p>
        </w:tc>
        <w:tc>
          <w:tcPr>
            <w:tcW w:w="1105" w:type="dxa"/>
            <w:noWrap w:val="0"/>
            <w:vAlign w:val="center"/>
          </w:tcPr>
          <w:p w14:paraId="20E1101D">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695" w:type="dxa"/>
            <w:noWrap w:val="0"/>
            <w:vAlign w:val="center"/>
          </w:tcPr>
          <w:p w14:paraId="7178C6C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dxa"/>
            <w:noWrap w:val="0"/>
            <w:vAlign w:val="center"/>
          </w:tcPr>
          <w:p w14:paraId="17EEDDEB">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982" w:type="dxa"/>
            <w:noWrap w:val="0"/>
            <w:vAlign w:val="center"/>
          </w:tcPr>
          <w:p w14:paraId="5BD90212">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133</w:t>
            </w:r>
          </w:p>
        </w:tc>
        <w:tc>
          <w:tcPr>
            <w:tcW w:w="2072" w:type="dxa"/>
            <w:noWrap w:val="0"/>
            <w:vAlign w:val="center"/>
          </w:tcPr>
          <w:p w14:paraId="5939661B">
            <w:pPr>
              <w:tabs>
                <w:tab w:val="left" w:pos="8280"/>
              </w:tabs>
              <w:autoSpaceDE w:val="0"/>
              <w:autoSpaceDN w:val="0"/>
              <w:adjustRightInd w:val="0"/>
              <w:ind w:right="25" w:rightChars="0"/>
              <w:jc w:val="both"/>
              <w:rPr>
                <w:rFonts w:hint="eastAsia" w:ascii="宋体" w:hAnsi="宋体" w:eastAsia="宋体" w:cs="宋体"/>
                <w:color w:val="auto"/>
                <w:sz w:val="21"/>
                <w:szCs w:val="21"/>
                <w:highlight w:val="none"/>
                <w:lang w:eastAsia="zh-CN"/>
              </w:rPr>
            </w:pPr>
          </w:p>
        </w:tc>
      </w:tr>
    </w:tbl>
    <w:p w14:paraId="34CB0540">
      <w:pPr>
        <w:pStyle w:val="10"/>
        <w:adjustRightInd w:val="0"/>
        <w:snapToGrid w:val="0"/>
        <w:spacing w:line="360" w:lineRule="auto"/>
        <w:rPr>
          <w:rFonts w:hint="eastAsia" w:ascii="宋体" w:hAnsi="宋体" w:eastAsia="宋体" w:cs="宋体"/>
          <w:b/>
          <w:bCs/>
          <w:color w:val="auto"/>
          <w:szCs w:val="21"/>
          <w:highlight w:val="none"/>
        </w:rPr>
      </w:pPr>
    </w:p>
    <w:bookmarkEnd w:id="0"/>
    <w:p w14:paraId="6D32DFDE">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568B424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6407DCE">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73342C9F">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0F4DB42C">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10F76E64">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25D1A06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4F2891C5">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50F48DA5">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30ED4092">
      <w:pPr>
        <w:keepNext w:val="0"/>
        <w:keepLines w:val="0"/>
        <w:pageBreakBefore w:val="0"/>
        <w:kinsoku/>
        <w:topLinePunct w:val="0"/>
        <w:bidi w:val="0"/>
        <w:spacing w:beforeAutospacing="0" w:afterAutospacing="0" w:line="360" w:lineRule="auto"/>
        <w:ind w:firstLine="498" w:firstLineChars="236"/>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6FE3CF7E">
      <w:pPr>
        <w:spacing w:line="360" w:lineRule="auto"/>
        <w:ind w:firstLine="422" w:firstLineChars="200"/>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1A8959B7">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48C09FC0">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时须提交的文件资料：无；</w:t>
      </w:r>
    </w:p>
    <w:p w14:paraId="075136E6">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144CC22A">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3B594FBF">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438FEA28">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21B35BF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CF241D9">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2A988880">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lang w:eastAsia="zh-CN"/>
        </w:rPr>
        <w:t>整，地点：通过“政府采购云平台（www.zcygov.cn）”实行在线投标响应</w:t>
      </w:r>
    </w:p>
    <w:p w14:paraId="3C16D7F8">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15:00</w:t>
      </w:r>
      <w:r>
        <w:rPr>
          <w:rFonts w:hint="eastAsia" w:ascii="宋体" w:hAnsi="宋体" w:eastAsia="宋体" w:cs="宋体"/>
          <w:color w:val="auto"/>
          <w:sz w:val="21"/>
          <w:szCs w:val="21"/>
          <w:highlight w:val="none"/>
          <w:lang w:eastAsia="zh-CN"/>
        </w:rPr>
        <w:t>整</w:t>
      </w:r>
    </w:p>
    <w:p w14:paraId="64CA5519">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752A3725">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556BE65F">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6778432A">
      <w:pPr>
        <w:pStyle w:val="55"/>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4FEEC476">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39EEB28">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01C3026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2629425D">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5642C75C">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0382B110">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6C473CA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7E8F443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4C59CDBC">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581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0A232C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BE8F61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5C28F7F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0EE5FF0D">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7A06DF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EC6E7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421F8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5BF4B69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3643338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70A5D2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05EC5EFD">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301CC50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242D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2E84372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40FF002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0576-88882270，18267677445</w:t>
      </w:r>
    </w:p>
    <w:p w14:paraId="5A49CA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2BF86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052148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53C8C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012E7A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21690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台州市自然资源和规划局路桥分局</w:t>
      </w:r>
    </w:p>
    <w:p w14:paraId="5138B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张先生</w:t>
      </w:r>
    </w:p>
    <w:p w14:paraId="4DF75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联系电话：0576-8252 5272</w:t>
      </w:r>
    </w:p>
    <w:p w14:paraId="531953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采购人地址：台州市路桥区商海北街19号</w:t>
      </w:r>
    </w:p>
    <w:p w14:paraId="50530B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64D2A3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548D69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联系人：吴女士</w:t>
      </w:r>
    </w:p>
    <w:p w14:paraId="42890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43D8A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2092E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5842ACC9">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9F2C4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C8A10C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1DA0690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1C533BF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10C402E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34102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2D731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451B6F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4C61E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2F5CD5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17C3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4A9FD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3D2DE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3E48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CB25D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093D08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EA34D1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FA348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13C0E5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D2ECD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3396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1D29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036B8AC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212F9A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655D34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F16E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10646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1625B9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CA142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2C2E84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54004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F7223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06BAAE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322E25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35433F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470FA3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15513F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60DD3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106809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464EE0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19FB2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7B384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A2914D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08C814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6769F9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C3E86A7">
      <w:pPr>
        <w:jc w:val="both"/>
        <w:rPr>
          <w:rFonts w:hint="eastAsia" w:ascii="宋体" w:hAnsi="宋体" w:eastAsia="宋体" w:cs="宋体"/>
          <w:b/>
          <w:bCs/>
          <w:color w:val="auto"/>
          <w:sz w:val="21"/>
          <w:szCs w:val="21"/>
          <w:highlight w:val="none"/>
        </w:rPr>
      </w:pPr>
    </w:p>
    <w:p w14:paraId="7401DDA4">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715CD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56A5D74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490569A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7AC666A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44D814D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EC97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E7E184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5E5BBB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00D86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28024B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DD7DA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D06CBE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30157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F5C5A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56B84D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F6686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F85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7B6C656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617D6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FF18A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521AE149">
      <w:pPr>
        <w:pStyle w:val="31"/>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29BC4C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3"/>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7333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A0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2F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86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67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F3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1BD0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60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11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1F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4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42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540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A2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A5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269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CF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F8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1F04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D6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D4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F6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72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4D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077F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27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06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1F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B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D6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41D4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4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51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C6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22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79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0630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3C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B6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59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B6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44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73AA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04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99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65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7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44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7F09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B6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3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EE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9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4E24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52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0A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83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94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5D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7D22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B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B1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2E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B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87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D4B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DD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0D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1A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79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E0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357C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B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36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BE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97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B2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517B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E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5E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6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77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30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44B7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08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08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9E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30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5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03A8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04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94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67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5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C3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74241FEB">
      <w:pPr>
        <w:pStyle w:val="30"/>
        <w:rPr>
          <w:rFonts w:hint="eastAsia" w:ascii="宋体" w:hAnsi="宋体" w:eastAsia="宋体" w:cs="宋体"/>
          <w:color w:val="auto"/>
          <w:highlight w:val="none"/>
        </w:rPr>
      </w:pPr>
    </w:p>
    <w:p w14:paraId="6C35384B">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7F9F3EE5">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582AD220">
      <w:pPr>
        <w:spacing w:line="240" w:lineRule="auto"/>
        <w:ind w:firstLine="420" w:firstLineChars="200"/>
        <w:jc w:val="left"/>
        <w:rPr>
          <w:rFonts w:hint="eastAsia" w:ascii="宋体" w:hAnsi="宋体" w:eastAsia="宋体" w:cs="宋体"/>
          <w:color w:val="auto"/>
          <w:sz w:val="21"/>
          <w:szCs w:val="21"/>
          <w:highlight w:val="none"/>
        </w:rPr>
      </w:pPr>
    </w:p>
    <w:p w14:paraId="259F753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27833327">
      <w:pPr>
        <w:pStyle w:val="2"/>
        <w:jc w:val="right"/>
        <w:rPr>
          <w:rFonts w:hint="eastAsia" w:ascii="宋体" w:hAnsi="宋体" w:eastAsia="宋体" w:cs="宋体"/>
          <w:b/>
          <w:color w:val="auto"/>
          <w:sz w:val="36"/>
          <w:szCs w:val="36"/>
          <w:highlight w:val="none"/>
          <w:lang w:val="en-US" w:eastAsia="zh-CN"/>
        </w:r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二四年七月</w:t>
      </w:r>
      <w:r>
        <w:rPr>
          <w:rFonts w:hint="eastAsia" w:ascii="宋体" w:hAnsi="宋体" w:eastAsia="宋体" w:cs="宋体"/>
          <w:b/>
          <w:color w:val="auto"/>
          <w:sz w:val="36"/>
          <w:szCs w:val="36"/>
          <w:highlight w:val="none"/>
          <w:lang w:val="en-US" w:eastAsia="zh-CN"/>
        </w:rPr>
        <w:br w:type="page"/>
      </w:r>
    </w:p>
    <w:p w14:paraId="6FD0255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1B324D4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29A8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0EE00A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361E29C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3B843928">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B1E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3EE0815">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BD7A24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4591BEE7">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7A45958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0E67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FBF6A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515106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5A497DE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E1D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9C908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8801A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4C12773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4DD3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B95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4A6D763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35C27CD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E2D3E6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4ACFB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23D3E40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1AA0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87568A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7715233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F1E3CC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34B5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76129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7D101BA4">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1B108C38">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2024年7月29日</w:t>
            </w:r>
            <w:r>
              <w:rPr>
                <w:rFonts w:hint="eastAsia" w:ascii="宋体" w:hAnsi="宋体" w:eastAsia="宋体" w:cs="宋体"/>
                <w:b/>
                <w:bCs/>
                <w:color w:val="auto"/>
                <w:kern w:val="2"/>
                <w:sz w:val="21"/>
                <w:szCs w:val="21"/>
                <w:highlight w:val="none"/>
                <w:u w:val="single"/>
                <w:lang w:val="en-US" w:eastAsia="zh-CN" w:bidi="ar-SA"/>
              </w:rPr>
              <w:t>下午</w:t>
            </w:r>
            <w:r>
              <w:rPr>
                <w:rFonts w:hint="eastAsia" w:ascii="宋体" w:hAnsi="宋体" w:cs="宋体"/>
                <w:b/>
                <w:bCs/>
                <w:color w:val="auto"/>
                <w:kern w:val="2"/>
                <w:sz w:val="21"/>
                <w:szCs w:val="21"/>
                <w:highlight w:val="none"/>
                <w:u w:val="single"/>
                <w:lang w:val="en-US" w:eastAsia="zh-CN" w:bidi="ar-SA"/>
              </w:rPr>
              <w:t>14:30</w:t>
            </w:r>
            <w:r>
              <w:rPr>
                <w:rFonts w:hint="eastAsia" w:ascii="宋体" w:hAnsi="宋体" w:eastAsia="宋体" w:cs="宋体"/>
                <w:b/>
                <w:bCs/>
                <w:color w:val="auto"/>
                <w:kern w:val="2"/>
                <w:sz w:val="21"/>
                <w:szCs w:val="21"/>
                <w:highlight w:val="none"/>
                <w:u w:val="single"/>
                <w:lang w:val="en-US" w:eastAsia="zh-CN" w:bidi="ar-SA"/>
              </w:rPr>
              <w:t>整</w:t>
            </w:r>
          </w:p>
          <w:p w14:paraId="34C0EDDF">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7B8E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8AECDB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2407338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053546C9">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DE1F05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2024年7月29日</w:t>
            </w:r>
            <w:r>
              <w:rPr>
                <w:rFonts w:hint="eastAsia" w:ascii="宋体" w:hAnsi="宋体" w:eastAsia="宋体" w:cs="宋体"/>
                <w:b/>
                <w:bCs/>
                <w:color w:val="auto"/>
                <w:kern w:val="2"/>
                <w:sz w:val="21"/>
                <w:szCs w:val="21"/>
                <w:highlight w:val="none"/>
                <w:u w:val="single"/>
                <w:lang w:val="en-US" w:eastAsia="zh-CN" w:bidi="ar-SA"/>
              </w:rPr>
              <w:t>下午</w:t>
            </w:r>
            <w:r>
              <w:rPr>
                <w:rFonts w:hint="eastAsia" w:ascii="宋体" w:hAnsi="宋体" w:cs="宋体"/>
                <w:b/>
                <w:bCs/>
                <w:color w:val="auto"/>
                <w:kern w:val="2"/>
                <w:sz w:val="21"/>
                <w:szCs w:val="21"/>
                <w:highlight w:val="none"/>
                <w:u w:val="single"/>
                <w:lang w:val="en-US" w:eastAsia="zh-CN" w:bidi="ar-SA"/>
              </w:rPr>
              <w:t>14:30</w:t>
            </w:r>
            <w:r>
              <w:rPr>
                <w:rFonts w:hint="eastAsia" w:ascii="宋体" w:hAnsi="宋体" w:eastAsia="宋体" w:cs="宋体"/>
                <w:b/>
                <w:bCs/>
                <w:color w:val="auto"/>
                <w:kern w:val="2"/>
                <w:sz w:val="21"/>
                <w:szCs w:val="21"/>
                <w:highlight w:val="none"/>
                <w:u w:val="single"/>
                <w:lang w:val="en-US" w:eastAsia="zh-CN" w:bidi="ar-SA"/>
              </w:rPr>
              <w:t>整</w:t>
            </w:r>
          </w:p>
        </w:tc>
      </w:tr>
      <w:tr w14:paraId="5FDB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A1983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5E46B24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031035B6">
            <w:pPr>
              <w:pStyle w:val="20"/>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17C8E6E">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4CAC3AC0">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D74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4F52F5F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5E77BE2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70225D1C">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2024年7月29日</w:t>
            </w:r>
            <w:r>
              <w:rPr>
                <w:rFonts w:hint="eastAsia" w:ascii="宋体" w:hAnsi="宋体" w:eastAsia="宋体" w:cs="宋体"/>
                <w:color w:val="auto"/>
                <w:sz w:val="21"/>
                <w:szCs w:val="21"/>
                <w:highlight w:val="none"/>
                <w:lang w:eastAsia="zh-CN"/>
              </w:rPr>
              <w:t>下午</w:t>
            </w:r>
            <w:r>
              <w:rPr>
                <w:rFonts w:hint="eastAsia" w:ascii="宋体" w:hAnsi="宋体" w:cs="宋体"/>
                <w:color w:val="auto"/>
                <w:sz w:val="21"/>
                <w:szCs w:val="21"/>
                <w:highlight w:val="none"/>
                <w:lang w:eastAsia="zh-CN"/>
              </w:rPr>
              <w:t>14:30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15:00</w:t>
            </w:r>
            <w:r>
              <w:rPr>
                <w:rFonts w:hint="eastAsia" w:ascii="宋体" w:hAnsi="宋体" w:eastAsia="宋体" w:cs="宋体"/>
                <w:color w:val="auto"/>
                <w:sz w:val="21"/>
                <w:szCs w:val="21"/>
                <w:highlight w:val="none"/>
              </w:rPr>
              <w:t>（北京时间）</w:t>
            </w:r>
          </w:p>
          <w:p w14:paraId="02E78607">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地点：政采云平台（http://zfcg.czt.zj.gov.cn）</w:t>
            </w:r>
          </w:p>
        </w:tc>
      </w:tr>
      <w:tr w14:paraId="6571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EA559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1464056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75B85CF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2B7D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59855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C57E39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71CD1CC6">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r>
              <w:rPr>
                <w:rFonts w:hint="eastAsia" w:ascii="宋体" w:hAnsi="宋体" w:eastAsia="宋体" w:cs="宋体"/>
                <w:color w:val="auto"/>
                <w:szCs w:val="21"/>
                <w:highlight w:val="none"/>
              </w:rPr>
              <w:t>2、节能产品、环保产品：无要求；3、样品：无要求；4、现场演示：无要求</w:t>
            </w:r>
            <w:r>
              <w:rPr>
                <w:rFonts w:hint="eastAsia" w:ascii="宋体" w:hAnsi="宋体" w:eastAsia="宋体" w:cs="宋体"/>
                <w:color w:val="auto"/>
                <w:szCs w:val="21"/>
                <w:highlight w:val="none"/>
                <w:lang w:eastAsia="zh-CN"/>
              </w:rPr>
              <w:t>；</w:t>
            </w:r>
          </w:p>
          <w:p w14:paraId="4CCC2CCE">
            <w:pPr>
              <w:keepNext w:val="0"/>
              <w:keepLines w:val="0"/>
              <w:pageBreakBefore w:val="0"/>
              <w:kinsoku/>
              <w:wordWrap/>
              <w:overflowPunct/>
              <w:topLinePunct w:val="0"/>
              <w:bidi w:val="0"/>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0270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EB83A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418831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67D63A52">
            <w:pPr>
              <w:pStyle w:val="54"/>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3BB2F569">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5904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AD0ECE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13</w:t>
            </w:r>
          </w:p>
        </w:tc>
        <w:tc>
          <w:tcPr>
            <w:tcW w:w="1992" w:type="dxa"/>
            <w:vAlign w:val="center"/>
          </w:tcPr>
          <w:p w14:paraId="7709A0E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7E36DD6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15893BF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6E7C68C7">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6C60834B">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61DB63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1CAF1FFB">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4C0678F3">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C0C807F">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462959DB">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4F16095B">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236B7A6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649609FB">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686D9B0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39C22DC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3C0324FB">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B7B8C75">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ACD8A79">
      <w:pPr>
        <w:pStyle w:val="10"/>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A902D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2C15C550">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FA67AA">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7E68E5A3">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670A960F">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58315922">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91F111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4E2FC8D">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6764390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6751A3F">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4F7E0E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18590D93">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24F1B8FA">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6C25FB6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27770557">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2A2015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1D29D7C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5B74AE1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F227BD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0C443F57">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191EBA8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0CEA3313">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4C2067C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提供采购公告中符合供应商特定条件的有效资质证书复印件（投标供应商特定条件中有要求的必须提供），以及需要说明的其他资料；</w:t>
      </w:r>
    </w:p>
    <w:p w14:paraId="04788CB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0D1664C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6072360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4FBFA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15FAA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4893946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9E8105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2BBF5F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034AE0B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C2DF0B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2C45EA0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1E4DDF4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1E1E884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14878E0E">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81062D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04B553C8">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665453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78BD8D3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437203C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612EA1C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D43FB33">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4655F9C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17DB9EFA">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373D875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C45363C">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007766E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0FE6223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27144856">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5CED1CC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E7C1BC8">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006F9E9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74B1192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06782BE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DD904D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0C3BC04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2CBA7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ABDDF43">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267634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4D3591E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62641E2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5E378CC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EDA08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29EFD7D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1691BE9">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53B89796">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4ABCEE9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2031414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15DF4B14">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BD378A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1447294D">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B8249ED">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586A10A1">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0E9C68C9">
      <w:pPr>
        <w:pStyle w:val="5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BDF6A0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0CAF789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F09C33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02DED9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A80607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4F14D5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35F96BF1">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6B52F990">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1DA99AB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7FD15CD6">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507FEFBF">
      <w:pPr>
        <w:keepNext w:val="0"/>
        <w:keepLines w:val="0"/>
        <w:pageBreakBefore w:val="0"/>
        <w:numPr>
          <w:ilvl w:val="0"/>
          <w:numId w:val="2"/>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E5702ED">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762E8A56">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92D0D4C">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49AC15C8">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536EA2DB">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984768A">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2BC397C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08D9015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799B706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3853B8B6">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11FDAB43">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4A39B16F">
      <w:pPr>
        <w:pStyle w:val="2"/>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44617DE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6D851FD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51D0DB4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57E40E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4B10634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6FBFB54A">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BB05021">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454CE5C6">
      <w:pPr>
        <w:pStyle w:val="10"/>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9B59FFA">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2C018BB3">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39B7F2A">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5E3A141E">
      <w:pPr>
        <w:pStyle w:val="20"/>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59DEE654">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0ADADB16">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0E27E93">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7C8BFF60">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3E250ADE">
      <w:pPr>
        <w:pStyle w:val="20"/>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355E192">
      <w:pPr>
        <w:pStyle w:val="20"/>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29C393BF">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05B3842A">
      <w:pPr>
        <w:pStyle w:val="20"/>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3726F2E2">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390BE86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6E5B7839">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4BE8C05">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5BE64CC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3DF905C">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23B81FC8">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5EA75962">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6D56F3A3">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4B182979">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163BA476">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2161799">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7F97A35B">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8818299">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61CCB4E1">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23E2EF17">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73AAEF40">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06899B90">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6D9072DB">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0840DA2F">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0603767">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1AC1F009">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EC50A3C">
      <w:pPr>
        <w:pStyle w:val="10"/>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4DC62EA8">
      <w:pPr>
        <w:pStyle w:val="10"/>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6E42B933">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489FFC5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3FF800AD">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2B87E0DD">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CCB8B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2EE9FD43">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6776C927">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14C9BD9E">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22BA5C5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7A5F2241">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346381D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C7D70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7BC3918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623466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553B0EC6">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48E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64ADA49A">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B1B110">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730E583E">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9DE0F9">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00E1E2C5">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2315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DE67E0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2D2837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51F4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5D9045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02817F3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A59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198A5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6893E16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1418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9B4E82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8CA52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1DFB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B67955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0EFAA3C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DAA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C01D92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01CAB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B65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726D21A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77C6345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3CA760F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2D675E6">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4915BB24">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4D8F883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2C1AE21A">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3C569E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26A0C7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AEB535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52C6EBCF">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6F62FB97">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2F4A431E">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70D7C9E">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06CF67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473B924A">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4B662C9D">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421EF9B7">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476C812D">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33244801">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211861C2">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C323A74">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8A9193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715B2BF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0B4DFEFC">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7F3C0FC3">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451AAA7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16135021">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5FCBA69B">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094"/>
        <w:gridCol w:w="6398"/>
        <w:gridCol w:w="852"/>
      </w:tblGrid>
      <w:tr w14:paraId="529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68" w:type="dxa"/>
            <w:gridSpan w:val="2"/>
            <w:noWrap w:val="0"/>
            <w:vAlign w:val="center"/>
          </w:tcPr>
          <w:p w14:paraId="31B0C36B">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6398" w:type="dxa"/>
            <w:noWrap w:val="0"/>
            <w:vAlign w:val="center"/>
          </w:tcPr>
          <w:p w14:paraId="3A50A12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52" w:type="dxa"/>
            <w:noWrap w:val="0"/>
            <w:vAlign w:val="center"/>
          </w:tcPr>
          <w:p w14:paraId="3FACFF67">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540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74" w:type="dxa"/>
            <w:vMerge w:val="restart"/>
            <w:noWrap w:val="0"/>
            <w:vAlign w:val="center"/>
          </w:tcPr>
          <w:p w14:paraId="1168362C">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4494B44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231CB4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6C2141F6">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52147CC8">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94" w:type="dxa"/>
            <w:noWrap w:val="0"/>
            <w:vAlign w:val="center"/>
          </w:tcPr>
          <w:p w14:paraId="66936402">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6398" w:type="dxa"/>
            <w:noWrap w:val="0"/>
            <w:vAlign w:val="center"/>
          </w:tcPr>
          <w:p w14:paraId="0912F4B3">
            <w:pPr>
              <w:keepNext w:val="0"/>
              <w:keepLines w:val="0"/>
              <w:pageBreakBefore w:val="0"/>
              <w:kinsoku/>
              <w:wordWrap/>
              <w:overflowPunct/>
              <w:topLinePunct w:val="0"/>
              <w:bidi w:val="0"/>
              <w:spacing w:beforeAutospacing="0" w:afterAutospacing="0" w:line="240" w:lineRule="auto"/>
              <w:ind w:left="0" w:leftChars="0" w:right="0" w:firstLine="0" w:firstLine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承接过类似项目的。每提供1个合同得0.5分，最高得1分。</w:t>
            </w:r>
          </w:p>
          <w:p w14:paraId="52A931A1">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52" w:type="dxa"/>
            <w:noWrap w:val="0"/>
            <w:vAlign w:val="center"/>
          </w:tcPr>
          <w:p w14:paraId="1C1492FF">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r w14:paraId="19A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BDF15AB">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restart"/>
            <w:noWrap w:val="0"/>
            <w:vAlign w:val="center"/>
          </w:tcPr>
          <w:p w14:paraId="040C872D">
            <w:pPr>
              <w:keepNext w:val="0"/>
              <w:keepLines w:val="0"/>
              <w:pageBreakBefore w:val="0"/>
              <w:kinsoku/>
              <w:wordWrap/>
              <w:overflowPunct/>
              <w:topLinePunct w:val="0"/>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398" w:type="dxa"/>
            <w:noWrap w:val="0"/>
            <w:vAlign w:val="center"/>
          </w:tcPr>
          <w:p w14:paraId="1CC15D3B">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bidi="zh-CN"/>
              </w:rPr>
            </w:pPr>
            <w:r>
              <w:rPr>
                <w:rFonts w:hint="eastAsia" w:ascii="宋体" w:hAnsi="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投标人具有</w:t>
            </w:r>
            <w:r>
              <w:rPr>
                <w:rFonts w:hint="eastAsia" w:ascii="宋体" w:hAnsi="宋体" w:eastAsia="宋体" w:cs="宋体"/>
                <w:color w:val="auto"/>
                <w:sz w:val="21"/>
                <w:szCs w:val="21"/>
                <w:highlight w:val="none"/>
                <w:lang w:val="en-US" w:bidi="zh-CN"/>
              </w:rPr>
              <w:t>有效期内的</w:t>
            </w:r>
            <w:r>
              <w:rPr>
                <w:rFonts w:hint="eastAsia" w:ascii="宋体" w:hAnsi="宋体" w:eastAsia="宋体" w:cs="宋体"/>
                <w:color w:val="auto"/>
                <w:sz w:val="21"/>
                <w:szCs w:val="21"/>
                <w:highlight w:val="none"/>
                <w:lang w:bidi="zh-CN"/>
              </w:rPr>
              <w:t>海洋测绘资质甲级证书的得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分，海洋测绘资质乙级证书的得1分。本项最高得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4642D90F">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sz w:val="21"/>
                <w:szCs w:val="21"/>
                <w:highlight w:val="none"/>
                <w:lang w:val="en-US" w:bidi="zh-CN"/>
              </w:rPr>
              <w:t>有效的</w:t>
            </w:r>
            <w:r>
              <w:rPr>
                <w:rFonts w:hint="eastAsia" w:ascii="宋体" w:hAnsi="宋体" w:eastAsia="宋体" w:cs="宋体"/>
                <w:b/>
                <w:bCs/>
                <w:color w:val="auto"/>
                <w:kern w:val="0"/>
                <w:sz w:val="21"/>
                <w:szCs w:val="21"/>
                <w:highlight w:val="none"/>
              </w:rPr>
              <w:t>资质</w:t>
            </w:r>
            <w:r>
              <w:rPr>
                <w:rFonts w:hint="eastAsia" w:ascii="宋体" w:hAnsi="宋体" w:eastAsia="宋体" w:cs="宋体"/>
                <w:b/>
                <w:bCs/>
                <w:color w:val="auto"/>
                <w:kern w:val="0"/>
                <w:sz w:val="21"/>
                <w:szCs w:val="21"/>
                <w:highlight w:val="none"/>
                <w:lang w:val="zh-CN"/>
              </w:rPr>
              <w:t>证书扫描件加盖投标人公章编入投标文件中，未提供</w:t>
            </w:r>
            <w:r>
              <w:rPr>
                <w:rFonts w:hint="eastAsia" w:ascii="宋体" w:hAnsi="宋体" w:eastAsia="宋体" w:cs="宋体"/>
                <w:b/>
                <w:bCs/>
                <w:color w:val="auto"/>
                <w:kern w:val="0"/>
                <w:sz w:val="21"/>
                <w:szCs w:val="21"/>
                <w:highlight w:val="none"/>
              </w:rPr>
              <w:t>或提供不全</w:t>
            </w:r>
            <w:r>
              <w:rPr>
                <w:rFonts w:hint="eastAsia" w:ascii="宋体" w:hAnsi="宋体" w:eastAsia="宋体" w:cs="宋体"/>
                <w:b/>
                <w:bCs/>
                <w:color w:val="auto"/>
                <w:kern w:val="0"/>
                <w:sz w:val="21"/>
                <w:szCs w:val="21"/>
                <w:highlight w:val="none"/>
                <w:lang w:val="zh-CN"/>
              </w:rPr>
              <w:t>的不得分）</w:t>
            </w:r>
          </w:p>
        </w:tc>
        <w:tc>
          <w:tcPr>
            <w:tcW w:w="852" w:type="dxa"/>
            <w:noWrap w:val="0"/>
            <w:vAlign w:val="center"/>
          </w:tcPr>
          <w:p w14:paraId="10C96287">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6DCA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C9B4E98">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continue"/>
            <w:noWrap w:val="0"/>
            <w:vAlign w:val="center"/>
          </w:tcPr>
          <w:p w14:paraId="5F9BF57B">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6398" w:type="dxa"/>
            <w:noWrap w:val="0"/>
            <w:vAlign w:val="center"/>
          </w:tcPr>
          <w:p w14:paraId="7C7E7962">
            <w:pPr>
              <w:keepNext w:val="0"/>
              <w:keepLines w:val="0"/>
              <w:pageBreakBefore w:val="0"/>
              <w:kinsoku/>
              <w:wordWrap/>
              <w:overflowPunct/>
              <w:topLinePunct w:val="0"/>
              <w:autoSpaceDE w:val="0"/>
              <w:autoSpaceDN w:val="0"/>
              <w:bidi w:val="0"/>
              <w:adjustRightInd w:val="0"/>
              <w:spacing w:line="240" w:lineRule="auto"/>
              <w:ind w:left="0" w:right="0" w:firstLine="0" w:firstLineChars="0"/>
              <w:jc w:val="left"/>
              <w:rPr>
                <w:rFonts w:hint="eastAsia" w:ascii="宋体" w:hAnsi="宋体" w:eastAsia="宋体" w:cs="宋体"/>
                <w:color w:val="auto"/>
                <w:sz w:val="21"/>
                <w:szCs w:val="21"/>
                <w:highlight w:val="none"/>
                <w:lang w:bidi="zh-CN"/>
              </w:rPr>
            </w:pPr>
            <w:r>
              <w:rPr>
                <w:rFonts w:hint="eastAsia" w:ascii="宋体" w:hAnsi="宋体" w:cs="宋体"/>
                <w:color w:val="auto"/>
                <w:sz w:val="21"/>
                <w:szCs w:val="21"/>
                <w:highlight w:val="none"/>
                <w:lang w:val="en-US" w:bidi="zh-CN"/>
              </w:rPr>
              <w:t>2、</w:t>
            </w:r>
            <w:r>
              <w:rPr>
                <w:rFonts w:hint="eastAsia" w:ascii="宋体" w:hAnsi="宋体" w:eastAsia="宋体" w:cs="宋体"/>
                <w:color w:val="auto"/>
                <w:sz w:val="21"/>
                <w:szCs w:val="21"/>
                <w:highlight w:val="none"/>
                <w:lang w:bidi="zh-CN"/>
              </w:rPr>
              <w:t>投标人具有有效期内的质量管理体系、环境管理体系、职业健康安全管理体系</w:t>
            </w:r>
            <w:r>
              <w:rPr>
                <w:rFonts w:hint="eastAsia" w:ascii="宋体" w:hAnsi="宋体" w:eastAsia="宋体" w:cs="宋体"/>
                <w:color w:val="auto"/>
                <w:sz w:val="21"/>
                <w:szCs w:val="21"/>
                <w:highlight w:val="none"/>
                <w:lang w:val="en-US" w:bidi="zh-CN"/>
              </w:rPr>
              <w:t>认证证书</w:t>
            </w:r>
            <w:r>
              <w:rPr>
                <w:rFonts w:hint="eastAsia" w:ascii="宋体" w:hAnsi="宋体" w:eastAsia="宋体" w:cs="宋体"/>
                <w:color w:val="auto"/>
                <w:sz w:val="21"/>
                <w:szCs w:val="21"/>
                <w:highlight w:val="none"/>
                <w:lang w:bidi="zh-CN"/>
              </w:rPr>
              <w:t>的，每项得</w:t>
            </w: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分，最高得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660D12E1">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kern w:val="0"/>
                <w:sz w:val="21"/>
                <w:szCs w:val="21"/>
                <w:highlight w:val="none"/>
              </w:rPr>
              <w:t>有效的证书</w:t>
            </w:r>
            <w:r>
              <w:rPr>
                <w:rFonts w:hint="eastAsia" w:ascii="宋体" w:hAnsi="宋体" w:eastAsia="宋体" w:cs="宋体"/>
                <w:b/>
                <w:bCs/>
                <w:color w:val="auto"/>
                <w:kern w:val="0"/>
                <w:sz w:val="21"/>
                <w:szCs w:val="21"/>
                <w:highlight w:val="none"/>
                <w:lang w:val="zh-CN"/>
              </w:rPr>
              <w:t>扫描件加盖投标人公章编入投标文件中，未提供的不得分）</w:t>
            </w:r>
          </w:p>
        </w:tc>
        <w:tc>
          <w:tcPr>
            <w:tcW w:w="852" w:type="dxa"/>
            <w:noWrap w:val="0"/>
            <w:vAlign w:val="center"/>
          </w:tcPr>
          <w:p w14:paraId="7237B930">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3</w:t>
            </w:r>
          </w:p>
        </w:tc>
      </w:tr>
      <w:tr w14:paraId="441D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22DEB829">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1094" w:type="dxa"/>
            <w:vMerge w:val="continue"/>
            <w:noWrap w:val="0"/>
            <w:vAlign w:val="center"/>
          </w:tcPr>
          <w:p w14:paraId="1F46654B">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6398" w:type="dxa"/>
            <w:noWrap w:val="0"/>
            <w:vAlign w:val="center"/>
          </w:tcPr>
          <w:p w14:paraId="3A8BBE8F">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投标人具有涉密测绘成果管理人员岗位证书（有效期内）：</w:t>
            </w:r>
          </w:p>
          <w:p w14:paraId="14359EDA">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人及以上的得2分，</w:t>
            </w:r>
          </w:p>
          <w:p w14:paraId="7FE3CE66">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（含）-9人（含）得1分，</w:t>
            </w:r>
          </w:p>
          <w:p w14:paraId="08DBC9C3">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（含）-4人（含）</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分，没有的不得</w:t>
            </w:r>
            <w:r>
              <w:rPr>
                <w:rFonts w:hint="eastAsia" w:ascii="宋体" w:hAnsi="宋体" w:eastAsia="宋体" w:cs="宋体"/>
                <w:color w:val="auto"/>
                <w:sz w:val="21"/>
                <w:szCs w:val="21"/>
                <w:highlight w:val="none"/>
                <w:lang w:val="en-US"/>
              </w:rPr>
              <w:t>分。</w:t>
            </w:r>
          </w:p>
          <w:p w14:paraId="2DEAF6B1">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eastAsia="zh-CN" w:bidi="ar-SA"/>
              </w:rPr>
              <w:t>（须提供有效的证书扫描件</w:t>
            </w:r>
            <w:r>
              <w:rPr>
                <w:rFonts w:hint="eastAsia" w:ascii="宋体" w:hAnsi="宋体" w:eastAsia="宋体" w:cs="宋体"/>
                <w:b/>
                <w:bCs/>
                <w:color w:val="auto"/>
                <w:sz w:val="21"/>
                <w:szCs w:val="21"/>
                <w:highlight w:val="none"/>
              </w:rPr>
              <w:t>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kern w:val="0"/>
                <w:sz w:val="21"/>
                <w:szCs w:val="21"/>
                <w:highlight w:val="none"/>
                <w:lang w:val="zh-CN" w:eastAsia="zh-CN" w:bidi="ar-SA"/>
              </w:rPr>
              <w:t>加盖投标人公章编入投标文件中，未提供的不得分）</w:t>
            </w:r>
          </w:p>
        </w:tc>
        <w:tc>
          <w:tcPr>
            <w:tcW w:w="852" w:type="dxa"/>
            <w:noWrap w:val="0"/>
            <w:vAlign w:val="center"/>
          </w:tcPr>
          <w:p w14:paraId="43197357">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14:paraId="31B4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1074" w:type="dxa"/>
            <w:vMerge w:val="continue"/>
            <w:noWrap w:val="0"/>
            <w:vAlign w:val="center"/>
          </w:tcPr>
          <w:p w14:paraId="61F4B2C9">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61796BD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6398" w:type="dxa"/>
            <w:noWrap w:val="0"/>
            <w:vAlign w:val="center"/>
          </w:tcPr>
          <w:p w14:paraId="5F3AD357">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具有自然资源领域正高级职称得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具有自然资源领域高级专业技术职称得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31DA7E87">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2、负责人担任过的项目获国家级表彰的得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分，获省级表彰的得1分，不累计计分。</w:t>
            </w:r>
          </w:p>
          <w:p w14:paraId="7286BDC2">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表彰证书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852" w:type="dxa"/>
            <w:noWrap w:val="0"/>
            <w:vAlign w:val="center"/>
          </w:tcPr>
          <w:p w14:paraId="3E1ED54E">
            <w:pPr>
              <w:keepNext w:val="0"/>
              <w:keepLines w:val="0"/>
              <w:pageBreakBefore w:val="0"/>
              <w:kinsoku/>
              <w:wordWrap/>
              <w:overflowPunct/>
              <w:topLinePunct w:val="0"/>
              <w:bidi w:val="0"/>
              <w:spacing w:line="240" w:lineRule="auto"/>
              <w:ind w:left="0" w:leftChars="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r>
      <w:tr w14:paraId="4FCC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4BD255D6">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111022D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项目技术负责人（项目负责人除外）</w:t>
            </w:r>
          </w:p>
        </w:tc>
        <w:tc>
          <w:tcPr>
            <w:tcW w:w="6398" w:type="dxa"/>
            <w:noWrap w:val="0"/>
            <w:vAlign w:val="center"/>
          </w:tcPr>
          <w:p w14:paraId="36A0183B">
            <w:pPr>
              <w:pStyle w:val="60"/>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1、具有自然资源领域高级工程师</w:t>
            </w:r>
            <w:r>
              <w:rPr>
                <w:rFonts w:hint="eastAsia" w:ascii="宋体" w:hAnsi="宋体" w:eastAsia="宋体" w:cs="宋体"/>
                <w:snapToGrid w:val="0"/>
                <w:color w:val="auto"/>
                <w:sz w:val="21"/>
                <w:szCs w:val="21"/>
                <w:highlight w:val="none"/>
                <w:lang w:val="en-US" w:eastAsia="zh-CN"/>
              </w:rPr>
              <w:t>及</w:t>
            </w:r>
            <w:r>
              <w:rPr>
                <w:rFonts w:hint="eastAsia" w:ascii="宋体" w:hAnsi="宋体" w:eastAsia="宋体" w:cs="宋体"/>
                <w:snapToGrid w:val="0"/>
                <w:color w:val="auto"/>
                <w:sz w:val="21"/>
                <w:szCs w:val="21"/>
                <w:highlight w:val="none"/>
                <w:lang w:eastAsia="zh-CN"/>
              </w:rPr>
              <w:t>以上专业技术职称的得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51866E26">
            <w:pPr>
              <w:pStyle w:val="60"/>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2、具有注册测绘师资格的得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10CD9DE8">
            <w:pPr>
              <w:pStyle w:val="60"/>
              <w:keepNext w:val="0"/>
              <w:keepLines w:val="0"/>
              <w:pageBreakBefore w:val="0"/>
              <w:tabs>
                <w:tab w:val="left" w:pos="2640"/>
              </w:tabs>
              <w:kinsoku/>
              <w:wordWrap/>
              <w:overflowPunct/>
              <w:topLinePunct w:val="0"/>
              <w:bidi w:val="0"/>
              <w:spacing w:line="24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资格证书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852" w:type="dxa"/>
            <w:noWrap w:val="0"/>
            <w:vAlign w:val="center"/>
          </w:tcPr>
          <w:p w14:paraId="437CA958">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r>
      <w:tr w14:paraId="621D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074" w:type="dxa"/>
            <w:vMerge w:val="continue"/>
            <w:noWrap w:val="0"/>
            <w:vAlign w:val="center"/>
          </w:tcPr>
          <w:p w14:paraId="4EFDC5D8">
            <w:pPr>
              <w:keepNext w:val="0"/>
              <w:keepLines w:val="0"/>
              <w:pageBreakBefore w:val="0"/>
              <w:kinsoku/>
              <w:wordWrap/>
              <w:overflowPunct/>
              <w:topLinePunct w:val="0"/>
              <w:bidi w:val="0"/>
              <w:spacing w:line="240" w:lineRule="auto"/>
              <w:ind w:left="0" w:right="0"/>
              <w:jc w:val="center"/>
              <w:rPr>
                <w:rFonts w:hint="eastAsia" w:ascii="宋体" w:hAnsi="宋体" w:eastAsia="宋体" w:cs="宋体"/>
                <w:color w:val="auto"/>
                <w:sz w:val="21"/>
                <w:szCs w:val="21"/>
                <w:highlight w:val="none"/>
              </w:rPr>
            </w:pPr>
          </w:p>
        </w:tc>
        <w:tc>
          <w:tcPr>
            <w:tcW w:w="1094" w:type="dxa"/>
            <w:noWrap w:val="0"/>
            <w:vAlign w:val="center"/>
          </w:tcPr>
          <w:p w14:paraId="63C06E2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Style w:val="58"/>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snapToGrid w:val="0"/>
                <w:color w:val="auto"/>
                <w:sz w:val="21"/>
                <w:szCs w:val="21"/>
                <w:highlight w:val="none"/>
              </w:rPr>
              <w:t>项目技术负责人</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lang w:eastAsia="zh-CN"/>
              </w:rPr>
              <w:t>）</w:t>
            </w:r>
          </w:p>
        </w:tc>
        <w:tc>
          <w:tcPr>
            <w:tcW w:w="6398" w:type="dxa"/>
            <w:noWrap w:val="0"/>
            <w:vAlign w:val="center"/>
          </w:tcPr>
          <w:p w14:paraId="6AF57BAB">
            <w:pPr>
              <w:keepNext w:val="0"/>
              <w:keepLines w:val="0"/>
              <w:pageBreakBefore w:val="0"/>
              <w:widowControl/>
              <w:kinsoku/>
              <w:wordWrap/>
              <w:overflowPunct/>
              <w:topLinePunct w:val="0"/>
              <w:bidi w:val="0"/>
              <w:spacing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具有相关专业中级及以上职称的</w:t>
            </w:r>
            <w:r>
              <w:rPr>
                <w:rFonts w:hint="eastAsia" w:ascii="宋体" w:hAnsi="宋体" w:eastAsia="宋体" w:cs="宋体"/>
                <w:snapToGrid w:val="0"/>
                <w:color w:val="auto"/>
                <w:sz w:val="21"/>
                <w:szCs w:val="21"/>
                <w:highlight w:val="none"/>
              </w:rPr>
              <w:t>，每投入1人的得1分，</w:t>
            </w:r>
            <w:r>
              <w:rPr>
                <w:rFonts w:hint="eastAsia" w:ascii="宋体" w:hAnsi="宋体" w:eastAsia="宋体" w:cs="宋体"/>
                <w:color w:val="auto"/>
                <w:sz w:val="21"/>
                <w:szCs w:val="21"/>
                <w:highlight w:val="none"/>
              </w:rPr>
              <w:t>本项最高得5分。</w:t>
            </w:r>
          </w:p>
          <w:p w14:paraId="136D2433">
            <w:pPr>
              <w:keepNext w:val="0"/>
              <w:keepLines w:val="0"/>
              <w:pageBreakBefore w:val="0"/>
              <w:kinsoku/>
              <w:wordWrap/>
              <w:overflowPunct/>
              <w:topLinePunct w:val="0"/>
              <w:bidi w:val="0"/>
              <w:adjustRightInd w:val="0"/>
              <w:snapToGri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（须提供在有效期内的相关证书扫描件及投标截止时间前近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852" w:type="dxa"/>
            <w:noWrap w:val="0"/>
            <w:vAlign w:val="center"/>
          </w:tcPr>
          <w:p w14:paraId="649FBFD7">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5</w:t>
            </w:r>
          </w:p>
        </w:tc>
      </w:tr>
      <w:tr w14:paraId="6671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074" w:type="dxa"/>
            <w:vMerge w:val="restart"/>
            <w:noWrap w:val="0"/>
            <w:vAlign w:val="center"/>
          </w:tcPr>
          <w:p w14:paraId="1EF81F3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DCFF55A">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0CEBBCEE">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361FB43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30024B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6FFF7B3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3628DBC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885715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5028B62">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18E65B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77857779">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1094" w:type="dxa"/>
            <w:vMerge w:val="restart"/>
            <w:noWrap w:val="0"/>
            <w:vAlign w:val="center"/>
          </w:tcPr>
          <w:p w14:paraId="3B68B4C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6398" w:type="dxa"/>
            <w:noWrap w:val="0"/>
            <w:vAlign w:val="center"/>
          </w:tcPr>
          <w:p w14:paraId="3C1A65D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根据投标人对本项目现状、总体认识和需求描述等进行打分。</w:t>
            </w:r>
          </w:p>
          <w:p w14:paraId="33805E1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对本项目历史数据分析结构合理，目的意义、实施目标、工作范围、工作内容和技术要求描述内容完整、表述准确、无前后矛盾、目录清晰，符合采购文件要求的得3.0-5.0分；</w:t>
            </w:r>
          </w:p>
          <w:p w14:paraId="6BE99A9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对本项目现状、总体认识和需求描述方案描述简单，内容不够全面的得</w:t>
            </w:r>
            <w:r>
              <w:rPr>
                <w:rFonts w:hint="eastAsia" w:ascii="宋体" w:hAnsi="宋体" w:eastAsia="宋体" w:cs="宋体"/>
                <w:color w:val="auto"/>
                <w:sz w:val="21"/>
                <w:szCs w:val="21"/>
                <w:highlight w:val="none"/>
                <w:lang w:val="en-US" w:eastAsia="zh-CN"/>
              </w:rPr>
              <w:t>1.0-2.9分；</w:t>
            </w:r>
          </w:p>
          <w:p w14:paraId="4E713144">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现状分析、总体认识等内容有提及但阐述不完整的得0.1-0.9分；</w:t>
            </w:r>
          </w:p>
          <w:p w14:paraId="55B68158">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4A5ABACA">
            <w:pPr>
              <w:autoSpaceDE w:val="0"/>
              <w:autoSpaceDN w:val="0"/>
              <w:adjustRightInd w:val="0"/>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r>
      <w:tr w14:paraId="0C64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074" w:type="dxa"/>
            <w:vMerge w:val="continue"/>
            <w:noWrap w:val="0"/>
            <w:vAlign w:val="center"/>
          </w:tcPr>
          <w:p w14:paraId="0B74C0F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1094" w:type="dxa"/>
            <w:vMerge w:val="continue"/>
            <w:noWrap w:val="0"/>
            <w:vAlign w:val="center"/>
          </w:tcPr>
          <w:p w14:paraId="148E66B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6398" w:type="dxa"/>
            <w:noWrap w:val="0"/>
            <w:vAlign w:val="center"/>
          </w:tcPr>
          <w:p w14:paraId="041EBD8F">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根据投标人对项目的具体工作思路、技术路线以及数据采集调查流程及组织保障措施等情况进行打分。</w:t>
            </w:r>
          </w:p>
          <w:p w14:paraId="388DCC5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工作依据详细、合规，总体思路明确，对实施本项目的技术路线图清晰，资料收集清单明晰，数据采集流程详细，组织保障措施合理可行的得3.0-5.0分；</w:t>
            </w:r>
          </w:p>
          <w:p w14:paraId="7090386E">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对本项目技术路线、数据采集调查流程及组织保障措施描述简单，内容不够全面的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03172DAF">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技术路线及相关流程有提及但内容不完整，缺乏可操作性的得0.1-0.9分；</w:t>
            </w:r>
          </w:p>
          <w:p w14:paraId="0B5865C2">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1C12D82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1D92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1074" w:type="dxa"/>
            <w:vMerge w:val="continue"/>
            <w:noWrap w:val="0"/>
            <w:vAlign w:val="center"/>
          </w:tcPr>
          <w:p w14:paraId="5BC8184A">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5E013D3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6398" w:type="dxa"/>
            <w:noWrap w:val="0"/>
            <w:vAlign w:val="center"/>
          </w:tcPr>
          <w:p w14:paraId="474D9B00">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针对项目实施中</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rPr>
              <w:t>存在的问题和具体实施过程遇到的重点难点分析情况进行打分。</w:t>
            </w:r>
          </w:p>
          <w:p w14:paraId="22041DE6">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对本项目工作重点、难点分析具有针对</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B93FBEA">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分析比较有针对得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3CDCE2D">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对本项目工作重点、难点分析不全得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9011041">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4A346965">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r>
      <w:tr w14:paraId="103A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jc w:val="center"/>
        </w:trPr>
        <w:tc>
          <w:tcPr>
            <w:tcW w:w="1074" w:type="dxa"/>
            <w:vMerge w:val="continue"/>
            <w:noWrap w:val="0"/>
            <w:vAlign w:val="center"/>
          </w:tcPr>
          <w:p w14:paraId="22251F94">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restart"/>
            <w:noWrap w:val="0"/>
            <w:vAlign w:val="center"/>
          </w:tcPr>
          <w:p w14:paraId="62BD14B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项目实施</w:t>
            </w:r>
          </w:p>
        </w:tc>
        <w:tc>
          <w:tcPr>
            <w:tcW w:w="6398" w:type="dxa"/>
            <w:noWrap w:val="0"/>
            <w:vAlign w:val="center"/>
          </w:tcPr>
          <w:p w14:paraId="7EF6A993">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路桥区2024年度海岸线监测</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56166B08">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路桥区2024年度海岸线监测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59115BED">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路桥区2024年度海岸线监测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161F1F7E">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路桥区2024年度海岸线监测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1C1D22ED">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52" w:type="dxa"/>
            <w:noWrap w:val="0"/>
            <w:vAlign w:val="center"/>
          </w:tcPr>
          <w:p w14:paraId="1A3AE956">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432D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1953DC58">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10A3C5D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sz w:val="21"/>
                <w:szCs w:val="21"/>
                <w:highlight w:val="none"/>
                <w:lang w:val="en-US" w:eastAsia="zh-CN"/>
              </w:rPr>
            </w:pPr>
          </w:p>
        </w:tc>
        <w:tc>
          <w:tcPr>
            <w:tcW w:w="6398" w:type="dxa"/>
            <w:noWrap w:val="0"/>
            <w:vAlign w:val="center"/>
          </w:tcPr>
          <w:p w14:paraId="4A493CA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路桥区2024年度沿海滩涂（潮间带）资源稳定性及淤积潜力评价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2A0BBC88">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522752C2">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411D51E6">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48C0B7C0">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52" w:type="dxa"/>
            <w:noWrap w:val="0"/>
            <w:vAlign w:val="center"/>
          </w:tcPr>
          <w:p w14:paraId="187827B6">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1505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074" w:type="dxa"/>
            <w:vMerge w:val="continue"/>
            <w:noWrap w:val="0"/>
            <w:vAlign w:val="center"/>
          </w:tcPr>
          <w:p w14:paraId="551A333E">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6E924CE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4911988F">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路桥区2024年围填海历史遗留问题处理核查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6BE001C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7A639F4F">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2C2EDADC">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61B1912E">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52" w:type="dxa"/>
            <w:noWrap w:val="0"/>
            <w:vAlign w:val="center"/>
          </w:tcPr>
          <w:p w14:paraId="4EDC1442">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607D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0890EEB2">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4F4BD5F3">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0FD52CC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路桥区2024年无居民海岛监视监测与管理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692A49E5">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4596BA3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5B08CDCD">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304E6523">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52" w:type="dxa"/>
            <w:noWrap w:val="0"/>
            <w:vAlign w:val="center"/>
          </w:tcPr>
          <w:p w14:paraId="4647F093">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4745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0F1C716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0FF57862">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服务质量管控</w:t>
            </w:r>
          </w:p>
        </w:tc>
        <w:tc>
          <w:tcPr>
            <w:tcW w:w="6398" w:type="dxa"/>
            <w:noWrap w:val="0"/>
            <w:vAlign w:val="center"/>
          </w:tcPr>
          <w:p w14:paraId="67D1D22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根据投标人对项目工作中的管理规范、管理组织构架、监督体系、内控制度、质量管控措施进行打分。</w:t>
            </w:r>
          </w:p>
          <w:p w14:paraId="17907D54">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服务质量管控方案阐述全面，管理规范、管理组织构架、监督体系、内控制度、质量管控</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等阐述合理可行且有针对性，能有效保障项目服务质量的得3.0-6.0分</w:t>
            </w:r>
            <w:r>
              <w:rPr>
                <w:rFonts w:hint="eastAsia" w:ascii="宋体" w:hAnsi="宋体" w:eastAsia="宋体" w:cs="宋体"/>
                <w:color w:val="auto"/>
                <w:sz w:val="21"/>
                <w:szCs w:val="21"/>
                <w:highlight w:val="none"/>
              </w:rPr>
              <w:t>；</w:t>
            </w:r>
          </w:p>
          <w:p w14:paraId="5CC68B5A">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服务质量管控方案阐述简单，管理规范、监督体系等内容有提及但阐述不完整，基本能保障项目服务的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75CB8288">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方案阐述片面，内容不完整，缺乏可操作性的得0.1-0.9分；</w:t>
            </w:r>
          </w:p>
          <w:p w14:paraId="1AC3D82E">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1896F5D7">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14:paraId="10C4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2EEA6B56">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restart"/>
            <w:noWrap w:val="0"/>
            <w:vAlign w:val="center"/>
          </w:tcPr>
          <w:p w14:paraId="10B6BF39">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数据录入</w:t>
            </w:r>
          </w:p>
        </w:tc>
        <w:tc>
          <w:tcPr>
            <w:tcW w:w="6398" w:type="dxa"/>
            <w:noWrap w:val="0"/>
            <w:vAlign w:val="center"/>
          </w:tcPr>
          <w:p w14:paraId="653F71BE">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对省级“智控海洋”应用场景的理解是否科学、合理、先进、完整等情况进行打分。</w:t>
            </w:r>
          </w:p>
          <w:p w14:paraId="36E7D090">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对省级“智控海洋”应用场景的理解</w:t>
            </w:r>
            <w:r>
              <w:rPr>
                <w:rFonts w:hint="eastAsia" w:ascii="宋体" w:hAnsi="宋体" w:eastAsia="宋体" w:cs="宋体"/>
                <w:color w:val="auto"/>
                <w:sz w:val="21"/>
                <w:szCs w:val="21"/>
                <w:highlight w:val="none"/>
                <w:lang w:val="en-US" w:eastAsia="zh-CN"/>
              </w:rPr>
              <w:t>科学合理，内容完整、有针对性的得2.0-4.0分；</w:t>
            </w:r>
          </w:p>
          <w:p w14:paraId="50009117">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004B8871">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7BB97F01">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18CB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074" w:type="dxa"/>
            <w:vMerge w:val="continue"/>
            <w:noWrap w:val="0"/>
            <w:vAlign w:val="center"/>
          </w:tcPr>
          <w:p w14:paraId="534DB12B">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4479E7FC">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71306CDE">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对省级“智控海洋”场景相关接口的理解程度进行打分。</w:t>
            </w:r>
          </w:p>
          <w:p w14:paraId="79AC89A8">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对省级“智控海洋”场景相关接口的理解</w:t>
            </w:r>
            <w:r>
              <w:rPr>
                <w:rFonts w:hint="eastAsia" w:ascii="宋体" w:hAnsi="宋体" w:eastAsia="宋体" w:cs="宋体"/>
                <w:color w:val="auto"/>
                <w:sz w:val="21"/>
                <w:szCs w:val="21"/>
                <w:highlight w:val="none"/>
                <w:lang w:val="en-US" w:eastAsia="zh-CN"/>
              </w:rPr>
              <w:t>科学合理，内容完整、有针对性的得2.0-4.0分；</w:t>
            </w:r>
          </w:p>
          <w:p w14:paraId="1933D3FC">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00F829E4">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4F70DE4F">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328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74" w:type="dxa"/>
            <w:vMerge w:val="continue"/>
            <w:noWrap w:val="0"/>
            <w:vAlign w:val="center"/>
          </w:tcPr>
          <w:p w14:paraId="516DE79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vMerge w:val="continue"/>
            <w:noWrap w:val="0"/>
            <w:vAlign w:val="center"/>
          </w:tcPr>
          <w:p w14:paraId="79F9766A">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6398" w:type="dxa"/>
            <w:noWrap w:val="0"/>
            <w:vAlign w:val="center"/>
          </w:tcPr>
          <w:p w14:paraId="0016DB02">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）的理解是否科学、合理、先进、完整等情况进行打分。</w:t>
            </w:r>
          </w:p>
          <w:p w14:paraId="1CA84375">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w:t>
            </w:r>
            <w:r>
              <w:rPr>
                <w:rFonts w:hint="eastAsia" w:ascii="宋体" w:hAnsi="宋体" w:eastAsia="宋体" w:cs="宋体"/>
                <w:color w:val="auto"/>
                <w:sz w:val="21"/>
                <w:szCs w:val="21"/>
                <w:highlight w:val="none"/>
                <w:lang w:val="en-US" w:eastAsia="zh-CN"/>
              </w:rPr>
              <w:t>科学合理，内容阐述完整、有针对性的得2.0-4.0分；</w:t>
            </w:r>
          </w:p>
          <w:p w14:paraId="4A0D4114">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6A246FA1">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852" w:type="dxa"/>
            <w:noWrap w:val="0"/>
            <w:vAlign w:val="center"/>
          </w:tcPr>
          <w:p w14:paraId="35B6B1F7">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0B0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074" w:type="dxa"/>
            <w:vMerge w:val="continue"/>
            <w:noWrap w:val="0"/>
            <w:vAlign w:val="center"/>
          </w:tcPr>
          <w:p w14:paraId="2513A2D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117A8522">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保密措施</w:t>
            </w:r>
          </w:p>
        </w:tc>
        <w:tc>
          <w:tcPr>
            <w:tcW w:w="6398" w:type="dxa"/>
            <w:noWrap w:val="0"/>
            <w:vAlign w:val="center"/>
          </w:tcPr>
          <w:p w14:paraId="63A56821">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根据投标人是否有</w:t>
            </w:r>
            <w:r>
              <w:rPr>
                <w:rFonts w:hint="eastAsia" w:ascii="宋体" w:hAnsi="宋体" w:eastAsia="宋体" w:cs="宋体"/>
                <w:bCs/>
                <w:color w:val="auto"/>
                <w:sz w:val="21"/>
                <w:szCs w:val="21"/>
                <w:highlight w:val="none"/>
                <w:lang w:val="en-US" w:eastAsia="zh-CN"/>
              </w:rPr>
              <w:t>完备的</w:t>
            </w:r>
            <w:r>
              <w:rPr>
                <w:rFonts w:hint="eastAsia" w:ascii="宋体" w:hAnsi="宋体" w:eastAsia="宋体" w:cs="宋体"/>
                <w:bCs/>
                <w:color w:val="auto"/>
                <w:sz w:val="21"/>
                <w:szCs w:val="21"/>
                <w:highlight w:val="none"/>
                <w:lang w:eastAsia="zh-CN"/>
              </w:rPr>
              <w:t>保密措施，</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2024年路桥区海洋空间资源开发利用监测评估工作</w:t>
            </w:r>
            <w:r>
              <w:rPr>
                <w:rFonts w:hint="eastAsia" w:ascii="宋体" w:hAnsi="宋体" w:eastAsia="宋体" w:cs="宋体"/>
                <w:bCs/>
                <w:color w:val="auto"/>
                <w:sz w:val="21"/>
                <w:szCs w:val="21"/>
                <w:highlight w:val="none"/>
                <w:lang w:val="en-US" w:eastAsia="zh-CN"/>
              </w:rPr>
              <w:t>涉及的各类</w:t>
            </w:r>
            <w:r>
              <w:rPr>
                <w:rFonts w:hint="eastAsia" w:ascii="宋体" w:hAnsi="宋体" w:eastAsia="宋体" w:cs="宋体"/>
                <w:bCs/>
                <w:color w:val="auto"/>
                <w:sz w:val="21"/>
                <w:szCs w:val="21"/>
                <w:highlight w:val="none"/>
                <w:lang w:eastAsia="zh-CN"/>
              </w:rPr>
              <w:t>影像、资料以及档案不被泄露等情况进行打分。</w:t>
            </w:r>
          </w:p>
          <w:p w14:paraId="03382CE2">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详细阐述具体的保密措施，措施全面可行，能够</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资料不被泄露的得3.0-5.0分；</w:t>
            </w:r>
          </w:p>
          <w:p w14:paraId="36BEFBB4">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保密措施简单，</w:t>
            </w:r>
            <w:r>
              <w:rPr>
                <w:rFonts w:hint="eastAsia" w:ascii="宋体" w:hAnsi="宋体" w:eastAsia="宋体" w:cs="宋体"/>
                <w:bCs/>
                <w:color w:val="auto"/>
                <w:sz w:val="21"/>
                <w:szCs w:val="21"/>
                <w:highlight w:val="none"/>
                <w:lang w:val="en-US" w:eastAsia="zh-CN"/>
              </w:rPr>
              <w:t>内容有提及但不完整</w:t>
            </w:r>
            <w:r>
              <w:rPr>
                <w:rFonts w:hint="eastAsia" w:ascii="宋体" w:hAnsi="宋体" w:eastAsia="宋体" w:cs="宋体"/>
                <w:bCs/>
                <w:color w:val="auto"/>
                <w:sz w:val="21"/>
                <w:szCs w:val="21"/>
                <w:highlight w:val="none"/>
                <w:lang w:eastAsia="zh-CN"/>
              </w:rPr>
              <w:t>，不能</w:t>
            </w:r>
            <w:r>
              <w:rPr>
                <w:rFonts w:hint="eastAsia" w:ascii="宋体" w:hAnsi="宋体" w:eastAsia="宋体" w:cs="宋体"/>
                <w:bCs/>
                <w:color w:val="auto"/>
                <w:sz w:val="21"/>
                <w:szCs w:val="21"/>
                <w:highlight w:val="none"/>
                <w:lang w:val="en-US" w:eastAsia="zh-CN"/>
              </w:rPr>
              <w:t>有效</w:t>
            </w:r>
            <w:r>
              <w:rPr>
                <w:rFonts w:hint="eastAsia" w:ascii="宋体" w:hAnsi="宋体" w:eastAsia="宋体" w:cs="宋体"/>
                <w:bCs/>
                <w:color w:val="auto"/>
                <w:sz w:val="21"/>
                <w:szCs w:val="21"/>
                <w:highlight w:val="none"/>
                <w:lang w:eastAsia="zh-CN"/>
              </w:rPr>
              <w:t>保障服务质量的得</w:t>
            </w:r>
            <w:r>
              <w:rPr>
                <w:rFonts w:hint="eastAsia" w:ascii="宋体" w:hAnsi="宋体" w:eastAsia="宋体" w:cs="宋体"/>
                <w:bCs/>
                <w:color w:val="auto"/>
                <w:sz w:val="21"/>
                <w:szCs w:val="21"/>
                <w:highlight w:val="none"/>
                <w:lang w:val="en-US" w:eastAsia="zh-CN"/>
              </w:rPr>
              <w:t>1.0-2.9分；</w:t>
            </w:r>
          </w:p>
          <w:p w14:paraId="7FC8F948">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方案阐述片面，内容不完整，缺乏可操作性的得0.1-0.9分；</w:t>
            </w:r>
          </w:p>
          <w:p w14:paraId="50D625EF">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未提及此项不得分。</w:t>
            </w:r>
          </w:p>
        </w:tc>
        <w:tc>
          <w:tcPr>
            <w:tcW w:w="852" w:type="dxa"/>
            <w:noWrap w:val="0"/>
            <w:vAlign w:val="center"/>
          </w:tcPr>
          <w:p w14:paraId="305AF5FA">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r>
      <w:tr w14:paraId="77ED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1074" w:type="dxa"/>
            <w:vMerge w:val="continue"/>
            <w:noWrap w:val="0"/>
            <w:vAlign w:val="center"/>
          </w:tcPr>
          <w:p w14:paraId="3E4FFA20">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1094" w:type="dxa"/>
            <w:noWrap w:val="0"/>
            <w:vAlign w:val="center"/>
          </w:tcPr>
          <w:p w14:paraId="7460460E">
            <w:pPr>
              <w:keepNext w:val="0"/>
              <w:keepLines w:val="0"/>
              <w:pageBreakBefore w:val="0"/>
              <w:kinsoku/>
              <w:wordWrap/>
              <w:overflowPunct/>
              <w:topLinePunct w:val="0"/>
              <w:bidi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后续</w:t>
            </w:r>
            <w:r>
              <w:rPr>
                <w:rFonts w:hint="eastAsia" w:ascii="宋体" w:hAnsi="宋体" w:eastAsia="宋体" w:cs="宋体"/>
                <w:i w:val="0"/>
                <w:iCs w:val="0"/>
                <w:color w:val="auto"/>
                <w:kern w:val="0"/>
                <w:sz w:val="21"/>
                <w:szCs w:val="21"/>
                <w:highlight w:val="none"/>
              </w:rPr>
              <w:t>服务</w:t>
            </w:r>
            <w:r>
              <w:rPr>
                <w:rFonts w:hint="eastAsia" w:ascii="宋体" w:hAnsi="宋体" w:eastAsia="宋体" w:cs="宋体"/>
                <w:i w:val="0"/>
                <w:iCs w:val="0"/>
                <w:color w:val="auto"/>
                <w:kern w:val="0"/>
                <w:sz w:val="21"/>
                <w:szCs w:val="21"/>
                <w:highlight w:val="none"/>
                <w:lang w:val="en-US" w:eastAsia="zh-CN"/>
              </w:rPr>
              <w:t>方案</w:t>
            </w:r>
          </w:p>
        </w:tc>
        <w:tc>
          <w:tcPr>
            <w:tcW w:w="6398" w:type="dxa"/>
            <w:noWrap w:val="0"/>
            <w:vAlign w:val="center"/>
          </w:tcPr>
          <w:p w14:paraId="16E45A5D">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根据投标人承诺提供的后续服务方案（服务能力、服务措施、服务承诺等方面）情况，包括服务承诺的可行性、完整性以及后续的技术实施保障措施等进行打分。</w:t>
            </w:r>
          </w:p>
          <w:p w14:paraId="5BD22236">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服务方案全面、后续技术保障措施合理有效的得3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14:paraId="7834336F">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服务方案阐述较详尽，</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后续技术保障措施有欠缺的得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8AA17A0">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服务方案简单片面，内容有提及但缺乏针对性、可行性的得0.1-0.9分</w:t>
            </w:r>
            <w:r>
              <w:rPr>
                <w:rFonts w:hint="eastAsia" w:ascii="宋体" w:hAnsi="宋体" w:eastAsia="宋体" w:cs="宋体"/>
                <w:color w:val="auto"/>
                <w:sz w:val="21"/>
                <w:szCs w:val="21"/>
                <w:highlight w:val="none"/>
              </w:rPr>
              <w:t>；</w:t>
            </w:r>
          </w:p>
          <w:p w14:paraId="794FBBC3">
            <w:pPr>
              <w:keepNext w:val="0"/>
              <w:keepLines w:val="0"/>
              <w:pageBreakBefore w:val="0"/>
              <w:widowControl/>
              <w:tabs>
                <w:tab w:val="right" w:pos="4937"/>
              </w:tabs>
              <w:kinsoku/>
              <w:wordWrap/>
              <w:overflowPunct/>
              <w:topLinePunct w:val="0"/>
              <w:bidi w:val="0"/>
              <w:spacing w:line="240" w:lineRule="auto"/>
              <w:ind w:left="0" w:leftChars="0"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852" w:type="dxa"/>
            <w:noWrap w:val="0"/>
            <w:vAlign w:val="center"/>
          </w:tcPr>
          <w:p w14:paraId="13F7482C">
            <w:pPr>
              <w:tabs>
                <w:tab w:val="left" w:pos="780"/>
              </w:tabs>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4D21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168" w:type="dxa"/>
            <w:gridSpan w:val="2"/>
            <w:noWrap w:val="0"/>
            <w:vAlign w:val="center"/>
          </w:tcPr>
          <w:p w14:paraId="1A63633D">
            <w:pPr>
              <w:keepNext w:val="0"/>
              <w:keepLines w:val="0"/>
              <w:pageBreakBefore w:val="0"/>
              <w:kinsoku/>
              <w:wordWrap/>
              <w:overflowPunct/>
              <w:topLinePunct w:val="0"/>
              <w:bidi w:val="0"/>
              <w:spacing w:line="240" w:lineRule="auto"/>
              <w:ind w:left="0" w:leftChars="0" w:right="0" w:firstLine="0" w:firstLineChars="0"/>
              <w:jc w:val="center"/>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14:paraId="0BF49E53">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w:t>
            </w:r>
            <w:r>
              <w:rPr>
                <w:rStyle w:val="58"/>
                <w:rFonts w:hint="eastAsia" w:ascii="宋体" w:hAnsi="宋体" w:eastAsia="宋体" w:cs="宋体"/>
                <w:color w:val="auto"/>
                <w:kern w:val="0"/>
                <w:sz w:val="21"/>
                <w:szCs w:val="21"/>
                <w:highlight w:val="none"/>
                <w:lang w:val="en-US" w:eastAsia="zh-CN"/>
              </w:rPr>
              <w:t>1</w:t>
            </w:r>
            <w:r>
              <w:rPr>
                <w:rStyle w:val="58"/>
                <w:rFonts w:hint="eastAsia" w:ascii="宋体" w:hAnsi="宋体" w:eastAsia="宋体" w:cs="宋体"/>
                <w:color w:val="auto"/>
                <w:kern w:val="0"/>
                <w:sz w:val="21"/>
                <w:szCs w:val="21"/>
                <w:highlight w:val="none"/>
              </w:rPr>
              <w:t>0分）</w:t>
            </w:r>
          </w:p>
        </w:tc>
        <w:tc>
          <w:tcPr>
            <w:tcW w:w="6398" w:type="dxa"/>
            <w:noWrap w:val="0"/>
            <w:vAlign w:val="center"/>
          </w:tcPr>
          <w:p w14:paraId="2AC67905">
            <w:pPr>
              <w:keepNext w:val="0"/>
              <w:keepLines w:val="0"/>
              <w:pageBreakBefore w:val="0"/>
              <w:kinsoku/>
              <w:wordWrap/>
              <w:overflowPunct/>
              <w:topLinePunct w:val="0"/>
              <w:bidi w:val="0"/>
              <w:spacing w:line="24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w:t>
            </w:r>
          </w:p>
          <w:p w14:paraId="0ADF8203">
            <w:pPr>
              <w:keepNext w:val="0"/>
              <w:keepLines w:val="0"/>
              <w:pageBreakBefore w:val="0"/>
              <w:kinsoku/>
              <w:wordWrap/>
              <w:overflowPunct/>
              <w:topLinePunct w:val="0"/>
              <w:bidi w:val="0"/>
              <w:spacing w:line="240" w:lineRule="auto"/>
              <w:ind w:left="0" w:right="0"/>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52" w:type="dxa"/>
            <w:noWrap w:val="0"/>
            <w:vAlign w:val="center"/>
          </w:tcPr>
          <w:p w14:paraId="4EABA3D5">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bl>
    <w:p w14:paraId="0DD3045C">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025BB36">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66566EC8">
      <w:pPr>
        <w:pStyle w:val="4"/>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项目背景</w:t>
      </w:r>
    </w:p>
    <w:p w14:paraId="4E58FFF3">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（一）路桥区2024年度海岸线监测</w:t>
      </w:r>
    </w:p>
    <w:p w14:paraId="601CDC36">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岸线是多年大潮平均高潮时的水陆分界痕迹线。海岸线具有重要的生态功能和资源价值，同时也是区分陆地生态系统和海洋生态系统的重要参考，是自然资源管理工作的重要依据。涉及社会、经济、环保及国防安全等各个方面。对于海岸线现状及变化情况的掌握以及对于海岸线的保护非常重要。党中央、国务院高度重视海岸线保护与利用管理工作，2016年11月1日，中央全面深化改革领导小组第二十九次会议审议通过了《海岸线保护与利用管理办法》（以下简称《办法》），为全面深化国家生态文明体制改革提供了重要依据。为贯彻中央深化改革要求，落实推进《办法》各项制度，2017年，国家海洋局（后并入自然资源部）印发了《贯彻落实&lt;海岸线保护与利用管理办法&gt;的指导意见》和《贯彻落实&lt;海岸线保护与利用管理办法&gt;的实施方案》（国海发〔2017〕15号），明确要求沿海各省（区、市）实施海岸线年度调查统计和建立常态化动态监视监测机制，定期开展海洋生态本底调查和海岸线调查统计工作，切实掌握海岸线动态变化，每年更新调查统计成果。</w:t>
      </w:r>
    </w:p>
    <w:p w14:paraId="3DE30C88">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落实自然资源部的各项工作要求，原浙江省海洋与渔业局和浙江省自然资源厅自2016年开始，每年组织沿海各县、市、区开展海岸线调查监测工作。2019年开始自然资源部组织全国开展大陆及有居民海岛岸线的修测。浙江省基于历年工作成果，按照自然资源部有关要求组织沿海各县（市、区）开展了海岸线修测，直至2020年底完成海岸线修测。2021及2023年，浙江省继续组织沿海各县（市、区）基于全国海岸线修测大陆、及有居民海岛岸线修测成果及原浙江省海岛岸线调查统计成果的基础上实施海岸线监测工作。</w:t>
      </w:r>
    </w:p>
    <w:p w14:paraId="6820908E">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4月浙江省自然资源厅印发了《浙江省自然资源厅关于做好海岸线动态监测试点工作和自然岸线管控要求的通知》（以下简称《通知》）。《通知》要求宁波、温州、嘉兴、舟山、台州市自然资源和规划局“按照现场调查为主、遥 感调查为辅，原则上以季度为监测频率，开展海岸线动态监测。”并随通知一起下发了《海岸线调查统计技术规程》、《浙江省海岸线动态监测试点工作方案》（以下简称《试点工作方案》）等文件指导沿海各县市区开展海岸线监测工作。</w:t>
      </w:r>
    </w:p>
    <w:p w14:paraId="06C89BDF">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了全面贯彻国家海岸线管理的相关文件要求，完成海岸线年度调查统计和落实常态化动态监视监测机制，台州市自然资源和规划局路桥区分局有必要开展2024年度路桥区海岸线监测工作，掌握路桥区2024年度海岸线动态变化情况，为全省及路桥区海岸线的保护利用等提供基础数据支撑。</w:t>
      </w:r>
    </w:p>
    <w:p w14:paraId="3B816FDD">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路桥区2024年度沿海滩涂（潮间带）资源稳定性及淤积潜力评价</w:t>
      </w:r>
    </w:p>
    <w:p w14:paraId="55448B7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沿海滩涂（潮间带）是近海生物重要栖息繁殖地和鸟类迁徙中转站，是珍贵的湿地资源，具有重要的生态功能。党中央、国务院高度重视沿海滩涂（潮间带）保护与利用管理工作，2016年12月，中央全面深化改革领导小组第三十次会议审议通过了《围填海管控办法》，要求加强和规范围填海管理、严格控制围填海总量，促进沿海滩涂等海洋资源可持续利用；2021年3月，两会受权发布《中华人民共和国国民经济和社会发展十四五规划和2035年远景目标纲要》，要求“严格围填海管控，加强海岸带综合管理与滨海湿地保护”。</w:t>
      </w:r>
    </w:p>
    <w:p w14:paraId="013C155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省地处我国东部沿海，滩涂资源丰富，省委省政府高度重视滩涂资源保护与开发利用工作。《浙江省加强滨海湿地保护严格管控围填海实施方案》（浙自然资规〔2019〕1号）明确要求，全面掌握滨海湿地保护与利用情况，开展滩涂资源专项调查，摸清滩涂资源现状和开发潜力，掌握后备资源储备状况，进一步完善动态监视监测体系，加强围填海监视监测，及时掌握动态变化情况；《浙江省人民政府关于印发浙江省海洋经济发展“十四五”规划的通知》（浙政发〔2021〕12号）明确要求，优化海洋空间资源保护利用，坚持开发和保护并重；强化海洋“两空间内部一红线”管控，创新建立海洋保护协调机制，推进海域、海岛、海岸线分区分类保护与利用。为贯彻党中央与省委省政府关于科学保护与开发利用滩涂资源的要求，急需对全省沿海主要滩涂（潮间带）资源及其后备资源要素开展相关调查、评价，摸清现状和变化情况；动态掌握全省沿海主要滩涂资源及其后备资源现状及变化情况，研判全省沿海滩涂冲淤演变格局，科学分析标准海堤外主要滩涂区中长期淤积潜力，系统评价标准海堤内主要滩涂区成陆情况，为统筹全省沿海滩涂资源的保护与利用提供依据。</w:t>
      </w:r>
    </w:p>
    <w:p w14:paraId="71213CB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2024年5月浙江省自然资源厅印发了《浙江省自然资源厅关于印发 2024 年省自然资源专项资金（海洋综合管理）工作任务的通知》，并随通知一起下发了《浙江省沿海滩涂（潮间带）资源稳定性及淤积潜力评价技术规程》，指导沿海各县市区开展沿海滩涂（潮间带）资源稳定性及淤积潜力评价工作。为了摸清路桥区沿海滩涂的现状和变化情况，开展路桥区沿海滩涂（潮间带）资源稳定性及淤积潜力评价工作，动态掌握路桥区沿海主要滩涂资源及其后备资源现状及变化情况，同时为浙江省研判全省沿海滩涂冲淤演变格局，统筹全省沿海滩涂资源的保护与利用提供依据</w:t>
      </w:r>
      <w:r>
        <w:rPr>
          <w:rFonts w:hint="eastAsia" w:ascii="宋体" w:hAnsi="宋体" w:cs="宋体"/>
          <w:color w:val="auto"/>
          <w:sz w:val="21"/>
          <w:szCs w:val="21"/>
          <w:highlight w:val="none"/>
          <w:lang w:val="en-US" w:eastAsia="zh-CN"/>
        </w:rPr>
        <w:t>。</w:t>
      </w:r>
    </w:p>
    <w:p w14:paraId="46F453F7">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（三）路桥区2024年围填海历史遗留问题处理核查</w:t>
      </w:r>
    </w:p>
    <w:p w14:paraId="19876789">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根据《国务院关于加强滨海湿地保护严格管控围填海的通知》（国发〔2018〕24号，以下简称《通知》）要求，2018年12月，自然资源部、国家发展和改革委员会印发了《关于贯彻落实〈国务院关于加强滨海湿地保护 严格管控围填海的通知〉的实施意见》（自然资规〔2018〕5号），要求各省每年12月底前，将经省级人民政府同意的围填海历史遗留问题年度处理情况报送自然资源部和国家发展改革委。2022年10月，自然资源部印发《关于加快开展“未批已填”类围填海历史遗留问题处理方案备案审查工作的通知》（自然资办函〔2022〕2266号），要求对未经自然资源部组织备案审查的“未批已填”类图斑进行集中备案审查。省自然资源厅组织省海科院和各级自然资源主管部门对“未批已填”类围填海历史遗留问题进行了全面梳理和补充完善，编制处理方案报自然资源部审查，2023年9月20日获批。</w:t>
      </w:r>
    </w:p>
    <w:p w14:paraId="6C86254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本次开展历史围填海处理情况核查工作，是在2018年围填海现状调查和2019至2023年围填海历史遗留问题处理情况核查监管的基础上，通过遥感监测及现场核查相结合的方式，及时掌握工程状态、开发利用等信息，并对《浙江省围填海历史遗留问题处理方案》（以下简称《处理方案》）内的围填海区块的处理情况及其进展进行核查，为严格管控围填海，报送年度处理工作情况提供基础支撑。 </w:t>
      </w:r>
    </w:p>
    <w:p w14:paraId="5DF87356">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（四）路桥区2024年无居民海岛监视监测与管理</w:t>
      </w:r>
    </w:p>
    <w:p w14:paraId="50475EE8">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2020年12月14日，浙江省自然资源厅印发《浙江省海洋重点领域监管工作方案》的通知，在海域、无居民海岛保护与利用监管方面提出“主要包括海域使用与无居民海岛开发利用许可、围填海历史遗留问题处置、用海用岛疑点疑区核查、领海基点等特殊用途海岛保护等”。</w:t>
      </w:r>
    </w:p>
    <w:p w14:paraId="0B172B59">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然资源部办公厅关于开展更新无居民海岛开发利用现状等工作的函》（自然资办函〔2024〕1209号），提出开展更新无居民海岛开发利用现状、统计面积较小无居民海岛情况、统计特殊情形岸线信息等有关工作，便于进一步做好无居民海岛保护利用管理工作。</w:t>
      </w:r>
    </w:p>
    <w:p w14:paraId="37A444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浙江省自然资源厅关于进一步做好无居民海岛历史遗留问题处置工作的通知》（浙自然资厅〔2024〕220号）提出沿海县级以上自然资源部门应当依据无居民海岛历史遗留问题清单和生态评估结论，制定无居民海岛历史遗留问题处置方案。处置方案应包括用岛现状、历史遗留问题成因及类型、生态评估结论、生态保护修复方案及实施计划、违法违规用岛查处情况、审批手续办理安排等。</w:t>
      </w:r>
    </w:p>
    <w:p w14:paraId="19BEE26A">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kern w:val="2"/>
          <w:sz w:val="21"/>
          <w:szCs w:val="21"/>
          <w:highlight w:val="none"/>
          <w:lang w:val="en-US" w:eastAsia="zh-CN" w:bidi="ar-SA"/>
        </w:rPr>
      </w:pPr>
    </w:p>
    <w:p w14:paraId="1DEC4808">
      <w:pPr>
        <w:pStyle w:val="4"/>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工作范围</w:t>
      </w:r>
    </w:p>
    <w:p w14:paraId="58B760B0">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（一）路桥区2024年度海岸线监测</w:t>
      </w:r>
    </w:p>
    <w:p w14:paraId="6C7DC252">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路桥区辖区内的大陆及海岛岸线，其中海岛岸线包括有居民海岛岸线和无居民海岛岸线。</w:t>
      </w:r>
    </w:p>
    <w:p w14:paraId="07AEBF61">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（二）路桥区2024年度沿海滩涂（潮间带）资源稳定性及淤积潜力评价</w:t>
      </w:r>
    </w:p>
    <w:p w14:paraId="1E8B40ED">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监测与评价范围涵盖路桥区行政区划界线内的大陆与海岛主要滩涂区，自现状大陆海岸线和海岛海岸线向海至水深 5 米线。</w:t>
      </w:r>
    </w:p>
    <w:p w14:paraId="63150EA1">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（三）路桥区2024年围填海历史遗留问题处理核查</w:t>
      </w:r>
    </w:p>
    <w:p w14:paraId="4E76087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《浙江省围填海历史遗留问题处理方案》中的路桥区围填海区块及其生态修复范围。</w:t>
      </w:r>
    </w:p>
    <w:p w14:paraId="5E22B103">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（四）路桥区2024年无居民海岛监视监测与管理</w:t>
      </w:r>
    </w:p>
    <w:p w14:paraId="52E1EC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路桥区管辖范围内存在开发利用的无居民海岛。</w:t>
      </w:r>
    </w:p>
    <w:p w14:paraId="741D125E">
      <w:pPr>
        <w:pageBreakBefore w:val="0"/>
        <w:kinsoku/>
        <w:wordWrap/>
        <w:overflowPunct/>
        <w:topLinePunct w:val="0"/>
        <w:autoSpaceDN/>
        <w:bidi w:val="0"/>
        <w:adjustRightInd/>
        <w:snapToGrid/>
        <w:spacing w:line="360" w:lineRule="auto"/>
        <w:jc w:val="left"/>
        <w:textAlignment w:val="auto"/>
        <w:rPr>
          <w:rFonts w:hint="eastAsia" w:ascii="宋体" w:hAnsi="宋体" w:eastAsia="宋体" w:cs="宋体"/>
          <w:b/>
          <w:bCs/>
          <w:color w:val="auto"/>
          <w:sz w:val="21"/>
          <w:szCs w:val="21"/>
          <w:highlight w:val="none"/>
          <w:lang w:val="en-US" w:eastAsia="zh-CN"/>
        </w:rPr>
      </w:pPr>
    </w:p>
    <w:p w14:paraId="5F71A0CE">
      <w:pPr>
        <w:pStyle w:val="4"/>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rPr>
        <w:t>内容</w:t>
      </w:r>
    </w:p>
    <w:p w14:paraId="71EF11E0">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（一）路桥区2024年度海岸线监测</w:t>
      </w:r>
    </w:p>
    <w:p w14:paraId="649EFBBE">
      <w:pPr>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路桥区2024年度海岸线监测工作共分为4个部分，分别是大陆海岸线动态监测、有居民海岛岸线监测和严格保护岸段标志设立</w:t>
      </w:r>
      <w:r>
        <w:rPr>
          <w:rFonts w:hint="eastAsia" w:ascii="宋体" w:hAnsi="宋体" w:cs="宋体"/>
          <w:b w:val="0"/>
          <w:color w:val="auto"/>
          <w:sz w:val="21"/>
          <w:szCs w:val="21"/>
          <w:highlight w:val="none"/>
          <w:lang w:val="en-US" w:eastAsia="zh-CN"/>
        </w:rPr>
        <w:t>，</w:t>
      </w:r>
      <w:r>
        <w:rPr>
          <w:rFonts w:hint="eastAsia" w:ascii="宋体" w:hAnsi="宋体" w:eastAsia="宋体" w:cs="宋体"/>
          <w:b w:val="0"/>
          <w:color w:val="auto"/>
          <w:sz w:val="21"/>
          <w:szCs w:val="21"/>
          <w:highlight w:val="none"/>
          <w:lang w:val="en-US" w:eastAsia="zh-CN"/>
        </w:rPr>
        <w:t>并根据2024年度海岸线监测结果按照场景要求更新“智控海洋”场景中的相关数据。</w:t>
      </w:r>
    </w:p>
    <w:p w14:paraId="1BF39F6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（1）大陆海岸线动态监测</w:t>
      </w:r>
    </w:p>
    <w:p w14:paraId="0A50133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大陆海岸线动态监测工作内容包括海岸线位置情况变化监测、海岸线类型变化监测、海岸线长度变化情况监测，具体参考《试点工作方案》以清单式监测为主，覆盖式监测为辅。</w:t>
      </w:r>
    </w:p>
    <w:p w14:paraId="0AC62586">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① 海岸线位置变化情况监测</w:t>
      </w:r>
    </w:p>
    <w:p w14:paraId="7D4E976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a. 人为因素导致海岸线位置发生变化</w:t>
      </w:r>
    </w:p>
    <w:p w14:paraId="07F096C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包括海域权属内填海项目实施、围填海历史遗留问题处理的填海或拆除活动、海岸线向海一侧土地权属内用海活动等导致海岸线位置发生变化。</w:t>
      </w:r>
    </w:p>
    <w:p w14:paraId="1C397BD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b. 自然作用导致海岸线位置发生变化</w:t>
      </w:r>
    </w:p>
    <w:p w14:paraId="6D5B7B3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包括海陆相互演化作用使海岸线位置发生变化。</w:t>
      </w:r>
    </w:p>
    <w:p w14:paraId="7683F0A4">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② 海岸线类型变化情况监测</w:t>
      </w:r>
    </w:p>
    <w:p w14:paraId="5FE4F39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a. 由自然岸线变为人工岸线</w:t>
      </w:r>
    </w:p>
    <w:p w14:paraId="76CF95C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包括海域权属内填海项目实施、围填海历史遗留问题处理的填海或拆除活动、海岸线向海一侧土地权属内用海活动等导致海岸线由自然岸线（含生态恢复岸线）变为人工岸线。</w:t>
      </w:r>
    </w:p>
    <w:p w14:paraId="6DF5FE0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b. 由人工岸线变为自然岸线</w:t>
      </w:r>
    </w:p>
    <w:p w14:paraId="22EB2720">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包括海岸线整治修复工程、用海项目明确的海岸线生态修复措施、围填海历史遗留问题处理中明确的海岸线生态修复措施以及由自然演化作用使人工岸线变为自然岸线（含生态恢复岸线）。</w:t>
      </w:r>
    </w:p>
    <w:p w14:paraId="5A255965">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3.海岸线长度变化情况监测</w:t>
      </w:r>
    </w:p>
    <w:p w14:paraId="252D7034">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包括海域权属内填海项目实施、围填海历史遗留问题处理的填海或拆除活动、海岸线向海一侧土地权属内用海活动在开展海岸线位置监测的同时测量海岸线长度变化情况。</w:t>
      </w:r>
    </w:p>
    <w:p w14:paraId="2ACAD6E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（2）有居民海岛岸线监测</w:t>
      </w:r>
    </w:p>
    <w:p w14:paraId="5BCAC7E0">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有居民海岛岸线勘测参照以上大陆海岸线动态监测工作内容开展，具体依据浙江省自然资源厅工作要求开展。</w:t>
      </w:r>
    </w:p>
    <w:p w14:paraId="49870C61">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（3）无居民海岛岸线监测</w:t>
      </w:r>
    </w:p>
    <w:p w14:paraId="66817BD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在2023年无居民海岛岸线勘测的基础上开展无居民海岛岸线监测。</w:t>
      </w:r>
    </w:p>
    <w:p w14:paraId="3F7FC49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① 测量无居民海岛岸线位置，统计岸线长度。 </w:t>
      </w:r>
    </w:p>
    <w:p w14:paraId="5DFBA82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② 查清无居民海岛岸线类型，包括自然岸线（特别是 砂质岸线）、人工岸线。</w:t>
      </w:r>
    </w:p>
    <w:p w14:paraId="354DADD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③ 调查无居民海岛岸线区域的开发利用现状和类型以及相关联的岸线位置。</w:t>
      </w:r>
    </w:p>
    <w:p w14:paraId="49C8601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（4）严格保护岸段界桩和标志牌设置</w:t>
      </w:r>
    </w:p>
    <w:p w14:paraId="469F191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按照《浙江省严格保护岸线界桩与标志牌设置技术要求（试行）》的要求对路桥区辖区内大陆海岸线中在浙江省海岸带规划中划定的严格保护岸线设置界桩和标志牌</w:t>
      </w:r>
      <w:r>
        <w:rPr>
          <w:rFonts w:hint="eastAsia" w:ascii="宋体" w:hAnsi="宋体" w:eastAsia="宋体" w:cs="宋体"/>
          <w:color w:val="auto"/>
          <w:sz w:val="21"/>
          <w:szCs w:val="21"/>
          <w:highlight w:val="none"/>
          <w:lang w:val="en-US" w:eastAsia="zh-CN"/>
        </w:rPr>
        <w:t>。</w:t>
      </w:r>
    </w:p>
    <w:p w14:paraId="172E4B8A">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（二）路桥区2024年度沿海滩涂（潮间带）资源稳定性及淤积潜力评价</w:t>
      </w:r>
    </w:p>
    <w:p w14:paraId="22A8D6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展路桥区沿海滩涂（潮间带）资源稳定性及淤积潜力评价。围绕标准海堤外主要滩涂区稳定性及淤积潜力，采用实地勘测（结合无人机拍摄、遥感解译）、室内分析与综合评价相结合的方式，进行路桥区沿海滩涂（潮间带）资源稳定性及淤积潜力的监测与评价。</w:t>
      </w:r>
    </w:p>
    <w:p w14:paraId="38E8EA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（1）标准海堤内主要滩涂区要素监测与评价。含地形、植被、土壤（水体）盐度、土壤密度与含水量等要素监测（调查、测量）；堤外近区（理论深度基准面水深 5 米以内）海水化学、沉积物、大型底栖生物调查。</w:t>
      </w:r>
      <w:r>
        <w:rPr>
          <w:rFonts w:hint="eastAsia" w:ascii="宋体" w:hAnsi="宋体" w:eastAsia="宋体" w:cs="宋体"/>
          <w:color w:val="auto"/>
          <w:sz w:val="21"/>
          <w:szCs w:val="21"/>
          <w:highlight w:val="none"/>
          <w:lang w:val="en-US" w:eastAsia="zh-CN"/>
        </w:rPr>
        <w:t>具体要求：主要滩涂区地形监测 1 次；植被、土壤（水体）盐度、土壤密度与含水量等要素监测 1 次；获取正射影像 1 次。</w:t>
      </w:r>
    </w:p>
    <w:p w14:paraId="37E78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（2）标准海堤外主要滩涂区要素监测与评价。现状岸线至理论深度基准面水深 5 米之间主要滩涂区域的地形监测、表层沉积物调查。具体要求：主要滩涂区和重点滩涂区地形与表层沉积物各监测1次；</w:t>
      </w:r>
    </w:p>
    <w:p w14:paraId="6728D1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）重点滩涂区水文要素监测。</w:t>
      </w:r>
      <w:r>
        <w:rPr>
          <w:rFonts w:hint="eastAsia" w:ascii="宋体" w:hAnsi="宋体" w:eastAsia="宋体" w:cs="宋体"/>
          <w:color w:val="auto"/>
          <w:sz w:val="21"/>
          <w:szCs w:val="21"/>
          <w:highlight w:val="none"/>
          <w:lang w:val="en-US" w:eastAsia="zh-CN"/>
        </w:rPr>
        <w:t>具体要求：</w:t>
      </w:r>
      <w:r>
        <w:rPr>
          <w:rFonts w:hint="eastAsia" w:ascii="宋体" w:hAnsi="宋体" w:eastAsia="宋体" w:cs="宋体"/>
          <w:color w:val="auto"/>
          <w:sz w:val="21"/>
          <w:szCs w:val="21"/>
          <w:highlight w:val="none"/>
          <w:lang w:eastAsia="zh-CN"/>
        </w:rPr>
        <w:t>重点潮位观测1次。</w:t>
      </w:r>
    </w:p>
    <w:p w14:paraId="3D11448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（4）编制2024年度监测报告，以及参照技术规程编制2024年度沿海滩涂（潮间带）资源稳定性及淤积潜力的分析评价报告。</w:t>
      </w:r>
    </w:p>
    <w:p w14:paraId="6B545F2B">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（三）路桥区2024年围填海历史遗留问题处理核查</w:t>
      </w:r>
    </w:p>
    <w:p w14:paraId="5A30D6F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路桥区历史围填海处理情况核查项目以2018年浙江省围填海现状调查数据和2019至2023年围填海历史遗留问题处理情况核查监管成果为基础，主要利用高分辨率遥感（无人机、航空或卫星）影像解译与现场调查相结合的方式，开展路桥区围填海历史遗留问题处理情况核查监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并根据2024年度围填海历史遗留问题处理核查结果按照场景要求更新“智控海洋”场景中的相关数据。 </w:t>
      </w:r>
    </w:p>
    <w:p w14:paraId="2087EADC">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主要核查内容为： </w:t>
      </w:r>
    </w:p>
    <w:p w14:paraId="257DD4B4">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（1）项目实施进展：发展改革部门立项、海域使用申请、招拍挂及出让合同签订、填海进度、填海竣工验收、换发土地证、投资金额等内容； </w:t>
      </w:r>
    </w:p>
    <w:p w14:paraId="5AEBEAF0">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（2）用海审批：《处理方案》中未确权区域项目用海获批的数量、面积、用海方式、用海类型及投资金额； </w:t>
      </w:r>
    </w:p>
    <w:p w14:paraId="6A94E1B8">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（3）拆除进展：《处理方案》中明确拆除区域的数量、面积、进度； </w:t>
      </w:r>
    </w:p>
    <w:p w14:paraId="034E11A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（4）违法用海监管：是否存在未批先用、少批多用的情况； </w:t>
      </w:r>
    </w:p>
    <w:p w14:paraId="6B7829E5">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（5）处罚情况：立案机关、立案日期、处罚面积、处罚金额、结案日期等内容；</w:t>
      </w:r>
    </w:p>
    <w:p w14:paraId="43BBE16B">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（6）生态修复进展：已实施的修复措施、投入资金等。 </w:t>
      </w:r>
    </w:p>
    <w:p w14:paraId="7503CEBF">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（四）路桥区2024年无居民海岛监视监测与管理</w:t>
      </w:r>
    </w:p>
    <w:p w14:paraId="06249975">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工作范围为路桥区管辖范围内存在开发利用的无居民海岛，工作内容如下：</w:t>
      </w:r>
    </w:p>
    <w:p w14:paraId="26DE0A21">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（1）无居民海岛监视监测：对路桥区无居民海岛开发利用现状进行监视监测，编制无居民海岛监视监测报告。</w:t>
      </w:r>
    </w:p>
    <w:p w14:paraId="70ED8C6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无居民海岛历史遗留问题处置：根据《浙江省自然资源厅关于进一步做好无居民海岛历史遗留问题处置工作的通知》（浙自然资厅〔2024〕220号）等相关文件要求，依据无居民海岛历史遗留问题清单和生态评估结论，制定无居民海岛历史遗留问题处置方案。</w:t>
      </w:r>
    </w:p>
    <w:p w14:paraId="78D01F51">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（3）根据2024年度无居民海岛监视监测与管理情况按照场景要求将相关数据录入“智控海洋”场景中</w:t>
      </w:r>
      <w:r>
        <w:rPr>
          <w:rFonts w:hint="eastAsia" w:ascii="宋体" w:hAnsi="宋体" w:cs="宋体"/>
          <w:color w:val="auto"/>
          <w:sz w:val="21"/>
          <w:szCs w:val="21"/>
          <w:highlight w:val="none"/>
          <w:lang w:val="en-US" w:eastAsia="zh-CN"/>
        </w:rPr>
        <w:t>。</w:t>
      </w:r>
    </w:p>
    <w:p w14:paraId="315EFFF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p>
    <w:p w14:paraId="7AA652E6">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p>
    <w:p w14:paraId="714B5A4D">
      <w:pPr>
        <w:pStyle w:val="4"/>
        <w:pageBreakBefore w:val="0"/>
        <w:kinsoku/>
        <w:wordWrap/>
        <w:overflowPunct/>
        <w:topLinePunct w:val="0"/>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四、技术要求</w:t>
      </w:r>
    </w:p>
    <w:p w14:paraId="7D7D2E14">
      <w:pPr>
        <w:pStyle w:val="5"/>
        <w:pageBreakBefore w:val="0"/>
        <w:numPr>
          <w:ilvl w:val="0"/>
          <w:numId w:val="0"/>
        </w:numPr>
        <w:kinsoku/>
        <w:wordWrap/>
        <w:overflowPunct/>
        <w:topLinePunct w:val="0"/>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（一）路桥区2024年度海岸线监测</w:t>
      </w:r>
    </w:p>
    <w:p w14:paraId="6B97C48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坐标系 采用2000国家大地坐标系（CGCS2000）； </w:t>
      </w:r>
    </w:p>
    <w:p w14:paraId="68CB3CA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地图投影系统，采用高斯—克吕格投影，3度分带；</w:t>
      </w:r>
    </w:p>
    <w:p w14:paraId="405D94A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计量单位，采用（ 度、分、秒格式，秒后保留3位小数。长度单位采用米，保留1位小数。面积单位采用平方米保留2位小数；</w:t>
      </w:r>
    </w:p>
    <w:p w14:paraId="2CCF7C7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调查统计精度 精度优于l:l0000比例尺，海岸线实测点点位中误差不大于 ±0.1m；</w:t>
      </w:r>
    </w:p>
    <w:p w14:paraId="7011025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高程基准，高程基准采用1985国家高程基准；</w:t>
      </w:r>
    </w:p>
    <w:p w14:paraId="6015CFC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深度基准，深度基准采用理论最低潮面。</w:t>
      </w:r>
    </w:p>
    <w:p w14:paraId="3851C7B6">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（二）路桥区2024年度沿海滩涂（潮间带）资源稳定性及淤积潜力评价</w:t>
      </w:r>
    </w:p>
    <w:p w14:paraId="317783AA">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数学基础：大地坐标系统采用 CGCS2000 坐标系；高程基准采用 1985 国家高程基准（二期）；投影采用高斯-克吕格投影，3度分带，中央经线为 120°或 123°；深度基准采用理论最低潮面。</w:t>
      </w:r>
    </w:p>
    <w:p w14:paraId="78BB1F8C">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（2）标准海堤内主要滩涂区地形监测：露滩区域平面不少于 16 测点/m²，水面覆盖区域根据区块大小提供不同比尺地形图，高程精度优于 0.1m。</w:t>
      </w:r>
    </w:p>
    <w:p w14:paraId="150F9A7D">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（3）标准海堤外主要滩涂区地形监测：实测点平面定位精度一般优于 0.1m，高程测量精度一般优于 0.1m，断面测点间距按照 1:10000 比例尺进行。</w:t>
      </w:r>
    </w:p>
    <w:p w14:paraId="7944177E">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（4）重点滩涂区水文要素监测：对重点滩涂区域进行潮位采样间隔不大于 5 分钟，潮流采样间隔不大于半小时，连续观测不少于 26 小时，潮型判断要满足典型性要求。</w:t>
      </w:r>
    </w:p>
    <w:p w14:paraId="071E9665">
      <w:pPr>
        <w:pStyle w:val="5"/>
        <w:keepNext w:val="0"/>
        <w:keepLines w:val="0"/>
        <w:pageBreakBefore w:val="0"/>
        <w:widowControl w:val="0"/>
        <w:suppressLineNumbers w:val="0"/>
        <w:kinsoku/>
        <w:wordWrap/>
        <w:overflowPunct/>
        <w:topLinePunct w:val="0"/>
        <w:autoSpaceDE w:val="0"/>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eastAsia="zh-CN"/>
        </w:rPr>
        <w:t>（三）路桥区</w:t>
      </w:r>
      <w:r>
        <w:rPr>
          <w:rFonts w:hint="eastAsia" w:ascii="宋体" w:hAnsi="宋体" w:eastAsia="宋体" w:cs="宋体"/>
          <w:b/>
          <w:bCs w:val="0"/>
          <w:color w:val="auto"/>
          <w:kern w:val="2"/>
          <w:sz w:val="21"/>
          <w:szCs w:val="21"/>
          <w:highlight w:val="none"/>
        </w:rPr>
        <w:t>2024年围填海历史遗留问题处理核查</w:t>
      </w:r>
    </w:p>
    <w:p w14:paraId="4F4E5990">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（1）数据基础：大地坐标系统采用CGCS2000坐标系；高程基准采用1985国家高程基准（二期）；投影采用高斯-克吕格投影，中央经线为121.5°E。 </w:t>
      </w:r>
    </w:p>
    <w:p w14:paraId="09E9BBF6">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（2）一般情况下，位置测量中误差不大于±1m；高程测量误差不大于±0.1m； 在边远海岛，位置测量中误差不大于±2m，高程测量误差不大于±0.5m。 </w:t>
      </w:r>
    </w:p>
    <w:p w14:paraId="25E0B3B5">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（3）计量单位：坐标单位采用度、分、秒格式，秒后保留3位小数；面积单位采用公顷，保留2位小数。 </w:t>
      </w:r>
    </w:p>
    <w:p w14:paraId="782AD62F">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（4）图件格式：具有空间地理坐标的图件成果资料应以地理信息系统软件（ArcGIS）成图，采用*.Jpg 图件格式。 </w:t>
      </w:r>
    </w:p>
    <w:p w14:paraId="3F141323">
      <w:pPr>
        <w:keepNext w:val="0"/>
        <w:keepLines w:val="0"/>
        <w:pageBreakBefore w:val="0"/>
        <w:widowControl w:val="0"/>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若2024年省自然资源厅对围填海历史遗留问题处理情况核查监管的技术要求另有规定，按其有关规定执行。</w:t>
      </w:r>
    </w:p>
    <w:p w14:paraId="79E9B955">
      <w:pPr>
        <w:pStyle w:val="5"/>
        <w:keepNext w:val="0"/>
        <w:keepLines w:val="0"/>
        <w:pageBreakBefore w:val="0"/>
        <w:widowControl w:val="0"/>
        <w:suppressLineNumbers w:val="0"/>
        <w:kinsoku/>
        <w:wordWrap/>
        <w:overflowPunct/>
        <w:topLinePunct w:val="0"/>
        <w:autoSpaceDE w:val="0"/>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kern w:val="2"/>
          <w:sz w:val="21"/>
          <w:szCs w:val="21"/>
          <w:highlight w:val="none"/>
          <w:lang w:eastAsia="zh-CN"/>
        </w:rPr>
      </w:pPr>
      <w:r>
        <w:rPr>
          <w:rFonts w:hint="eastAsia" w:ascii="宋体" w:hAnsi="宋体" w:eastAsia="宋体" w:cs="宋体"/>
          <w:b/>
          <w:bCs w:val="0"/>
          <w:color w:val="auto"/>
          <w:kern w:val="2"/>
          <w:sz w:val="21"/>
          <w:szCs w:val="21"/>
          <w:highlight w:val="none"/>
          <w:lang w:eastAsia="zh-CN"/>
        </w:rPr>
        <w:t>（四）路桥区2024年无居民海岛监视监测与管理</w:t>
      </w:r>
    </w:p>
    <w:p w14:paraId="1E54F9F3">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1）无居民海岛监视监测：通过开展监视监测，对比无居民海岛开发利用填报工作成果，核查用岛位置和范围是否存在变化、是否存在新增用岛、是否存在违法用岛等情况。</w:t>
      </w:r>
    </w:p>
    <w:p w14:paraId="4714E35F">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坐标系：采用CGCS2000国家大地坐标系。</w:t>
      </w:r>
    </w:p>
    <w:p w14:paraId="20BB09CB">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地图投影：工作底图采用高斯-克吕格投影，3度分带。</w:t>
      </w:r>
    </w:p>
    <w:p w14:paraId="692F0B97">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高程基准：高程基准采用1985国家高程基准。</w:t>
      </w:r>
    </w:p>
    <w:p w14:paraId="14BECEB1">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数据格式：属性表数据采用ArcGIS的.gdb格式；矢量数据采用Shapefile格式；栅格数据采用GEOTIFF、IMG格式；文本、表格等数据文件采用Word、Excel。</w:t>
      </w:r>
    </w:p>
    <w:p w14:paraId="1EF01B19">
      <w:pPr>
        <w:keepNext w:val="0"/>
        <w:keepLines w:val="0"/>
        <w:pageBreakBefore w:val="0"/>
        <w:widowControl w:val="0"/>
        <w:numPr>
          <w:ilvl w:val="0"/>
          <w:numId w:val="5"/>
        </w:numPr>
        <w:suppressLineNumbers w:val="0"/>
        <w:suppressAutoHyphens/>
        <w:kinsoku/>
        <w:wordWrap/>
        <w:overflowPunct/>
        <w:topLinePunct w:val="0"/>
        <w:autoSpaceDN/>
        <w:bidi w:val="0"/>
        <w:adjustRightInd/>
        <w:snapToGrid/>
        <w:spacing w:beforeAutospacing="0" w:afterAutospacing="0" w:line="360" w:lineRule="auto"/>
        <w:ind w:left="0" w:leftChars="0" w:right="0"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无居民海岛历史遗留问题处置：处置方案编制需满足《浙江省自然资源厅关于进一步做好无居民海岛历史遗留问题处置工作的通知》（浙自然资厅〔2024〕220号）以及《自然资源部办公厅关于印发&lt;无居民海岛历史遗留问题处置试点工作方案&gt;的通知》（自然资办函〔2022〕2394号）等相关文件要求。</w:t>
      </w:r>
    </w:p>
    <w:p w14:paraId="08C7293A">
      <w:pPr>
        <w:keepNext w:val="0"/>
        <w:keepLines w:val="0"/>
        <w:pageBreakBefore w:val="0"/>
        <w:widowControl w:val="0"/>
        <w:numPr>
          <w:ilvl w:val="0"/>
          <w:numId w:val="0"/>
        </w:numPr>
        <w:suppressLineNumbers w:val="0"/>
        <w:suppressAutoHyphens/>
        <w:kinsoku/>
        <w:wordWrap/>
        <w:overflowPunct/>
        <w:topLinePunct w:val="0"/>
        <w:autoSpaceDN/>
        <w:bidi w:val="0"/>
        <w:adjustRightInd/>
        <w:snapToGrid/>
        <w:spacing w:beforeAutospacing="0" w:afterAutospacing="0" w:line="360" w:lineRule="auto"/>
        <w:ind w:leftChars="200" w:right="0" w:rightChars="0"/>
        <w:jc w:val="left"/>
        <w:textAlignment w:val="auto"/>
        <w:rPr>
          <w:rFonts w:hint="eastAsia" w:ascii="宋体" w:hAnsi="宋体" w:eastAsia="宋体" w:cs="宋体"/>
          <w:color w:val="auto"/>
          <w:kern w:val="2"/>
          <w:sz w:val="21"/>
          <w:szCs w:val="21"/>
          <w:highlight w:val="none"/>
          <w:lang w:val="en-US" w:eastAsia="zh-CN" w:bidi="ar"/>
        </w:rPr>
      </w:pPr>
    </w:p>
    <w:p w14:paraId="5A264F5E">
      <w:pPr>
        <w:pStyle w:val="4"/>
        <w:pageBreakBefore w:val="0"/>
        <w:kinsoku/>
        <w:wordWrap/>
        <w:overflowPunct/>
        <w:topLinePunct w:val="0"/>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五、项目成果</w:t>
      </w:r>
    </w:p>
    <w:p w14:paraId="74D2CE4D">
      <w:pPr>
        <w:pStyle w:val="5"/>
        <w:pageBreakBefore w:val="0"/>
        <w:numPr>
          <w:ilvl w:val="0"/>
          <w:numId w:val="0"/>
        </w:numPr>
        <w:kinsoku/>
        <w:wordWrap/>
        <w:overflowPunct/>
        <w:topLinePunct w:val="0"/>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（一）路桥区2024年度海岸线监测</w:t>
      </w:r>
    </w:p>
    <w:p w14:paraId="5B2D2366">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海岸线测量点登记表</w:t>
      </w:r>
    </w:p>
    <w:p w14:paraId="4D05AE7E">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变化岸线动态监测数据信息表</w:t>
      </w:r>
    </w:p>
    <w:p w14:paraId="0189CB81">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位置、长度变化季度监测统计汇总表</w:t>
      </w:r>
    </w:p>
    <w:p w14:paraId="1E3F2EFC">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监测岸段信息季度统计表</w:t>
      </w:r>
    </w:p>
    <w:p w14:paraId="699DCE48">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监测岸段信息年度统计表</w:t>
      </w:r>
    </w:p>
    <w:p w14:paraId="6A1F6B98">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路桥区2024年度海岸线监测报告</w:t>
      </w:r>
    </w:p>
    <w:p w14:paraId="118ECEF2">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（二）路桥区2024年度沿海滩涂（潮间带）资源稳定性及淤积潜力评价</w:t>
      </w:r>
    </w:p>
    <w:p w14:paraId="10B59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监测评价成果主要包括监测资料、成果图件、监测报告和评价报告。具体提交</w:t>
      </w:r>
      <w:r>
        <w:rPr>
          <w:rFonts w:hint="eastAsia" w:ascii="宋体" w:hAnsi="宋体" w:eastAsia="宋体" w:cs="宋体"/>
          <w:color w:val="auto"/>
          <w:sz w:val="21"/>
          <w:szCs w:val="21"/>
          <w:highlight w:val="none"/>
          <w:lang w:val="en-US" w:eastAsia="zh-CN"/>
        </w:rPr>
        <w:t>路桥区2024年度沿海滩涂（潮间带）资源稳定性及淤积</w:t>
      </w:r>
      <w:r>
        <w:rPr>
          <w:rFonts w:hint="eastAsia" w:ascii="宋体" w:hAnsi="宋体" w:eastAsia="宋体" w:cs="宋体"/>
          <w:color w:val="auto"/>
          <w:sz w:val="21"/>
          <w:szCs w:val="21"/>
          <w:highlight w:val="none"/>
          <w:lang w:eastAsia="zh-CN"/>
        </w:rPr>
        <w:t>监测成果 1 套（含监测报告、图集、统计表）和</w:t>
      </w:r>
      <w:r>
        <w:rPr>
          <w:rFonts w:hint="eastAsia" w:ascii="宋体" w:hAnsi="宋体" w:eastAsia="宋体" w:cs="宋体"/>
          <w:color w:val="auto"/>
          <w:sz w:val="21"/>
          <w:szCs w:val="21"/>
          <w:highlight w:val="none"/>
          <w:lang w:val="en-US" w:eastAsia="zh-CN"/>
        </w:rPr>
        <w:t>路桥区2024年度沿海滩涂（潮间带）资源稳定性及淤积潜力评价报告</w:t>
      </w:r>
      <w:r>
        <w:rPr>
          <w:rFonts w:hint="eastAsia" w:ascii="宋体" w:hAnsi="宋体" w:eastAsia="宋体" w:cs="宋体"/>
          <w:color w:val="auto"/>
          <w:sz w:val="21"/>
          <w:szCs w:val="21"/>
          <w:highlight w:val="none"/>
          <w:lang w:eastAsia="zh-CN"/>
        </w:rPr>
        <w:t xml:space="preserve"> 1 套（含演化格局）。</w:t>
      </w:r>
    </w:p>
    <w:p w14:paraId="1A6D47F8">
      <w:pPr>
        <w:pStyle w:val="22"/>
        <w:pageBreakBefore w:val="0"/>
        <w:kinsoku/>
        <w:wordWrap/>
        <w:overflowPunct/>
        <w:topLinePunct w:val="0"/>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p>
    <w:p w14:paraId="62B65BC2">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（三）路桥区2024年围填海历史遗留问题处理核查</w:t>
      </w:r>
    </w:p>
    <w:p w14:paraId="27ECAE7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1、调查统计资料</w:t>
      </w:r>
    </w:p>
    <w:p w14:paraId="22B503B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（21）未批已填类历史围填海处理核查汇总表</w:t>
      </w:r>
    </w:p>
    <w:p w14:paraId="578F4B17">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（2）生态修复完成情况核查汇总表；</w:t>
      </w:r>
    </w:p>
    <w:p w14:paraId="4C4C3C0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（3）围填海历史遗留问题区域用海审批汇总表。</w:t>
      </w:r>
    </w:p>
    <w:p w14:paraId="0276D37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2、矢量数据集</w:t>
      </w:r>
    </w:p>
    <w:p w14:paraId="405B21B3">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根据调查统计资料和测量成果，在围填海现状调查成果矢量数据基础上拆分图斑，编制成果矢量数据集，数据格式采用Geodatabase格式；矢量数据集必须通过拓扑规则检查，并与调查统计资料相一致。</w:t>
      </w:r>
    </w:p>
    <w:p w14:paraId="20532D3A">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3、图件成果</w:t>
      </w:r>
    </w:p>
    <w:p w14:paraId="08EC3D1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采用机助制图方式编制专题图件，制图按照有关技术导则和规范要求，主要包括：</w:t>
      </w:r>
    </w:p>
    <w:p w14:paraId="21D476AF">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路桥区围填海历史遗留问题区块分布图；</w:t>
      </w:r>
    </w:p>
    <w:p w14:paraId="50613BC2">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路桥区围填海历史遗留问题区域用海审批分布图。</w:t>
      </w:r>
    </w:p>
    <w:p w14:paraId="38FA163D">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4、核查报告</w:t>
      </w:r>
    </w:p>
    <w:p w14:paraId="73E54DC0">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核查报告应包括但不局限于以下内容：概述（包括项目背景、实施情况），核查方法与技术路线，图斑处置进度，核查结论和建议。</w:t>
      </w:r>
    </w:p>
    <w:p w14:paraId="606BBF76">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（四）路桥区2024年无居民海岛监视监测与管理</w:t>
      </w:r>
    </w:p>
    <w:p w14:paraId="5AF8E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1）提交路桥区无居民海岛监视监测报告（含开发利用清单、数据集和图集等）</w:t>
      </w:r>
    </w:p>
    <w:p w14:paraId="761B92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2）提交路桥区无居民海岛历史遗留问题处置方案报告</w:t>
      </w:r>
      <w:r>
        <w:rPr>
          <w:rFonts w:hint="eastAsia" w:ascii="宋体" w:hAnsi="宋体" w:cs="宋体"/>
          <w:color w:val="auto"/>
          <w:sz w:val="21"/>
          <w:szCs w:val="21"/>
          <w:highlight w:val="none"/>
          <w:lang w:eastAsia="zh-CN"/>
        </w:rPr>
        <w:t>。</w:t>
      </w:r>
    </w:p>
    <w:p w14:paraId="7DEEA1E1">
      <w:pPr>
        <w:pStyle w:val="22"/>
        <w:pageBreakBefore w:val="0"/>
        <w:kinsoku/>
        <w:wordWrap/>
        <w:overflowPunct/>
        <w:topLinePunct w:val="0"/>
        <w:autoSpaceDN/>
        <w:bidi w:val="0"/>
        <w:adjustRightInd/>
        <w:snapToGrid/>
        <w:spacing w:after="0"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p>
    <w:p w14:paraId="2F307E0D">
      <w:pPr>
        <w:pageBreakBefore w:val="0"/>
        <w:kinsoku/>
        <w:wordWrap/>
        <w:overflowPunct/>
        <w:topLinePunct w:val="0"/>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lang w:eastAsia="zh-CN"/>
        </w:rPr>
      </w:pPr>
    </w:p>
    <w:p w14:paraId="60EFD361">
      <w:pPr>
        <w:pStyle w:val="4"/>
        <w:pageBreakBefore w:val="0"/>
        <w:widowControl w:val="0"/>
        <w:numPr>
          <w:ilvl w:val="0"/>
          <w:numId w:val="6"/>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项目工期</w:t>
      </w:r>
    </w:p>
    <w:p w14:paraId="14066C56">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（一）路桥区2024年度海岸线监测</w:t>
      </w:r>
    </w:p>
    <w:p w14:paraId="33221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 年7月底前完成全部工作任务。</w:t>
      </w:r>
    </w:p>
    <w:p w14:paraId="28BA8F09">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22" w:firstLineChars="200"/>
        <w:jc w:val="left"/>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（二）路桥区2024年度沿海滩涂（潮间带）资源稳定性及淤积潜力评价</w:t>
      </w:r>
    </w:p>
    <w:p w14:paraId="35F973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 年7月底前完成全部工作任务。</w:t>
      </w:r>
    </w:p>
    <w:p w14:paraId="2BB889DE">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（三）路桥区2024年围填海历史遗留问题处理核查</w:t>
      </w:r>
    </w:p>
    <w:p w14:paraId="59F4CA7A">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 年7月底前完成全部工作任务。</w:t>
      </w:r>
    </w:p>
    <w:p w14:paraId="473CD709">
      <w:pPr>
        <w:keepNext/>
        <w:keepLines/>
        <w:pageBreakBefore w:val="0"/>
        <w:widowControl w:val="0"/>
        <w:numPr>
          <w:ilvl w:val="0"/>
          <w:numId w:val="0"/>
        </w:numPr>
        <w:suppressAutoHyphens/>
        <w:kinsoku/>
        <w:wordWrap/>
        <w:overflowPunct/>
        <w:topLinePunct w:val="0"/>
        <w:autoSpaceDE/>
        <w:autoSpaceDN/>
        <w:bidi w:val="0"/>
        <w:adjustRightInd/>
        <w:snapToGrid/>
        <w:spacing w:beforeAutospacing="0" w:afterAutospacing="0" w:line="360" w:lineRule="auto"/>
        <w:ind w:left="0" w:leftChars="0" w:firstLine="422" w:firstLineChars="200"/>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（四）路桥区2024年无居民海岛监视监测与管理</w:t>
      </w:r>
    </w:p>
    <w:p w14:paraId="4F27B3EC">
      <w:pPr>
        <w:pageBreakBefore w:val="0"/>
        <w:kinsoku/>
        <w:wordWrap/>
        <w:overflowPunct/>
        <w:topLinePunct w:val="0"/>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 年7月底前完成全部工作任务。</w:t>
      </w:r>
    </w:p>
    <w:p w14:paraId="4C38B354">
      <w:pPr>
        <w:pStyle w:val="6"/>
        <w:rPr>
          <w:rFonts w:hint="eastAsia"/>
          <w:color w:val="auto"/>
          <w:highlight w:val="none"/>
        </w:rPr>
      </w:pPr>
    </w:p>
    <w:p w14:paraId="64250C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1"/>
        <w:rPr>
          <w:rFonts w:hint="eastAsia" w:ascii="宋体" w:hAnsi="宋体" w:eastAsia="宋体" w:cs="宋体"/>
          <w:b/>
          <w:bCs/>
          <w:color w:val="auto"/>
          <w:highlight w:val="none"/>
        </w:rPr>
      </w:pPr>
    </w:p>
    <w:p w14:paraId="19FCFD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1"/>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付款方式</w:t>
      </w:r>
    </w:p>
    <w:p w14:paraId="78F61864">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签订合同后，在合同生效以及具备实施条件后7个工作日内支付合同金额的40%作为预付款，</w:t>
      </w:r>
      <w:r>
        <w:rPr>
          <w:rFonts w:hint="eastAsia" w:ascii="宋体" w:hAnsi="宋体" w:eastAsia="宋体" w:cs="宋体"/>
          <w:color w:val="auto"/>
          <w:szCs w:val="21"/>
          <w:highlight w:val="none"/>
        </w:rPr>
        <w:t>完成合同内所有采购内容并通过验收后支付合同金额的60%。</w:t>
      </w:r>
    </w:p>
    <w:p w14:paraId="1FFEAFB2">
      <w:pPr>
        <w:pStyle w:val="2"/>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jc w:val="left"/>
        <w:textAlignment w:val="auto"/>
        <w:rPr>
          <w:rFonts w:hint="eastAsia" w:ascii="宋体" w:hAnsi="宋体" w:eastAsia="宋体" w:cs="宋体"/>
          <w:b/>
          <w:bCs/>
          <w:color w:val="auto"/>
          <w:highlight w:val="none"/>
        </w:rPr>
      </w:pPr>
    </w:p>
    <w:p w14:paraId="5B8FEB1E">
      <w:pPr>
        <w:autoSpaceDN w:val="0"/>
        <w:spacing w:line="360" w:lineRule="auto"/>
        <w:ind w:firstLine="422" w:firstLineChars="200"/>
        <w:rPr>
          <w:rFonts w:hint="eastAsia" w:ascii="宋体" w:hAnsi="宋体" w:eastAsia="宋体" w:cs="宋体"/>
          <w:b/>
          <w:color w:val="auto"/>
          <w:sz w:val="36"/>
          <w:szCs w:val="36"/>
          <w:highlight w:val="none"/>
        </w:rPr>
      </w:pPr>
      <w:r>
        <w:rPr>
          <w:rFonts w:hint="eastAsia" w:ascii="宋体" w:hAnsi="宋体" w:eastAsia="宋体" w:cs="宋体"/>
          <w:b/>
          <w:bCs w:val="0"/>
          <w:color w:val="auto"/>
          <w:sz w:val="21"/>
          <w:szCs w:val="21"/>
          <w:highlight w:val="none"/>
          <w:lang w:val="en-US" w:eastAsia="zh-CN"/>
        </w:rPr>
        <w:t>八</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7FAB2DFF">
      <w:pPr>
        <w:spacing w:line="360" w:lineRule="auto"/>
        <w:jc w:val="center"/>
        <w:outlineLvl w:val="0"/>
        <w:rPr>
          <w:rFonts w:hint="eastAsia" w:ascii="宋体" w:hAnsi="宋体" w:eastAsia="宋体" w:cs="宋体"/>
          <w:b/>
          <w:color w:val="auto"/>
          <w:sz w:val="36"/>
          <w:szCs w:val="36"/>
          <w:highlight w:val="none"/>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0CE31722">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575C0D8C">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3FF79677">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台州市自然资源和规划局路桥分局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6648763E">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4AD8E12">
      <w:pPr>
        <w:pStyle w:val="10"/>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台州市自然资源和规划局路桥分局</w:t>
      </w:r>
    </w:p>
    <w:p w14:paraId="357A6C82">
      <w:pPr>
        <w:pStyle w:val="10"/>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2AF105E3">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台州市自然资源和规划局路桥分局2024年路桥区海洋空间资源开发利用监测评估项目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54E4F22F">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0A43156B">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bCs/>
          <w:color w:val="auto"/>
          <w:szCs w:val="21"/>
          <w:highlight w:val="none"/>
          <w:lang w:val="en-US" w:eastAsia="zh-CN"/>
        </w:rPr>
        <w:t>项目</w:t>
      </w:r>
      <w:r>
        <w:rPr>
          <w:rFonts w:hint="eastAsia" w:hAnsi="宋体" w:cs="宋体"/>
          <w:color w:val="auto"/>
          <w:szCs w:val="21"/>
          <w:highlight w:val="none"/>
          <w:lang w:val="en-US" w:eastAsia="zh-CN"/>
        </w:rPr>
        <w:t>需求</w:t>
      </w:r>
      <w:r>
        <w:rPr>
          <w:rFonts w:hint="eastAsia" w:ascii="宋体" w:hAnsi="宋体" w:eastAsia="宋体" w:cs="宋体"/>
          <w:color w:val="auto"/>
          <w:szCs w:val="21"/>
          <w:highlight w:val="none"/>
        </w:rPr>
        <w:t>》。</w:t>
      </w:r>
    </w:p>
    <w:p w14:paraId="73C0330E">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451D52CD">
      <w:pPr>
        <w:keepNext w:val="0"/>
        <w:keepLines w:val="0"/>
        <w:pageBreakBefore w:val="0"/>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6D117543">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50A453B2">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5479650C">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6F8F4E">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19BA5173">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1D11D80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C65D5F2">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9FCCA59">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67667859">
      <w:pPr>
        <w:keepNext w:val="0"/>
        <w:keepLines w:val="0"/>
        <w:pageBreakBefore w:val="0"/>
        <w:kinsoku/>
        <w:wordWrap/>
        <w:overflowPunct/>
        <w:topLinePunct w:val="0"/>
        <w:autoSpaceDE/>
        <w:autoSpaceDN/>
        <w:bidi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702535F3">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555E7ADE">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0E2BDC0A">
      <w:pPr>
        <w:keepNext w:val="0"/>
        <w:keepLines w:val="0"/>
        <w:pageBreakBefore w:val="0"/>
        <w:kinsoku/>
        <w:wordWrap/>
        <w:overflowPunct/>
        <w:topLinePunct w:val="0"/>
        <w:autoSpaceDE/>
        <w:autoSpaceDN/>
        <w:bidi w:val="0"/>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如有转让和分包行为，甲方有权解除合同并追究乙方的违约责任。</w:t>
      </w:r>
    </w:p>
    <w:p w14:paraId="451D70E3">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条：工作范围</w:t>
      </w:r>
    </w:p>
    <w:p w14:paraId="0B44F780">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（一）路桥区2024年度海岸线监测</w:t>
      </w:r>
    </w:p>
    <w:p w14:paraId="63CD6090">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路桥区辖区内的大陆及海岛岸线，其中海岛岸线包括有居民海岛岸线和无居民海岛岸线。</w:t>
      </w:r>
    </w:p>
    <w:p w14:paraId="3081AF63">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（二）路桥区2024年度沿海滩涂（潮间带）资源稳定性及淤积潜力评价</w:t>
      </w:r>
    </w:p>
    <w:p w14:paraId="03AD0006">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监测与评价范围涵盖路桥区行政区划界线内的大陆与海岛主要滩涂区，自现状大陆海岸线和海岛海岸线向海至水深 5 米线。</w:t>
      </w:r>
    </w:p>
    <w:p w14:paraId="312233E4">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（三）路桥区2024年围填海历史遗留问题处理核查</w:t>
      </w:r>
    </w:p>
    <w:p w14:paraId="0E4D06E3">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《浙江省围填海历史遗留问题处理方案》中的路桥区围填海区块及其生态修复范围。</w:t>
      </w:r>
    </w:p>
    <w:p w14:paraId="621CC87F">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（四）路桥区2024年无居民海岛监视监测与管理</w:t>
      </w:r>
    </w:p>
    <w:p w14:paraId="478427F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路桥区管辖范围内存在开发利用的无居民海岛。</w:t>
      </w:r>
    </w:p>
    <w:p w14:paraId="3AAD7C5A">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条：项目要求</w:t>
      </w:r>
    </w:p>
    <w:p w14:paraId="053169C6">
      <w:pPr>
        <w:pStyle w:val="10"/>
        <w:keepNext w:val="0"/>
        <w:keepLines w:val="0"/>
        <w:pageBreakBefore w:val="0"/>
        <w:kinsoku/>
        <w:wordWrap/>
        <w:overflowPunct/>
        <w:topLinePunct w:val="0"/>
        <w:autoSpaceDE/>
        <w:autoSpaceDN/>
        <w:bidi w:val="0"/>
        <w:adjustRightInd w:val="0"/>
        <w:snapToGrid w:val="0"/>
        <w:spacing w:line="360" w:lineRule="auto"/>
        <w:ind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1、</w:t>
      </w:r>
      <w:r>
        <w:rPr>
          <w:rFonts w:hint="eastAsia" w:ascii="宋体" w:hAnsi="宋体" w:eastAsia="宋体" w:cs="宋体"/>
          <w:b/>
          <w:bCs w:val="0"/>
          <w:color w:val="auto"/>
          <w:szCs w:val="21"/>
          <w:highlight w:val="none"/>
        </w:rPr>
        <w:t>项目工期</w:t>
      </w:r>
    </w:p>
    <w:p w14:paraId="0721338C">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（一）路桥区2024年度海岸线监测</w:t>
      </w:r>
    </w:p>
    <w:p w14:paraId="427A1554">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2025 年7月底前完成全部工作任务。</w:t>
      </w:r>
    </w:p>
    <w:p w14:paraId="6B8985F0">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（二）路桥区2024年度沿海滩涂（潮间带）资源稳定性及淤积潜力评价</w:t>
      </w:r>
    </w:p>
    <w:p w14:paraId="259F6DBD">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2025 年7月底前完成全部工作任务。</w:t>
      </w:r>
    </w:p>
    <w:p w14:paraId="6042CA0C">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（三）路桥区2024年围填海历史遗留问题处理核查</w:t>
      </w:r>
    </w:p>
    <w:p w14:paraId="3BD49F13">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2025 年7月底前完成全部工作任务。</w:t>
      </w:r>
    </w:p>
    <w:p w14:paraId="30C0426B">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（四）路桥区2024年无居民海岛监视监测与管理</w:t>
      </w:r>
    </w:p>
    <w:p w14:paraId="662FC9DA">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2025 年7月底前完成全部工作任务。</w:t>
      </w:r>
    </w:p>
    <w:p w14:paraId="326A50C7">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付款方式</w:t>
      </w:r>
    </w:p>
    <w:p w14:paraId="04269138">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签订合同后，在合同生效以及具备实施条件后7个工作日内支付合同金额的40%作为预付款，</w:t>
      </w:r>
      <w:r>
        <w:rPr>
          <w:rFonts w:hint="eastAsia" w:ascii="宋体" w:hAnsi="宋体" w:eastAsia="宋体" w:cs="宋体"/>
          <w:color w:val="auto"/>
          <w:szCs w:val="21"/>
          <w:highlight w:val="none"/>
        </w:rPr>
        <w:t>完成合同内所有采购内容并通过验收后支付合同金额的60%。</w:t>
      </w:r>
    </w:p>
    <w:p w14:paraId="18197A57">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4322D932">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5FF8EB38">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71585A52">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48FEA479">
      <w:pPr>
        <w:pStyle w:val="10"/>
        <w:keepNext w:val="0"/>
        <w:keepLines w:val="0"/>
        <w:pageBreakBefore w:val="0"/>
        <w:kinsoku/>
        <w:wordWrap/>
        <w:overflowPunct/>
        <w:topLinePunct w:val="0"/>
        <w:autoSpaceDE/>
        <w:autoSpaceDN/>
        <w:bidi w:val="0"/>
        <w:adjustRightInd w:val="0"/>
        <w:snapToGrid w:val="0"/>
        <w:spacing w:line="360" w:lineRule="auto"/>
        <w:ind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3A612471">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29AF5B1">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65B8D843">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3E5D6B87">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2986F8D9">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324E3F3F">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1E1C30C">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68D01BA9">
      <w:pPr>
        <w:pStyle w:val="10"/>
        <w:keepNext w:val="0"/>
        <w:keepLines w:val="0"/>
        <w:pageBreakBefore w:val="0"/>
        <w:kinsoku/>
        <w:wordWrap/>
        <w:overflowPunct/>
        <w:topLinePunct w:val="0"/>
        <w:autoSpaceDE/>
        <w:autoSpaceDN/>
        <w:bidi w:val="0"/>
        <w:snapToGrid w:val="0"/>
        <w:spacing w:line="360" w:lineRule="auto"/>
        <w:ind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6FC14FAC">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64194BE">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55CC2854">
      <w:pPr>
        <w:pStyle w:val="10"/>
        <w:keepNext w:val="0"/>
        <w:keepLines w:val="0"/>
        <w:pageBreakBefore w:val="0"/>
        <w:kinsoku/>
        <w:wordWrap/>
        <w:overflowPunct/>
        <w:topLinePunct w:val="0"/>
        <w:autoSpaceDE/>
        <w:autoSpaceDN/>
        <w:bidi w:val="0"/>
        <w:snapToGrid w:val="0"/>
        <w:spacing w:line="360" w:lineRule="auto"/>
        <w:ind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17B6784B">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1FE6B2E9">
      <w:pPr>
        <w:keepNext w:val="0"/>
        <w:keepLines w:val="0"/>
        <w:pageBreakBefore w:val="0"/>
        <w:widowControl/>
        <w:kinsoku/>
        <w:wordWrap/>
        <w:overflowPunct/>
        <w:topLinePunct w:val="0"/>
        <w:autoSpaceDE/>
        <w:autoSpaceDN/>
        <w:bidi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7D9BDA22">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E9875D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7062DD2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56F2570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55F9F11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3EAF409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1D12DFB5">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p>
    <w:p w14:paraId="67027661">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027037C2">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签订日期：       年     月     日</w:t>
      </w:r>
    </w:p>
    <w:p w14:paraId="7CF1C3B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8F215DB">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080B77F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5C285A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3A99C9F">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7BD4F2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945926A">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E9C74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0F386BB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1D3AF7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211F01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0453DA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679C98F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F70ED8B">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EEF75D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24465A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C355B1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15BAD4A2">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16EBB6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26A9F0D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237E927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2C13F5C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4C12AB3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58BF00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FDE9E2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CDC2BA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2B0ED7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D0233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B584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F748B9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C92250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9627B4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2B2DF8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DB2C7D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C0A793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AFD0A7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E5E4F3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3ED21FF">
      <w:pPr>
        <w:pStyle w:val="2"/>
        <w:rPr>
          <w:rFonts w:hint="eastAsia" w:ascii="宋体" w:hAnsi="宋体" w:eastAsia="宋体" w:cs="宋体"/>
          <w:b/>
          <w:color w:val="auto"/>
          <w:sz w:val="28"/>
          <w:highlight w:val="none"/>
        </w:rPr>
      </w:pPr>
    </w:p>
    <w:p w14:paraId="74286D2E">
      <w:pPr>
        <w:rPr>
          <w:rFonts w:hint="eastAsia" w:ascii="宋体" w:hAnsi="宋体" w:eastAsia="宋体" w:cs="宋体"/>
          <w:color w:val="auto"/>
          <w:highlight w:val="none"/>
        </w:rPr>
      </w:pPr>
    </w:p>
    <w:p w14:paraId="7D7D6C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1E0A1B9A">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70D1746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台州市自然资源和规划局路桥分局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41625EB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1CD2886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2024年路桥区海洋空间资源开发利用监测评估项目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tzya2024-lq74</w:t>
      </w:r>
      <w:r>
        <w:rPr>
          <w:rFonts w:hint="eastAsia" w:ascii="宋体" w:hAnsi="宋体" w:eastAsia="宋体" w:cs="宋体"/>
          <w:color w:val="auto"/>
          <w:kern w:val="0"/>
          <w:sz w:val="21"/>
          <w:szCs w:val="21"/>
          <w:highlight w:val="none"/>
        </w:rPr>
        <w:t>）的磋商，为此，我公司就本次磋商有关事项郑重声明如下：</w:t>
      </w:r>
    </w:p>
    <w:p w14:paraId="6132B2A2">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我公司声明截止磋商时间近三年以来：在</w:t>
      </w:r>
      <w:r>
        <w:rPr>
          <w:rFonts w:hint="eastAsia" w:ascii="宋体" w:hAnsi="宋体" w:eastAsia="宋体" w:cs="宋体"/>
          <w:color w:val="auto"/>
          <w:sz w:val="21"/>
          <w:szCs w:val="21"/>
          <w:highlight w:val="none"/>
          <w:lang w:eastAsia="zh-CN"/>
        </w:rPr>
        <w:t>参加</w:t>
      </w:r>
      <w:r>
        <w:rPr>
          <w:rFonts w:hint="eastAsia" w:ascii="宋体" w:hAnsi="宋体" w:eastAsia="宋体" w:cs="宋体"/>
          <w:color w:val="auto"/>
          <w:sz w:val="21"/>
          <w:szCs w:val="21"/>
          <w:highlight w:val="none"/>
        </w:rPr>
        <w:t>政府采购</w:t>
      </w:r>
      <w:r>
        <w:rPr>
          <w:rFonts w:hint="eastAsia" w:ascii="宋体" w:hAnsi="宋体" w:eastAsia="宋体" w:cs="宋体"/>
          <w:color w:val="auto"/>
          <w:sz w:val="21"/>
          <w:szCs w:val="21"/>
          <w:highlight w:val="none"/>
          <w:lang w:eastAsia="zh-CN"/>
        </w:rPr>
        <w:t>活动过程中</w:t>
      </w:r>
      <w:r>
        <w:rPr>
          <w:rFonts w:hint="eastAsia" w:ascii="宋体" w:hAnsi="宋体" w:eastAsia="宋体" w:cs="宋体"/>
          <w:color w:val="auto"/>
          <w:sz w:val="21"/>
          <w:szCs w:val="21"/>
          <w:highlight w:val="none"/>
        </w:rPr>
        <w:t>无任何不良行为记录；无重大违法记录（重大违法记录是指供应商因违法经营受到刑事处罚或者责令停产停业、吊销许可证或者执照、较大数额罚款等行政处罚）。</w:t>
      </w:r>
    </w:p>
    <w:p w14:paraId="43D4ABDB">
      <w:pPr>
        <w:keepNext w:val="0"/>
        <w:keepLines w:val="0"/>
        <w:pageBreakBefore w:val="0"/>
        <w:numPr>
          <w:ilvl w:val="0"/>
          <w:numId w:val="0"/>
        </w:numPr>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B4C13D3">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1CFE37E2">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5EEDC38D">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w:t>
      </w:r>
      <w:r>
        <w:rPr>
          <w:rFonts w:hint="eastAsia" w:ascii="宋体" w:hAnsi="宋体" w:cs="宋体"/>
          <w:color w:val="auto"/>
          <w:kern w:val="0"/>
          <w:szCs w:val="21"/>
          <w:highlight w:val="none"/>
          <w:lang w:val="af-ZA" w:eastAsia="zh-CN"/>
        </w:rPr>
        <w:t>采购文件</w:t>
      </w:r>
      <w:r>
        <w:rPr>
          <w:rFonts w:hint="eastAsia" w:ascii="宋体" w:hAnsi="宋体" w:eastAsia="宋体" w:cs="宋体"/>
          <w:color w:val="auto"/>
          <w:kern w:val="0"/>
          <w:szCs w:val="21"/>
          <w:highlight w:val="none"/>
          <w:lang w:val="af-ZA"/>
        </w:rPr>
        <w:t>中的全部条件，</w:t>
      </w:r>
      <w:r>
        <w:rPr>
          <w:rFonts w:hint="eastAsia" w:ascii="宋体" w:hAnsi="宋体" w:eastAsia="宋体" w:cs="宋体"/>
          <w:color w:val="auto"/>
          <w:kern w:val="0"/>
          <w:sz w:val="21"/>
          <w:szCs w:val="21"/>
          <w:highlight w:val="none"/>
          <w:lang w:val="af-ZA"/>
        </w:rPr>
        <w:t>不降低合同约定的产品质量和服务，不擅自变更、中止、终止合同，或拒绝履行合同义务；</w:t>
      </w:r>
    </w:p>
    <w:p w14:paraId="631791CC">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0357F2BA">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5F737C65">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399360EB">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人(签字</w:t>
      </w:r>
      <w:r>
        <w:rPr>
          <w:rFonts w:hint="eastAsia" w:ascii="宋体" w:hAnsi="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lang w:val="zh-CN"/>
        </w:rPr>
        <w:t>)：</w:t>
      </w:r>
    </w:p>
    <w:p w14:paraId="3EC5AA56">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46E36B6B">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7DD8F53F">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34633D33">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34CAEF82">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台州市自然资源和规划局路桥分局</w:t>
      </w:r>
      <w:r>
        <w:rPr>
          <w:rFonts w:hint="eastAsia" w:ascii="宋体" w:hAnsi="宋体" w:eastAsia="宋体" w:cs="宋体"/>
          <w:b w:val="0"/>
          <w:bCs/>
          <w:color w:val="auto"/>
          <w:sz w:val="21"/>
          <w:szCs w:val="21"/>
          <w:highlight w:val="none"/>
          <w:u w:val="single"/>
        </w:rPr>
        <w:t>、台州永安工程咨询有限公司：</w:t>
      </w:r>
    </w:p>
    <w:p w14:paraId="778F4C55">
      <w:pPr>
        <w:pStyle w:val="10"/>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2024年路桥区海洋空间资源开发利用监测评估项目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tzya2024-lq74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5066A889">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1F33361A">
      <w:pPr>
        <w:pStyle w:val="10"/>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2583A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E5C4DE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7586171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71C03B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供应商全称（公章）：                              日期：</w:t>
      </w:r>
    </w:p>
    <w:p w14:paraId="751A7D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6EF6987">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46E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B7620B">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234AAADA">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法定代表身份证复印件粘帖处</w:t>
            </w:r>
          </w:p>
        </w:tc>
      </w:tr>
    </w:tbl>
    <w:p w14:paraId="1E32F67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685B289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57C574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D4A08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E78582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510B10D">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93A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440283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33F2E637">
            <w:pPr>
              <w:keepNext w:val="0"/>
              <w:keepLines w:val="0"/>
              <w:pageBreakBefore w:val="0"/>
              <w:kinsoku/>
              <w:overflowPunct/>
              <w:topLinePunct w:val="0"/>
              <w:bidi w:val="0"/>
              <w:spacing w:line="360" w:lineRule="auto"/>
              <w:ind w:firstLine="316" w:firstLineChars="15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2B9A952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0F662A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45CB6B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2F0F14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6B537D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E17EFA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51CDAEB2">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1270B6FC">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0ECB3E11">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6BA499AA">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5FFD9F7E">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90C6DE6">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0E20C3E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EBCE3D5">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248DB5C">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4D2A0399">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2BEF64E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66CD7613">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747670">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28C799E3">
      <w:pPr>
        <w:pStyle w:val="10"/>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659DE00B">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24F08E0">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441A259D">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A508C72">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41A82B40">
      <w:pPr>
        <w:pStyle w:val="10"/>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0AE559CD">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F7F5977">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50E5A0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5165C3D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4BF091A9">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法定代表人（签章）：</w:t>
      </w:r>
    </w:p>
    <w:p w14:paraId="74659A1E">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3A80EC0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410ED7A">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DFD3BB0">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1E05AF9">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68BFA2D">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13B9D4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9AF9E29">
      <w:pPr>
        <w:pStyle w:val="52"/>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p w14:paraId="2FE30F0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5BF34CF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E7ECC04">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2AF9725">
      <w:pPr>
        <w:pStyle w:val="3"/>
        <w:ind w:left="0" w:leftChars="0" w:firstLine="0" w:firstLineChars="0"/>
        <w:rPr>
          <w:rFonts w:hint="eastAsia" w:ascii="宋体" w:hAnsi="宋体" w:eastAsia="宋体" w:cs="宋体"/>
          <w:color w:val="auto"/>
          <w:highlight w:val="none"/>
        </w:rPr>
      </w:pPr>
    </w:p>
    <w:p w14:paraId="48670A66">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EF05F4F">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5D492FD5">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62E985C0">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2024年路桥区海洋空间资源开发利用监测评估项目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tzya2024-lq74</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8A0B315">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5F96CC">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C1F1D6A">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26E9FB0">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B3C4F3D">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5CC0AC78">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00D99951">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53B86B86">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0957B10F">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F654894">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F4FC639">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36D2E54">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7F917764">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A2606F">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79799812">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481E81E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79D5452D">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（供应商代表签名）</w:t>
      </w:r>
    </w:p>
    <w:p w14:paraId="5CD56FEF">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45AAE979">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731F69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42D780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85C7854">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C5B633A">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B1BA0AB">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195C00D">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174BD36">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6AA4D862">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7F8ABC1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42B78F5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084034D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7225938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5AC0985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5139CA1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1238EF42">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F8FFBF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508B1C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E81A2D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75BEAC5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08643D7">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1C194D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120B76F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D7F383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024B2963">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500AE5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2FDD68A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467606F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27BF03B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6F4890E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526E2EA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253FB81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EB068E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315112E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19955F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1146F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95779B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6B532D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30E03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02DD050">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C9A6BF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9B073D">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2FA45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352887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0C25B88">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1B985097">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927"/>
        <w:gridCol w:w="5418"/>
        <w:gridCol w:w="721"/>
        <w:gridCol w:w="721"/>
        <w:gridCol w:w="721"/>
      </w:tblGrid>
      <w:tr w14:paraId="59B7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836" w:type="dxa"/>
            <w:gridSpan w:val="2"/>
            <w:noWrap w:val="0"/>
            <w:vAlign w:val="center"/>
          </w:tcPr>
          <w:p w14:paraId="3B23079D">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5418" w:type="dxa"/>
            <w:noWrap w:val="0"/>
            <w:vAlign w:val="center"/>
          </w:tcPr>
          <w:p w14:paraId="1A93B6A9">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21" w:type="dxa"/>
            <w:noWrap w:val="0"/>
            <w:vAlign w:val="center"/>
          </w:tcPr>
          <w:p w14:paraId="689D54F5">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21" w:type="dxa"/>
            <w:noWrap w:val="0"/>
            <w:vAlign w:val="center"/>
          </w:tcPr>
          <w:p w14:paraId="61EED5D7">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721" w:type="dxa"/>
            <w:noWrap w:val="0"/>
            <w:vAlign w:val="center"/>
          </w:tcPr>
          <w:p w14:paraId="2FEF212B">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3C65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909" w:type="dxa"/>
            <w:vMerge w:val="restart"/>
            <w:noWrap w:val="0"/>
            <w:vAlign w:val="center"/>
          </w:tcPr>
          <w:p w14:paraId="6497110B">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269DB377">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401307D7">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7D65DCC8">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6335FD5B">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927" w:type="dxa"/>
            <w:noWrap w:val="0"/>
            <w:vAlign w:val="center"/>
          </w:tcPr>
          <w:p w14:paraId="6B5760EB">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5418" w:type="dxa"/>
            <w:noWrap w:val="0"/>
            <w:vAlign w:val="center"/>
          </w:tcPr>
          <w:p w14:paraId="7850BAFC">
            <w:pPr>
              <w:keepNext w:val="0"/>
              <w:keepLines w:val="0"/>
              <w:pageBreakBefore w:val="0"/>
              <w:kinsoku/>
              <w:wordWrap/>
              <w:overflowPunct/>
              <w:topLinePunct w:val="0"/>
              <w:bidi w:val="0"/>
              <w:spacing w:beforeAutospacing="0" w:afterAutospacing="0" w:line="240" w:lineRule="auto"/>
              <w:ind w:left="0" w:leftChars="0" w:right="0" w:firstLine="0" w:firstLine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自2021年1月1日以来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承接过类似项目的。每提供1个合同得0.5分，最高得1分。</w:t>
            </w:r>
          </w:p>
          <w:p w14:paraId="3AD3CBED">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721" w:type="dxa"/>
            <w:noWrap w:val="0"/>
            <w:vAlign w:val="center"/>
          </w:tcPr>
          <w:p w14:paraId="09963EE3">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721" w:type="dxa"/>
            <w:noWrap w:val="0"/>
            <w:vAlign w:val="center"/>
          </w:tcPr>
          <w:p w14:paraId="53BDFA10">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21" w:type="dxa"/>
            <w:noWrap w:val="0"/>
            <w:vAlign w:val="center"/>
          </w:tcPr>
          <w:p w14:paraId="48667601">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3B96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09" w:type="dxa"/>
            <w:vMerge w:val="continue"/>
            <w:noWrap w:val="0"/>
            <w:vAlign w:val="center"/>
          </w:tcPr>
          <w:p w14:paraId="60A3EB31">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927" w:type="dxa"/>
            <w:vMerge w:val="restart"/>
            <w:noWrap w:val="0"/>
            <w:vAlign w:val="center"/>
          </w:tcPr>
          <w:p w14:paraId="17AF10EE">
            <w:pPr>
              <w:keepNext w:val="0"/>
              <w:keepLines w:val="0"/>
              <w:pageBreakBefore w:val="0"/>
              <w:kinsoku/>
              <w:wordWrap/>
              <w:overflowPunct/>
              <w:topLinePunct w:val="0"/>
              <w:bidi w:val="0"/>
              <w:adjustRightInd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5418" w:type="dxa"/>
            <w:noWrap w:val="0"/>
            <w:vAlign w:val="center"/>
          </w:tcPr>
          <w:p w14:paraId="646F9C6B">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bidi="zh-CN"/>
              </w:rPr>
            </w:pPr>
            <w:r>
              <w:rPr>
                <w:rFonts w:hint="eastAsia" w:ascii="宋体" w:hAnsi="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投标人具有</w:t>
            </w:r>
            <w:r>
              <w:rPr>
                <w:rFonts w:hint="eastAsia" w:ascii="宋体" w:hAnsi="宋体" w:eastAsia="宋体" w:cs="宋体"/>
                <w:color w:val="auto"/>
                <w:sz w:val="21"/>
                <w:szCs w:val="21"/>
                <w:highlight w:val="none"/>
                <w:lang w:val="en-US" w:bidi="zh-CN"/>
              </w:rPr>
              <w:t>有效期内的</w:t>
            </w:r>
            <w:r>
              <w:rPr>
                <w:rFonts w:hint="eastAsia" w:ascii="宋体" w:hAnsi="宋体" w:eastAsia="宋体" w:cs="宋体"/>
                <w:color w:val="auto"/>
                <w:sz w:val="21"/>
                <w:szCs w:val="21"/>
                <w:highlight w:val="none"/>
                <w:lang w:bidi="zh-CN"/>
              </w:rPr>
              <w:t>海洋测绘资质甲级证书的得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分，海洋测绘资质乙级证书的得1分。本项最高得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2E5D74CE">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sz w:val="21"/>
                <w:szCs w:val="21"/>
                <w:highlight w:val="none"/>
                <w:lang w:val="en-US" w:bidi="zh-CN"/>
              </w:rPr>
              <w:t>有效的</w:t>
            </w:r>
            <w:r>
              <w:rPr>
                <w:rFonts w:hint="eastAsia" w:ascii="宋体" w:hAnsi="宋体" w:eastAsia="宋体" w:cs="宋体"/>
                <w:b/>
                <w:bCs/>
                <w:color w:val="auto"/>
                <w:kern w:val="0"/>
                <w:sz w:val="21"/>
                <w:szCs w:val="21"/>
                <w:highlight w:val="none"/>
              </w:rPr>
              <w:t>资质</w:t>
            </w:r>
            <w:r>
              <w:rPr>
                <w:rFonts w:hint="eastAsia" w:ascii="宋体" w:hAnsi="宋体" w:eastAsia="宋体" w:cs="宋体"/>
                <w:b/>
                <w:bCs/>
                <w:color w:val="auto"/>
                <w:kern w:val="0"/>
                <w:sz w:val="21"/>
                <w:szCs w:val="21"/>
                <w:highlight w:val="none"/>
                <w:lang w:val="zh-CN"/>
              </w:rPr>
              <w:t>证书扫描件加盖投标人公章编入投标文件中，未提供</w:t>
            </w:r>
            <w:r>
              <w:rPr>
                <w:rFonts w:hint="eastAsia" w:ascii="宋体" w:hAnsi="宋体" w:eastAsia="宋体" w:cs="宋体"/>
                <w:b/>
                <w:bCs/>
                <w:color w:val="auto"/>
                <w:kern w:val="0"/>
                <w:sz w:val="21"/>
                <w:szCs w:val="21"/>
                <w:highlight w:val="none"/>
              </w:rPr>
              <w:t>或提供不全</w:t>
            </w:r>
            <w:r>
              <w:rPr>
                <w:rFonts w:hint="eastAsia" w:ascii="宋体" w:hAnsi="宋体" w:eastAsia="宋体" w:cs="宋体"/>
                <w:b/>
                <w:bCs/>
                <w:color w:val="auto"/>
                <w:kern w:val="0"/>
                <w:sz w:val="21"/>
                <w:szCs w:val="21"/>
                <w:highlight w:val="none"/>
                <w:lang w:val="zh-CN"/>
              </w:rPr>
              <w:t>的不得分）</w:t>
            </w:r>
          </w:p>
        </w:tc>
        <w:tc>
          <w:tcPr>
            <w:tcW w:w="721" w:type="dxa"/>
            <w:noWrap w:val="0"/>
            <w:vAlign w:val="center"/>
          </w:tcPr>
          <w:p w14:paraId="3C9C1CD5">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721" w:type="dxa"/>
            <w:noWrap w:val="0"/>
            <w:vAlign w:val="center"/>
          </w:tcPr>
          <w:p w14:paraId="69404DA7">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21" w:type="dxa"/>
            <w:noWrap w:val="0"/>
            <w:vAlign w:val="center"/>
          </w:tcPr>
          <w:p w14:paraId="79C66367">
            <w:pPr>
              <w:pStyle w:val="10"/>
              <w:keepNext w:val="0"/>
              <w:keepLines w:val="0"/>
              <w:pageBreakBefore w:val="0"/>
              <w:kinsoku/>
              <w:wordWrap/>
              <w:overflowPunct/>
              <w:topLinePunct w:val="0"/>
              <w:bidi w:val="0"/>
              <w:snapToGrid w:val="0"/>
              <w:spacing w:beforeAutospacing="0" w:afterAutospacing="0" w:line="240" w:lineRule="auto"/>
              <w:ind w:left="0" w:leftChars="0" w:right="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5D67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09" w:type="dxa"/>
            <w:vMerge w:val="continue"/>
            <w:noWrap w:val="0"/>
            <w:vAlign w:val="center"/>
          </w:tcPr>
          <w:p w14:paraId="78C54D09">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927" w:type="dxa"/>
            <w:vMerge w:val="continue"/>
            <w:noWrap w:val="0"/>
            <w:vAlign w:val="center"/>
          </w:tcPr>
          <w:p w14:paraId="0B78DBF4">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5418" w:type="dxa"/>
            <w:noWrap w:val="0"/>
            <w:vAlign w:val="center"/>
          </w:tcPr>
          <w:p w14:paraId="39F9E067">
            <w:pPr>
              <w:keepNext w:val="0"/>
              <w:keepLines w:val="0"/>
              <w:pageBreakBefore w:val="0"/>
              <w:kinsoku/>
              <w:wordWrap/>
              <w:overflowPunct/>
              <w:topLinePunct w:val="0"/>
              <w:autoSpaceDE w:val="0"/>
              <w:autoSpaceDN w:val="0"/>
              <w:bidi w:val="0"/>
              <w:adjustRightInd w:val="0"/>
              <w:spacing w:line="240" w:lineRule="auto"/>
              <w:ind w:left="0" w:right="0" w:firstLine="0" w:firstLineChars="0"/>
              <w:jc w:val="left"/>
              <w:rPr>
                <w:rFonts w:hint="eastAsia" w:ascii="宋体" w:hAnsi="宋体" w:eastAsia="宋体" w:cs="宋体"/>
                <w:color w:val="auto"/>
                <w:sz w:val="21"/>
                <w:szCs w:val="21"/>
                <w:highlight w:val="none"/>
                <w:lang w:bidi="zh-CN"/>
              </w:rPr>
            </w:pPr>
            <w:r>
              <w:rPr>
                <w:rFonts w:hint="eastAsia" w:ascii="宋体" w:hAnsi="宋体" w:cs="宋体"/>
                <w:color w:val="auto"/>
                <w:sz w:val="21"/>
                <w:szCs w:val="21"/>
                <w:highlight w:val="none"/>
                <w:lang w:val="en-US" w:bidi="zh-CN"/>
              </w:rPr>
              <w:t>2、</w:t>
            </w:r>
            <w:r>
              <w:rPr>
                <w:rFonts w:hint="eastAsia" w:ascii="宋体" w:hAnsi="宋体" w:eastAsia="宋体" w:cs="宋体"/>
                <w:color w:val="auto"/>
                <w:sz w:val="21"/>
                <w:szCs w:val="21"/>
                <w:highlight w:val="none"/>
                <w:lang w:bidi="zh-CN"/>
              </w:rPr>
              <w:t>投标人具有有效期内的质量管理体系、环境管理体系、职业健康安全管理体系</w:t>
            </w:r>
            <w:r>
              <w:rPr>
                <w:rFonts w:hint="eastAsia" w:ascii="宋体" w:hAnsi="宋体" w:eastAsia="宋体" w:cs="宋体"/>
                <w:color w:val="auto"/>
                <w:sz w:val="21"/>
                <w:szCs w:val="21"/>
                <w:highlight w:val="none"/>
                <w:lang w:val="en-US" w:bidi="zh-CN"/>
              </w:rPr>
              <w:t>认证证书</w:t>
            </w:r>
            <w:r>
              <w:rPr>
                <w:rFonts w:hint="eastAsia" w:ascii="宋体" w:hAnsi="宋体" w:eastAsia="宋体" w:cs="宋体"/>
                <w:color w:val="auto"/>
                <w:sz w:val="21"/>
                <w:szCs w:val="21"/>
                <w:highlight w:val="none"/>
                <w:lang w:bidi="zh-CN"/>
              </w:rPr>
              <w:t>的，每项得</w:t>
            </w:r>
            <w:r>
              <w:rPr>
                <w:rFonts w:hint="eastAsia" w:ascii="宋体" w:hAnsi="宋体" w:eastAsia="宋体" w:cs="宋体"/>
                <w:color w:val="auto"/>
                <w:sz w:val="21"/>
                <w:szCs w:val="21"/>
                <w:highlight w:val="none"/>
                <w:lang w:val="en-US" w:bidi="zh-CN"/>
              </w:rPr>
              <w:t>1</w:t>
            </w:r>
            <w:r>
              <w:rPr>
                <w:rFonts w:hint="eastAsia" w:ascii="宋体" w:hAnsi="宋体" w:eastAsia="宋体" w:cs="宋体"/>
                <w:color w:val="auto"/>
                <w:sz w:val="21"/>
                <w:szCs w:val="21"/>
                <w:highlight w:val="none"/>
                <w:lang w:bidi="zh-CN"/>
              </w:rPr>
              <w:t>分，最高得</w:t>
            </w:r>
            <w:r>
              <w:rPr>
                <w:rFonts w:hint="eastAsia" w:ascii="宋体" w:hAnsi="宋体" w:eastAsia="宋体" w:cs="宋体"/>
                <w:color w:val="auto"/>
                <w:sz w:val="21"/>
                <w:szCs w:val="21"/>
                <w:highlight w:val="none"/>
                <w:lang w:val="en-US" w:bidi="zh-CN"/>
              </w:rPr>
              <w:t>3</w:t>
            </w:r>
            <w:r>
              <w:rPr>
                <w:rFonts w:hint="eastAsia" w:ascii="宋体" w:hAnsi="宋体" w:eastAsia="宋体" w:cs="宋体"/>
                <w:color w:val="auto"/>
                <w:sz w:val="21"/>
                <w:szCs w:val="21"/>
                <w:highlight w:val="none"/>
                <w:lang w:bidi="zh-CN"/>
              </w:rPr>
              <w:t>分。</w:t>
            </w:r>
          </w:p>
          <w:p w14:paraId="3EE7AF3E">
            <w:pPr>
              <w:keepNext w:val="0"/>
              <w:keepLines w:val="0"/>
              <w:pageBreakBefore w:val="0"/>
              <w:kinsoku/>
              <w:wordWrap/>
              <w:overflowPunct/>
              <w:topLinePunct w:val="0"/>
              <w:autoSpaceDE w:val="0"/>
              <w:autoSpaceDN w:val="0"/>
              <w:bidi w:val="0"/>
              <w:adjustRightInd w:val="0"/>
              <w:spacing w:line="240" w:lineRule="auto"/>
              <w:ind w:left="0" w:leftChars="0" w:right="0" w:rightChars="0" w:firstLine="0" w:firstLineChars="0"/>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rPr>
              <w:t>（</w:t>
            </w:r>
            <w:r>
              <w:rPr>
                <w:rFonts w:hint="eastAsia" w:ascii="宋体" w:hAnsi="宋体" w:eastAsia="宋体" w:cs="宋体"/>
                <w:b/>
                <w:bCs/>
                <w:color w:val="auto"/>
                <w:kern w:val="0"/>
                <w:sz w:val="21"/>
                <w:szCs w:val="21"/>
                <w:highlight w:val="none"/>
              </w:rPr>
              <w:t>须</w:t>
            </w:r>
            <w:r>
              <w:rPr>
                <w:rFonts w:hint="eastAsia" w:ascii="宋体" w:hAnsi="宋体" w:eastAsia="宋体" w:cs="宋体"/>
                <w:b/>
                <w:bCs/>
                <w:color w:val="auto"/>
                <w:kern w:val="0"/>
                <w:sz w:val="21"/>
                <w:szCs w:val="21"/>
                <w:highlight w:val="none"/>
                <w:lang w:val="zh-CN"/>
              </w:rPr>
              <w:t>提供</w:t>
            </w:r>
            <w:r>
              <w:rPr>
                <w:rFonts w:hint="eastAsia" w:ascii="宋体" w:hAnsi="宋体" w:eastAsia="宋体" w:cs="宋体"/>
                <w:b/>
                <w:bCs/>
                <w:color w:val="auto"/>
                <w:kern w:val="0"/>
                <w:sz w:val="21"/>
                <w:szCs w:val="21"/>
                <w:highlight w:val="none"/>
              </w:rPr>
              <w:t>有效的证书</w:t>
            </w:r>
            <w:r>
              <w:rPr>
                <w:rFonts w:hint="eastAsia" w:ascii="宋体" w:hAnsi="宋体" w:eastAsia="宋体" w:cs="宋体"/>
                <w:b/>
                <w:bCs/>
                <w:color w:val="auto"/>
                <w:kern w:val="0"/>
                <w:sz w:val="21"/>
                <w:szCs w:val="21"/>
                <w:highlight w:val="none"/>
                <w:lang w:val="zh-CN"/>
              </w:rPr>
              <w:t>扫描件加盖投标人公章编入投标文件中，未提供的不得分）</w:t>
            </w:r>
          </w:p>
        </w:tc>
        <w:tc>
          <w:tcPr>
            <w:tcW w:w="721" w:type="dxa"/>
            <w:noWrap w:val="0"/>
            <w:vAlign w:val="center"/>
          </w:tcPr>
          <w:p w14:paraId="34225AE5">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hAnsi="宋体" w:eastAsia="宋体" w:cs="宋体"/>
                <w:color w:val="auto"/>
                <w:kern w:val="2"/>
                <w:sz w:val="21"/>
                <w:szCs w:val="21"/>
                <w:highlight w:val="none"/>
                <w:lang w:val="en-US" w:eastAsia="zh-CN" w:bidi="ar-SA"/>
              </w:rPr>
              <w:t>3</w:t>
            </w:r>
          </w:p>
        </w:tc>
        <w:tc>
          <w:tcPr>
            <w:tcW w:w="721" w:type="dxa"/>
            <w:noWrap w:val="0"/>
            <w:vAlign w:val="center"/>
          </w:tcPr>
          <w:p w14:paraId="028B4F59">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hAnsi="宋体" w:eastAsia="宋体" w:cs="宋体"/>
                <w:color w:val="auto"/>
                <w:kern w:val="2"/>
                <w:sz w:val="21"/>
                <w:szCs w:val="21"/>
                <w:highlight w:val="none"/>
                <w:lang w:val="en-US" w:eastAsia="zh-CN" w:bidi="ar-SA"/>
              </w:rPr>
            </w:pPr>
          </w:p>
        </w:tc>
        <w:tc>
          <w:tcPr>
            <w:tcW w:w="721" w:type="dxa"/>
            <w:noWrap w:val="0"/>
            <w:vAlign w:val="center"/>
          </w:tcPr>
          <w:p w14:paraId="5A175B37">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hAnsi="宋体" w:eastAsia="宋体" w:cs="宋体"/>
                <w:color w:val="auto"/>
                <w:kern w:val="2"/>
                <w:sz w:val="21"/>
                <w:szCs w:val="21"/>
                <w:highlight w:val="none"/>
                <w:lang w:val="en-US" w:eastAsia="zh-CN" w:bidi="ar-SA"/>
              </w:rPr>
            </w:pPr>
          </w:p>
        </w:tc>
      </w:tr>
      <w:tr w14:paraId="35F4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09" w:type="dxa"/>
            <w:vMerge w:val="continue"/>
            <w:noWrap w:val="0"/>
            <w:vAlign w:val="center"/>
          </w:tcPr>
          <w:p w14:paraId="4251229E">
            <w:pPr>
              <w:pStyle w:val="2"/>
              <w:keepNext w:val="0"/>
              <w:keepLines w:val="0"/>
              <w:pageBreakBefore w:val="0"/>
              <w:kinsoku/>
              <w:wordWrap/>
              <w:overflowPunct/>
              <w:topLinePunct w:val="0"/>
              <w:bidi w:val="0"/>
              <w:spacing w:after="0" w:line="240" w:lineRule="auto"/>
              <w:ind w:left="0" w:right="0"/>
              <w:jc w:val="center"/>
              <w:rPr>
                <w:rFonts w:hint="eastAsia" w:ascii="宋体" w:hAnsi="宋体" w:eastAsia="宋体" w:cs="宋体"/>
                <w:color w:val="auto"/>
                <w:sz w:val="21"/>
                <w:szCs w:val="21"/>
                <w:highlight w:val="none"/>
                <w:lang w:eastAsia="zh-CN"/>
              </w:rPr>
            </w:pPr>
          </w:p>
        </w:tc>
        <w:tc>
          <w:tcPr>
            <w:tcW w:w="927" w:type="dxa"/>
            <w:vMerge w:val="continue"/>
            <w:noWrap w:val="0"/>
            <w:vAlign w:val="center"/>
          </w:tcPr>
          <w:p w14:paraId="308578F3">
            <w:pPr>
              <w:keepNext w:val="0"/>
              <w:keepLines w:val="0"/>
              <w:pageBreakBefore w:val="0"/>
              <w:kinsoku/>
              <w:wordWrap/>
              <w:overflowPunct/>
              <w:topLinePunct w:val="0"/>
              <w:bidi w:val="0"/>
              <w:adjustRightInd w:val="0"/>
              <w:snapToGrid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lang w:val="en-US" w:eastAsia="zh-CN"/>
              </w:rPr>
            </w:pPr>
          </w:p>
        </w:tc>
        <w:tc>
          <w:tcPr>
            <w:tcW w:w="5418" w:type="dxa"/>
            <w:noWrap w:val="0"/>
            <w:vAlign w:val="center"/>
          </w:tcPr>
          <w:p w14:paraId="6E3694F0">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投标人具有涉密测绘成果管理人员岗位证书（有效期内）：</w:t>
            </w:r>
          </w:p>
          <w:p w14:paraId="7D6B7264">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人及以上的得2分，</w:t>
            </w:r>
          </w:p>
          <w:p w14:paraId="15CB612F">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（含）-9人（含）得1分，</w:t>
            </w:r>
          </w:p>
          <w:p w14:paraId="16F65136">
            <w:pPr>
              <w:keepNext w:val="0"/>
              <w:keepLines w:val="0"/>
              <w:pageBreakBefore w:val="0"/>
              <w:widowControl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人</w:t>
            </w:r>
            <w:r>
              <w:rPr>
                <w:rFonts w:hint="eastAsia" w:ascii="宋体" w:hAnsi="宋体" w:eastAsia="宋体" w:cs="宋体"/>
                <w:color w:val="auto"/>
                <w:sz w:val="21"/>
                <w:szCs w:val="21"/>
                <w:highlight w:val="none"/>
                <w:lang w:val="en-US" w:eastAsia="zh-CN"/>
              </w:rPr>
              <w:t>（含）-4人（含）</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分，没有的不得</w:t>
            </w:r>
            <w:r>
              <w:rPr>
                <w:rFonts w:hint="eastAsia" w:ascii="宋体" w:hAnsi="宋体" w:eastAsia="宋体" w:cs="宋体"/>
                <w:color w:val="auto"/>
                <w:sz w:val="21"/>
                <w:szCs w:val="21"/>
                <w:highlight w:val="none"/>
                <w:lang w:val="en-US"/>
              </w:rPr>
              <w:t>分。</w:t>
            </w:r>
          </w:p>
          <w:p w14:paraId="7A9F5582">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lang w:val="zh-CN" w:eastAsia="zh-CN" w:bidi="ar-SA"/>
              </w:rPr>
              <w:t>（须提供有效的证书扫描件</w:t>
            </w:r>
            <w:r>
              <w:rPr>
                <w:rFonts w:hint="eastAsia" w:ascii="宋体" w:hAnsi="宋体" w:eastAsia="宋体" w:cs="宋体"/>
                <w:b/>
                <w:bCs/>
                <w:color w:val="auto"/>
                <w:sz w:val="21"/>
                <w:szCs w:val="21"/>
                <w:highlight w:val="none"/>
              </w:rPr>
              <w:t>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kern w:val="0"/>
                <w:sz w:val="21"/>
                <w:szCs w:val="21"/>
                <w:highlight w:val="none"/>
                <w:lang w:val="zh-CN" w:eastAsia="zh-CN" w:bidi="ar-SA"/>
              </w:rPr>
              <w:t>加盖投标人公章编入投标文件中，未提供的不得分）</w:t>
            </w:r>
          </w:p>
        </w:tc>
        <w:tc>
          <w:tcPr>
            <w:tcW w:w="721" w:type="dxa"/>
            <w:noWrap w:val="0"/>
            <w:vAlign w:val="center"/>
          </w:tcPr>
          <w:p w14:paraId="00D65456">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721" w:type="dxa"/>
            <w:noWrap w:val="0"/>
            <w:vAlign w:val="center"/>
          </w:tcPr>
          <w:p w14:paraId="2836D0C2">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21" w:type="dxa"/>
            <w:noWrap w:val="0"/>
            <w:vAlign w:val="center"/>
          </w:tcPr>
          <w:p w14:paraId="104D6384">
            <w:pPr>
              <w:pStyle w:val="10"/>
              <w:keepLines w:val="0"/>
              <w:pageBreakBefore w:val="0"/>
              <w:kinsoku/>
              <w:wordWrap/>
              <w:overflowPunct/>
              <w:topLinePunct w:val="0"/>
              <w:bidi w:val="0"/>
              <w:snapToGrid w:val="0"/>
              <w:spacing w:beforeAutospacing="0" w:afterAutospacing="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r>
      <w:tr w14:paraId="39CE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909" w:type="dxa"/>
            <w:vMerge w:val="continue"/>
            <w:noWrap w:val="0"/>
            <w:vAlign w:val="center"/>
          </w:tcPr>
          <w:p w14:paraId="4F05F8C8">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927" w:type="dxa"/>
            <w:noWrap w:val="0"/>
            <w:vAlign w:val="center"/>
          </w:tcPr>
          <w:p w14:paraId="1C91B82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5418" w:type="dxa"/>
            <w:noWrap w:val="0"/>
            <w:vAlign w:val="center"/>
          </w:tcPr>
          <w:p w14:paraId="6EA42A68">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具有自然资源领域正高级职称得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具有自然资源领域高级专业技术职称得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09E84021">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sz w:val="21"/>
                <w:szCs w:val="21"/>
                <w:highlight w:val="none"/>
                <w:lang w:val="en-US" w:eastAsia="zh-CN"/>
              </w:rPr>
              <w:t>2、负责人担任过的项目获国家级表彰的得</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lang w:val="en-US" w:eastAsia="zh-CN"/>
              </w:rPr>
              <w:t>分，获省级表彰的得1分，不累计计分。</w:t>
            </w:r>
          </w:p>
          <w:p w14:paraId="1F86C91C">
            <w:pPr>
              <w:keepNext w:val="0"/>
              <w:keepLines w:val="0"/>
              <w:pageBreakBefore w:val="0"/>
              <w:kinsoku/>
              <w:wordWrap/>
              <w:overflowPunct/>
              <w:topLinePunct w:val="0"/>
              <w:autoSpaceDE w:val="0"/>
              <w:autoSpaceDN w:val="0"/>
              <w:bidi w:val="0"/>
              <w:adjustRightIn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表彰证书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721" w:type="dxa"/>
            <w:noWrap w:val="0"/>
            <w:vAlign w:val="center"/>
          </w:tcPr>
          <w:p w14:paraId="3D60A41F">
            <w:pPr>
              <w:keepNext w:val="0"/>
              <w:keepLines w:val="0"/>
              <w:pageBreakBefore w:val="0"/>
              <w:kinsoku/>
              <w:wordWrap/>
              <w:overflowPunct/>
              <w:topLinePunct w:val="0"/>
              <w:bidi w:val="0"/>
              <w:spacing w:line="240" w:lineRule="auto"/>
              <w:ind w:left="0" w:leftChars="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721" w:type="dxa"/>
            <w:noWrap w:val="0"/>
            <w:vAlign w:val="center"/>
          </w:tcPr>
          <w:p w14:paraId="65C4152A">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cs="宋体"/>
                <w:color w:val="auto"/>
                <w:kern w:val="2"/>
                <w:sz w:val="21"/>
                <w:szCs w:val="21"/>
                <w:highlight w:val="none"/>
                <w:lang w:val="en-US" w:eastAsia="zh-CN" w:bidi="ar-SA"/>
              </w:rPr>
            </w:pPr>
          </w:p>
        </w:tc>
        <w:tc>
          <w:tcPr>
            <w:tcW w:w="721" w:type="dxa"/>
            <w:noWrap w:val="0"/>
            <w:vAlign w:val="center"/>
          </w:tcPr>
          <w:p w14:paraId="2494B5F8">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cs="宋体"/>
                <w:color w:val="auto"/>
                <w:kern w:val="2"/>
                <w:sz w:val="21"/>
                <w:szCs w:val="21"/>
                <w:highlight w:val="none"/>
                <w:lang w:val="en-US" w:eastAsia="zh-CN" w:bidi="ar-SA"/>
              </w:rPr>
            </w:pPr>
          </w:p>
        </w:tc>
      </w:tr>
      <w:tr w14:paraId="6676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09" w:type="dxa"/>
            <w:vMerge w:val="continue"/>
            <w:noWrap w:val="0"/>
            <w:vAlign w:val="center"/>
          </w:tcPr>
          <w:p w14:paraId="5F4F0F23">
            <w:pPr>
              <w:keepNext w:val="0"/>
              <w:keepLines w:val="0"/>
              <w:pageBreakBefore w:val="0"/>
              <w:kinsoku/>
              <w:wordWrap/>
              <w:overflowPunct/>
              <w:topLinePunct w:val="0"/>
              <w:autoSpaceDE w:val="0"/>
              <w:autoSpaceDN w:val="0"/>
              <w:bidi w:val="0"/>
              <w:adjustRightInd w:val="0"/>
              <w:spacing w:line="240" w:lineRule="auto"/>
              <w:ind w:left="0" w:right="0"/>
              <w:jc w:val="center"/>
              <w:rPr>
                <w:rFonts w:hint="eastAsia" w:ascii="宋体" w:hAnsi="宋体" w:eastAsia="宋体" w:cs="宋体"/>
                <w:color w:val="auto"/>
                <w:sz w:val="21"/>
                <w:szCs w:val="21"/>
                <w:highlight w:val="none"/>
              </w:rPr>
            </w:pPr>
          </w:p>
        </w:tc>
        <w:tc>
          <w:tcPr>
            <w:tcW w:w="927" w:type="dxa"/>
            <w:noWrap w:val="0"/>
            <w:vAlign w:val="center"/>
          </w:tcPr>
          <w:p w14:paraId="6220C7D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项目技术负责人（项目负责人除外）</w:t>
            </w:r>
          </w:p>
        </w:tc>
        <w:tc>
          <w:tcPr>
            <w:tcW w:w="5418" w:type="dxa"/>
            <w:noWrap w:val="0"/>
            <w:vAlign w:val="center"/>
          </w:tcPr>
          <w:p w14:paraId="6F839061">
            <w:pPr>
              <w:pStyle w:val="60"/>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1、具有自然资源领域高级工程师</w:t>
            </w:r>
            <w:r>
              <w:rPr>
                <w:rFonts w:hint="eastAsia" w:ascii="宋体" w:hAnsi="宋体" w:eastAsia="宋体" w:cs="宋体"/>
                <w:snapToGrid w:val="0"/>
                <w:color w:val="auto"/>
                <w:sz w:val="21"/>
                <w:szCs w:val="21"/>
                <w:highlight w:val="none"/>
                <w:lang w:val="en-US" w:eastAsia="zh-CN"/>
              </w:rPr>
              <w:t>及</w:t>
            </w:r>
            <w:r>
              <w:rPr>
                <w:rFonts w:hint="eastAsia" w:ascii="宋体" w:hAnsi="宋体" w:eastAsia="宋体" w:cs="宋体"/>
                <w:snapToGrid w:val="0"/>
                <w:color w:val="auto"/>
                <w:sz w:val="21"/>
                <w:szCs w:val="21"/>
                <w:highlight w:val="none"/>
                <w:lang w:eastAsia="zh-CN"/>
              </w:rPr>
              <w:t>以上专业技术职称的得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1872C223">
            <w:pPr>
              <w:pStyle w:val="60"/>
              <w:keepNext w:val="0"/>
              <w:keepLines w:val="0"/>
              <w:pageBreakBefore w:val="0"/>
              <w:tabs>
                <w:tab w:val="left" w:pos="2640"/>
              </w:tabs>
              <w:kinsoku/>
              <w:wordWrap/>
              <w:overflowPunct/>
              <w:topLinePunct w:val="0"/>
              <w:bidi w:val="0"/>
              <w:spacing w:line="240" w:lineRule="auto"/>
              <w:ind w:left="0" w:right="0"/>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2、具有注册测绘师资格的得</w:t>
            </w:r>
            <w:r>
              <w:rPr>
                <w:rFonts w:hint="eastAsia" w:ascii="宋体" w:hAnsi="宋体" w:eastAsia="宋体" w:cs="宋体"/>
                <w:snapToGrid w:val="0"/>
                <w:color w:val="auto"/>
                <w:sz w:val="21"/>
                <w:szCs w:val="21"/>
                <w:highlight w:val="none"/>
                <w:lang w:val="en-US" w:eastAsia="zh-CN"/>
              </w:rPr>
              <w:t>1</w:t>
            </w:r>
            <w:r>
              <w:rPr>
                <w:rFonts w:hint="eastAsia" w:ascii="宋体" w:hAnsi="宋体" w:eastAsia="宋体" w:cs="宋体"/>
                <w:snapToGrid w:val="0"/>
                <w:color w:val="auto"/>
                <w:sz w:val="21"/>
                <w:szCs w:val="21"/>
                <w:highlight w:val="none"/>
                <w:lang w:eastAsia="zh-CN"/>
              </w:rPr>
              <w:t>分。</w:t>
            </w:r>
          </w:p>
          <w:p w14:paraId="45A267A2">
            <w:pPr>
              <w:pStyle w:val="60"/>
              <w:keepNext w:val="0"/>
              <w:keepLines w:val="0"/>
              <w:pageBreakBefore w:val="0"/>
              <w:tabs>
                <w:tab w:val="left" w:pos="2640"/>
              </w:tabs>
              <w:kinsoku/>
              <w:wordWrap/>
              <w:overflowPunct/>
              <w:topLinePunct w:val="0"/>
              <w:bidi w:val="0"/>
              <w:spacing w:line="24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（须提供有效的职称证书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资格证书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721" w:type="dxa"/>
            <w:noWrap w:val="0"/>
            <w:vAlign w:val="center"/>
          </w:tcPr>
          <w:p w14:paraId="35B58508">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pacing w:val="-4"/>
                <w:sz w:val="21"/>
                <w:szCs w:val="21"/>
                <w:highlight w:val="none"/>
                <w:lang w:val="en-US" w:eastAsia="zh-CN"/>
              </w:rPr>
              <w:t>2</w:t>
            </w:r>
          </w:p>
        </w:tc>
        <w:tc>
          <w:tcPr>
            <w:tcW w:w="721" w:type="dxa"/>
            <w:noWrap w:val="0"/>
            <w:vAlign w:val="center"/>
          </w:tcPr>
          <w:p w14:paraId="53DD8819">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pacing w:val="-4"/>
                <w:sz w:val="21"/>
                <w:szCs w:val="21"/>
                <w:highlight w:val="none"/>
                <w:lang w:val="en-US" w:eastAsia="zh-CN"/>
              </w:rPr>
            </w:pPr>
          </w:p>
        </w:tc>
        <w:tc>
          <w:tcPr>
            <w:tcW w:w="721" w:type="dxa"/>
            <w:noWrap w:val="0"/>
            <w:vAlign w:val="center"/>
          </w:tcPr>
          <w:p w14:paraId="1E10392D">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pacing w:val="-4"/>
                <w:sz w:val="21"/>
                <w:szCs w:val="21"/>
                <w:highlight w:val="none"/>
                <w:lang w:val="en-US" w:eastAsia="zh-CN"/>
              </w:rPr>
            </w:pPr>
          </w:p>
        </w:tc>
      </w:tr>
      <w:tr w14:paraId="2719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09" w:type="dxa"/>
            <w:vMerge w:val="continue"/>
            <w:noWrap w:val="0"/>
            <w:vAlign w:val="center"/>
          </w:tcPr>
          <w:p w14:paraId="3FE1A53E">
            <w:pPr>
              <w:keepNext w:val="0"/>
              <w:keepLines w:val="0"/>
              <w:pageBreakBefore w:val="0"/>
              <w:kinsoku/>
              <w:wordWrap/>
              <w:overflowPunct/>
              <w:topLinePunct w:val="0"/>
              <w:bidi w:val="0"/>
              <w:spacing w:line="240" w:lineRule="auto"/>
              <w:ind w:left="0" w:right="0"/>
              <w:jc w:val="center"/>
              <w:rPr>
                <w:rFonts w:hint="eastAsia" w:ascii="宋体" w:hAnsi="宋体" w:eastAsia="宋体" w:cs="宋体"/>
                <w:color w:val="auto"/>
                <w:sz w:val="21"/>
                <w:szCs w:val="21"/>
                <w:highlight w:val="none"/>
              </w:rPr>
            </w:pPr>
          </w:p>
        </w:tc>
        <w:tc>
          <w:tcPr>
            <w:tcW w:w="927" w:type="dxa"/>
            <w:noWrap w:val="0"/>
            <w:vAlign w:val="center"/>
          </w:tcPr>
          <w:p w14:paraId="331A5ED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Style w:val="58"/>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4"/>
                <w:sz w:val="21"/>
                <w:szCs w:val="21"/>
                <w:highlight w:val="none"/>
              </w:rPr>
              <w:t>项目</w:t>
            </w:r>
            <w:r>
              <w:rPr>
                <w:rFonts w:hint="eastAsia" w:ascii="宋体" w:hAnsi="宋体" w:eastAsia="宋体" w:cs="宋体"/>
                <w:color w:val="auto"/>
                <w:spacing w:val="-4"/>
                <w:sz w:val="21"/>
                <w:szCs w:val="21"/>
                <w:highlight w:val="none"/>
                <w:lang w:val="en-US" w:eastAsia="zh-CN"/>
              </w:rPr>
              <w:t>组成</w:t>
            </w:r>
            <w:r>
              <w:rPr>
                <w:rFonts w:hint="eastAsia" w:ascii="宋体" w:hAnsi="宋体" w:eastAsia="宋体" w:cs="宋体"/>
                <w:color w:val="auto"/>
                <w:spacing w:val="-4"/>
                <w:sz w:val="21"/>
                <w:szCs w:val="21"/>
                <w:highlight w:val="none"/>
              </w:rPr>
              <w:t>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项目负责人、</w:t>
            </w:r>
            <w:r>
              <w:rPr>
                <w:rFonts w:hint="eastAsia" w:ascii="宋体" w:hAnsi="宋体" w:eastAsia="宋体" w:cs="宋体"/>
                <w:snapToGrid w:val="0"/>
                <w:color w:val="auto"/>
                <w:sz w:val="21"/>
                <w:szCs w:val="21"/>
                <w:highlight w:val="none"/>
              </w:rPr>
              <w:t>项目技术负责人</w:t>
            </w:r>
            <w:r>
              <w:rPr>
                <w:rFonts w:hint="eastAsia" w:ascii="宋体" w:hAnsi="宋体" w:eastAsia="宋体" w:cs="宋体"/>
                <w:color w:val="auto"/>
                <w:sz w:val="21"/>
                <w:szCs w:val="21"/>
                <w:highlight w:val="none"/>
                <w:lang w:val="en-US" w:eastAsia="zh-CN"/>
              </w:rPr>
              <w:t>除外</w:t>
            </w:r>
            <w:r>
              <w:rPr>
                <w:rFonts w:hint="eastAsia" w:ascii="宋体" w:hAnsi="宋体" w:eastAsia="宋体" w:cs="宋体"/>
                <w:color w:val="auto"/>
                <w:sz w:val="21"/>
                <w:szCs w:val="21"/>
                <w:highlight w:val="none"/>
                <w:lang w:eastAsia="zh-CN"/>
              </w:rPr>
              <w:t>）</w:t>
            </w:r>
          </w:p>
        </w:tc>
        <w:tc>
          <w:tcPr>
            <w:tcW w:w="5418" w:type="dxa"/>
            <w:noWrap w:val="0"/>
            <w:vAlign w:val="center"/>
          </w:tcPr>
          <w:p w14:paraId="749AD911">
            <w:pPr>
              <w:keepNext w:val="0"/>
              <w:keepLines w:val="0"/>
              <w:pageBreakBefore w:val="0"/>
              <w:widowControl/>
              <w:kinsoku/>
              <w:wordWrap/>
              <w:overflowPunct/>
              <w:topLinePunct w:val="0"/>
              <w:bidi w:val="0"/>
              <w:spacing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具有相关专业中级及以上职称的</w:t>
            </w:r>
            <w:r>
              <w:rPr>
                <w:rFonts w:hint="eastAsia" w:ascii="宋体" w:hAnsi="宋体" w:eastAsia="宋体" w:cs="宋体"/>
                <w:snapToGrid w:val="0"/>
                <w:color w:val="auto"/>
                <w:sz w:val="21"/>
                <w:szCs w:val="21"/>
                <w:highlight w:val="none"/>
              </w:rPr>
              <w:t>，每投入1人的得1分，</w:t>
            </w:r>
            <w:r>
              <w:rPr>
                <w:rFonts w:hint="eastAsia" w:ascii="宋体" w:hAnsi="宋体" w:eastAsia="宋体" w:cs="宋体"/>
                <w:color w:val="auto"/>
                <w:sz w:val="21"/>
                <w:szCs w:val="21"/>
                <w:highlight w:val="none"/>
              </w:rPr>
              <w:t>本项最高得5分。</w:t>
            </w:r>
          </w:p>
          <w:p w14:paraId="564927FD">
            <w:pPr>
              <w:keepNext w:val="0"/>
              <w:keepLines w:val="0"/>
              <w:pageBreakBefore w:val="0"/>
              <w:kinsoku/>
              <w:wordWrap/>
              <w:overflowPunct/>
              <w:topLinePunct w:val="0"/>
              <w:bidi w:val="0"/>
              <w:adjustRightInd w:val="0"/>
              <w:snapToGrid w:val="0"/>
              <w:spacing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（须提供在有效期内的相关证书扫描件及投标截止时间前近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个月内的社保缴费证明并加盖投标人公章编入投标文件中，未提供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721" w:type="dxa"/>
            <w:noWrap w:val="0"/>
            <w:vAlign w:val="center"/>
          </w:tcPr>
          <w:p w14:paraId="468B6A4B">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721" w:type="dxa"/>
            <w:noWrap w:val="0"/>
            <w:vAlign w:val="center"/>
          </w:tcPr>
          <w:p w14:paraId="5443EC1B">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0"/>
                <w:sz w:val="21"/>
                <w:szCs w:val="21"/>
                <w:highlight w:val="none"/>
              </w:rPr>
            </w:pPr>
          </w:p>
        </w:tc>
        <w:tc>
          <w:tcPr>
            <w:tcW w:w="721" w:type="dxa"/>
            <w:noWrap w:val="0"/>
            <w:vAlign w:val="center"/>
          </w:tcPr>
          <w:p w14:paraId="258A224A">
            <w:pPr>
              <w:keepNext w:val="0"/>
              <w:keepLines w:val="0"/>
              <w:pageBreakBefore w:val="0"/>
              <w:kinsoku/>
              <w:wordWrap/>
              <w:overflowPunct/>
              <w:topLinePunct w:val="0"/>
              <w:bidi w:val="0"/>
              <w:adjustRightInd w:val="0"/>
              <w:snapToGrid w:val="0"/>
              <w:spacing w:line="240" w:lineRule="auto"/>
              <w:ind w:left="0" w:leftChars="0" w:right="0" w:firstLine="0" w:firstLineChars="0"/>
              <w:jc w:val="center"/>
              <w:rPr>
                <w:rFonts w:hint="eastAsia" w:ascii="宋体" w:hAnsi="宋体" w:eastAsia="宋体" w:cs="宋体"/>
                <w:color w:val="auto"/>
                <w:kern w:val="0"/>
                <w:sz w:val="21"/>
                <w:szCs w:val="21"/>
                <w:highlight w:val="none"/>
              </w:rPr>
            </w:pPr>
          </w:p>
        </w:tc>
      </w:tr>
      <w:tr w14:paraId="2CCF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909" w:type="dxa"/>
            <w:vMerge w:val="restart"/>
            <w:noWrap w:val="0"/>
            <w:vAlign w:val="center"/>
          </w:tcPr>
          <w:p w14:paraId="6F4CBCC1">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846EDBD">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6E40A8BD">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5F4634C4">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2463EBB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0C8E31B2">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1C7C7231">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0018DB20">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2C4A225B">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26725681">
            <w:pPr>
              <w:keepNext w:val="0"/>
              <w:keepLines w:val="0"/>
              <w:pageBreakBefore w:val="0"/>
              <w:kinsoku/>
              <w:wordWrap/>
              <w:overflowPunct/>
              <w:topLinePunct w:val="0"/>
              <w:bidi w:val="0"/>
              <w:adjustRightInd w:val="0"/>
              <w:snapToGrid w:val="0"/>
              <w:spacing w:line="240" w:lineRule="auto"/>
              <w:ind w:left="0" w:right="0"/>
              <w:jc w:val="center"/>
              <w:rPr>
                <w:rFonts w:hint="eastAsia" w:ascii="宋体" w:hAnsi="宋体" w:eastAsia="宋体" w:cs="宋体"/>
                <w:color w:val="auto"/>
                <w:sz w:val="21"/>
                <w:szCs w:val="21"/>
                <w:highlight w:val="none"/>
              </w:rPr>
            </w:pPr>
          </w:p>
          <w:p w14:paraId="3F97581C">
            <w:pPr>
              <w:pStyle w:val="2"/>
              <w:keepNext w:val="0"/>
              <w:keepLines w:val="0"/>
              <w:pageBreakBefore w:val="0"/>
              <w:kinsoku/>
              <w:wordWrap/>
              <w:overflowPunct/>
              <w:topLinePunct w:val="0"/>
              <w:bidi w:val="0"/>
              <w:spacing w:after="0"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927" w:type="dxa"/>
            <w:vMerge w:val="restart"/>
            <w:noWrap w:val="0"/>
            <w:vAlign w:val="center"/>
          </w:tcPr>
          <w:p w14:paraId="0188C88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5418" w:type="dxa"/>
            <w:noWrap w:val="0"/>
            <w:vAlign w:val="center"/>
          </w:tcPr>
          <w:p w14:paraId="2F3F1485">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根据投标人对本项目现状、总体认识和需求描述等进行打分。</w:t>
            </w:r>
          </w:p>
          <w:p w14:paraId="1DA9A22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对本项目历史数据分析结构合理，目的意义、实施目标、工作范围、工作内容和技术要求描述内容完整、表述准确、无前后矛盾、目录清晰，符合采购文件要求的得3.0-5.0分；</w:t>
            </w:r>
          </w:p>
          <w:p w14:paraId="2016AD37">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对本项目现状、总体认识和需求描述方案描述简单，内容不够全面的得</w:t>
            </w:r>
            <w:r>
              <w:rPr>
                <w:rFonts w:hint="eastAsia" w:ascii="宋体" w:hAnsi="宋体" w:eastAsia="宋体" w:cs="宋体"/>
                <w:color w:val="auto"/>
                <w:sz w:val="21"/>
                <w:szCs w:val="21"/>
                <w:highlight w:val="none"/>
                <w:lang w:val="en-US" w:eastAsia="zh-CN"/>
              </w:rPr>
              <w:t>1.0-2.9分；</w:t>
            </w:r>
          </w:p>
          <w:p w14:paraId="673CF5BC">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现状分析、总体认识等内容有提及但阐述不完整的得0.1-0.9分；</w:t>
            </w:r>
          </w:p>
          <w:p w14:paraId="12E05A62">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43F45888">
            <w:pPr>
              <w:autoSpaceDE w:val="0"/>
              <w:autoSpaceDN w:val="0"/>
              <w:adjustRightInd w:val="0"/>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21" w:type="dxa"/>
            <w:noWrap w:val="0"/>
            <w:vAlign w:val="center"/>
          </w:tcPr>
          <w:p w14:paraId="1D7D820E">
            <w:pPr>
              <w:autoSpaceDE w:val="0"/>
              <w:autoSpaceDN w:val="0"/>
              <w:adjustRightInd w:val="0"/>
              <w:ind w:left="0" w:leftChars="0" w:firstLine="0" w:firstLineChars="0"/>
              <w:jc w:val="center"/>
              <w:rPr>
                <w:rFonts w:hint="eastAsia" w:ascii="宋体" w:hAnsi="宋体" w:eastAsia="宋体" w:cs="宋体"/>
                <w:color w:val="auto"/>
                <w:sz w:val="21"/>
                <w:szCs w:val="21"/>
                <w:highlight w:val="none"/>
              </w:rPr>
            </w:pPr>
          </w:p>
        </w:tc>
        <w:tc>
          <w:tcPr>
            <w:tcW w:w="721" w:type="dxa"/>
            <w:noWrap w:val="0"/>
            <w:vAlign w:val="center"/>
          </w:tcPr>
          <w:p w14:paraId="0A509D1B">
            <w:pPr>
              <w:autoSpaceDE w:val="0"/>
              <w:autoSpaceDN w:val="0"/>
              <w:adjustRightInd w:val="0"/>
              <w:ind w:left="0" w:leftChars="0" w:firstLine="0" w:firstLineChars="0"/>
              <w:jc w:val="center"/>
              <w:rPr>
                <w:rFonts w:hint="eastAsia" w:ascii="宋体" w:hAnsi="宋体" w:eastAsia="宋体" w:cs="宋体"/>
                <w:color w:val="auto"/>
                <w:sz w:val="21"/>
                <w:szCs w:val="21"/>
                <w:highlight w:val="none"/>
              </w:rPr>
            </w:pPr>
          </w:p>
        </w:tc>
      </w:tr>
      <w:tr w14:paraId="6040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909" w:type="dxa"/>
            <w:vMerge w:val="continue"/>
            <w:noWrap w:val="0"/>
            <w:vAlign w:val="center"/>
          </w:tcPr>
          <w:p w14:paraId="5F61827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927" w:type="dxa"/>
            <w:vMerge w:val="continue"/>
            <w:noWrap w:val="0"/>
            <w:vAlign w:val="center"/>
          </w:tcPr>
          <w:p w14:paraId="717E7CA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color w:val="auto"/>
                <w:sz w:val="21"/>
                <w:szCs w:val="21"/>
                <w:highlight w:val="none"/>
              </w:rPr>
            </w:pPr>
          </w:p>
        </w:tc>
        <w:tc>
          <w:tcPr>
            <w:tcW w:w="5418" w:type="dxa"/>
            <w:noWrap w:val="0"/>
            <w:vAlign w:val="center"/>
          </w:tcPr>
          <w:p w14:paraId="0F339C62">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根据投标人对项目的具体工作思路、技术路线以及数据采集调查流程及组织保障措施等情况进行打分。</w:t>
            </w:r>
          </w:p>
          <w:p w14:paraId="4DDC22E0">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工作依据详细、合规，总体思路明确，对实施本项目的技术路线图清晰，资料收集清单明晰，数据采集流程详细，组织保障措施合理可行的得3.0-5.0分；</w:t>
            </w:r>
          </w:p>
          <w:p w14:paraId="4A24B02F">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对本项目技术路线、数据采集调查流程及组织保障措施描述简单，内容不够全面的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6794C080">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技术路线及相关流程有提及但内容不完整，缺乏可操作性的得0.1-0.9分；</w:t>
            </w:r>
          </w:p>
          <w:p w14:paraId="635007CE">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43CA8B4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721" w:type="dxa"/>
            <w:noWrap w:val="0"/>
            <w:vAlign w:val="center"/>
          </w:tcPr>
          <w:p w14:paraId="1FA023FC">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21" w:type="dxa"/>
            <w:noWrap w:val="0"/>
            <w:vAlign w:val="center"/>
          </w:tcPr>
          <w:p w14:paraId="1249273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6584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909" w:type="dxa"/>
            <w:vMerge w:val="continue"/>
            <w:noWrap w:val="0"/>
            <w:vAlign w:val="center"/>
          </w:tcPr>
          <w:p w14:paraId="62E3772E">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noWrap w:val="0"/>
            <w:vAlign w:val="center"/>
          </w:tcPr>
          <w:p w14:paraId="02A224B0">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重难点分析及解决方案</w:t>
            </w:r>
          </w:p>
        </w:tc>
        <w:tc>
          <w:tcPr>
            <w:tcW w:w="5418" w:type="dxa"/>
            <w:noWrap w:val="0"/>
            <w:vAlign w:val="center"/>
          </w:tcPr>
          <w:p w14:paraId="2EDBD3B7">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针对项目实施中</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rPr>
              <w:t>存在的问题和具体实施过程遇到的重点难点分析情况进行打分。</w:t>
            </w:r>
          </w:p>
          <w:p w14:paraId="4F1A0525">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对本项目工作重点、难点分析具有针对</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DA6B08E">
            <w:pPr>
              <w:keepNext w:val="0"/>
              <w:keepLines w:val="0"/>
              <w:pageBreakBefore w:val="0"/>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w:t>
            </w: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z w:val="21"/>
                <w:szCs w:val="21"/>
                <w:highlight w:val="none"/>
              </w:rPr>
              <w:t>分析比较有针对得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F4C812A">
            <w:pPr>
              <w:keepNext w:val="0"/>
              <w:keepLines w:val="0"/>
              <w:pageBreakBefore w:val="0"/>
              <w:widowControl/>
              <w:kinsoku/>
              <w:wordWrap/>
              <w:overflowPunct/>
              <w:topLinePunct w:val="0"/>
              <w:bidi w:val="0"/>
              <w:adjustRightInd w:val="0"/>
              <w:snapToGrid w:val="0"/>
              <w:spacing w:line="240" w:lineRule="auto"/>
              <w:ind w:left="0" w:right="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对本项目工作重点、难点分析不全得</w:t>
            </w:r>
            <w:r>
              <w:rPr>
                <w:rFonts w:hint="eastAsia" w:ascii="宋体" w:hAnsi="宋体" w:eastAsia="宋体" w:cs="宋体"/>
                <w:color w:val="auto"/>
                <w:sz w:val="21"/>
                <w:szCs w:val="21"/>
                <w:highlight w:val="none"/>
                <w:lang w:val="en-US" w:eastAsia="zh-CN"/>
              </w:rPr>
              <w:t>0.1-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A5F247B">
            <w:pPr>
              <w:keepNext w:val="0"/>
              <w:keepLines w:val="0"/>
              <w:pageBreakBefore w:val="0"/>
              <w:widowControl/>
              <w:kinsoku/>
              <w:wordWrap/>
              <w:overflowPunct/>
              <w:topLinePunct w:val="0"/>
              <w:bidi w:val="0"/>
              <w:adjustRightInd w:val="0"/>
              <w:snapToGrid w:val="0"/>
              <w:spacing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68FD4F5C">
            <w:pPr>
              <w:ind w:left="0" w:leftChars="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721" w:type="dxa"/>
            <w:noWrap w:val="0"/>
            <w:vAlign w:val="center"/>
          </w:tcPr>
          <w:p w14:paraId="7C897545">
            <w:pPr>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61D0E9A4">
            <w:pPr>
              <w:ind w:left="0" w:leftChars="0" w:firstLine="0" w:firstLineChars="0"/>
              <w:jc w:val="center"/>
              <w:rPr>
                <w:rFonts w:hint="eastAsia" w:ascii="宋体" w:hAnsi="宋体" w:eastAsia="宋体" w:cs="宋体"/>
                <w:color w:val="auto"/>
                <w:sz w:val="21"/>
                <w:szCs w:val="21"/>
                <w:highlight w:val="none"/>
                <w:lang w:val="en-US" w:eastAsia="zh-CN"/>
              </w:rPr>
            </w:pPr>
          </w:p>
        </w:tc>
      </w:tr>
      <w:tr w14:paraId="5EC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909" w:type="dxa"/>
            <w:vMerge w:val="continue"/>
            <w:noWrap w:val="0"/>
            <w:vAlign w:val="center"/>
          </w:tcPr>
          <w:p w14:paraId="1BE27632">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restart"/>
            <w:noWrap w:val="0"/>
            <w:vAlign w:val="center"/>
          </w:tcPr>
          <w:p w14:paraId="565E16F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项目实施</w:t>
            </w:r>
          </w:p>
        </w:tc>
        <w:tc>
          <w:tcPr>
            <w:tcW w:w="5418" w:type="dxa"/>
            <w:noWrap w:val="0"/>
            <w:vAlign w:val="center"/>
          </w:tcPr>
          <w:p w14:paraId="3DC62CD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路桥区2024年度海岸线监测</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6F1F5210">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路桥区2024年度海岸线监测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54DFE233">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路桥区2024年度海岸线监测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56E040A0">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路桥区2024年度海岸线监测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11167579">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21" w:type="dxa"/>
            <w:noWrap w:val="0"/>
            <w:vAlign w:val="center"/>
          </w:tcPr>
          <w:p w14:paraId="137EF634">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21" w:type="dxa"/>
            <w:noWrap w:val="0"/>
            <w:vAlign w:val="center"/>
          </w:tcPr>
          <w:p w14:paraId="288535A8">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48A9EDEC">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48F3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909" w:type="dxa"/>
            <w:vMerge w:val="continue"/>
            <w:noWrap w:val="0"/>
            <w:vAlign w:val="center"/>
          </w:tcPr>
          <w:p w14:paraId="35D08BC6">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continue"/>
            <w:noWrap w:val="0"/>
            <w:vAlign w:val="center"/>
          </w:tcPr>
          <w:p w14:paraId="530A828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sz w:val="21"/>
                <w:szCs w:val="21"/>
                <w:highlight w:val="none"/>
                <w:lang w:val="en-US" w:eastAsia="zh-CN"/>
              </w:rPr>
            </w:pPr>
          </w:p>
        </w:tc>
        <w:tc>
          <w:tcPr>
            <w:tcW w:w="5418" w:type="dxa"/>
            <w:noWrap w:val="0"/>
            <w:vAlign w:val="center"/>
          </w:tcPr>
          <w:p w14:paraId="7F4353B9">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路桥区2024年度沿海滩涂（潮间带）资源稳定性及淤积潜力评价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777F222C">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4887925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1F9BCC6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路桥区2024年度沿海滩涂（潮间带）资源稳定性及淤积潜力评价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24563A58">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21" w:type="dxa"/>
            <w:noWrap w:val="0"/>
            <w:vAlign w:val="center"/>
          </w:tcPr>
          <w:p w14:paraId="092BCDFB">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21" w:type="dxa"/>
            <w:noWrap w:val="0"/>
            <w:vAlign w:val="center"/>
          </w:tcPr>
          <w:p w14:paraId="5DFF98CA">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21D8EB4F">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1E75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909" w:type="dxa"/>
            <w:vMerge w:val="continue"/>
            <w:noWrap w:val="0"/>
            <w:vAlign w:val="center"/>
          </w:tcPr>
          <w:p w14:paraId="0172CCFE">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continue"/>
            <w:noWrap w:val="0"/>
            <w:vAlign w:val="center"/>
          </w:tcPr>
          <w:p w14:paraId="45D708E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418" w:type="dxa"/>
            <w:noWrap w:val="0"/>
            <w:vAlign w:val="center"/>
          </w:tcPr>
          <w:p w14:paraId="20BED4E7">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路桥区2024年围填海历史遗留问题处理核查</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53E67215">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3E3172EE">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0436475D">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路桥区2024年围填海历史遗留问题处理核查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010E38F8">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21" w:type="dxa"/>
            <w:noWrap w:val="0"/>
            <w:vAlign w:val="center"/>
          </w:tcPr>
          <w:p w14:paraId="21C8E691">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21" w:type="dxa"/>
            <w:noWrap w:val="0"/>
            <w:vAlign w:val="center"/>
          </w:tcPr>
          <w:p w14:paraId="48E2E1E0">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5974397E">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4E33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909" w:type="dxa"/>
            <w:vMerge w:val="continue"/>
            <w:noWrap w:val="0"/>
            <w:vAlign w:val="center"/>
          </w:tcPr>
          <w:p w14:paraId="7C63580C">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continue"/>
            <w:noWrap w:val="0"/>
            <w:vAlign w:val="center"/>
          </w:tcPr>
          <w:p w14:paraId="02A7DCEB">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418" w:type="dxa"/>
            <w:noWrap w:val="0"/>
            <w:vAlign w:val="center"/>
          </w:tcPr>
          <w:p w14:paraId="67D3B501">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路桥区2024年无居民海岛监视监测与管理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方案的合理性、可行性和先进性等情况进行打分。</w:t>
            </w:r>
          </w:p>
          <w:p w14:paraId="65326326">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方案合理、可行、先进的得</w:t>
            </w:r>
            <w:r>
              <w:rPr>
                <w:rFonts w:hint="eastAsia" w:ascii="宋体" w:hAnsi="宋体" w:eastAsia="宋体" w:cs="宋体"/>
                <w:color w:val="auto"/>
                <w:sz w:val="21"/>
                <w:szCs w:val="21"/>
                <w:highlight w:val="none"/>
                <w:lang w:val="en-US" w:eastAsia="zh-CN"/>
              </w:rPr>
              <w:t>3.0-6.0</w:t>
            </w:r>
            <w:r>
              <w:rPr>
                <w:rFonts w:hint="eastAsia" w:ascii="宋体" w:hAnsi="宋体" w:eastAsia="宋体" w:cs="宋体"/>
                <w:color w:val="auto"/>
                <w:sz w:val="21"/>
                <w:szCs w:val="21"/>
                <w:highlight w:val="none"/>
              </w:rPr>
              <w:t>分；</w:t>
            </w:r>
          </w:p>
          <w:p w14:paraId="0B186473">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方案可行但有不合理的地方的得</w:t>
            </w:r>
            <w:r>
              <w:rPr>
                <w:rFonts w:hint="eastAsia" w:ascii="宋体" w:hAnsi="宋体" w:eastAsia="宋体" w:cs="宋体"/>
                <w:color w:val="auto"/>
                <w:sz w:val="21"/>
                <w:szCs w:val="21"/>
                <w:highlight w:val="none"/>
                <w:lang w:val="en-US" w:eastAsia="zh-CN"/>
              </w:rPr>
              <w:t>1.0-2.9</w:t>
            </w:r>
            <w:r>
              <w:rPr>
                <w:rFonts w:hint="eastAsia" w:ascii="宋体" w:hAnsi="宋体" w:eastAsia="宋体" w:cs="宋体"/>
                <w:color w:val="auto"/>
                <w:sz w:val="21"/>
                <w:szCs w:val="21"/>
                <w:highlight w:val="none"/>
              </w:rPr>
              <w:t>分；</w:t>
            </w:r>
          </w:p>
          <w:p w14:paraId="3DFC5F0F">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路桥区2024年无居民海岛监视监测与管理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方案不甚合理、可行的得</w:t>
            </w:r>
            <w:r>
              <w:rPr>
                <w:rFonts w:hint="eastAsia" w:ascii="宋体" w:hAnsi="宋体" w:eastAsia="宋体" w:cs="宋体"/>
                <w:color w:val="auto"/>
                <w:sz w:val="21"/>
                <w:szCs w:val="21"/>
                <w:highlight w:val="none"/>
                <w:lang w:val="en-US" w:eastAsia="zh-CN"/>
              </w:rPr>
              <w:t>0.1-0.9</w:t>
            </w:r>
            <w:r>
              <w:rPr>
                <w:rFonts w:hint="eastAsia" w:ascii="宋体" w:hAnsi="宋体" w:eastAsia="宋体" w:cs="宋体"/>
                <w:color w:val="auto"/>
                <w:sz w:val="21"/>
                <w:szCs w:val="21"/>
                <w:highlight w:val="none"/>
              </w:rPr>
              <w:t>分；</w:t>
            </w:r>
          </w:p>
          <w:p w14:paraId="69A5DAE9">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21" w:type="dxa"/>
            <w:noWrap w:val="0"/>
            <w:vAlign w:val="center"/>
          </w:tcPr>
          <w:p w14:paraId="7C183B43">
            <w:pPr>
              <w:autoSpaceDE w:val="0"/>
              <w:autoSpaceDN w:val="0"/>
              <w:adjustRightInd w:val="0"/>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21" w:type="dxa"/>
            <w:noWrap w:val="0"/>
            <w:vAlign w:val="center"/>
          </w:tcPr>
          <w:p w14:paraId="13F977E9">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4B7F63B4">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3B18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909" w:type="dxa"/>
            <w:vMerge w:val="continue"/>
            <w:noWrap w:val="0"/>
            <w:vAlign w:val="center"/>
          </w:tcPr>
          <w:p w14:paraId="1EDB53CC">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noWrap w:val="0"/>
            <w:vAlign w:val="center"/>
          </w:tcPr>
          <w:p w14:paraId="4B85E1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服务质量管控</w:t>
            </w:r>
          </w:p>
        </w:tc>
        <w:tc>
          <w:tcPr>
            <w:tcW w:w="5418" w:type="dxa"/>
            <w:noWrap w:val="0"/>
            <w:vAlign w:val="center"/>
          </w:tcPr>
          <w:p w14:paraId="10D02ABE">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根据投标人对项目工作中的管理规范、管理组织构架、监督体系、内控制度、质量管控措施进行打分。</w:t>
            </w:r>
          </w:p>
          <w:p w14:paraId="6EEC564A">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服务质量管控方案阐述全面，管理规范、管理组织构架、监督体系、内控制度、质量管控</w:t>
            </w:r>
            <w:r>
              <w:rPr>
                <w:rFonts w:hint="eastAsia" w:ascii="宋体" w:hAnsi="宋体" w:eastAsia="宋体" w:cs="宋体"/>
                <w:color w:val="auto"/>
                <w:sz w:val="21"/>
                <w:szCs w:val="21"/>
                <w:highlight w:val="none"/>
              </w:rPr>
              <w:t>措施</w:t>
            </w:r>
            <w:r>
              <w:rPr>
                <w:rFonts w:hint="eastAsia" w:ascii="宋体" w:hAnsi="宋体" w:eastAsia="宋体" w:cs="宋体"/>
                <w:color w:val="auto"/>
                <w:sz w:val="21"/>
                <w:szCs w:val="21"/>
                <w:highlight w:val="none"/>
                <w:lang w:val="en-US" w:eastAsia="zh-CN"/>
              </w:rPr>
              <w:t>等阐述合理可行且有针对性，能有效保障项目服务质量的得3.0-6.0分</w:t>
            </w:r>
            <w:r>
              <w:rPr>
                <w:rFonts w:hint="eastAsia" w:ascii="宋体" w:hAnsi="宋体" w:eastAsia="宋体" w:cs="宋体"/>
                <w:color w:val="auto"/>
                <w:sz w:val="21"/>
                <w:szCs w:val="21"/>
                <w:highlight w:val="none"/>
              </w:rPr>
              <w:t>；</w:t>
            </w:r>
          </w:p>
          <w:p w14:paraId="4F5C6746">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服务质量管控方案阐述简单，管理规范、监督体系等内容有提及但阐述不完整，基本能保障项目服务的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1.0-2.9分；</w:t>
            </w:r>
          </w:p>
          <w:p w14:paraId="5877746B">
            <w:pPr>
              <w:keepNext w:val="0"/>
              <w:keepLines w:val="0"/>
              <w:pageBreakBefore w:val="0"/>
              <w:tabs>
                <w:tab w:val="left" w:pos="2061"/>
              </w:tabs>
              <w:kinsoku/>
              <w:wordWrap/>
              <w:overflowPunct/>
              <w:topLinePunct w:val="0"/>
              <w:bidi w:val="0"/>
              <w:spacing w:line="240" w:lineRule="auto"/>
              <w:ind w:left="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方案阐述片面，内容不完整，缺乏可操作性的得0.1-0.9分；</w:t>
            </w:r>
          </w:p>
          <w:p w14:paraId="11A8702B">
            <w:pPr>
              <w:keepNext w:val="0"/>
              <w:keepLines w:val="0"/>
              <w:pageBreakBefore w:val="0"/>
              <w:tabs>
                <w:tab w:val="left" w:pos="2061"/>
              </w:tabs>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56B4C34E">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21" w:type="dxa"/>
            <w:noWrap w:val="0"/>
            <w:vAlign w:val="center"/>
          </w:tcPr>
          <w:p w14:paraId="4E5BA1C5">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674430F2">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32F1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09" w:type="dxa"/>
            <w:vMerge w:val="continue"/>
            <w:noWrap w:val="0"/>
            <w:vAlign w:val="center"/>
          </w:tcPr>
          <w:p w14:paraId="2045647D">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restart"/>
            <w:noWrap w:val="0"/>
            <w:vAlign w:val="center"/>
          </w:tcPr>
          <w:p w14:paraId="7EC152FB">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数据录入</w:t>
            </w:r>
          </w:p>
        </w:tc>
        <w:tc>
          <w:tcPr>
            <w:tcW w:w="5418" w:type="dxa"/>
            <w:noWrap w:val="0"/>
            <w:vAlign w:val="center"/>
          </w:tcPr>
          <w:p w14:paraId="3ADAA441">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对省级“智控海洋”应用场景的理解是否科学、合理、先进、完整等情况进行打分。</w:t>
            </w:r>
          </w:p>
          <w:p w14:paraId="7D3E275A">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对省级“智控海洋”应用场景的理解</w:t>
            </w:r>
            <w:r>
              <w:rPr>
                <w:rFonts w:hint="eastAsia" w:ascii="宋体" w:hAnsi="宋体" w:eastAsia="宋体" w:cs="宋体"/>
                <w:color w:val="auto"/>
                <w:sz w:val="21"/>
                <w:szCs w:val="21"/>
                <w:highlight w:val="none"/>
                <w:lang w:val="en-US" w:eastAsia="zh-CN"/>
              </w:rPr>
              <w:t>科学合理，内容完整、有针对性的得2.0-4.0分；</w:t>
            </w:r>
          </w:p>
          <w:p w14:paraId="7924FBE9">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219813B9">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00E43270">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1" w:type="dxa"/>
            <w:noWrap w:val="0"/>
            <w:vAlign w:val="center"/>
          </w:tcPr>
          <w:p w14:paraId="5865A5E6">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297EF55C">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08EF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09" w:type="dxa"/>
            <w:vMerge w:val="continue"/>
            <w:noWrap w:val="0"/>
            <w:vAlign w:val="center"/>
          </w:tcPr>
          <w:p w14:paraId="3D040586">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continue"/>
            <w:noWrap w:val="0"/>
            <w:vAlign w:val="center"/>
          </w:tcPr>
          <w:p w14:paraId="2A46500D">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5418" w:type="dxa"/>
            <w:noWrap w:val="0"/>
            <w:vAlign w:val="center"/>
          </w:tcPr>
          <w:p w14:paraId="4CA6029A">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对省级“智控海洋”场景相关接口的理解程度进行打分。</w:t>
            </w:r>
          </w:p>
          <w:p w14:paraId="5FB235F2">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对省级“智控海洋”场景相关接口的理解</w:t>
            </w:r>
            <w:r>
              <w:rPr>
                <w:rFonts w:hint="eastAsia" w:ascii="宋体" w:hAnsi="宋体" w:eastAsia="宋体" w:cs="宋体"/>
                <w:color w:val="auto"/>
                <w:sz w:val="21"/>
                <w:szCs w:val="21"/>
                <w:highlight w:val="none"/>
                <w:lang w:val="en-US" w:eastAsia="zh-CN"/>
              </w:rPr>
              <w:t>科学合理，内容完整、有针对性的得2.0-4.0分；</w:t>
            </w:r>
          </w:p>
          <w:p w14:paraId="212F6B23">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0A235E44">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05C68FBF">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21" w:type="dxa"/>
            <w:noWrap w:val="0"/>
            <w:vAlign w:val="center"/>
          </w:tcPr>
          <w:p w14:paraId="2B4E5CC9">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c>
          <w:tcPr>
            <w:tcW w:w="721" w:type="dxa"/>
            <w:noWrap w:val="0"/>
            <w:vAlign w:val="center"/>
          </w:tcPr>
          <w:p w14:paraId="43586F8E">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p>
        </w:tc>
      </w:tr>
      <w:tr w14:paraId="4AE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09" w:type="dxa"/>
            <w:vMerge w:val="continue"/>
            <w:noWrap w:val="0"/>
            <w:vAlign w:val="center"/>
          </w:tcPr>
          <w:p w14:paraId="406BA76C">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vMerge w:val="continue"/>
            <w:noWrap w:val="0"/>
            <w:vAlign w:val="center"/>
          </w:tcPr>
          <w:p w14:paraId="7C37CC0C">
            <w:pPr>
              <w:keepNext w:val="0"/>
              <w:keepLines w:val="0"/>
              <w:pageBreakBefore w:val="0"/>
              <w:kinsoku/>
              <w:wordWrap/>
              <w:overflowPunct/>
              <w:topLinePunct w:val="0"/>
              <w:bidi w:val="0"/>
              <w:spacing w:line="240" w:lineRule="auto"/>
              <w:ind w:left="0" w:right="0"/>
              <w:jc w:val="center"/>
              <w:rPr>
                <w:rFonts w:hint="eastAsia" w:ascii="宋体" w:hAnsi="宋体" w:eastAsia="宋体" w:cs="宋体"/>
                <w:b w:val="0"/>
                <w:bCs w:val="0"/>
                <w:color w:val="auto"/>
                <w:kern w:val="2"/>
                <w:sz w:val="21"/>
                <w:szCs w:val="21"/>
                <w:highlight w:val="none"/>
                <w:lang w:val="en-US" w:eastAsia="zh-CN" w:bidi="ar-SA"/>
              </w:rPr>
            </w:pPr>
          </w:p>
        </w:tc>
        <w:tc>
          <w:tcPr>
            <w:tcW w:w="5418" w:type="dxa"/>
            <w:noWrap w:val="0"/>
            <w:vAlign w:val="center"/>
          </w:tcPr>
          <w:p w14:paraId="6BDF0262">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）的理解是否科学、合理、先进、完整等情况进行打分。</w:t>
            </w:r>
          </w:p>
          <w:p w14:paraId="01C99DBE">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对涉海相关矢量数据（海域权属、海洋功能区划、历史疑点疑区、历史围填海</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）的理解</w:t>
            </w:r>
            <w:r>
              <w:rPr>
                <w:rFonts w:hint="eastAsia" w:ascii="宋体" w:hAnsi="宋体" w:eastAsia="宋体" w:cs="宋体"/>
                <w:color w:val="auto"/>
                <w:sz w:val="21"/>
                <w:szCs w:val="21"/>
                <w:highlight w:val="none"/>
                <w:lang w:val="en-US" w:eastAsia="zh-CN"/>
              </w:rPr>
              <w:t>科学合理，内容阐述完整、有针对性的得2.0-4.0分；</w:t>
            </w:r>
          </w:p>
          <w:p w14:paraId="4F6960EB">
            <w:pPr>
              <w:keepNext w:val="0"/>
              <w:keepLines w:val="0"/>
              <w:pageBreakBefore w:val="0"/>
              <w:kinsoku/>
              <w:wordWrap/>
              <w:overflowPunct/>
              <w:topLinePunct w:val="0"/>
              <w:bidi w:val="0"/>
              <w:spacing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理解分析简单，缺乏针对性的得0.1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p>
          <w:p w14:paraId="7A802EA7">
            <w:pPr>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未提及此项不得分。</w:t>
            </w:r>
          </w:p>
        </w:tc>
        <w:tc>
          <w:tcPr>
            <w:tcW w:w="721" w:type="dxa"/>
            <w:noWrap w:val="0"/>
            <w:vAlign w:val="center"/>
          </w:tcPr>
          <w:p w14:paraId="3448DAB6">
            <w:pPr>
              <w:autoSpaceDE w:val="0"/>
              <w:autoSpaceDN w:val="0"/>
              <w:adjustRightInd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21" w:type="dxa"/>
            <w:noWrap w:val="0"/>
            <w:vAlign w:val="center"/>
          </w:tcPr>
          <w:p w14:paraId="340425AA">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c>
          <w:tcPr>
            <w:tcW w:w="721" w:type="dxa"/>
            <w:noWrap w:val="0"/>
            <w:vAlign w:val="center"/>
          </w:tcPr>
          <w:p w14:paraId="28FA4017">
            <w:pPr>
              <w:autoSpaceDE w:val="0"/>
              <w:autoSpaceDN w:val="0"/>
              <w:adjustRightInd w:val="0"/>
              <w:ind w:left="0" w:leftChars="0" w:firstLine="0" w:firstLineChars="0"/>
              <w:jc w:val="center"/>
              <w:rPr>
                <w:rFonts w:hint="eastAsia" w:ascii="宋体" w:hAnsi="宋体" w:cs="宋体"/>
                <w:color w:val="auto"/>
                <w:sz w:val="21"/>
                <w:szCs w:val="21"/>
                <w:highlight w:val="none"/>
                <w:lang w:val="en-US" w:eastAsia="zh-CN"/>
              </w:rPr>
            </w:pPr>
          </w:p>
        </w:tc>
      </w:tr>
      <w:tr w14:paraId="5FC1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909" w:type="dxa"/>
            <w:vMerge w:val="continue"/>
            <w:noWrap w:val="0"/>
            <w:vAlign w:val="center"/>
          </w:tcPr>
          <w:p w14:paraId="5D62126C">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noWrap w:val="0"/>
            <w:vAlign w:val="center"/>
          </w:tcPr>
          <w:p w14:paraId="282781A2">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保密措施</w:t>
            </w:r>
          </w:p>
        </w:tc>
        <w:tc>
          <w:tcPr>
            <w:tcW w:w="5418" w:type="dxa"/>
            <w:noWrap w:val="0"/>
            <w:vAlign w:val="center"/>
          </w:tcPr>
          <w:p w14:paraId="058E14DB">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根据投标人是否有</w:t>
            </w:r>
            <w:r>
              <w:rPr>
                <w:rFonts w:hint="eastAsia" w:ascii="宋体" w:hAnsi="宋体" w:eastAsia="宋体" w:cs="宋体"/>
                <w:bCs/>
                <w:color w:val="auto"/>
                <w:sz w:val="21"/>
                <w:szCs w:val="21"/>
                <w:highlight w:val="none"/>
                <w:lang w:val="en-US" w:eastAsia="zh-CN"/>
              </w:rPr>
              <w:t>完备的</w:t>
            </w:r>
            <w:r>
              <w:rPr>
                <w:rFonts w:hint="eastAsia" w:ascii="宋体" w:hAnsi="宋体" w:eastAsia="宋体" w:cs="宋体"/>
                <w:bCs/>
                <w:color w:val="auto"/>
                <w:sz w:val="21"/>
                <w:szCs w:val="21"/>
                <w:highlight w:val="none"/>
                <w:lang w:eastAsia="zh-CN"/>
              </w:rPr>
              <w:t>保密措施，</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2024年路桥区海洋空间资源开发利用监测评估工作</w:t>
            </w:r>
            <w:r>
              <w:rPr>
                <w:rFonts w:hint="eastAsia" w:ascii="宋体" w:hAnsi="宋体" w:eastAsia="宋体" w:cs="宋体"/>
                <w:bCs/>
                <w:color w:val="auto"/>
                <w:sz w:val="21"/>
                <w:szCs w:val="21"/>
                <w:highlight w:val="none"/>
                <w:lang w:val="en-US" w:eastAsia="zh-CN"/>
              </w:rPr>
              <w:t>涉及的各类</w:t>
            </w:r>
            <w:r>
              <w:rPr>
                <w:rFonts w:hint="eastAsia" w:ascii="宋体" w:hAnsi="宋体" w:eastAsia="宋体" w:cs="宋体"/>
                <w:bCs/>
                <w:color w:val="auto"/>
                <w:sz w:val="21"/>
                <w:szCs w:val="21"/>
                <w:highlight w:val="none"/>
                <w:lang w:eastAsia="zh-CN"/>
              </w:rPr>
              <w:t>影像、资料以及档案不被泄露等情况进行打分。</w:t>
            </w:r>
          </w:p>
          <w:p w14:paraId="5EF151CC">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详细阐述具体的保密措施，措施全面可行，能够</w:t>
            </w:r>
            <w:r>
              <w:rPr>
                <w:rFonts w:hint="eastAsia" w:ascii="宋体" w:hAnsi="宋体" w:eastAsia="宋体" w:cs="宋体"/>
                <w:bCs/>
                <w:color w:val="auto"/>
                <w:sz w:val="21"/>
                <w:szCs w:val="21"/>
                <w:highlight w:val="none"/>
                <w:lang w:val="en-US" w:eastAsia="zh-CN"/>
              </w:rPr>
              <w:t>保障</w:t>
            </w:r>
            <w:r>
              <w:rPr>
                <w:rFonts w:hint="eastAsia" w:ascii="宋体" w:hAnsi="宋体" w:eastAsia="宋体" w:cs="宋体"/>
                <w:bCs/>
                <w:color w:val="auto"/>
                <w:sz w:val="21"/>
                <w:szCs w:val="21"/>
                <w:highlight w:val="none"/>
                <w:lang w:eastAsia="zh-CN"/>
              </w:rPr>
              <w:t>资料不被泄露的得3.0-5.0分；</w:t>
            </w:r>
          </w:p>
          <w:p w14:paraId="39F5249F">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保密措施简单，</w:t>
            </w:r>
            <w:r>
              <w:rPr>
                <w:rFonts w:hint="eastAsia" w:ascii="宋体" w:hAnsi="宋体" w:eastAsia="宋体" w:cs="宋体"/>
                <w:bCs/>
                <w:color w:val="auto"/>
                <w:sz w:val="21"/>
                <w:szCs w:val="21"/>
                <w:highlight w:val="none"/>
                <w:lang w:val="en-US" w:eastAsia="zh-CN"/>
              </w:rPr>
              <w:t>内容有提及但不完整</w:t>
            </w:r>
            <w:r>
              <w:rPr>
                <w:rFonts w:hint="eastAsia" w:ascii="宋体" w:hAnsi="宋体" w:eastAsia="宋体" w:cs="宋体"/>
                <w:bCs/>
                <w:color w:val="auto"/>
                <w:sz w:val="21"/>
                <w:szCs w:val="21"/>
                <w:highlight w:val="none"/>
                <w:lang w:eastAsia="zh-CN"/>
              </w:rPr>
              <w:t>，不能</w:t>
            </w:r>
            <w:r>
              <w:rPr>
                <w:rFonts w:hint="eastAsia" w:ascii="宋体" w:hAnsi="宋体" w:eastAsia="宋体" w:cs="宋体"/>
                <w:bCs/>
                <w:color w:val="auto"/>
                <w:sz w:val="21"/>
                <w:szCs w:val="21"/>
                <w:highlight w:val="none"/>
                <w:lang w:val="en-US" w:eastAsia="zh-CN"/>
              </w:rPr>
              <w:t>有效</w:t>
            </w:r>
            <w:r>
              <w:rPr>
                <w:rFonts w:hint="eastAsia" w:ascii="宋体" w:hAnsi="宋体" w:eastAsia="宋体" w:cs="宋体"/>
                <w:bCs/>
                <w:color w:val="auto"/>
                <w:sz w:val="21"/>
                <w:szCs w:val="21"/>
                <w:highlight w:val="none"/>
                <w:lang w:eastAsia="zh-CN"/>
              </w:rPr>
              <w:t>保障服务质量的得</w:t>
            </w:r>
            <w:r>
              <w:rPr>
                <w:rFonts w:hint="eastAsia" w:ascii="宋体" w:hAnsi="宋体" w:eastAsia="宋体" w:cs="宋体"/>
                <w:bCs/>
                <w:color w:val="auto"/>
                <w:sz w:val="21"/>
                <w:szCs w:val="21"/>
                <w:highlight w:val="none"/>
                <w:lang w:val="en-US" w:eastAsia="zh-CN"/>
              </w:rPr>
              <w:t>1.0-2.9分；</w:t>
            </w:r>
          </w:p>
          <w:p w14:paraId="2770271A">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方案阐述片面，内容不完整，缺乏可操作性的得0.1-0.9分；</w:t>
            </w:r>
          </w:p>
          <w:p w14:paraId="54A4EC42">
            <w:pPr>
              <w:keepNext w:val="0"/>
              <w:keepLines w:val="0"/>
              <w:pageBreakBefore w:val="0"/>
              <w:kinsoku/>
              <w:wordWrap/>
              <w:overflowPunct/>
              <w:topLinePunct w:val="0"/>
              <w:bidi w:val="0"/>
              <w:spacing w:line="24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未提及此项不得分。</w:t>
            </w:r>
          </w:p>
        </w:tc>
        <w:tc>
          <w:tcPr>
            <w:tcW w:w="721" w:type="dxa"/>
            <w:noWrap w:val="0"/>
            <w:vAlign w:val="center"/>
          </w:tcPr>
          <w:p w14:paraId="2152D1B4">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721" w:type="dxa"/>
            <w:noWrap w:val="0"/>
            <w:vAlign w:val="center"/>
          </w:tcPr>
          <w:p w14:paraId="6B424C5A">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721" w:type="dxa"/>
            <w:noWrap w:val="0"/>
            <w:vAlign w:val="center"/>
          </w:tcPr>
          <w:p w14:paraId="15FE8B6C">
            <w:pPr>
              <w:keepNext w:val="0"/>
              <w:keepLines w:val="0"/>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r>
      <w:tr w14:paraId="3EED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909" w:type="dxa"/>
            <w:vMerge w:val="continue"/>
            <w:noWrap w:val="0"/>
            <w:vAlign w:val="center"/>
          </w:tcPr>
          <w:p w14:paraId="2BE406DF">
            <w:pPr>
              <w:pStyle w:val="3"/>
              <w:keepNext w:val="0"/>
              <w:keepLines w:val="0"/>
              <w:pageBreakBefore w:val="0"/>
              <w:kinsoku/>
              <w:wordWrap/>
              <w:overflowPunct/>
              <w:topLinePunct w:val="0"/>
              <w:bidi w:val="0"/>
              <w:spacing w:after="0" w:line="240" w:lineRule="auto"/>
              <w:ind w:left="0" w:right="0" w:firstLine="0" w:firstLineChars="0"/>
              <w:jc w:val="center"/>
              <w:rPr>
                <w:rFonts w:hint="eastAsia" w:ascii="宋体" w:hAnsi="宋体" w:eastAsia="宋体" w:cs="宋体"/>
                <w:color w:val="auto"/>
                <w:sz w:val="21"/>
                <w:szCs w:val="21"/>
                <w:highlight w:val="none"/>
              </w:rPr>
            </w:pPr>
          </w:p>
        </w:tc>
        <w:tc>
          <w:tcPr>
            <w:tcW w:w="927" w:type="dxa"/>
            <w:noWrap w:val="0"/>
            <w:vAlign w:val="center"/>
          </w:tcPr>
          <w:p w14:paraId="72818919">
            <w:pPr>
              <w:keepNext w:val="0"/>
              <w:keepLines w:val="0"/>
              <w:pageBreakBefore w:val="0"/>
              <w:kinsoku/>
              <w:wordWrap/>
              <w:overflowPunct/>
              <w:topLinePunct w:val="0"/>
              <w:bidi w:val="0"/>
              <w:spacing w:beforeAutospacing="0" w:afterAutospacing="0" w:line="240" w:lineRule="auto"/>
              <w:ind w:left="0" w:leftChars="0" w:right="0" w:firstLine="0" w:firstLine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后续</w:t>
            </w:r>
            <w:r>
              <w:rPr>
                <w:rFonts w:hint="eastAsia" w:ascii="宋体" w:hAnsi="宋体" w:eastAsia="宋体" w:cs="宋体"/>
                <w:i w:val="0"/>
                <w:iCs w:val="0"/>
                <w:color w:val="auto"/>
                <w:kern w:val="0"/>
                <w:sz w:val="21"/>
                <w:szCs w:val="21"/>
                <w:highlight w:val="none"/>
              </w:rPr>
              <w:t>服务</w:t>
            </w:r>
            <w:r>
              <w:rPr>
                <w:rFonts w:hint="eastAsia" w:ascii="宋体" w:hAnsi="宋体" w:eastAsia="宋体" w:cs="宋体"/>
                <w:i w:val="0"/>
                <w:iCs w:val="0"/>
                <w:color w:val="auto"/>
                <w:kern w:val="0"/>
                <w:sz w:val="21"/>
                <w:szCs w:val="21"/>
                <w:highlight w:val="none"/>
                <w:lang w:val="en-US" w:eastAsia="zh-CN"/>
              </w:rPr>
              <w:t>方案</w:t>
            </w:r>
          </w:p>
        </w:tc>
        <w:tc>
          <w:tcPr>
            <w:tcW w:w="5418" w:type="dxa"/>
            <w:noWrap w:val="0"/>
            <w:vAlign w:val="center"/>
          </w:tcPr>
          <w:p w14:paraId="1A8A368A">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根据投标人承诺提供的后续服务方案（服务能力、服务措施、服务承诺等方面）情况，包括服务承诺的可行性、完整性以及后续的技术实施保障措施等进行打分。</w:t>
            </w:r>
          </w:p>
          <w:p w14:paraId="4583EFED">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服务方案全面、后续技术保障措施合理有效的得3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14:paraId="53299F89">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服务方案阐述较详尽，</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后续技术保障措施有欠缺的得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8A2614C">
            <w:pPr>
              <w:keepNext w:val="0"/>
              <w:keepLines w:val="0"/>
              <w:pageBreakBefore w:val="0"/>
              <w:widowControl/>
              <w:tabs>
                <w:tab w:val="right" w:pos="4937"/>
              </w:tabs>
              <w:kinsoku/>
              <w:wordWrap/>
              <w:overflowPunct/>
              <w:topLinePunct w:val="0"/>
              <w:bidi w:val="0"/>
              <w:spacing w:line="240" w:lineRule="auto"/>
              <w:ind w:left="0" w:right="0" w:firstLine="0" w:firstLine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服务方案简单片面，内容有提及但缺乏针对性、可行性的得0.1-0.9分</w:t>
            </w:r>
            <w:r>
              <w:rPr>
                <w:rFonts w:hint="eastAsia" w:ascii="宋体" w:hAnsi="宋体" w:eastAsia="宋体" w:cs="宋体"/>
                <w:color w:val="auto"/>
                <w:sz w:val="21"/>
                <w:szCs w:val="21"/>
                <w:highlight w:val="none"/>
              </w:rPr>
              <w:t>；</w:t>
            </w:r>
          </w:p>
          <w:p w14:paraId="49D3D675">
            <w:pPr>
              <w:keepNext w:val="0"/>
              <w:keepLines w:val="0"/>
              <w:pageBreakBefore w:val="0"/>
              <w:widowControl/>
              <w:tabs>
                <w:tab w:val="right" w:pos="4937"/>
              </w:tabs>
              <w:kinsoku/>
              <w:wordWrap/>
              <w:overflowPunct/>
              <w:topLinePunct w:val="0"/>
              <w:bidi w:val="0"/>
              <w:spacing w:line="240" w:lineRule="auto"/>
              <w:ind w:left="0" w:leftChars="0" w:right="0" w:rightChars="0"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未提及此项不得分。</w:t>
            </w:r>
          </w:p>
        </w:tc>
        <w:tc>
          <w:tcPr>
            <w:tcW w:w="721" w:type="dxa"/>
            <w:noWrap w:val="0"/>
            <w:vAlign w:val="center"/>
          </w:tcPr>
          <w:p w14:paraId="44EEBB2D">
            <w:pPr>
              <w:tabs>
                <w:tab w:val="left" w:pos="780"/>
              </w:tabs>
              <w:ind w:left="0" w:leftChars="0"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721" w:type="dxa"/>
            <w:noWrap w:val="0"/>
            <w:vAlign w:val="center"/>
          </w:tcPr>
          <w:p w14:paraId="47CCD682">
            <w:pPr>
              <w:tabs>
                <w:tab w:val="left" w:pos="780"/>
              </w:tabs>
              <w:ind w:left="0" w:leftChars="0" w:firstLine="0" w:firstLineChars="0"/>
              <w:jc w:val="center"/>
              <w:textAlignment w:val="baseline"/>
              <w:rPr>
                <w:rFonts w:hint="eastAsia" w:ascii="宋体" w:hAnsi="宋体" w:eastAsia="宋体" w:cs="宋体"/>
                <w:color w:val="auto"/>
                <w:sz w:val="21"/>
                <w:szCs w:val="21"/>
                <w:highlight w:val="none"/>
                <w:lang w:val="en-US" w:eastAsia="zh-CN"/>
              </w:rPr>
            </w:pPr>
          </w:p>
        </w:tc>
        <w:tc>
          <w:tcPr>
            <w:tcW w:w="721" w:type="dxa"/>
            <w:noWrap w:val="0"/>
            <w:vAlign w:val="center"/>
          </w:tcPr>
          <w:p w14:paraId="56CD354E">
            <w:pPr>
              <w:tabs>
                <w:tab w:val="left" w:pos="780"/>
              </w:tabs>
              <w:ind w:left="0" w:leftChars="0" w:firstLine="0" w:firstLineChars="0"/>
              <w:jc w:val="center"/>
              <w:textAlignment w:val="baseline"/>
              <w:rPr>
                <w:rFonts w:hint="eastAsia" w:ascii="宋体" w:hAnsi="宋体" w:eastAsia="宋体" w:cs="宋体"/>
                <w:color w:val="auto"/>
                <w:sz w:val="21"/>
                <w:szCs w:val="21"/>
                <w:highlight w:val="none"/>
                <w:lang w:val="en-US" w:eastAsia="zh-CN"/>
              </w:rPr>
            </w:pPr>
          </w:p>
        </w:tc>
      </w:tr>
    </w:tbl>
    <w:p w14:paraId="16F7714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ED1D4D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40457DF1">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DFE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07454BC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042700D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1D4C7B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521B22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D3D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017C05C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8E69E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7B0561C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44B80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F8E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949231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031A7C50">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1208626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155B816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6CE47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B57EA2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3DEC06D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0A7F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4346B4C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7A72944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7AEBE76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57E40AF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B69D1A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0C710D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7EFBD2F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64D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99177C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593835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E48887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7632814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415D8E2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032D666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4E59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6013784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2655B9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24FB877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510AC2A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358E044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77B2A27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75B8390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3BB0F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75610A5F">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0F39DF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53C606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8CFD89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00AE78C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59FBE7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542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055112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32DA709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48BD059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6BD5FAD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134DE0D3">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274FD00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D1FCCA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642B8A">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3EB7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3B840C6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221E361">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7265BC0D">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0BF6902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3489392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C2EC01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5B4AE9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E40112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4A57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1D527F6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893FE87">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46E51DF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1E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2E7BA1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D6091E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2E90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53090B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136A2D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3C98DF2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3E5BB256">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116419D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419805BC">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4B8CEA82">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E6EAB7D">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D33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1372A24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33E5E25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73377B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436844F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5A83674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52130E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741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8D0B22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507BD40C">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0C8E1B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750F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68DD225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4AF2E7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3DBFC5C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DAC227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74EC25E5">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8A7D618">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B19DA3B">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8C2223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7D2A262C">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24A8AA7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5E9D0C">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46E28AF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863D049">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1971E7">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0D672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63D003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52F1B6EF">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09E60E12">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D5688E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A8358D1">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CB03BF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7B353CBD">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5AAF6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7E7035F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5CD0201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4487061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F840350">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4229E485">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2DE9672">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0CAE189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6D64A82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5120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FAC09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F36EFB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91EE59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3BCB643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4DC0E4B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6D8FE6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B34310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EF066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C969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CDD41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66077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60ADE9E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2620F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110F9F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5569D3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26F44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72572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9A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618B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15C7A3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9D8C9F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2FE83133">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FED2B15">
            <w:pPr>
              <w:pStyle w:val="11"/>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84D7C8A">
            <w:pPr>
              <w:pStyle w:val="11"/>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1F134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6A0E27C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10C1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121CD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6490E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716842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2E56F7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7B0D75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29693F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58A83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1AA3D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E35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61EBCB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F045AA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5EDAF3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565BB8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7CC916D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674BD6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418606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5F1D9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93EC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1A77E5D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4099D5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511F1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476EC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450284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C283EA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146E84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49C2B5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DCAE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0E01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52AB5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E6522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EA9BA3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48D75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62DC88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0CB13F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AC6086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0133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2801E6D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AC89B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4621F0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2E36446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45D483F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2529E52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63B67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D6EA5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0A77A66C">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774A1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229639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1D11259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06F14F2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125A152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61EFB3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038ED8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7A1F77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89447D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282A4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25E3CEB2">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74B17CF">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7AC3B26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5A7732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2AD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08F457E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C2FF77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45CEC30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5134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0690C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1533233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2E5BAAB">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3A09A6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6782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0B6E7E1">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5864FEEB">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19EB1A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68D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59D7F2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63F276F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313089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91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A6BB10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464E0DD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7A2185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2EB4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6A2BFC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084CFC4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5B45A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3CA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588E3F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7A23864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0E9C1B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F9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2DCBAD5">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01EB840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77FE3E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11F4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69069B70">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08B2E36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21F0E7E7">
      <w:pPr>
        <w:spacing w:line="360" w:lineRule="auto"/>
        <w:ind w:left="420"/>
        <w:rPr>
          <w:rFonts w:hint="eastAsia" w:ascii="宋体" w:hAnsi="宋体" w:eastAsia="宋体" w:cs="宋体"/>
          <w:color w:val="auto"/>
          <w:sz w:val="21"/>
          <w:szCs w:val="21"/>
          <w:highlight w:val="none"/>
        </w:rPr>
      </w:pPr>
    </w:p>
    <w:p w14:paraId="7AB9722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08686B4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1E0268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13E56D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1B9844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24663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D491F1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32DA8310">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13C475B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7E8A159D">
      <w:pPr>
        <w:pStyle w:val="10"/>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3E86E030">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B03E91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892A3B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785D09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615BD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FBE976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2786851A">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099877D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09CBE4">
            <w:pPr>
              <w:keepNext w:val="0"/>
              <w:keepLines w:val="0"/>
              <w:pageBreakBefore w:val="0"/>
              <w:kinsoku/>
              <w:overflowPunct/>
              <w:topLinePunct w:val="0"/>
              <w:bidi w:val="0"/>
              <w:jc w:val="center"/>
              <w:outlineLvl w:val="9"/>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FF0C87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0648EA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C6116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FF81F8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B2A6CA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80B53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D7FABB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C3D684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401B06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D673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19342C9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634E7C">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2A54A7A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A666F89">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F9828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1309B59">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2FB9ED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4CF987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9C533D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BAC5EE">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77B0E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96881F9">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8C6A2E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8FFC40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703A0E7">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477E74B">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ED1E26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22F2A1A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2BBD990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207F22">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A640FD6">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C7D484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850190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6CF04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6FD167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0A8792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8FD0D5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603542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3B81F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A5194F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FB174B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7D04F3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06A137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DBCA6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EB2B811">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C33178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A7144C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411063">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2DC208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D33544A">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B4F952D">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C870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3530C2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24D628">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F67A27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A745F94">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8C08A7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21270A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20CA7C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8608B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57DCCBC">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820A550">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54CE3CF">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B991AD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982838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899E4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499E625">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9F96E7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014982">
            <w:pPr>
              <w:pStyle w:val="10"/>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0AA7E3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2BC4EDC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3D4D0DF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3DC926A9">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FE6715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EF94081">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6B508D8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F62521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188F30AB">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829962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029B4C6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9C5983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5919C44">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7BC6C8F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04D0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0B35FFBD">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2C97978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3413D5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46F8ABF2">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650C2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0E4CF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895E85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614725E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0A064BD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039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A4773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D23B13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1962BD1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34E238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AD65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71C4C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F991D4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1CB10F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F4269A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1C22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AFFD40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0921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074E23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81478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7C7D3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C93A1F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A0F12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3D10C4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60FF1B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A0F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7C01FE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7FDFE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4902CC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70D94B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CF081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BD10F2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6747863E">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004314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5AD13D5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2336AB8B">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30B2DD64">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0EDFF802">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082CB333">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8DC15E5">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71AC9F4A">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918C52C">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27E3ACA2">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D16173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211E56A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7E05DC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5699E3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0C9763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6BF63D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6D931554">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3490BA2">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DB6616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E72BC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8EBC8B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7FEFB65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455691E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6FF2E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5607B41D">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C275E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8D6567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52861F0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A0040C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436F05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7FAC72EC">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4647B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1AE60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86BDF2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5BF8D2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063D22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F8CF0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1D524C1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5F037D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38A9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AEB18F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DDA8D9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0A3B0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FAA9F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A4E161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02C0CA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A9C022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299D1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4D3EFB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AFBA1C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95CF2F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A57A43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44ECFC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58DB6B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6FA315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B386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065371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52988A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B3F89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E61A96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C4409D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99A3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CF41D6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EB52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950E7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64FAC8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1FC811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D8860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3F12B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177B2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77D0EF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31C4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715B87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2A836BB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AFFD89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FE7EEA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66AD0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16E7F7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58DBC4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960E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B98ED7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43CF3B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B76063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6689B0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0F16FF">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AB462E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7A73F2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30EFF6B">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39F5475">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5C45729A">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74E239B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2990F63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7F9969E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030159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56E545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A55B44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80048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4E180F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6E0702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29327FF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241C83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12AB6F1E">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30033F7F">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B92D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15C33F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0EE81152">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4CE799D2">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4BB8CB6B">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8CC2D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68FA8750">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935C5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39D63E4A">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3D52972">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E76E4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41E44895">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64229E17">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3E87D91F">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2B894A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DBB700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44B4DCB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21EBA1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69318D3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1AF418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3ECDEB8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26833DF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1A42393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11AF36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9B71172">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3AD123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B8A2C3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7339B6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0C90BE2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507A7B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6F313F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0FBE6FE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B64B58B">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F7DC36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A4CE01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5437B99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DA6AAC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52DA9A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230CE8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14E14BD">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702AA2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94630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7FC5FF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3404B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5116476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4865E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837F15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33AE8D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FE877C9">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1D9BA1E6">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F8A94D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6483E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E02446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2A9A4CB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030CF2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6C5B739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3C608FB">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1ECC08C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33E0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68DB4B6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7485413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21B3083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2DAE571">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04987892">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D63B70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2F497464">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D2830EA">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126105D7">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21C4CA6A">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6A9CEB3D">
      <w:pPr>
        <w:pStyle w:val="10"/>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CABADA7">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E38227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1C787D1C">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4325F3D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1D16925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6AEE9F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3C49B57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2E14447">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02FCDD4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4E9566C5">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198B5BD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419A6255">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r>
        <w:rPr>
          <w:rFonts w:hint="eastAsia" w:ascii="宋体" w:hAnsi="宋体" w:eastAsia="宋体" w:cs="宋体"/>
          <w:color w:val="auto"/>
          <w:kern w:val="0"/>
          <w:sz w:val="21"/>
          <w:szCs w:val="21"/>
          <w:highlight w:val="none"/>
        </w:rPr>
        <w:t>。</w:t>
      </w:r>
    </w:p>
    <w:p w14:paraId="01FC780D">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27A816A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49DFE05">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10DC1F80">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p>
    <w:p w14:paraId="63FFD1F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52AF211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E40AA6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E64B59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0C0BD1F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15E38435">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642CC8B">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3C9FA0F">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47BD52B">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AACCBC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BD44FD5">
      <w:pPr>
        <w:pStyle w:val="3"/>
        <w:ind w:left="0" w:leftChars="0" w:firstLine="0" w:firstLineChars="0"/>
        <w:rPr>
          <w:rFonts w:hint="eastAsia" w:ascii="宋体" w:hAnsi="宋体" w:eastAsia="宋体" w:cs="宋体"/>
          <w:color w:val="auto"/>
          <w:highlight w:val="none"/>
        </w:rPr>
      </w:pPr>
    </w:p>
    <w:bookmarkEnd w:id="2"/>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02E3">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6F9E7E">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D6F9E7E">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B2D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4CB5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F4CB5F">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83C6">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B89E">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DA44">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2024年路桥区海洋空间资源开发利用监测评估项目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60C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4BFD">
    <w:pPr>
      <w:pStyle w:val="1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724B">
    <w:pPr>
      <w:pStyle w:val="1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C5338"/>
    <w:multiLevelType w:val="singleLevel"/>
    <w:tmpl w:val="956C5338"/>
    <w:lvl w:ilvl="0" w:tentative="0">
      <w:start w:val="1"/>
      <w:numFmt w:val="decimal"/>
      <w:lvlText w:val="(%1)"/>
      <w:lvlJc w:val="left"/>
      <w:pPr>
        <w:ind w:left="425" w:hanging="425"/>
      </w:pPr>
      <w:rPr>
        <w:rFonts w:hint="default"/>
      </w:rPr>
    </w:lvl>
  </w:abstractNum>
  <w:abstractNum w:abstractNumId="1">
    <w:nsid w:val="A0339037"/>
    <w:multiLevelType w:val="singleLevel"/>
    <w:tmpl w:val="A0339037"/>
    <w:lvl w:ilvl="0" w:tentative="0">
      <w:start w:val="6"/>
      <w:numFmt w:val="chineseCounting"/>
      <w:suff w:val="nothing"/>
      <w:lvlText w:val="%1、"/>
      <w:lvlJc w:val="left"/>
      <w:rPr>
        <w:rFonts w:hint="eastAsia"/>
      </w:rPr>
    </w:lvl>
  </w:abstractNum>
  <w:abstractNum w:abstractNumId="2">
    <w:nsid w:val="F51DA534"/>
    <w:multiLevelType w:val="singleLevel"/>
    <w:tmpl w:val="F51DA534"/>
    <w:lvl w:ilvl="0" w:tentative="0">
      <w:start w:val="1"/>
      <w:numFmt w:val="chineseCounting"/>
      <w:suff w:val="nothing"/>
      <w:lvlText w:val="%1、"/>
      <w:lvlJc w:val="left"/>
      <w:rPr>
        <w:rFonts w:hint="eastAsia"/>
      </w:rPr>
    </w:lvl>
  </w:abstractNum>
  <w:abstractNum w:abstractNumId="3">
    <w:nsid w:val="1DA49A41"/>
    <w:multiLevelType w:val="singleLevel"/>
    <w:tmpl w:val="1DA49A41"/>
    <w:lvl w:ilvl="0" w:tentative="0">
      <w:start w:val="2"/>
      <w:numFmt w:val="decimal"/>
      <w:suff w:val="nothing"/>
      <w:lvlText w:val="%1）"/>
      <w:lvlJc w:val="left"/>
    </w:lvl>
  </w:abstractNum>
  <w:abstractNum w:abstractNumId="4">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5">
    <w:nsid w:val="770A450F"/>
    <w:multiLevelType w:val="singleLevel"/>
    <w:tmpl w:val="770A450F"/>
    <w:lvl w:ilvl="0" w:tentative="0">
      <w:start w:val="2"/>
      <w:numFmt w:val="chineseCounting"/>
      <w:suff w:val="space"/>
      <w:lvlText w:val="（%1）"/>
      <w:lvlJc w:val="left"/>
      <w:rPr>
        <w:rFonts w:hint="eastAsia"/>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4A7E08"/>
    <w:rsid w:val="00532108"/>
    <w:rsid w:val="006C42F4"/>
    <w:rsid w:val="007252A3"/>
    <w:rsid w:val="009B7365"/>
    <w:rsid w:val="009C6908"/>
    <w:rsid w:val="009E7B9B"/>
    <w:rsid w:val="00B95117"/>
    <w:rsid w:val="00BE3149"/>
    <w:rsid w:val="00D27694"/>
    <w:rsid w:val="00E04ED8"/>
    <w:rsid w:val="00FF74E6"/>
    <w:rsid w:val="017A6A7C"/>
    <w:rsid w:val="018C5B82"/>
    <w:rsid w:val="01D70B06"/>
    <w:rsid w:val="02380D19"/>
    <w:rsid w:val="024017F0"/>
    <w:rsid w:val="02F97313"/>
    <w:rsid w:val="03237D85"/>
    <w:rsid w:val="03320476"/>
    <w:rsid w:val="036C1E9F"/>
    <w:rsid w:val="041861BA"/>
    <w:rsid w:val="043F7FC4"/>
    <w:rsid w:val="04466BB8"/>
    <w:rsid w:val="04E65DCF"/>
    <w:rsid w:val="04E90F89"/>
    <w:rsid w:val="052341BD"/>
    <w:rsid w:val="05506BB2"/>
    <w:rsid w:val="0601391E"/>
    <w:rsid w:val="067363FE"/>
    <w:rsid w:val="067535EE"/>
    <w:rsid w:val="07230354"/>
    <w:rsid w:val="073967B1"/>
    <w:rsid w:val="07685A63"/>
    <w:rsid w:val="076A5AA3"/>
    <w:rsid w:val="07D22E0A"/>
    <w:rsid w:val="07EB0E6D"/>
    <w:rsid w:val="0836339B"/>
    <w:rsid w:val="08390248"/>
    <w:rsid w:val="08AC4158"/>
    <w:rsid w:val="08BA0061"/>
    <w:rsid w:val="09001A02"/>
    <w:rsid w:val="09492528"/>
    <w:rsid w:val="09846D45"/>
    <w:rsid w:val="099F2E34"/>
    <w:rsid w:val="09E03F7D"/>
    <w:rsid w:val="09F33DD0"/>
    <w:rsid w:val="0A071FFD"/>
    <w:rsid w:val="0A2C1FBC"/>
    <w:rsid w:val="0AF64F0D"/>
    <w:rsid w:val="0B4B60CB"/>
    <w:rsid w:val="0B8001A4"/>
    <w:rsid w:val="0C181AC6"/>
    <w:rsid w:val="0CD8063C"/>
    <w:rsid w:val="0CFA4EFD"/>
    <w:rsid w:val="0D1F4CD0"/>
    <w:rsid w:val="0D4E087D"/>
    <w:rsid w:val="0D88328D"/>
    <w:rsid w:val="0DD91C25"/>
    <w:rsid w:val="0E0F138C"/>
    <w:rsid w:val="0E497FFD"/>
    <w:rsid w:val="0E6E4AAD"/>
    <w:rsid w:val="0EC6046D"/>
    <w:rsid w:val="0ED2632B"/>
    <w:rsid w:val="0ED41851"/>
    <w:rsid w:val="0F122F26"/>
    <w:rsid w:val="0F7E6199"/>
    <w:rsid w:val="0FE74D1C"/>
    <w:rsid w:val="0FF94B3D"/>
    <w:rsid w:val="10355E7D"/>
    <w:rsid w:val="10452B67"/>
    <w:rsid w:val="10795489"/>
    <w:rsid w:val="109F080C"/>
    <w:rsid w:val="11E77423"/>
    <w:rsid w:val="121665CB"/>
    <w:rsid w:val="121F1572"/>
    <w:rsid w:val="12704EB7"/>
    <w:rsid w:val="12EC03CE"/>
    <w:rsid w:val="12FA02EB"/>
    <w:rsid w:val="13BF45A5"/>
    <w:rsid w:val="149451F4"/>
    <w:rsid w:val="14F50E56"/>
    <w:rsid w:val="15115B44"/>
    <w:rsid w:val="153703F4"/>
    <w:rsid w:val="159E68EB"/>
    <w:rsid w:val="15A62B6B"/>
    <w:rsid w:val="165C24F7"/>
    <w:rsid w:val="168339D9"/>
    <w:rsid w:val="16CC3CB9"/>
    <w:rsid w:val="16D70F66"/>
    <w:rsid w:val="17047DD8"/>
    <w:rsid w:val="171D6CDD"/>
    <w:rsid w:val="172F68A1"/>
    <w:rsid w:val="17461D47"/>
    <w:rsid w:val="17B10D95"/>
    <w:rsid w:val="17B23AF1"/>
    <w:rsid w:val="17D14D06"/>
    <w:rsid w:val="17D2330C"/>
    <w:rsid w:val="191533D1"/>
    <w:rsid w:val="192A2781"/>
    <w:rsid w:val="19474367"/>
    <w:rsid w:val="19F91C20"/>
    <w:rsid w:val="1AA22976"/>
    <w:rsid w:val="1ADA1B6B"/>
    <w:rsid w:val="1BC0155F"/>
    <w:rsid w:val="1C2954F1"/>
    <w:rsid w:val="1CBD494F"/>
    <w:rsid w:val="1CBF0303"/>
    <w:rsid w:val="1CC61F19"/>
    <w:rsid w:val="1D3741C9"/>
    <w:rsid w:val="1D465475"/>
    <w:rsid w:val="1D70175E"/>
    <w:rsid w:val="1E1F7201"/>
    <w:rsid w:val="1EF1268E"/>
    <w:rsid w:val="1F162724"/>
    <w:rsid w:val="1F4F69F4"/>
    <w:rsid w:val="2012057A"/>
    <w:rsid w:val="201C7B31"/>
    <w:rsid w:val="202D1DEC"/>
    <w:rsid w:val="203F2146"/>
    <w:rsid w:val="20AA0083"/>
    <w:rsid w:val="20ED3C16"/>
    <w:rsid w:val="21492AD8"/>
    <w:rsid w:val="217E3C1D"/>
    <w:rsid w:val="223A2AB8"/>
    <w:rsid w:val="224700DF"/>
    <w:rsid w:val="234C750E"/>
    <w:rsid w:val="23FA061B"/>
    <w:rsid w:val="23FA686C"/>
    <w:rsid w:val="242162E3"/>
    <w:rsid w:val="24AA5BCC"/>
    <w:rsid w:val="24B1643E"/>
    <w:rsid w:val="24C001EA"/>
    <w:rsid w:val="24D75903"/>
    <w:rsid w:val="25311A36"/>
    <w:rsid w:val="255B67E8"/>
    <w:rsid w:val="25D20519"/>
    <w:rsid w:val="261D1FBA"/>
    <w:rsid w:val="26B8513F"/>
    <w:rsid w:val="27271343"/>
    <w:rsid w:val="277E06D7"/>
    <w:rsid w:val="27AC425F"/>
    <w:rsid w:val="28032FE3"/>
    <w:rsid w:val="285D5E3E"/>
    <w:rsid w:val="28AF41A0"/>
    <w:rsid w:val="28D80E9E"/>
    <w:rsid w:val="29320DF3"/>
    <w:rsid w:val="298E0281"/>
    <w:rsid w:val="29E20D6F"/>
    <w:rsid w:val="29E63530"/>
    <w:rsid w:val="2A8138F9"/>
    <w:rsid w:val="2A905451"/>
    <w:rsid w:val="2ACF7D27"/>
    <w:rsid w:val="2AFA5254"/>
    <w:rsid w:val="2B2C7B14"/>
    <w:rsid w:val="2C6B1CD2"/>
    <w:rsid w:val="2E1E3349"/>
    <w:rsid w:val="2E2A34C6"/>
    <w:rsid w:val="2E400F3C"/>
    <w:rsid w:val="2EB30204"/>
    <w:rsid w:val="2EBE2906"/>
    <w:rsid w:val="2EEF2FD0"/>
    <w:rsid w:val="2F607C49"/>
    <w:rsid w:val="2F7B1BB4"/>
    <w:rsid w:val="2FAF0F3B"/>
    <w:rsid w:val="2FB4573E"/>
    <w:rsid w:val="2FCC2EC1"/>
    <w:rsid w:val="2FD75A57"/>
    <w:rsid w:val="30150257"/>
    <w:rsid w:val="305A68F0"/>
    <w:rsid w:val="309703E8"/>
    <w:rsid w:val="30CF5D28"/>
    <w:rsid w:val="30F24A05"/>
    <w:rsid w:val="31233BA5"/>
    <w:rsid w:val="31480833"/>
    <w:rsid w:val="31813005"/>
    <w:rsid w:val="318C7438"/>
    <w:rsid w:val="31B43A06"/>
    <w:rsid w:val="323740AF"/>
    <w:rsid w:val="328B6879"/>
    <w:rsid w:val="33135ADD"/>
    <w:rsid w:val="333330BE"/>
    <w:rsid w:val="33C00B55"/>
    <w:rsid w:val="34772ADD"/>
    <w:rsid w:val="351836BE"/>
    <w:rsid w:val="352167CF"/>
    <w:rsid w:val="35590177"/>
    <w:rsid w:val="358F4C83"/>
    <w:rsid w:val="35B65126"/>
    <w:rsid w:val="362A1767"/>
    <w:rsid w:val="363A4058"/>
    <w:rsid w:val="36D706BD"/>
    <w:rsid w:val="36DB71B3"/>
    <w:rsid w:val="36DF4838"/>
    <w:rsid w:val="375203F5"/>
    <w:rsid w:val="38156F95"/>
    <w:rsid w:val="38357FC3"/>
    <w:rsid w:val="397114CB"/>
    <w:rsid w:val="39AF650A"/>
    <w:rsid w:val="39B822CE"/>
    <w:rsid w:val="39E353D5"/>
    <w:rsid w:val="39F054BC"/>
    <w:rsid w:val="3A286983"/>
    <w:rsid w:val="3A316D41"/>
    <w:rsid w:val="3A791AB3"/>
    <w:rsid w:val="3A7A6F1E"/>
    <w:rsid w:val="3AAF722D"/>
    <w:rsid w:val="3AE12ADB"/>
    <w:rsid w:val="3B11613A"/>
    <w:rsid w:val="3B7E607B"/>
    <w:rsid w:val="3B7F30A4"/>
    <w:rsid w:val="3BD804EA"/>
    <w:rsid w:val="3BEE0229"/>
    <w:rsid w:val="3C016C71"/>
    <w:rsid w:val="3C1B181E"/>
    <w:rsid w:val="3C203FE1"/>
    <w:rsid w:val="3D326006"/>
    <w:rsid w:val="3D843DB4"/>
    <w:rsid w:val="3D895499"/>
    <w:rsid w:val="3DB3569D"/>
    <w:rsid w:val="3DBA03C3"/>
    <w:rsid w:val="3E246184"/>
    <w:rsid w:val="3E2B5399"/>
    <w:rsid w:val="3E4E6F02"/>
    <w:rsid w:val="3E5D59EE"/>
    <w:rsid w:val="3EA305F2"/>
    <w:rsid w:val="3F0B192B"/>
    <w:rsid w:val="3F3349E1"/>
    <w:rsid w:val="3F95513E"/>
    <w:rsid w:val="3F966B9F"/>
    <w:rsid w:val="40D55514"/>
    <w:rsid w:val="416F0E3A"/>
    <w:rsid w:val="41B04BB9"/>
    <w:rsid w:val="42394175"/>
    <w:rsid w:val="423E1A86"/>
    <w:rsid w:val="4412111F"/>
    <w:rsid w:val="44BD3D13"/>
    <w:rsid w:val="45185FC7"/>
    <w:rsid w:val="45CA5863"/>
    <w:rsid w:val="45F65871"/>
    <w:rsid w:val="469043B7"/>
    <w:rsid w:val="470216C0"/>
    <w:rsid w:val="474D22A8"/>
    <w:rsid w:val="47C11F07"/>
    <w:rsid w:val="47E83667"/>
    <w:rsid w:val="483A26D1"/>
    <w:rsid w:val="49A8026C"/>
    <w:rsid w:val="4A007A95"/>
    <w:rsid w:val="4A56355D"/>
    <w:rsid w:val="4A6A77A1"/>
    <w:rsid w:val="4A802F02"/>
    <w:rsid w:val="4AD73FE7"/>
    <w:rsid w:val="4B137686"/>
    <w:rsid w:val="4C1248AE"/>
    <w:rsid w:val="4C392F39"/>
    <w:rsid w:val="4C991AEB"/>
    <w:rsid w:val="4CF72E0A"/>
    <w:rsid w:val="4CFC26F0"/>
    <w:rsid w:val="4D190A3D"/>
    <w:rsid w:val="4D9B5E2B"/>
    <w:rsid w:val="4DA62A71"/>
    <w:rsid w:val="4E2813A3"/>
    <w:rsid w:val="4E3623E0"/>
    <w:rsid w:val="4E590CD0"/>
    <w:rsid w:val="4E656129"/>
    <w:rsid w:val="4E874BF9"/>
    <w:rsid w:val="4F4966DE"/>
    <w:rsid w:val="5069089B"/>
    <w:rsid w:val="50972888"/>
    <w:rsid w:val="509B4084"/>
    <w:rsid w:val="513371C0"/>
    <w:rsid w:val="518E7928"/>
    <w:rsid w:val="523F4EE3"/>
    <w:rsid w:val="524B29D2"/>
    <w:rsid w:val="526F6164"/>
    <w:rsid w:val="527354B0"/>
    <w:rsid w:val="52831274"/>
    <w:rsid w:val="53240DE2"/>
    <w:rsid w:val="536B714E"/>
    <w:rsid w:val="53D03E65"/>
    <w:rsid w:val="53D43282"/>
    <w:rsid w:val="54857525"/>
    <w:rsid w:val="54CF56D2"/>
    <w:rsid w:val="551410ED"/>
    <w:rsid w:val="554479B3"/>
    <w:rsid w:val="557309A7"/>
    <w:rsid w:val="558F6253"/>
    <w:rsid w:val="55B12017"/>
    <w:rsid w:val="55FC25AC"/>
    <w:rsid w:val="5622038C"/>
    <w:rsid w:val="56544694"/>
    <w:rsid w:val="568D0913"/>
    <w:rsid w:val="569A3030"/>
    <w:rsid w:val="578F4550"/>
    <w:rsid w:val="57977A16"/>
    <w:rsid w:val="58032CCB"/>
    <w:rsid w:val="580F411A"/>
    <w:rsid w:val="58A27480"/>
    <w:rsid w:val="58F00CE5"/>
    <w:rsid w:val="5A5A375F"/>
    <w:rsid w:val="5A8457CD"/>
    <w:rsid w:val="5ACE03B2"/>
    <w:rsid w:val="5AFA0CD5"/>
    <w:rsid w:val="5B595267"/>
    <w:rsid w:val="5B667984"/>
    <w:rsid w:val="5BBC3082"/>
    <w:rsid w:val="5BF04E33"/>
    <w:rsid w:val="5C1B076F"/>
    <w:rsid w:val="5C8A42C3"/>
    <w:rsid w:val="5E2C75D3"/>
    <w:rsid w:val="5E5C1146"/>
    <w:rsid w:val="5E9C5841"/>
    <w:rsid w:val="5EB61861"/>
    <w:rsid w:val="5ECC6D02"/>
    <w:rsid w:val="5F0D2C6F"/>
    <w:rsid w:val="607D6651"/>
    <w:rsid w:val="60BD1FFE"/>
    <w:rsid w:val="60D13AF2"/>
    <w:rsid w:val="61170B58"/>
    <w:rsid w:val="611A0EA3"/>
    <w:rsid w:val="61E70C8F"/>
    <w:rsid w:val="623460E6"/>
    <w:rsid w:val="627C6782"/>
    <w:rsid w:val="62EA0127"/>
    <w:rsid w:val="63012C54"/>
    <w:rsid w:val="63AC45A0"/>
    <w:rsid w:val="63DE27AE"/>
    <w:rsid w:val="63E112D8"/>
    <w:rsid w:val="63E46486"/>
    <w:rsid w:val="64CE04F6"/>
    <w:rsid w:val="66950943"/>
    <w:rsid w:val="66FC41BD"/>
    <w:rsid w:val="672E1E7F"/>
    <w:rsid w:val="67401C19"/>
    <w:rsid w:val="68330BEE"/>
    <w:rsid w:val="687F5BE1"/>
    <w:rsid w:val="68877B1A"/>
    <w:rsid w:val="6A035AFF"/>
    <w:rsid w:val="6A914A15"/>
    <w:rsid w:val="6AAB5773"/>
    <w:rsid w:val="6AD81AFC"/>
    <w:rsid w:val="6AE914E1"/>
    <w:rsid w:val="6B007E4F"/>
    <w:rsid w:val="6B0242A5"/>
    <w:rsid w:val="6C360A8B"/>
    <w:rsid w:val="6C830331"/>
    <w:rsid w:val="6CB57DDF"/>
    <w:rsid w:val="6D946B00"/>
    <w:rsid w:val="6DA018A4"/>
    <w:rsid w:val="6DBF1822"/>
    <w:rsid w:val="6E7E7739"/>
    <w:rsid w:val="6F156B47"/>
    <w:rsid w:val="6F4126A8"/>
    <w:rsid w:val="6F52577A"/>
    <w:rsid w:val="6F5C678A"/>
    <w:rsid w:val="6F833530"/>
    <w:rsid w:val="6F8E2B60"/>
    <w:rsid w:val="6F95389D"/>
    <w:rsid w:val="70167FBF"/>
    <w:rsid w:val="701C6432"/>
    <w:rsid w:val="70457711"/>
    <w:rsid w:val="70EE7DA8"/>
    <w:rsid w:val="7195640E"/>
    <w:rsid w:val="71BB1561"/>
    <w:rsid w:val="7253624D"/>
    <w:rsid w:val="72C548FE"/>
    <w:rsid w:val="72C94904"/>
    <w:rsid w:val="72CE7DF1"/>
    <w:rsid w:val="72E97C2E"/>
    <w:rsid w:val="738C49D4"/>
    <w:rsid w:val="744E387C"/>
    <w:rsid w:val="7469576C"/>
    <w:rsid w:val="748266FC"/>
    <w:rsid w:val="74B23165"/>
    <w:rsid w:val="75BB0C3B"/>
    <w:rsid w:val="76067EED"/>
    <w:rsid w:val="7608190C"/>
    <w:rsid w:val="767D593D"/>
    <w:rsid w:val="76A136BE"/>
    <w:rsid w:val="76D04887"/>
    <w:rsid w:val="76D43F8B"/>
    <w:rsid w:val="770A7D21"/>
    <w:rsid w:val="772265F9"/>
    <w:rsid w:val="777803CC"/>
    <w:rsid w:val="77B0242F"/>
    <w:rsid w:val="781A71E7"/>
    <w:rsid w:val="78653E28"/>
    <w:rsid w:val="78BC2207"/>
    <w:rsid w:val="78C31106"/>
    <w:rsid w:val="78E41C51"/>
    <w:rsid w:val="78FA1692"/>
    <w:rsid w:val="792D6B6B"/>
    <w:rsid w:val="79737C17"/>
    <w:rsid w:val="7A0B68C7"/>
    <w:rsid w:val="7A2E539A"/>
    <w:rsid w:val="7A392143"/>
    <w:rsid w:val="7A447B8D"/>
    <w:rsid w:val="7A940E65"/>
    <w:rsid w:val="7AE07CFD"/>
    <w:rsid w:val="7B0E0BB9"/>
    <w:rsid w:val="7B376CA9"/>
    <w:rsid w:val="7B6715B3"/>
    <w:rsid w:val="7B7503BA"/>
    <w:rsid w:val="7C3E24DF"/>
    <w:rsid w:val="7C7D1BE7"/>
    <w:rsid w:val="7D8F6DE4"/>
    <w:rsid w:val="7DAA5FB8"/>
    <w:rsid w:val="7DB27F09"/>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6"/>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5"/>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6">
    <w:name w:val="Normal Indent"/>
    <w:basedOn w:val="1"/>
    <w:next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next w:val="1"/>
    <w:link w:val="36"/>
    <w:autoRedefine/>
    <w:qFormat/>
    <w:uiPriority w:val="99"/>
    <w:pPr>
      <w:spacing w:after="120"/>
      <w:ind w:left="420" w:leftChars="200"/>
    </w:pPr>
  </w:style>
  <w:style w:type="paragraph" w:styleId="10">
    <w:name w:val="Plain Text"/>
    <w:basedOn w:val="1"/>
    <w:next w:val="11"/>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7"/>
    <w:autoRedefine/>
    <w:semiHidden/>
    <w:unhideWhenUsed/>
    <w:qFormat/>
    <w:uiPriority w:val="99"/>
    <w:rPr>
      <w:sz w:val="18"/>
      <w:szCs w:val="18"/>
    </w:rPr>
  </w:style>
  <w:style w:type="paragraph" w:styleId="13">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footnote text"/>
    <w:basedOn w:val="1"/>
    <w:autoRedefine/>
    <w:qFormat/>
    <w:uiPriority w:val="0"/>
    <w:pPr>
      <w:snapToGrid w:val="0"/>
      <w:jc w:val="left"/>
    </w:pPr>
    <w:rPr>
      <w:rFonts w:eastAsia="仿宋_GB2312"/>
      <w:sz w:val="18"/>
      <w:szCs w:val="20"/>
    </w:rPr>
  </w:style>
  <w:style w:type="paragraph" w:styleId="17">
    <w:name w:val="toc 6"/>
    <w:basedOn w:val="1"/>
    <w:next w:val="1"/>
    <w:unhideWhenUsed/>
    <w:qFormat/>
    <w:uiPriority w:val="39"/>
    <w:pPr>
      <w:ind w:left="2100" w:leftChars="1000"/>
    </w:pPr>
    <w:rPr>
      <w:rFonts w:ascii="Calibri" w:hAnsi="Calibri"/>
      <w:szCs w:val="22"/>
    </w:rPr>
  </w:style>
  <w:style w:type="paragraph" w:styleId="18">
    <w:name w:val="toc 2"/>
    <w:basedOn w:val="1"/>
    <w:next w:val="1"/>
    <w:autoRedefine/>
    <w:qFormat/>
    <w:uiPriority w:val="0"/>
    <w:pPr>
      <w:tabs>
        <w:tab w:val="right" w:leader="dot" w:pos="10070"/>
      </w:tabs>
      <w:spacing w:line="480" w:lineRule="auto"/>
      <w:ind w:leftChars="200"/>
    </w:p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9"/>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2"/>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5"/>
    <w:link w:val="14"/>
    <w:autoRedefine/>
    <w:semiHidden/>
    <w:qFormat/>
    <w:uiPriority w:val="99"/>
    <w:rPr>
      <w:sz w:val="18"/>
      <w:szCs w:val="18"/>
    </w:rPr>
  </w:style>
  <w:style w:type="character" w:customStyle="1" w:styleId="34">
    <w:name w:val="页脚 Char"/>
    <w:basedOn w:val="25"/>
    <w:link w:val="13"/>
    <w:autoRedefine/>
    <w:semiHidden/>
    <w:qFormat/>
    <w:uiPriority w:val="99"/>
    <w:rPr>
      <w:sz w:val="18"/>
      <w:szCs w:val="18"/>
    </w:rPr>
  </w:style>
  <w:style w:type="character" w:customStyle="1" w:styleId="35">
    <w:name w:val="正文文本 Char"/>
    <w:basedOn w:val="25"/>
    <w:link w:val="2"/>
    <w:autoRedefine/>
    <w:semiHidden/>
    <w:qFormat/>
    <w:uiPriority w:val="99"/>
    <w:rPr>
      <w:rFonts w:ascii="Times New Roman" w:hAnsi="Times New Roman" w:eastAsia="宋体" w:cs="Times New Roman"/>
      <w:szCs w:val="24"/>
    </w:rPr>
  </w:style>
  <w:style w:type="character" w:customStyle="1" w:styleId="36">
    <w:name w:val="正文文本缩进 Char"/>
    <w:basedOn w:val="25"/>
    <w:link w:val="9"/>
    <w:autoRedefine/>
    <w:qFormat/>
    <w:uiPriority w:val="99"/>
    <w:rPr>
      <w:rFonts w:ascii="Times New Roman" w:hAnsi="Times New Roman" w:eastAsia="宋体" w:cs="Times New Roman"/>
      <w:szCs w:val="24"/>
    </w:rPr>
  </w:style>
  <w:style w:type="character" w:customStyle="1" w:styleId="37">
    <w:name w:val="批注框文本 Char"/>
    <w:basedOn w:val="25"/>
    <w:link w:val="12"/>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2"/>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37435</Words>
  <Characters>39952</Characters>
  <Lines>1</Lines>
  <Paragraphs>1</Paragraphs>
  <TotalTime>0</TotalTime>
  <ScaleCrop>false</ScaleCrop>
  <LinksUpToDate>false</LinksUpToDate>
  <CharactersWithSpaces>42049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2024-07-18T01:42:56Z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069ADB012A7C4CD1BE24E74E2707F6A9_13</vt:lpwstr>
  </property>
  <property fmtid="{D5CDD505-2E9C-101B-9397-08002B2CF9AE}" pid="4" name="commondata">
    <vt:lpwstr>eyJoZGlkIjoiNmNiNWQzMTIyZDkyNWQ5MzYxMmQ5MTE1ZmU3YjE0M2QifQ==</vt:lpwstr>
  </property>
</Properties>
</file>