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FB76923">
      <w:pPr>
        <w:rPr>
          <w:rFonts w:hint="eastAsia" w:ascii="宋体" w:hAnsi="宋体" w:eastAsia="宋体" w:cs="宋体"/>
          <w:color w:val="auto"/>
          <w:highlight w:val="none"/>
        </w:rPr>
      </w:pPr>
    </w:p>
    <w:p w14:paraId="0BD01DE6">
      <w:pPr>
        <w:pStyle w:val="8"/>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61312"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2" cstate="print"/>
                    <a:stretch>
                      <a:fillRect/>
                    </a:stretch>
                  </pic:blipFill>
                  <pic:spPr>
                    <a:xfrm>
                      <a:off x="0" y="0"/>
                      <a:ext cx="5488940" cy="2279015"/>
                    </a:xfrm>
                    <a:prstGeom prst="rect">
                      <a:avLst/>
                    </a:prstGeom>
                  </pic:spPr>
                </pic:pic>
              </a:graphicData>
            </a:graphic>
          </wp:anchor>
        </w:drawing>
      </w:r>
    </w:p>
    <w:p w14:paraId="26DE4549">
      <w:pPr>
        <w:pStyle w:val="8"/>
        <w:jc w:val="center"/>
        <w:rPr>
          <w:rFonts w:hint="eastAsia" w:ascii="宋体" w:hAnsi="宋体" w:eastAsia="宋体" w:cs="宋体"/>
          <w:color w:val="auto"/>
          <w:highlight w:val="none"/>
        </w:rPr>
      </w:pPr>
    </w:p>
    <w:p w14:paraId="3C691C32">
      <w:pPr>
        <w:pStyle w:val="8"/>
        <w:jc w:val="center"/>
        <w:rPr>
          <w:rFonts w:hint="eastAsia" w:ascii="宋体" w:hAnsi="宋体" w:eastAsia="宋体" w:cs="宋体"/>
          <w:color w:val="auto"/>
          <w:highlight w:val="none"/>
        </w:rPr>
      </w:pPr>
    </w:p>
    <w:p w14:paraId="528E683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 xml:space="preserve"> </w:t>
      </w:r>
    </w:p>
    <w:p w14:paraId="3972E3B6">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auto"/>
          <w:kern w:val="0"/>
          <w:sz w:val="72"/>
          <w:szCs w:val="72"/>
          <w:highlight w:val="none"/>
        </w:rPr>
      </w:pPr>
    </w:p>
    <w:p w14:paraId="6AC58ADA">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rPr>
        <w:t xml:space="preserve">   政府采购</w:t>
      </w:r>
    </w:p>
    <w:p w14:paraId="68C3589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rPr>
        <w:t xml:space="preserve">   竞争性磋商文件</w:t>
      </w:r>
    </w:p>
    <w:p w14:paraId="7210DA7D">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（电子招投标方式）</w:t>
      </w:r>
    </w:p>
    <w:p w14:paraId="2F596C32">
      <w:pPr>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tzya2024-hy28</w:t>
      </w:r>
      <w:r>
        <w:rPr>
          <w:rFonts w:hint="eastAsia" w:ascii="宋体" w:hAnsi="宋体" w:eastAsia="宋体" w:cs="宋体"/>
          <w:color w:val="auto"/>
          <w:kern w:val="0"/>
          <w:sz w:val="28"/>
          <w:szCs w:val="28"/>
          <w:highlight w:val="none"/>
          <w:u w:val="single"/>
        </w:rPr>
        <w:t xml:space="preserve"> </w:t>
      </w:r>
    </w:p>
    <w:p w14:paraId="5EA4CC2C">
      <w:pPr>
        <w:pStyle w:val="8"/>
        <w:jc w:val="center"/>
        <w:rPr>
          <w:rFonts w:hint="eastAsia" w:ascii="宋体" w:hAnsi="宋体" w:eastAsia="宋体" w:cs="宋体"/>
          <w:color w:val="auto"/>
          <w:highlight w:val="none"/>
        </w:rPr>
      </w:pPr>
    </w:p>
    <w:p w14:paraId="277EEED6">
      <w:pPr>
        <w:pStyle w:val="8"/>
        <w:rPr>
          <w:rFonts w:hint="eastAsia" w:ascii="宋体" w:hAnsi="宋体" w:eastAsia="宋体" w:cs="宋体"/>
          <w:color w:val="auto"/>
          <w:highlight w:val="none"/>
        </w:rPr>
      </w:pPr>
    </w:p>
    <w:p w14:paraId="1D481705">
      <w:pPr>
        <w:pStyle w:val="8"/>
        <w:jc w:val="center"/>
        <w:rPr>
          <w:rFonts w:hint="eastAsia" w:ascii="宋体" w:hAnsi="宋体" w:eastAsia="宋体" w:cs="宋体"/>
          <w:color w:val="auto"/>
          <w:highlight w:val="none"/>
        </w:rPr>
      </w:pPr>
    </w:p>
    <w:p w14:paraId="032F38B0">
      <w:pPr>
        <w:spacing w:line="360" w:lineRule="auto"/>
        <w:ind w:left="1405" w:hanging="1405" w:hangingChars="500"/>
        <w:jc w:val="center"/>
        <w:rPr>
          <w:rFonts w:hint="eastAsia" w:ascii="宋体" w:hAnsi="宋体" w:eastAsia="宋体" w:cs="宋体"/>
          <w:color w:val="auto"/>
          <w:highlight w:val="none"/>
          <w:lang w:eastAsia="zh-CN"/>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黄岩区G104模塑产业走廊规划项目</w:t>
      </w:r>
    </w:p>
    <w:p w14:paraId="4AFDFDE5">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台州市黄岩区发展和改革局</w:t>
      </w:r>
    </w:p>
    <w:p w14:paraId="5AA8B566">
      <w:pPr>
        <w:pStyle w:val="8"/>
        <w:rPr>
          <w:rFonts w:hint="eastAsia" w:ascii="宋体" w:hAnsi="宋体" w:eastAsia="宋体" w:cs="宋体"/>
          <w:color w:val="auto"/>
          <w:highlight w:val="none"/>
        </w:rPr>
      </w:pPr>
    </w:p>
    <w:p w14:paraId="3A2B46C4">
      <w:pPr>
        <w:pStyle w:val="8"/>
        <w:rPr>
          <w:rFonts w:hint="eastAsia" w:ascii="宋体" w:hAnsi="宋体" w:eastAsia="宋体" w:cs="宋体"/>
          <w:color w:val="auto"/>
          <w:highlight w:val="none"/>
        </w:rPr>
      </w:pPr>
    </w:p>
    <w:p w14:paraId="684DB76C">
      <w:pPr>
        <w:spacing w:line="360" w:lineRule="auto"/>
        <w:ind w:firstLine="1405" w:firstLineChars="500"/>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0839E8F1">
      <w:pPr>
        <w:pStyle w:val="8"/>
        <w:rPr>
          <w:rFonts w:hint="eastAsia" w:ascii="宋体" w:hAnsi="宋体" w:eastAsia="宋体" w:cs="宋体"/>
          <w:color w:val="auto"/>
          <w:highlight w:val="none"/>
        </w:rPr>
      </w:pPr>
    </w:p>
    <w:p w14:paraId="06AB1743">
      <w:pPr>
        <w:pStyle w:val="8"/>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 w:val="28"/>
          <w:szCs w:val="28"/>
          <w:highlight w:val="none"/>
          <w:lang w:eastAsia="zh-CN"/>
        </w:rPr>
        <w:t>二○</w:t>
      </w:r>
      <w:r>
        <w:rPr>
          <w:rFonts w:hint="eastAsia" w:ascii="宋体" w:hAnsi="宋体" w:cs="宋体"/>
          <w:color w:val="auto"/>
          <w:kern w:val="0"/>
          <w:sz w:val="28"/>
          <w:szCs w:val="28"/>
          <w:highlight w:val="none"/>
          <w:lang w:eastAsia="zh-CN"/>
        </w:rPr>
        <w:t>二四年十二月</w:t>
      </w:r>
    </w:p>
    <w:p w14:paraId="0A7EC15A">
      <w:pPr>
        <w:pStyle w:val="8"/>
        <w:jc w:val="center"/>
        <w:rPr>
          <w:rFonts w:hint="eastAsia" w:ascii="宋体" w:hAnsi="宋体" w:eastAsia="宋体" w:cs="宋体"/>
          <w:color w:val="auto"/>
          <w:kern w:val="0"/>
          <w:szCs w:val="21"/>
          <w:highlight w:val="none"/>
        </w:rPr>
      </w:pPr>
    </w:p>
    <w:p w14:paraId="393E4C1D">
      <w:pPr>
        <w:pStyle w:val="8"/>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highlight w:val="none"/>
        </w:rPr>
      </w:pPr>
    </w:p>
    <w:p w14:paraId="1185490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48AF00E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rPr>
      </w:pPr>
    </w:p>
    <w:p w14:paraId="64CE414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竞争性磋商公告</w:t>
      </w:r>
    </w:p>
    <w:p w14:paraId="38CE00C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供应商须知</w:t>
      </w:r>
    </w:p>
    <w:p w14:paraId="727A846B">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评审办法及评审标准</w:t>
      </w:r>
    </w:p>
    <w:p w14:paraId="4F545591">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项目需求</w:t>
      </w:r>
    </w:p>
    <w:p w14:paraId="58036D0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1C37B3D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响应文件格式附件</w:t>
      </w:r>
    </w:p>
    <w:p w14:paraId="739713EC">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39323A8A">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3F3693B7">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0CB8DC36">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1A7B630F">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5B6CC0F3">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39FAE225">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5223E671">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6F867DBF">
      <w:pPr>
        <w:pStyle w:val="8"/>
        <w:jc w:val="center"/>
        <w:rPr>
          <w:rFonts w:hint="eastAsia" w:ascii="宋体" w:hAnsi="宋体" w:eastAsia="宋体" w:cs="宋体"/>
          <w:color w:val="auto"/>
          <w:highlight w:val="none"/>
        </w:rPr>
      </w:pPr>
    </w:p>
    <w:p w14:paraId="070F4804">
      <w:pPr>
        <w:pStyle w:val="8"/>
        <w:jc w:val="center"/>
        <w:rPr>
          <w:rFonts w:hint="eastAsia" w:ascii="宋体" w:hAnsi="宋体" w:eastAsia="宋体" w:cs="宋体"/>
          <w:color w:val="auto"/>
          <w:highlight w:val="none"/>
        </w:rPr>
      </w:pPr>
    </w:p>
    <w:p w14:paraId="570AD268">
      <w:pPr>
        <w:pStyle w:val="8"/>
        <w:jc w:val="center"/>
        <w:rPr>
          <w:rFonts w:hint="eastAsia" w:ascii="宋体" w:hAnsi="宋体" w:eastAsia="宋体" w:cs="宋体"/>
          <w:color w:val="auto"/>
          <w:highlight w:val="none"/>
        </w:rPr>
      </w:pPr>
    </w:p>
    <w:p w14:paraId="4429D708">
      <w:pPr>
        <w:pStyle w:val="8"/>
        <w:jc w:val="center"/>
        <w:rPr>
          <w:rFonts w:hint="eastAsia" w:ascii="宋体" w:hAnsi="宋体" w:eastAsia="宋体" w:cs="宋体"/>
          <w:color w:val="auto"/>
          <w:highlight w:val="none"/>
        </w:rPr>
      </w:pPr>
    </w:p>
    <w:p w14:paraId="3A2DD787">
      <w:pPr>
        <w:pStyle w:val="8"/>
        <w:jc w:val="center"/>
        <w:rPr>
          <w:rFonts w:hint="eastAsia" w:ascii="宋体" w:hAnsi="宋体" w:eastAsia="宋体" w:cs="宋体"/>
          <w:color w:val="auto"/>
          <w:highlight w:val="none"/>
        </w:rPr>
      </w:pPr>
    </w:p>
    <w:p w14:paraId="0F06425E">
      <w:pPr>
        <w:pStyle w:val="9"/>
        <w:ind w:firstLine="210"/>
        <w:rPr>
          <w:rFonts w:hint="eastAsia" w:ascii="宋体" w:hAnsi="宋体" w:eastAsia="宋体" w:cs="宋体"/>
          <w:color w:val="auto"/>
          <w:highlight w:val="none"/>
        </w:rPr>
      </w:pPr>
    </w:p>
    <w:p w14:paraId="1AF14C70">
      <w:pPr>
        <w:pStyle w:val="9"/>
        <w:ind w:firstLine="210"/>
        <w:rPr>
          <w:rFonts w:hint="eastAsia" w:ascii="宋体" w:hAnsi="宋体" w:eastAsia="宋体" w:cs="宋体"/>
          <w:color w:val="auto"/>
          <w:highlight w:val="none"/>
        </w:rPr>
      </w:pPr>
    </w:p>
    <w:p w14:paraId="74228098">
      <w:pPr>
        <w:pStyle w:val="8"/>
        <w:jc w:val="center"/>
        <w:rPr>
          <w:rFonts w:hint="eastAsia" w:ascii="宋体" w:hAnsi="宋体" w:eastAsia="宋体" w:cs="宋体"/>
          <w:color w:val="auto"/>
          <w:highlight w:val="none"/>
        </w:rPr>
      </w:pPr>
    </w:p>
    <w:p w14:paraId="720327D3">
      <w:pPr>
        <w:pStyle w:val="9"/>
        <w:ind w:firstLine="210"/>
        <w:rPr>
          <w:rFonts w:hint="eastAsia" w:ascii="宋体" w:hAnsi="宋体" w:eastAsia="宋体" w:cs="宋体"/>
          <w:color w:val="auto"/>
          <w:highlight w:val="none"/>
        </w:rPr>
      </w:pPr>
    </w:p>
    <w:p w14:paraId="6B09AC77">
      <w:pPr>
        <w:pStyle w:val="8"/>
        <w:jc w:val="center"/>
        <w:rPr>
          <w:rFonts w:hint="eastAsia" w:ascii="宋体" w:hAnsi="宋体" w:eastAsia="宋体" w:cs="宋体"/>
          <w:color w:val="auto"/>
          <w:highlight w:val="none"/>
        </w:rPr>
      </w:pPr>
    </w:p>
    <w:p w14:paraId="404A42C4">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竞争性磋商公告</w:t>
      </w:r>
    </w:p>
    <w:p w14:paraId="18E8AC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根据《中华人民共和国政府采购法》、《中华人民共和国政府采购法实施条例》和</w:t>
      </w:r>
      <w:r>
        <w:rPr>
          <w:rFonts w:hint="eastAsia" w:ascii="宋体" w:hAnsi="宋体" w:eastAsia="宋体" w:cs="宋体"/>
          <w:color w:val="auto"/>
          <w:szCs w:val="21"/>
          <w:highlight w:val="none"/>
          <w:lang w:eastAsia="zh-CN"/>
        </w:rPr>
        <w:t>《政府采购竞争性磋商采购方式管理暂行办法》</w:t>
      </w:r>
      <w:r>
        <w:rPr>
          <w:rFonts w:hint="eastAsia" w:ascii="宋体" w:hAnsi="宋体" w:eastAsia="宋体" w:cs="宋体"/>
          <w:color w:val="auto"/>
          <w:szCs w:val="21"/>
          <w:highlight w:val="none"/>
        </w:rPr>
        <w:t>等有关规定, 受</w:t>
      </w:r>
      <w:r>
        <w:rPr>
          <w:rFonts w:hint="eastAsia" w:ascii="宋体" w:hAnsi="宋体" w:cs="宋体"/>
          <w:b/>
          <w:bCs/>
          <w:color w:val="auto"/>
          <w:szCs w:val="21"/>
          <w:highlight w:val="none"/>
          <w:lang w:eastAsia="zh-CN"/>
        </w:rPr>
        <w:t>台州市黄岩区发展和改革局</w:t>
      </w:r>
      <w:r>
        <w:rPr>
          <w:rFonts w:hint="eastAsia" w:ascii="宋体" w:hAnsi="宋体" w:eastAsia="宋体" w:cs="宋体"/>
          <w:color w:val="auto"/>
          <w:szCs w:val="21"/>
          <w:highlight w:val="none"/>
        </w:rPr>
        <w:t>委托，现就其</w:t>
      </w:r>
      <w:r>
        <w:rPr>
          <w:rFonts w:hint="eastAsia" w:ascii="宋体" w:hAnsi="宋体" w:cs="宋体"/>
          <w:b/>
          <w:bCs/>
          <w:color w:val="auto"/>
          <w:szCs w:val="21"/>
          <w:highlight w:val="none"/>
          <w:lang w:eastAsia="zh-CN"/>
        </w:rPr>
        <w:t>黄岩区G104模塑产业走廊规划项目</w:t>
      </w:r>
      <w:r>
        <w:rPr>
          <w:rFonts w:hint="eastAsia" w:ascii="宋体" w:hAnsi="宋体" w:eastAsia="宋体" w:cs="宋体"/>
          <w:color w:val="auto"/>
          <w:szCs w:val="21"/>
          <w:highlight w:val="none"/>
        </w:rPr>
        <w:t>进行竞争性磋商采购，欢迎合格供应商前来磋商。</w:t>
      </w:r>
    </w:p>
    <w:p w14:paraId="2EFC776F">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一、项目编号：</w:t>
      </w:r>
      <w:r>
        <w:rPr>
          <w:rFonts w:hint="eastAsia" w:ascii="宋体" w:hAnsi="宋体" w:cs="宋体"/>
          <w:b/>
          <w:bCs/>
          <w:color w:val="auto"/>
          <w:szCs w:val="21"/>
          <w:highlight w:val="none"/>
          <w:lang w:eastAsia="zh-CN"/>
        </w:rPr>
        <w:t>tzya2024-hy28</w:t>
      </w:r>
    </w:p>
    <w:p w14:paraId="2825FD54">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二、磋商内容：</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676"/>
        <w:gridCol w:w="817"/>
        <w:gridCol w:w="800"/>
        <w:gridCol w:w="1033"/>
        <w:gridCol w:w="1305"/>
      </w:tblGrid>
      <w:tr w14:paraId="6DAA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vAlign w:val="center"/>
          </w:tcPr>
          <w:p w14:paraId="32CFD67F">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bookmarkStart w:id="0" w:name="EBc3c9f0bc06b6413d849824fe98ba274c"/>
            <w:r>
              <w:rPr>
                <w:rFonts w:hint="eastAsia" w:ascii="宋体" w:hAnsi="宋体" w:eastAsia="宋体" w:cs="宋体"/>
                <w:b/>
                <w:color w:val="auto"/>
                <w:szCs w:val="21"/>
                <w:highlight w:val="none"/>
              </w:rPr>
              <w:t>序号</w:t>
            </w:r>
          </w:p>
        </w:tc>
        <w:tc>
          <w:tcPr>
            <w:tcW w:w="2141" w:type="dxa"/>
            <w:vAlign w:val="center"/>
          </w:tcPr>
          <w:p w14:paraId="11FC868A">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1676" w:type="dxa"/>
            <w:vAlign w:val="center"/>
          </w:tcPr>
          <w:p w14:paraId="1C33DCD1">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简要技术要求</w:t>
            </w:r>
          </w:p>
        </w:tc>
        <w:tc>
          <w:tcPr>
            <w:tcW w:w="817" w:type="dxa"/>
            <w:vAlign w:val="center"/>
          </w:tcPr>
          <w:p w14:paraId="37998929">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800" w:type="dxa"/>
            <w:vAlign w:val="center"/>
          </w:tcPr>
          <w:p w14:paraId="122FD4FA">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033" w:type="dxa"/>
            <w:vAlign w:val="center"/>
          </w:tcPr>
          <w:p w14:paraId="689652F4">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预算</w:t>
            </w:r>
          </w:p>
          <w:p w14:paraId="0C55D671">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1305" w:type="dxa"/>
            <w:vAlign w:val="center"/>
          </w:tcPr>
          <w:p w14:paraId="18E353B7">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3694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65" w:type="dxa"/>
            <w:vAlign w:val="center"/>
          </w:tcPr>
          <w:p w14:paraId="0FFBFEA4">
            <w:pPr>
              <w:tabs>
                <w:tab w:val="left" w:pos="8280"/>
              </w:tabs>
              <w:autoSpaceDE w:val="0"/>
              <w:autoSpaceDN w:val="0"/>
              <w:adjustRightInd w:val="0"/>
              <w:spacing w:line="240" w:lineRule="auto"/>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41" w:type="dxa"/>
            <w:vAlign w:val="center"/>
          </w:tcPr>
          <w:p w14:paraId="53B643CE">
            <w:pPr>
              <w:tabs>
                <w:tab w:val="left" w:pos="8280"/>
              </w:tabs>
              <w:autoSpaceDE w:val="0"/>
              <w:autoSpaceDN w:val="0"/>
              <w:adjustRightInd w:val="0"/>
              <w:spacing w:line="240" w:lineRule="auto"/>
              <w:ind w:right="25"/>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黄岩区G104模塑产业走廊规划项目</w:t>
            </w:r>
          </w:p>
        </w:tc>
        <w:tc>
          <w:tcPr>
            <w:tcW w:w="1676" w:type="dxa"/>
            <w:vAlign w:val="center"/>
          </w:tcPr>
          <w:p w14:paraId="7C0B079E">
            <w:pPr>
              <w:tabs>
                <w:tab w:val="left" w:pos="8280"/>
              </w:tabs>
              <w:autoSpaceDE w:val="0"/>
              <w:autoSpaceDN w:val="0"/>
              <w:adjustRightInd w:val="0"/>
              <w:spacing w:line="240" w:lineRule="auto"/>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详见项目需求</w:t>
            </w:r>
          </w:p>
        </w:tc>
        <w:tc>
          <w:tcPr>
            <w:tcW w:w="817" w:type="dxa"/>
            <w:vAlign w:val="center"/>
          </w:tcPr>
          <w:p w14:paraId="63ABA212">
            <w:pPr>
              <w:tabs>
                <w:tab w:val="left" w:pos="8280"/>
              </w:tabs>
              <w:autoSpaceDE w:val="0"/>
              <w:autoSpaceDN w:val="0"/>
              <w:adjustRightInd w:val="0"/>
              <w:spacing w:line="240" w:lineRule="auto"/>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00" w:type="dxa"/>
            <w:vAlign w:val="center"/>
          </w:tcPr>
          <w:p w14:paraId="03F7335E">
            <w:pPr>
              <w:widowControl/>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1033" w:type="dxa"/>
            <w:vAlign w:val="center"/>
          </w:tcPr>
          <w:p w14:paraId="17A59844">
            <w:pPr>
              <w:tabs>
                <w:tab w:val="left" w:pos="8280"/>
              </w:tabs>
              <w:autoSpaceDE w:val="0"/>
              <w:autoSpaceDN w:val="0"/>
              <w:adjustRightInd w:val="0"/>
              <w:spacing w:line="240" w:lineRule="auto"/>
              <w:ind w:right="2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68</w:t>
            </w:r>
          </w:p>
        </w:tc>
        <w:tc>
          <w:tcPr>
            <w:tcW w:w="1305" w:type="dxa"/>
            <w:vAlign w:val="center"/>
          </w:tcPr>
          <w:p w14:paraId="1A7FA23F">
            <w:pPr>
              <w:tabs>
                <w:tab w:val="left" w:pos="8280"/>
              </w:tabs>
              <w:autoSpaceDE w:val="0"/>
              <w:autoSpaceDN w:val="0"/>
              <w:adjustRightInd w:val="0"/>
              <w:spacing w:line="240" w:lineRule="auto"/>
              <w:ind w:right="25"/>
              <w:jc w:val="center"/>
              <w:rPr>
                <w:rFonts w:hint="eastAsia" w:ascii="宋体" w:hAnsi="宋体" w:eastAsia="宋体" w:cs="宋体"/>
                <w:color w:val="auto"/>
                <w:szCs w:val="21"/>
                <w:highlight w:val="none"/>
              </w:rPr>
            </w:pPr>
          </w:p>
        </w:tc>
      </w:tr>
      <w:bookmarkEnd w:id="0"/>
    </w:tbl>
    <w:p w14:paraId="1B7D8A27">
      <w:pPr>
        <w:widowControl/>
        <w:tabs>
          <w:tab w:val="left" w:pos="0"/>
        </w:tabs>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w:t>
      </w:r>
      <w:r>
        <w:rPr>
          <w:rFonts w:hint="eastAsia" w:ascii="宋体" w:hAnsi="宋体" w:eastAsia="宋体" w:cs="宋体"/>
          <w:b/>
          <w:color w:val="auto"/>
          <w:szCs w:val="21"/>
          <w:highlight w:val="none"/>
          <w:u w:val="single"/>
        </w:rPr>
        <w:t>），请各供应商按照要求进行。</w:t>
      </w:r>
    </w:p>
    <w:p w14:paraId="62298DFA">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三、合格磋商供应商的资格条件：</w:t>
      </w:r>
    </w:p>
    <w:p w14:paraId="0168F80C">
      <w:pPr>
        <w:pStyle w:val="63"/>
        <w:adjustRightInd w:val="0"/>
        <w:snapToGrid w:val="0"/>
        <w:spacing w:line="360" w:lineRule="auto"/>
        <w:ind w:left="102" w:right="102" w:firstLine="48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（一）符合《中华人民共和国政府采购法》第二十二条及其他法律、行政法规规定的对投标主体的要求；</w:t>
      </w:r>
      <w:r>
        <w:rPr>
          <w:rFonts w:hint="eastAsia" w:ascii="宋体" w:hAnsi="宋体" w:eastAsia="宋体" w:cs="宋体"/>
          <w:b/>
          <w:color w:val="auto"/>
          <w:highlight w:val="none"/>
        </w:rPr>
        <w:t>未被“信用中国”（www.creditchina.gov.cn）、中国政府采购网（www.ccgp.gov.cn）列入失信被执行人、</w:t>
      </w:r>
      <w:r>
        <w:rPr>
          <w:rFonts w:hint="eastAsia" w:ascii="宋体" w:hAnsi="宋体" w:eastAsia="宋体" w:cs="宋体"/>
          <w:b/>
          <w:color w:val="auto"/>
          <w:highlight w:val="none"/>
          <w:lang w:eastAsia="zh-CN"/>
        </w:rPr>
        <w:t>重大税收违法失信主体</w:t>
      </w:r>
      <w:r>
        <w:rPr>
          <w:rFonts w:hint="eastAsia" w:ascii="宋体" w:hAnsi="宋体" w:eastAsia="宋体" w:cs="宋体"/>
          <w:b/>
          <w:color w:val="auto"/>
          <w:highlight w:val="none"/>
        </w:rPr>
        <w:t>、政府采购严重违法失信行为记录名单。</w:t>
      </w:r>
    </w:p>
    <w:p w14:paraId="1D9DD893">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059C8060">
      <w:pPr>
        <w:spacing w:line="360" w:lineRule="auto"/>
        <w:ind w:firstLine="632" w:firstLineChars="3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20E98A6B">
      <w:pPr>
        <w:spacing w:line="360" w:lineRule="auto"/>
        <w:ind w:firstLine="422" w:firstLineChars="200"/>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2AB79F26">
      <w:pPr>
        <w:snapToGrid w:val="0"/>
        <w:spacing w:line="360" w:lineRule="auto"/>
        <w:ind w:firstLine="498" w:firstLineChars="23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r>
        <w:rPr>
          <w:rFonts w:hint="eastAsia" w:ascii="宋体" w:hAnsi="宋体" w:cs="宋体"/>
          <w:b/>
          <w:bCs/>
          <w:color w:val="auto"/>
          <w:szCs w:val="21"/>
          <w:highlight w:val="none"/>
          <w:lang w:eastAsia="zh-CN"/>
        </w:rPr>
        <w:t>采购文件</w:t>
      </w:r>
      <w:r>
        <w:rPr>
          <w:rFonts w:hint="eastAsia" w:ascii="宋体" w:hAnsi="宋体" w:eastAsia="宋体" w:cs="宋体"/>
          <w:b/>
          <w:bCs/>
          <w:color w:val="auto"/>
          <w:szCs w:val="21"/>
          <w:highlight w:val="none"/>
        </w:rPr>
        <w:t>获取的方式、时间:</w:t>
      </w:r>
    </w:p>
    <w:p w14:paraId="41BAC858">
      <w:pPr>
        <w:snapToGrid w:val="0"/>
        <w:spacing w:line="360" w:lineRule="auto"/>
        <w:ind w:firstLine="498" w:firstLineChars="236"/>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w:t>
      </w:r>
      <w:r>
        <w:rPr>
          <w:rFonts w:hint="eastAsia" w:ascii="宋体" w:hAnsi="宋体" w:eastAsia="宋体" w:cs="宋体"/>
          <w:b/>
          <w:color w:val="auto"/>
          <w:szCs w:val="21"/>
          <w:highlight w:val="none"/>
        </w:rPr>
        <w:t>本项目</w:t>
      </w:r>
      <w:r>
        <w:rPr>
          <w:rFonts w:hint="eastAsia" w:ascii="宋体" w:hAnsi="宋体" w:cs="宋体"/>
          <w:b/>
          <w:color w:val="auto"/>
          <w:szCs w:val="21"/>
          <w:highlight w:val="none"/>
          <w:lang w:eastAsia="zh-CN"/>
        </w:rPr>
        <w:t>采购文件</w:t>
      </w:r>
      <w:r>
        <w:rPr>
          <w:rFonts w:hint="eastAsia" w:ascii="宋体" w:hAnsi="宋体" w:eastAsia="宋体" w:cs="宋体"/>
          <w:b/>
          <w:color w:val="auto"/>
          <w:szCs w:val="21"/>
          <w:highlight w:val="none"/>
        </w:rPr>
        <w:t>实行“浙江政府采购网”</w:t>
      </w:r>
      <w:r>
        <w:rPr>
          <w:rStyle w:val="25"/>
          <w:rFonts w:hint="eastAsia" w:ascii="宋体" w:hAnsi="宋体" w:eastAsia="宋体" w:cs="宋体"/>
          <w:color w:val="auto"/>
          <w:sz w:val="21"/>
          <w:szCs w:val="21"/>
          <w:highlight w:val="none"/>
        </w:rPr>
        <w:t>（http://zfcg.czt.zj.gov.cn）</w:t>
      </w:r>
      <w:r>
        <w:rPr>
          <w:rFonts w:hint="eastAsia" w:ascii="宋体" w:hAnsi="宋体" w:eastAsia="宋体" w:cs="宋体"/>
          <w:b/>
          <w:color w:val="auto"/>
          <w:szCs w:val="21"/>
          <w:highlight w:val="none"/>
        </w:rPr>
        <w:t>在线获取，不提供</w:t>
      </w:r>
      <w:r>
        <w:rPr>
          <w:rFonts w:hint="eastAsia" w:ascii="宋体" w:hAnsi="宋体" w:cs="宋体"/>
          <w:b/>
          <w:color w:val="auto"/>
          <w:szCs w:val="21"/>
          <w:highlight w:val="none"/>
          <w:lang w:eastAsia="zh-CN"/>
        </w:rPr>
        <w:t>采购文件</w:t>
      </w:r>
      <w:r>
        <w:rPr>
          <w:rFonts w:hint="eastAsia" w:ascii="宋体" w:hAnsi="宋体" w:eastAsia="宋体" w:cs="宋体"/>
          <w:b/>
          <w:color w:val="auto"/>
          <w:szCs w:val="21"/>
          <w:highlight w:val="none"/>
        </w:rPr>
        <w:t>纸质版。供应商获取</w:t>
      </w:r>
      <w:r>
        <w:rPr>
          <w:rFonts w:hint="eastAsia" w:ascii="宋体" w:hAnsi="宋体" w:cs="宋体"/>
          <w:b/>
          <w:color w:val="auto"/>
          <w:szCs w:val="21"/>
          <w:highlight w:val="none"/>
          <w:lang w:eastAsia="zh-CN"/>
        </w:rPr>
        <w:t>采购文件</w:t>
      </w:r>
      <w:r>
        <w:rPr>
          <w:rFonts w:hint="eastAsia" w:ascii="宋体" w:hAnsi="宋体" w:eastAsia="宋体" w:cs="宋体"/>
          <w:b/>
          <w:color w:val="auto"/>
          <w:szCs w:val="21"/>
          <w:highlight w:val="none"/>
        </w:rPr>
        <w:t>前应先完成“浙江政府采购网”的账号注册。</w:t>
      </w:r>
    </w:p>
    <w:p w14:paraId="535072E4">
      <w:pPr>
        <w:spacing w:line="360" w:lineRule="auto"/>
        <w:ind w:firstLine="498" w:firstLineChars="236"/>
        <w:rPr>
          <w:rStyle w:val="25"/>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2、获取</w:t>
      </w:r>
      <w:r>
        <w:rPr>
          <w:rStyle w:val="25"/>
          <w:rFonts w:hint="eastAsia" w:ascii="宋体" w:hAnsi="宋体" w:eastAsia="宋体" w:cs="宋体"/>
          <w:color w:val="auto"/>
          <w:sz w:val="21"/>
          <w:szCs w:val="21"/>
          <w:highlight w:val="none"/>
        </w:rPr>
        <w:t>方式：潜在供应商登陆政府采购云平台，在线申请获取</w:t>
      </w:r>
      <w:r>
        <w:rPr>
          <w:rStyle w:val="25"/>
          <w:rFonts w:hint="eastAsia" w:ascii="宋体" w:hAnsi="宋体" w:cs="宋体"/>
          <w:color w:val="auto"/>
          <w:sz w:val="21"/>
          <w:szCs w:val="21"/>
          <w:highlight w:val="none"/>
          <w:lang w:eastAsia="zh-CN"/>
        </w:rPr>
        <w:t>采购文件</w:t>
      </w:r>
      <w:r>
        <w:rPr>
          <w:rStyle w:val="25"/>
          <w:rFonts w:hint="eastAsia" w:ascii="宋体" w:hAnsi="宋体" w:eastAsia="宋体" w:cs="宋体"/>
          <w:b w:val="0"/>
          <w:bCs/>
          <w:color w:val="auto"/>
          <w:sz w:val="21"/>
          <w:szCs w:val="21"/>
          <w:highlight w:val="none"/>
        </w:rPr>
        <w:t>（进入“项目采购”应用，在获取</w:t>
      </w:r>
      <w:r>
        <w:rPr>
          <w:rStyle w:val="25"/>
          <w:rFonts w:hint="eastAsia" w:ascii="宋体" w:hAnsi="宋体" w:cs="宋体"/>
          <w:b w:val="0"/>
          <w:bCs/>
          <w:color w:val="auto"/>
          <w:sz w:val="21"/>
          <w:szCs w:val="21"/>
          <w:highlight w:val="none"/>
          <w:lang w:eastAsia="zh-CN"/>
        </w:rPr>
        <w:t>采购文件</w:t>
      </w:r>
      <w:r>
        <w:rPr>
          <w:rStyle w:val="25"/>
          <w:rFonts w:hint="eastAsia" w:ascii="宋体" w:hAnsi="宋体" w:eastAsia="宋体" w:cs="宋体"/>
          <w:b w:val="0"/>
          <w:bCs/>
          <w:color w:val="auto"/>
          <w:sz w:val="21"/>
          <w:szCs w:val="21"/>
          <w:highlight w:val="none"/>
        </w:rPr>
        <w:t>菜单中选择项目，申请获取</w:t>
      </w:r>
      <w:r>
        <w:rPr>
          <w:rStyle w:val="25"/>
          <w:rFonts w:hint="eastAsia" w:ascii="宋体" w:hAnsi="宋体" w:cs="宋体"/>
          <w:b w:val="0"/>
          <w:bCs/>
          <w:color w:val="auto"/>
          <w:sz w:val="21"/>
          <w:szCs w:val="21"/>
          <w:highlight w:val="none"/>
          <w:lang w:eastAsia="zh-CN"/>
        </w:rPr>
        <w:t>采购文件</w:t>
      </w:r>
      <w:r>
        <w:rPr>
          <w:rStyle w:val="25"/>
          <w:rFonts w:hint="eastAsia" w:ascii="宋体" w:hAnsi="宋体" w:eastAsia="宋体" w:cs="宋体"/>
          <w:b w:val="0"/>
          <w:bCs/>
          <w:color w:val="auto"/>
          <w:sz w:val="21"/>
          <w:szCs w:val="21"/>
          <w:highlight w:val="none"/>
        </w:rPr>
        <w:t>，本项目</w:t>
      </w:r>
      <w:r>
        <w:rPr>
          <w:rStyle w:val="25"/>
          <w:rFonts w:hint="eastAsia" w:ascii="宋体" w:hAnsi="宋体" w:cs="宋体"/>
          <w:b w:val="0"/>
          <w:bCs/>
          <w:color w:val="auto"/>
          <w:sz w:val="21"/>
          <w:szCs w:val="21"/>
          <w:highlight w:val="none"/>
          <w:lang w:eastAsia="zh-CN"/>
        </w:rPr>
        <w:t>采购文件</w:t>
      </w:r>
      <w:r>
        <w:rPr>
          <w:rStyle w:val="25"/>
          <w:rFonts w:hint="eastAsia" w:ascii="宋体" w:hAnsi="宋体" w:eastAsia="宋体" w:cs="宋体"/>
          <w:b w:val="0"/>
          <w:bCs/>
          <w:color w:val="auto"/>
          <w:sz w:val="21"/>
          <w:szCs w:val="21"/>
          <w:highlight w:val="none"/>
        </w:rPr>
        <w:t>不收取工本费；</w:t>
      </w:r>
      <w:r>
        <w:rPr>
          <w:rStyle w:val="25"/>
          <w:rFonts w:hint="eastAsia" w:ascii="宋体" w:hAnsi="宋体" w:eastAsia="宋体" w:cs="宋体"/>
          <w:b w:val="0"/>
          <w:bCs/>
          <w:color w:val="auto"/>
          <w:sz w:val="21"/>
          <w:szCs w:val="21"/>
          <w:highlight w:val="none"/>
          <w:u w:val="single"/>
        </w:rPr>
        <w:t>仅需浏览</w:t>
      </w:r>
      <w:r>
        <w:rPr>
          <w:rStyle w:val="25"/>
          <w:rFonts w:hint="eastAsia" w:ascii="宋体" w:hAnsi="宋体" w:cs="宋体"/>
          <w:b w:val="0"/>
          <w:bCs/>
          <w:color w:val="auto"/>
          <w:sz w:val="21"/>
          <w:szCs w:val="21"/>
          <w:highlight w:val="none"/>
          <w:u w:val="single"/>
          <w:lang w:eastAsia="zh-CN"/>
        </w:rPr>
        <w:t>采购文件</w:t>
      </w:r>
      <w:r>
        <w:rPr>
          <w:rStyle w:val="25"/>
          <w:rFonts w:hint="eastAsia" w:ascii="宋体" w:hAnsi="宋体" w:eastAsia="宋体" w:cs="宋体"/>
          <w:b w:val="0"/>
          <w:bCs/>
          <w:color w:val="auto"/>
          <w:sz w:val="21"/>
          <w:szCs w:val="21"/>
          <w:highlight w:val="none"/>
          <w:u w:val="single"/>
        </w:rPr>
        <w:t>的供应商可点击“游客，浏览</w:t>
      </w:r>
      <w:r>
        <w:rPr>
          <w:rStyle w:val="25"/>
          <w:rFonts w:hint="eastAsia" w:ascii="宋体" w:hAnsi="宋体" w:cs="宋体"/>
          <w:b w:val="0"/>
          <w:bCs/>
          <w:color w:val="auto"/>
          <w:sz w:val="21"/>
          <w:szCs w:val="21"/>
          <w:highlight w:val="none"/>
          <w:u w:val="single"/>
          <w:lang w:eastAsia="zh-CN"/>
        </w:rPr>
        <w:t>采购文件</w:t>
      </w:r>
      <w:r>
        <w:rPr>
          <w:rStyle w:val="25"/>
          <w:rFonts w:hint="eastAsia" w:ascii="宋体" w:hAnsi="宋体" w:eastAsia="宋体" w:cs="宋体"/>
          <w:b w:val="0"/>
          <w:bCs/>
          <w:color w:val="auto"/>
          <w:sz w:val="21"/>
          <w:szCs w:val="21"/>
          <w:highlight w:val="none"/>
          <w:u w:val="single"/>
        </w:rPr>
        <w:t>”直接下载</w:t>
      </w:r>
      <w:r>
        <w:rPr>
          <w:rStyle w:val="25"/>
          <w:rFonts w:hint="eastAsia" w:ascii="宋体" w:hAnsi="宋体" w:cs="宋体"/>
          <w:b w:val="0"/>
          <w:bCs/>
          <w:color w:val="auto"/>
          <w:sz w:val="21"/>
          <w:szCs w:val="21"/>
          <w:highlight w:val="none"/>
          <w:u w:val="single"/>
          <w:lang w:eastAsia="zh-CN"/>
        </w:rPr>
        <w:t>采购文件</w:t>
      </w:r>
      <w:r>
        <w:rPr>
          <w:rStyle w:val="25"/>
          <w:rFonts w:hint="eastAsia" w:ascii="宋体" w:hAnsi="宋体" w:eastAsia="宋体" w:cs="宋体"/>
          <w:b w:val="0"/>
          <w:bCs/>
          <w:color w:val="auto"/>
          <w:sz w:val="21"/>
          <w:szCs w:val="21"/>
          <w:highlight w:val="none"/>
          <w:u w:val="single"/>
        </w:rPr>
        <w:t>浏览</w:t>
      </w:r>
      <w:r>
        <w:rPr>
          <w:rStyle w:val="25"/>
          <w:rFonts w:hint="eastAsia" w:ascii="宋体" w:hAnsi="宋体" w:eastAsia="宋体" w:cs="宋体"/>
          <w:b w:val="0"/>
          <w:bCs/>
          <w:color w:val="auto"/>
          <w:sz w:val="21"/>
          <w:szCs w:val="21"/>
          <w:highlight w:val="none"/>
        </w:rPr>
        <w:t>）；</w:t>
      </w:r>
    </w:p>
    <w:p w14:paraId="0B83827B">
      <w:pPr>
        <w:spacing w:line="360" w:lineRule="auto"/>
        <w:ind w:firstLine="422" w:firstLineChars="200"/>
        <w:rPr>
          <w:rFonts w:hint="eastAsia" w:ascii="宋体" w:hAnsi="宋体" w:eastAsia="宋体" w:cs="宋体"/>
          <w:color w:val="auto"/>
          <w:sz w:val="21"/>
          <w:szCs w:val="21"/>
          <w:highlight w:val="none"/>
          <w:lang w:eastAsia="zh-CN"/>
        </w:rPr>
      </w:pPr>
      <w:r>
        <w:rPr>
          <w:rStyle w:val="25"/>
          <w:rFonts w:hint="eastAsia" w:ascii="宋体" w:hAnsi="宋体" w:eastAsia="宋体" w:cs="宋体"/>
          <w:color w:val="auto"/>
          <w:sz w:val="21"/>
          <w:szCs w:val="21"/>
          <w:highlight w:val="none"/>
        </w:rPr>
        <w:t>3、</w:t>
      </w:r>
      <w:r>
        <w:rPr>
          <w:rFonts w:hint="eastAsia" w:ascii="宋体" w:hAnsi="宋体" w:eastAsia="宋体" w:cs="宋体"/>
          <w:b/>
          <w:bCs/>
          <w:color w:val="auto"/>
          <w:szCs w:val="21"/>
          <w:highlight w:val="none"/>
        </w:rPr>
        <w:t>获取（公告）时间</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36C58C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Style w:val="25"/>
          <w:rFonts w:hint="eastAsia" w:ascii="宋体" w:hAnsi="宋体" w:eastAsia="宋体" w:cs="宋体"/>
          <w:b w:val="0"/>
          <w:color w:val="auto"/>
          <w:sz w:val="21"/>
          <w:szCs w:val="21"/>
          <w:highlight w:val="none"/>
        </w:rPr>
        <w:t>供应商网上报名操作指南：“浙江政府采购网-办事指南-省采中心-网上报名”（http://zfcg.czt.zj.gov.cn/bs_other/2018-03-30/12002.html）。</w:t>
      </w:r>
    </w:p>
    <w:p w14:paraId="48C8DCE8">
      <w:pPr>
        <w:pStyle w:val="18"/>
        <w:spacing w:beforeAutospacing="0" w:afterAutospacing="0" w:line="360" w:lineRule="auto"/>
        <w:ind w:firstLine="480"/>
        <w:rPr>
          <w:rFonts w:hint="eastAsia" w:ascii="宋体" w:hAnsi="宋体" w:eastAsia="宋体" w:cs="宋体"/>
          <w:color w:val="auto"/>
          <w:sz w:val="21"/>
          <w:szCs w:val="21"/>
          <w:highlight w:val="none"/>
        </w:rPr>
      </w:pPr>
      <w:r>
        <w:rPr>
          <w:rStyle w:val="25"/>
          <w:rFonts w:hint="eastAsia" w:ascii="宋体" w:hAnsi="宋体" w:eastAsia="宋体" w:cs="宋体"/>
          <w:b w:val="0"/>
          <w:color w:val="auto"/>
          <w:sz w:val="21"/>
          <w:szCs w:val="21"/>
          <w:highlight w:val="none"/>
        </w:rPr>
        <w:t>5、供应商获取</w:t>
      </w:r>
      <w:r>
        <w:rPr>
          <w:rStyle w:val="25"/>
          <w:rFonts w:hint="eastAsia" w:cs="宋体"/>
          <w:b w:val="0"/>
          <w:color w:val="auto"/>
          <w:sz w:val="21"/>
          <w:szCs w:val="21"/>
          <w:highlight w:val="none"/>
          <w:lang w:eastAsia="zh-CN"/>
        </w:rPr>
        <w:t>采购文件</w:t>
      </w:r>
      <w:r>
        <w:rPr>
          <w:rStyle w:val="25"/>
          <w:rFonts w:hint="eastAsia" w:ascii="宋体" w:hAnsi="宋体" w:eastAsia="宋体" w:cs="宋体"/>
          <w:b w:val="0"/>
          <w:color w:val="auto"/>
          <w:sz w:val="21"/>
          <w:szCs w:val="21"/>
          <w:highlight w:val="none"/>
        </w:rPr>
        <w:t>时须提交的文件资料：无；</w:t>
      </w:r>
    </w:p>
    <w:p w14:paraId="26D55DA2">
      <w:pPr>
        <w:pStyle w:val="18"/>
        <w:spacing w:beforeAutospacing="0" w:afterAutospacing="0" w:line="360" w:lineRule="auto"/>
        <w:ind w:firstLine="480"/>
        <w:rPr>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6、提示：竞争性磋商公告附件内的</w:t>
      </w:r>
      <w:r>
        <w:rPr>
          <w:rStyle w:val="25"/>
          <w:rFonts w:hint="eastAsia"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（或采购需求）仅供阅览使用，供应商只有在“政府采购云平台”完成获取</w:t>
      </w:r>
      <w:r>
        <w:rPr>
          <w:rStyle w:val="25"/>
          <w:rFonts w:hint="eastAsia"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申请并下载了</w:t>
      </w:r>
      <w:r>
        <w:rPr>
          <w:rStyle w:val="25"/>
          <w:rFonts w:hint="eastAsia"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后才视作依法获取</w:t>
      </w:r>
      <w:r>
        <w:rPr>
          <w:rStyle w:val="25"/>
          <w:rFonts w:hint="eastAsia"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（法律法规所指的供应商获取</w:t>
      </w:r>
      <w:r>
        <w:rPr>
          <w:rStyle w:val="25"/>
          <w:rFonts w:hint="eastAsia"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时间以供应商完成获取</w:t>
      </w:r>
      <w:r>
        <w:rPr>
          <w:rStyle w:val="25"/>
          <w:rFonts w:hint="eastAsia"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申请后下载</w:t>
      </w:r>
      <w:r>
        <w:rPr>
          <w:rStyle w:val="25"/>
          <w:rFonts w:hint="eastAsia"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的时间为准）。</w:t>
      </w:r>
    </w:p>
    <w:p w14:paraId="3288A459">
      <w:pPr>
        <w:pStyle w:val="18"/>
        <w:spacing w:beforeAutospacing="0" w:afterAutospacing="0" w:line="360" w:lineRule="auto"/>
        <w:ind w:firstLine="480"/>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注：请供应商按上述要求获取</w:t>
      </w:r>
      <w:r>
        <w:rPr>
          <w:rStyle w:val="25"/>
          <w:rFonts w:hint="eastAsia"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，如未在“政府采购云平台”系统内完成相关流程，引起的投标无效责任自负。</w:t>
      </w:r>
    </w:p>
    <w:p w14:paraId="1AA9AFB6">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五、招标答疑会</w:t>
      </w:r>
    </w:p>
    <w:p w14:paraId="03844B7B">
      <w:pPr>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p w14:paraId="2FC5D3A8">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六、响应文件递交截止时间及磋商开始时间、地点：</w:t>
      </w:r>
    </w:p>
    <w:p w14:paraId="5EFFC4F7">
      <w:pPr>
        <w:pStyle w:val="55"/>
        <w:snapToGrid w:val="0"/>
        <w:spacing w:line="360" w:lineRule="auto"/>
        <w:ind w:firstLine="373" w:firstLineChars="177"/>
        <w:rPr>
          <w:rFonts w:hint="eastAsia" w:ascii="宋体" w:hAnsi="宋体" w:eastAsia="宋体" w:cs="宋体"/>
          <w:color w:val="auto"/>
          <w:highlight w:val="none"/>
        </w:rPr>
      </w:pPr>
      <w:r>
        <w:rPr>
          <w:rFonts w:hint="eastAsia" w:ascii="宋体" w:hAnsi="宋体" w:eastAsia="宋体" w:cs="宋体"/>
          <w:b/>
          <w:bCs/>
          <w:color w:val="auto"/>
          <w:highlight w:val="none"/>
        </w:rPr>
        <w:t>1、</w:t>
      </w:r>
      <w:r>
        <w:rPr>
          <w:rFonts w:hint="eastAsia" w:ascii="宋体" w:hAnsi="宋体" w:cs="宋体"/>
          <w:b/>
          <w:bCs/>
          <w:color w:val="auto"/>
          <w:highlight w:val="none"/>
          <w:lang w:val="en-US" w:eastAsia="zh-CN"/>
        </w:rPr>
        <w:t>递交</w:t>
      </w:r>
      <w:r>
        <w:rPr>
          <w:rFonts w:hint="eastAsia" w:ascii="宋体" w:hAnsi="宋体" w:eastAsia="宋体" w:cs="宋体"/>
          <w:b/>
          <w:bCs/>
          <w:color w:val="auto"/>
          <w:highlight w:val="none"/>
        </w:rPr>
        <w:t>磋商</w:t>
      </w:r>
      <w:r>
        <w:rPr>
          <w:rFonts w:hint="eastAsia" w:ascii="宋体" w:hAnsi="宋体" w:cs="宋体"/>
          <w:b/>
          <w:bCs/>
          <w:color w:val="auto"/>
          <w:highlight w:val="none"/>
          <w:lang w:val="en-US" w:eastAsia="zh-CN"/>
        </w:rPr>
        <w:t>响应文件</w:t>
      </w:r>
      <w:r>
        <w:rPr>
          <w:rFonts w:hint="eastAsia" w:ascii="宋体" w:hAnsi="宋体" w:eastAsia="宋体" w:cs="宋体"/>
          <w:b/>
          <w:bCs/>
          <w:color w:val="auto"/>
          <w:highlight w:val="none"/>
        </w:rPr>
        <w:t>截止时间与地点</w:t>
      </w:r>
      <w:r>
        <w:rPr>
          <w:rFonts w:hint="eastAsia" w:ascii="宋体" w:hAnsi="宋体" w:eastAsia="宋体" w:cs="宋体"/>
          <w:color w:val="auto"/>
          <w:highlight w:val="none"/>
        </w:rPr>
        <w:t>：</w:t>
      </w:r>
      <w:r>
        <w:rPr>
          <w:rFonts w:hint="eastAsia" w:ascii="宋体" w:hAnsi="宋体" w:cs="宋体"/>
          <w:color w:val="auto"/>
          <w:highlight w:val="none"/>
          <w:lang w:eastAsia="zh-CN"/>
        </w:rPr>
        <w:t>2025年1月6日</w:t>
      </w:r>
      <w:r>
        <w:rPr>
          <w:rFonts w:hint="eastAsia" w:ascii="宋体" w:hAnsi="宋体" w:eastAsia="宋体" w:cs="宋体"/>
          <w:color w:val="auto"/>
          <w:highlight w:val="none"/>
          <w:lang w:eastAsia="zh-CN"/>
        </w:rPr>
        <w:t>上午09:30</w:t>
      </w:r>
      <w:r>
        <w:rPr>
          <w:rFonts w:hint="eastAsia" w:ascii="宋体" w:hAnsi="宋体" w:eastAsia="宋体" w:cs="宋体"/>
          <w:color w:val="auto"/>
          <w:highlight w:val="none"/>
        </w:rPr>
        <w:t xml:space="preserve">整，地点：通过“政府采购云平台（www.zcygov.cn）”实行在线投标响应   </w:t>
      </w:r>
    </w:p>
    <w:p w14:paraId="68AA81C7">
      <w:pPr>
        <w:pStyle w:val="55"/>
        <w:snapToGrid w:val="0"/>
        <w:spacing w:line="360" w:lineRule="auto"/>
        <w:ind w:firstLine="373" w:firstLineChars="177"/>
        <w:rPr>
          <w:rFonts w:hint="eastAsia" w:ascii="宋体" w:hAnsi="宋体" w:eastAsia="宋体" w:cs="宋体"/>
          <w:color w:val="auto"/>
          <w:highlight w:val="none"/>
        </w:rPr>
      </w:pPr>
      <w:r>
        <w:rPr>
          <w:rFonts w:hint="eastAsia" w:ascii="宋体" w:hAnsi="宋体" w:eastAsia="宋体" w:cs="宋体"/>
          <w:b/>
          <w:bCs/>
          <w:color w:val="auto"/>
          <w:highlight w:val="none"/>
        </w:rPr>
        <w:t>2、磋商时间及地点</w:t>
      </w:r>
      <w:r>
        <w:rPr>
          <w:rFonts w:hint="eastAsia" w:ascii="宋体" w:hAnsi="宋体" w:eastAsia="宋体" w:cs="宋体"/>
          <w:color w:val="auto"/>
          <w:highlight w:val="none"/>
        </w:rPr>
        <w:t>：</w:t>
      </w:r>
      <w:r>
        <w:rPr>
          <w:rFonts w:hint="eastAsia" w:ascii="宋体" w:hAnsi="宋体" w:cs="宋体"/>
          <w:color w:val="auto"/>
          <w:highlight w:val="none"/>
          <w:lang w:eastAsia="zh-CN"/>
        </w:rPr>
        <w:t>2025年1月6日</w:t>
      </w:r>
      <w:r>
        <w:rPr>
          <w:rFonts w:hint="eastAsia" w:ascii="宋体" w:hAnsi="宋体" w:eastAsia="宋体" w:cs="宋体"/>
          <w:color w:val="auto"/>
          <w:highlight w:val="none"/>
          <w:lang w:eastAsia="zh-CN"/>
        </w:rPr>
        <w:t>上午09:30</w:t>
      </w:r>
      <w:r>
        <w:rPr>
          <w:rFonts w:hint="eastAsia" w:ascii="宋体" w:hAnsi="宋体" w:eastAsia="宋体" w:cs="宋体"/>
          <w:color w:val="auto"/>
          <w:highlight w:val="none"/>
        </w:rPr>
        <w:t>整，地点：通过“政府采购云平台（www.zcygov.cn）”实行在线投标响应</w:t>
      </w:r>
    </w:p>
    <w:p w14:paraId="09FC1F28">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3、解密截止时间</w:t>
      </w:r>
      <w:r>
        <w:rPr>
          <w:rFonts w:hint="eastAsia" w:ascii="宋体" w:hAnsi="宋体" w:eastAsia="宋体" w:cs="宋体"/>
          <w:color w:val="auto"/>
          <w:highlight w:val="none"/>
        </w:rPr>
        <w:t>：</w:t>
      </w:r>
      <w:r>
        <w:rPr>
          <w:rFonts w:hint="eastAsia" w:ascii="宋体" w:hAnsi="宋体" w:cs="宋体"/>
          <w:color w:val="auto"/>
          <w:highlight w:val="none"/>
          <w:lang w:eastAsia="zh-CN"/>
        </w:rPr>
        <w:t>2025年1月6日</w:t>
      </w:r>
      <w:r>
        <w:rPr>
          <w:rFonts w:hint="eastAsia" w:ascii="宋体" w:hAnsi="宋体" w:eastAsia="宋体" w:cs="宋体"/>
          <w:color w:val="auto"/>
          <w:highlight w:val="none"/>
          <w:lang w:val="en-US" w:eastAsia="zh-CN"/>
        </w:rPr>
        <w:t>上午10:00</w:t>
      </w:r>
      <w:r>
        <w:rPr>
          <w:rFonts w:hint="eastAsia" w:ascii="宋体" w:hAnsi="宋体" w:eastAsia="宋体" w:cs="宋体"/>
          <w:color w:val="auto"/>
          <w:highlight w:val="none"/>
        </w:rPr>
        <w:t>整</w:t>
      </w:r>
    </w:p>
    <w:p w14:paraId="1224E0D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七、在线投标响应（电子投标）说明</w:t>
      </w:r>
    </w:p>
    <w:p w14:paraId="38E8D873">
      <w:pPr>
        <w:pStyle w:val="11"/>
        <w:wordWrap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1、本项目通过“政府采购云平台（www.zcygov.cn）”实行在线投标响应（电子投标），供应商应先安装“</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”，并按照本</w:t>
      </w:r>
      <w:r>
        <w:rPr>
          <w:rFonts w:hint="eastAsia" w:hAnsi="宋体" w:cs="宋体"/>
          <w:b/>
          <w:bCs/>
          <w:color w:val="auto"/>
          <w:kern w:val="0"/>
          <w:szCs w:val="21"/>
          <w:highlight w:val="none"/>
          <w:lang w:eastAsia="zh-CN"/>
        </w:rPr>
        <w:t>采购文件</w:t>
      </w:r>
      <w:r>
        <w:rPr>
          <w:rFonts w:hint="eastAsia" w:ascii="宋体" w:hAnsi="宋体" w:eastAsia="宋体" w:cs="宋体"/>
          <w:b/>
          <w:bCs/>
          <w:color w:val="auto"/>
          <w:kern w:val="0"/>
          <w:szCs w:val="21"/>
          <w:highlight w:val="none"/>
        </w:rPr>
        <w:t>和“政府采购云平台”的要求，通过“</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Cs w:val="21"/>
          <w:highlight w:val="none"/>
        </w:rPr>
        <w:t>供应商未按规定加密的磋商响应文件，“政府采购云平台”将予以拒收。</w:t>
      </w:r>
    </w:p>
    <w:p w14:paraId="1A0D54DC">
      <w:pPr>
        <w:pStyle w:val="11"/>
        <w:wordWrap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”请自行前往“浙江政府采购网-下载专区-电子交易客户端”进行下载；电子投标具体操作流程详见《供应商项目采购-电子招投标操作指南》；通过“政府采购云平台”参与在线投标时如遇平台技术问题详询</w:t>
      </w:r>
      <w:r>
        <w:rPr>
          <w:rFonts w:hint="eastAsia" w:ascii="宋体" w:hAnsi="宋体" w:eastAsia="宋体" w:cs="宋体"/>
          <w:b/>
          <w:bCs/>
          <w:color w:val="auto"/>
          <w:kern w:val="0"/>
          <w:szCs w:val="21"/>
          <w:highlight w:val="none"/>
          <w:lang w:val="en-US" w:eastAsia="zh-CN"/>
        </w:rPr>
        <w:t>95763</w:t>
      </w:r>
      <w:r>
        <w:rPr>
          <w:rFonts w:hint="eastAsia" w:ascii="宋体" w:hAnsi="宋体" w:eastAsia="宋体" w:cs="宋体"/>
          <w:b/>
          <w:bCs/>
          <w:color w:val="auto"/>
          <w:kern w:val="0"/>
          <w:szCs w:val="21"/>
          <w:highlight w:val="none"/>
        </w:rPr>
        <w:t>。</w:t>
      </w:r>
    </w:p>
    <w:p w14:paraId="26C5A12D">
      <w:pPr>
        <w:pStyle w:val="55"/>
        <w:numPr>
          <w:ilvl w:val="0"/>
          <w:numId w:val="2"/>
        </w:numPr>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为确保网上操作合法、有效和安全，投标供应商应当在</w:t>
      </w:r>
      <w:r>
        <w:rPr>
          <w:rFonts w:hint="eastAsia" w:ascii="宋体" w:hAnsi="宋体" w:eastAsia="宋体" w:cs="宋体"/>
          <w:b/>
          <w:bCs/>
          <w:color w:val="auto"/>
          <w:highlight w:val="none"/>
          <w:lang w:eastAsia="zh-CN"/>
        </w:rPr>
        <w:t>提交磋商文件截止时间前</w:t>
      </w:r>
      <w:r>
        <w:rPr>
          <w:rFonts w:hint="eastAsia" w:ascii="宋体" w:hAnsi="宋体" w:eastAsia="宋体" w:cs="宋体"/>
          <w:b/>
          <w:bCs/>
          <w:color w:val="auto"/>
          <w:highlight w:val="none"/>
        </w:rPr>
        <w:t>完成在“政府采购云平台”的身份认证，确保在电子投标过程中能够对相关数据电文进行加密和使用电子签章。使用“</w:t>
      </w:r>
      <w:r>
        <w:rPr>
          <w:rFonts w:hint="eastAsia" w:ascii="宋体" w:hAnsi="宋体" w:eastAsia="宋体" w:cs="宋体"/>
          <w:b/>
          <w:bCs/>
          <w:color w:val="auto"/>
          <w:highlight w:val="none"/>
          <w:lang w:eastAsia="zh-CN"/>
        </w:rPr>
        <w:t>政采云电子投标客户端</w:t>
      </w:r>
      <w:r>
        <w:rPr>
          <w:rFonts w:hint="eastAsia" w:ascii="宋体" w:hAnsi="宋体" w:eastAsia="宋体" w:cs="宋体"/>
          <w:b/>
          <w:bCs/>
          <w:color w:val="auto"/>
          <w:highlight w:val="none"/>
        </w:rPr>
        <w:t>”需要提前申领CA数字证书，申领流程请自行前往“浙江政府采购网-下载专区-电子交易客户端-</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"http://zfcg.czt.zj.gov.cn/bidClientTemplate/2019-05-27/12945.html" \o "CA驱动和申领流程" </w:instrText>
      </w:r>
      <w:r>
        <w:rPr>
          <w:rFonts w:hint="eastAsia" w:ascii="宋体" w:hAnsi="宋体" w:eastAsia="宋体" w:cs="宋体"/>
          <w:color w:val="auto"/>
          <w:highlight w:val="none"/>
        </w:rPr>
        <w:fldChar w:fldCharType="separate"/>
      </w:r>
      <w:r>
        <w:rPr>
          <w:rFonts w:hint="eastAsia" w:ascii="宋体" w:hAnsi="宋体" w:eastAsia="宋体" w:cs="宋体"/>
          <w:b/>
          <w:bCs/>
          <w:color w:val="auto"/>
          <w:highlight w:val="none"/>
        </w:rPr>
        <w:t>CA驱动和申领流程</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t>”进行查阅；</w:t>
      </w:r>
    </w:p>
    <w:p w14:paraId="256B053E">
      <w:pPr>
        <w:pStyle w:val="55"/>
        <w:numPr>
          <w:ilvl w:val="0"/>
          <w:numId w:val="0"/>
        </w:numPr>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3、供应商通过政府采购云平台电子投标工具制作磋商响应文件，电子投标工具请供应商自行前往浙江省政府采购网下载并安装，（</w:t>
      </w:r>
      <w:r>
        <w:rPr>
          <w:rFonts w:hint="eastAsia" w:ascii="宋体" w:hAnsi="宋体" w:eastAsia="宋体" w:cs="宋体"/>
          <w:b/>
          <w:bCs/>
          <w:color w:val="auto"/>
          <w:kern w:val="0"/>
          <w:sz w:val="21"/>
          <w:szCs w:val="21"/>
          <w:highlight w:val="none"/>
          <w:lang w:val="en-US" w:eastAsia="zh-CN" w:bidi="ar-SA"/>
        </w:rPr>
        <w:t>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749CAB65">
      <w:pPr>
        <w:pStyle w:val="11"/>
        <w:adjustRightInd w:val="0"/>
        <w:snapToGrid w:val="0"/>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 w:val="21"/>
          <w:szCs w:val="21"/>
          <w:highlight w:val="none"/>
          <w:lang w:val="en-US" w:eastAsia="zh-CN" w:bidi="ar-SA"/>
        </w:rPr>
        <w:t>lNdQ8Na?keyword=%E6%8A%95%E6%A0%87。</w:t>
      </w:r>
    </w:p>
    <w:p w14:paraId="459A8E38">
      <w:pPr>
        <w:pStyle w:val="11"/>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▲4、投标供应商应当在</w:t>
      </w:r>
      <w:r>
        <w:rPr>
          <w:rFonts w:hint="eastAsia" w:ascii="宋体" w:hAnsi="宋体" w:eastAsia="宋体" w:cs="宋体"/>
          <w:b/>
          <w:bCs/>
          <w:color w:val="auto"/>
          <w:kern w:val="0"/>
          <w:szCs w:val="21"/>
          <w:highlight w:val="none"/>
          <w:lang w:eastAsia="zh-CN"/>
        </w:rPr>
        <w:t>提交磋商文件截止时间前</w:t>
      </w:r>
      <w:r>
        <w:rPr>
          <w:rFonts w:hint="eastAsia" w:ascii="宋体" w:hAnsi="宋体" w:eastAsia="宋体" w:cs="宋体"/>
          <w:b/>
          <w:bCs/>
          <w:color w:val="auto"/>
          <w:kern w:val="0"/>
          <w:szCs w:val="21"/>
          <w:highlight w:val="none"/>
        </w:rPr>
        <w:t>，将生成的“电子加密磋商响应文件”上传递交至“政府采购云平台”。</w:t>
      </w:r>
      <w:r>
        <w:rPr>
          <w:rFonts w:hint="eastAsia" w:ascii="宋体" w:hAnsi="宋体" w:eastAsia="宋体" w:cs="宋体"/>
          <w:b/>
          <w:bCs/>
          <w:color w:val="auto"/>
          <w:kern w:val="0"/>
          <w:szCs w:val="21"/>
          <w:highlight w:val="none"/>
          <w:lang w:eastAsia="zh-CN"/>
        </w:rPr>
        <w:t>提交磋商文件截止时间前</w:t>
      </w:r>
      <w:r>
        <w:rPr>
          <w:rFonts w:hint="eastAsia" w:ascii="宋体" w:hAnsi="宋体" w:eastAsia="宋体" w:cs="宋体"/>
          <w:b/>
          <w:bCs/>
          <w:color w:val="auto"/>
          <w:kern w:val="0"/>
          <w:szCs w:val="21"/>
          <w:highlight w:val="none"/>
        </w:rPr>
        <w:t>可以补充、修改或者撤回电子投标响应文件。补充或者修改电子投标响应文件的，应当先行撤回原文件，补充、修改后重新传输递交。</w:t>
      </w:r>
      <w:r>
        <w:rPr>
          <w:rFonts w:hint="eastAsia" w:ascii="宋体" w:hAnsi="宋体" w:eastAsia="宋体" w:cs="宋体"/>
          <w:b/>
          <w:bCs/>
          <w:color w:val="auto"/>
          <w:kern w:val="0"/>
          <w:szCs w:val="21"/>
          <w:highlight w:val="none"/>
          <w:lang w:eastAsia="zh-CN"/>
        </w:rPr>
        <w:t>提交磋商文件截止时间前</w:t>
      </w:r>
      <w:r>
        <w:rPr>
          <w:rFonts w:hint="eastAsia" w:ascii="宋体" w:hAnsi="宋体" w:eastAsia="宋体" w:cs="宋体"/>
          <w:b/>
          <w:bCs/>
          <w:color w:val="auto"/>
          <w:kern w:val="0"/>
          <w:szCs w:val="21"/>
          <w:highlight w:val="none"/>
        </w:rPr>
        <w:t>未完成传输的，视为撤回磋商响应文件。</w:t>
      </w:r>
    </w:p>
    <w:p w14:paraId="65CAB8CB">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磋商响应文件（不强制要求，未递交备份磋商响应文件的风险由供应商自行承担）。备份磋商响应文件应当在磋商截止时间前送达并按要求密封</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highlight w:val="none"/>
          <w:lang w:val="en-US" w:eastAsia="zh-CN"/>
        </w:rPr>
        <w:t>备份</w:t>
      </w:r>
      <w:r>
        <w:rPr>
          <w:rFonts w:hint="eastAsia" w:ascii="宋体" w:hAnsi="宋体" w:eastAsia="宋体" w:cs="宋体"/>
          <w:b/>
          <w:bCs/>
          <w:color w:val="auto"/>
          <w:kern w:val="0"/>
          <w:highlight w:val="none"/>
        </w:rPr>
        <w:t>磋商响应文件”、“磋商时启封”字样</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sz w:val="21"/>
          <w:szCs w:val="21"/>
          <w:highlight w:val="none"/>
          <w:lang w:val="en-US" w:eastAsia="zh-CN" w:bidi="ar-SA"/>
        </w:rPr>
        <w:t>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29EC3D0F">
      <w:pPr>
        <w:pStyle w:val="11"/>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w:t>
      </w: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b/>
          <w:bCs/>
          <w:color w:val="auto"/>
          <w:kern w:val="0"/>
          <w:szCs w:val="21"/>
          <w:highlight w:val="none"/>
        </w:rPr>
        <w:t>磋商供应商仅递交备份磋商响应文件的，投标无效。</w:t>
      </w:r>
    </w:p>
    <w:p w14:paraId="1C690FA7">
      <w:pPr>
        <w:pStyle w:val="11"/>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 企业的，联合体视同中小企业。其中，联合体各方均为小微企业的，联合体视同小微企业。</w:t>
      </w:r>
    </w:p>
    <w:p w14:paraId="5754E859">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八、供应商信用信息查询渠道及截止时点、信用信息查询记录和证据留存的具体方式、信用信息的使用规则：</w:t>
      </w:r>
    </w:p>
    <w:p w14:paraId="3F6F0B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1、查询渠道：“信用中国”（www.creditchina.gov.cn）、“中国政府采购网”（www.ccgp.gov.cn）、“浙江政府采购网（www.zjzfcg.gov.cn）。</w:t>
      </w:r>
    </w:p>
    <w:p w14:paraId="56BD4273">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486CAE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3、信用信息查询记录和证据留存的具体方式：由采购代理机构在规定查询时间内打印信用信息查询记录并归入项目档案。</w:t>
      </w:r>
    </w:p>
    <w:p w14:paraId="5CE7F4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4、信用信息的使用规则：对列入失信被执行人、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、政府采购严重违法失信行为记录名单及其他不符合《中华人民共和国政府采购法》第二十二条规定条件的供应商，将被拒绝其参与政府采购活动。</w:t>
      </w:r>
    </w:p>
    <w:p w14:paraId="71D2D443">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九、相关注意事项：</w:t>
      </w:r>
    </w:p>
    <w:p w14:paraId="75D8D10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1E86E36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4FC78B9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w:t>
      </w:r>
      <w:r>
        <w:rPr>
          <w:rFonts w:hint="eastAsia" w:ascii="宋体" w:hAnsi="宋体" w:eastAsia="宋体" w:cs="宋体"/>
          <w:color w:val="auto"/>
          <w:szCs w:val="21"/>
          <w:highlight w:val="none"/>
        </w:rPr>
        <w:t>供应商认为采购文件使自己的权益受到损害的，可以自获取采购文件之日或者采购文件公告期限届满之日（公告期限届满后获取采购文件的，以公告期限届满之日为准）起7个工作日内，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B7999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19FD340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73E6DD3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692460B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61DE50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0E6A1242">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十、联系方式：</w:t>
      </w:r>
    </w:p>
    <w:p w14:paraId="4DDCE6D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采购代理机构</w:t>
      </w:r>
    </w:p>
    <w:p w14:paraId="009CDB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303B284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 陈</w:t>
      </w:r>
      <w:r>
        <w:rPr>
          <w:rFonts w:hint="eastAsia" w:ascii="宋体" w:hAnsi="宋体" w:eastAsia="宋体" w:cs="宋体"/>
          <w:color w:val="auto"/>
          <w:sz w:val="21"/>
          <w:szCs w:val="21"/>
          <w:highlight w:val="none"/>
        </w:rPr>
        <w:t>女士</w:t>
      </w:r>
      <w:r>
        <w:rPr>
          <w:rFonts w:hint="eastAsia" w:ascii="宋体" w:hAnsi="宋体" w:eastAsia="宋体" w:cs="宋体"/>
          <w:color w:val="auto"/>
          <w:sz w:val="21"/>
          <w:szCs w:val="21"/>
          <w:highlight w:val="none"/>
          <w:lang w:val="en-US" w:eastAsia="zh-CN"/>
        </w:rPr>
        <w:t xml:space="preserve"> </w:t>
      </w:r>
    </w:p>
    <w:p w14:paraId="2AE25CA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0576-88882270，18267677445</w:t>
      </w:r>
    </w:p>
    <w:p w14:paraId="5F527A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6202F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200656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2728B3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38DCB0F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 xml:space="preserve">采购人 </w:t>
      </w:r>
    </w:p>
    <w:p w14:paraId="66B59D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采购人名称：</w:t>
      </w:r>
      <w:r>
        <w:rPr>
          <w:rFonts w:hint="eastAsia" w:ascii="宋体" w:hAnsi="宋体" w:cs="宋体"/>
          <w:color w:val="auto"/>
          <w:szCs w:val="21"/>
          <w:highlight w:val="none"/>
          <w:lang w:eastAsia="zh-CN"/>
        </w:rPr>
        <w:t>台州市黄岩区发展和改革局</w:t>
      </w:r>
    </w:p>
    <w:p w14:paraId="4F5BD2F7">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询问联系人：</w:t>
      </w:r>
      <w:r>
        <w:rPr>
          <w:rFonts w:hint="eastAsia" w:ascii="宋体" w:hAnsi="宋体" w:cs="宋体"/>
          <w:color w:val="auto"/>
          <w:szCs w:val="21"/>
          <w:highlight w:val="none"/>
          <w:lang w:val="en-US" w:eastAsia="zh-CN"/>
        </w:rPr>
        <w:t>潘先生</w:t>
      </w:r>
      <w:r>
        <w:rPr>
          <w:rFonts w:hint="eastAsia" w:ascii="宋体" w:hAnsi="宋体" w:eastAsia="宋体" w:cs="宋体"/>
          <w:color w:val="auto"/>
          <w:szCs w:val="21"/>
          <w:highlight w:val="none"/>
        </w:rPr>
        <w:t xml:space="preserve">      询问联系电话：0576-84121086</w:t>
      </w:r>
    </w:p>
    <w:p w14:paraId="5E3C2C53">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质疑联系人：</w:t>
      </w:r>
      <w:r>
        <w:rPr>
          <w:rFonts w:hint="eastAsia" w:ascii="宋体" w:hAnsi="宋体" w:cs="宋体"/>
          <w:color w:val="auto"/>
          <w:szCs w:val="21"/>
          <w:highlight w:val="none"/>
          <w:lang w:val="en-US" w:eastAsia="zh-CN"/>
        </w:rPr>
        <w:t>潘先生</w:t>
      </w:r>
      <w:r>
        <w:rPr>
          <w:rFonts w:hint="eastAsia" w:ascii="宋体" w:hAnsi="宋体" w:eastAsia="宋体" w:cs="宋体"/>
          <w:color w:val="auto"/>
          <w:szCs w:val="21"/>
          <w:highlight w:val="none"/>
        </w:rPr>
        <w:t xml:space="preserve">      质疑联系电话：13757653918</w:t>
      </w:r>
    </w:p>
    <w:p w14:paraId="060780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采购人地址：</w:t>
      </w:r>
      <w:r>
        <w:rPr>
          <w:rFonts w:hint="eastAsia" w:ascii="宋体" w:hAnsi="宋体" w:eastAsia="宋体" w:cs="宋体"/>
          <w:color w:val="auto"/>
          <w:szCs w:val="21"/>
          <w:highlight w:val="none"/>
          <w:lang w:eastAsia="zh-CN"/>
        </w:rPr>
        <w:t>黄岩区县前街22号行政大楼15楼</w:t>
      </w:r>
    </w:p>
    <w:p w14:paraId="4626907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同级政府采购监督管理部门</w:t>
      </w:r>
    </w:p>
    <w:p w14:paraId="5D470B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同级政府采购监督管理部门名称：台州市黄岩区财政局政府采购监管科</w:t>
      </w:r>
    </w:p>
    <w:p w14:paraId="43DB37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联系人：宋先生</w:t>
      </w:r>
    </w:p>
    <w:p w14:paraId="4D0893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监督投诉电话：</w:t>
      </w:r>
      <w:r>
        <w:rPr>
          <w:rFonts w:hint="eastAsia" w:ascii="宋体" w:hAnsi="宋体" w:cs="宋体"/>
          <w:color w:val="auto"/>
          <w:sz w:val="21"/>
          <w:szCs w:val="21"/>
          <w:highlight w:val="none"/>
          <w:lang w:eastAsia="zh-CN"/>
        </w:rPr>
        <w:t>0576-84111005</w:t>
      </w:r>
    </w:p>
    <w:p w14:paraId="155565B0">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地址：台州市黄岩区劳动南路289号</w:t>
      </w:r>
    </w:p>
    <w:p w14:paraId="67FC284D">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1" w:firstLineChars="1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121F57B0">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合同履</w:t>
      </w:r>
      <w:r>
        <w:rPr>
          <w:rFonts w:hint="eastAsia" w:ascii="宋体" w:hAnsi="宋体" w:eastAsia="宋体" w:cs="宋体"/>
          <w:b w:val="0"/>
          <w:bCs w:val="0"/>
          <w:color w:val="auto"/>
          <w:sz w:val="21"/>
          <w:szCs w:val="21"/>
          <w:highlight w:val="none"/>
        </w:rPr>
        <w:t>约保函联系方式</w:t>
      </w:r>
    </w:p>
    <w:tbl>
      <w:tblPr>
        <w:tblStyle w:val="23"/>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7E2387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0FE4C90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6428D4C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4AED06C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2FB2AB6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2D4D2F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8AF7BC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093D32F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1AC415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138121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31A370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97FC85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24FA56B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5C0BFC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18E635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236752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12CB26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557BF98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7543C1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6E7392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798874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8FD850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1A7F32F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15052D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4F966A3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4DC26A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A03F7F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3DF00BB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23091B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6632B5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077240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717F22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6BB3B0A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0ADAF4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00A2CBB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01A28E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91F727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094F009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2C710C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119B45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27B10C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18C3C9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0B53551D">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44E8AC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0CE9AF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58C8E2CD">
      <w:pPr>
        <w:jc w:val="both"/>
        <w:rPr>
          <w:rFonts w:hint="eastAsia" w:ascii="宋体" w:hAnsi="宋体" w:eastAsia="宋体" w:cs="宋体"/>
          <w:color w:val="auto"/>
          <w:szCs w:val="21"/>
          <w:highlight w:val="none"/>
          <w:lang w:val="en-US" w:eastAsia="zh-CN"/>
        </w:rPr>
      </w:pPr>
    </w:p>
    <w:p w14:paraId="08861F06">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lang w:val="en-US" w:eastAsia="zh-CN"/>
        </w:rPr>
        <w:t>（2）预付款保函</w:t>
      </w:r>
      <w:r>
        <w:rPr>
          <w:rFonts w:hint="eastAsia" w:ascii="宋体" w:hAnsi="宋体" w:eastAsia="宋体" w:cs="宋体"/>
          <w:b w:val="0"/>
          <w:bCs w:val="0"/>
          <w:color w:val="auto"/>
          <w:sz w:val="21"/>
          <w:szCs w:val="21"/>
          <w:highlight w:val="none"/>
        </w:rPr>
        <w:t>联系方式</w:t>
      </w:r>
    </w:p>
    <w:tbl>
      <w:tblPr>
        <w:tblStyle w:val="23"/>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5F5E74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5EEF36F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5132734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5BF0126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5573711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4A1E6B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4DC816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6A381A3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69D393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37CE281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498E4E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F4F8C5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5D504D6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0196BF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4768B5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4E7B3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EA5854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61166C9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2C3D2C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744CE4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77DAC211">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6FE6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486AD5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334" w:type="dxa"/>
            <w:vAlign w:val="center"/>
          </w:tcPr>
          <w:p w14:paraId="1E241C5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688" w:type="dxa"/>
            <w:vAlign w:val="center"/>
          </w:tcPr>
          <w:p w14:paraId="6BC0E58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131" w:type="dxa"/>
            <w:vAlign w:val="center"/>
          </w:tcPr>
          <w:p w14:paraId="1217B33E">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5F47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7E7E4F2">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334" w:type="dxa"/>
            <w:vAlign w:val="center"/>
          </w:tcPr>
          <w:p w14:paraId="58ECA892">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5C423AE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14:paraId="3E1BD56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4A06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02EBB09">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334" w:type="dxa"/>
            <w:vAlign w:val="center"/>
          </w:tcPr>
          <w:p w14:paraId="13AE6F8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63247BDD">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131" w:type="dxa"/>
            <w:vAlign w:val="center"/>
          </w:tcPr>
          <w:p w14:paraId="16778991">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163C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E78023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334" w:type="dxa"/>
            <w:vAlign w:val="center"/>
          </w:tcPr>
          <w:p w14:paraId="0E9584E4">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4E59819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131" w:type="dxa"/>
            <w:vAlign w:val="center"/>
          </w:tcPr>
          <w:p w14:paraId="7D18E48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4F6D00E8">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4568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183FC8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334" w:type="dxa"/>
            <w:vAlign w:val="center"/>
          </w:tcPr>
          <w:p w14:paraId="084A7F9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688" w:type="dxa"/>
            <w:vAlign w:val="center"/>
          </w:tcPr>
          <w:p w14:paraId="1E986B99">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131" w:type="dxa"/>
            <w:vAlign w:val="center"/>
          </w:tcPr>
          <w:p w14:paraId="35771B1E">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1833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A9F7487">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334" w:type="dxa"/>
            <w:vAlign w:val="center"/>
          </w:tcPr>
          <w:p w14:paraId="13FF8B6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17781FD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131" w:type="dxa"/>
            <w:vAlign w:val="center"/>
          </w:tcPr>
          <w:p w14:paraId="3139E8C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4251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75D0DA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334" w:type="dxa"/>
            <w:vAlign w:val="center"/>
          </w:tcPr>
          <w:p w14:paraId="7F43C61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779D955A">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131" w:type="dxa"/>
            <w:vAlign w:val="center"/>
          </w:tcPr>
          <w:p w14:paraId="2D5D799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28BE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9DF51F1">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334" w:type="dxa"/>
            <w:vAlign w:val="center"/>
          </w:tcPr>
          <w:p w14:paraId="3BA6CF2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688" w:type="dxa"/>
            <w:vAlign w:val="center"/>
          </w:tcPr>
          <w:p w14:paraId="3B3D9DE7">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131" w:type="dxa"/>
            <w:vAlign w:val="center"/>
          </w:tcPr>
          <w:p w14:paraId="1DE0B92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2A76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E02EF7C">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334" w:type="dxa"/>
            <w:vAlign w:val="center"/>
          </w:tcPr>
          <w:p w14:paraId="7445713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688" w:type="dxa"/>
            <w:vAlign w:val="center"/>
          </w:tcPr>
          <w:p w14:paraId="73537FE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131" w:type="dxa"/>
            <w:vAlign w:val="center"/>
          </w:tcPr>
          <w:p w14:paraId="087F66C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6E3C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D32040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334" w:type="dxa"/>
            <w:vAlign w:val="center"/>
          </w:tcPr>
          <w:p w14:paraId="29DF6AA2">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688" w:type="dxa"/>
            <w:vAlign w:val="center"/>
          </w:tcPr>
          <w:p w14:paraId="0193E76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131" w:type="dxa"/>
            <w:vAlign w:val="center"/>
          </w:tcPr>
          <w:p w14:paraId="546441D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542036A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2CE7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835C32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334" w:type="dxa"/>
            <w:vAlign w:val="center"/>
          </w:tcPr>
          <w:p w14:paraId="555E42F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688" w:type="dxa"/>
            <w:vAlign w:val="center"/>
          </w:tcPr>
          <w:p w14:paraId="644483E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131" w:type="dxa"/>
            <w:vAlign w:val="center"/>
          </w:tcPr>
          <w:p w14:paraId="778AA73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72AA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0BFAA2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334" w:type="dxa"/>
            <w:vAlign w:val="center"/>
          </w:tcPr>
          <w:p w14:paraId="04A98FA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688" w:type="dxa"/>
            <w:vAlign w:val="center"/>
          </w:tcPr>
          <w:p w14:paraId="66702D5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131" w:type="dxa"/>
            <w:vAlign w:val="center"/>
          </w:tcPr>
          <w:p w14:paraId="376B300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4B56904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7A00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6BDD1A8">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334" w:type="dxa"/>
            <w:vAlign w:val="center"/>
          </w:tcPr>
          <w:p w14:paraId="08A3E7BF">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2A462D5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131" w:type="dxa"/>
            <w:vAlign w:val="center"/>
          </w:tcPr>
          <w:p w14:paraId="71C4C751">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1584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363C8D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334" w:type="dxa"/>
            <w:vAlign w:val="center"/>
          </w:tcPr>
          <w:p w14:paraId="719EA62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688" w:type="dxa"/>
            <w:vAlign w:val="center"/>
          </w:tcPr>
          <w:p w14:paraId="6940556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131" w:type="dxa"/>
            <w:vAlign w:val="center"/>
          </w:tcPr>
          <w:p w14:paraId="62FA89B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63B9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F39B11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334" w:type="dxa"/>
            <w:vAlign w:val="center"/>
          </w:tcPr>
          <w:p w14:paraId="1DA1BA5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688" w:type="dxa"/>
            <w:vAlign w:val="center"/>
          </w:tcPr>
          <w:p w14:paraId="196CE8A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131" w:type="dxa"/>
            <w:vAlign w:val="center"/>
          </w:tcPr>
          <w:p w14:paraId="1E771A4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70DC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B97195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334" w:type="dxa"/>
            <w:vAlign w:val="center"/>
          </w:tcPr>
          <w:p w14:paraId="57B3BCB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688" w:type="dxa"/>
            <w:vAlign w:val="center"/>
          </w:tcPr>
          <w:p w14:paraId="24F6C6BB">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131" w:type="dxa"/>
            <w:vAlign w:val="center"/>
          </w:tcPr>
          <w:p w14:paraId="6E28635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0714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A1C4222">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334" w:type="dxa"/>
            <w:vAlign w:val="center"/>
          </w:tcPr>
          <w:p w14:paraId="78E9137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688" w:type="dxa"/>
            <w:vAlign w:val="center"/>
          </w:tcPr>
          <w:p w14:paraId="37DE97E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131" w:type="dxa"/>
            <w:vAlign w:val="center"/>
          </w:tcPr>
          <w:p w14:paraId="04B7637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3952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998ACC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334" w:type="dxa"/>
            <w:vAlign w:val="center"/>
          </w:tcPr>
          <w:p w14:paraId="1B53877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688" w:type="dxa"/>
            <w:vAlign w:val="center"/>
          </w:tcPr>
          <w:p w14:paraId="2BE4F3D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131" w:type="dxa"/>
            <w:vAlign w:val="center"/>
          </w:tcPr>
          <w:p w14:paraId="43267BB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6FC8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F1EF43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334" w:type="dxa"/>
            <w:vAlign w:val="center"/>
          </w:tcPr>
          <w:p w14:paraId="5E0212E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7CBE6D9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131" w:type="dxa"/>
            <w:vAlign w:val="center"/>
          </w:tcPr>
          <w:p w14:paraId="362E7AF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616F6F0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3F48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63CAAC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334" w:type="dxa"/>
            <w:vAlign w:val="center"/>
          </w:tcPr>
          <w:p w14:paraId="40949C71">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2166A432">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131" w:type="dxa"/>
            <w:vAlign w:val="center"/>
          </w:tcPr>
          <w:p w14:paraId="1ABE5BD1">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56B1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CEC3C0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334" w:type="dxa"/>
            <w:vAlign w:val="center"/>
          </w:tcPr>
          <w:p w14:paraId="72E4F17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688" w:type="dxa"/>
            <w:vAlign w:val="center"/>
          </w:tcPr>
          <w:p w14:paraId="40C0ED6C">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131" w:type="dxa"/>
            <w:vAlign w:val="center"/>
          </w:tcPr>
          <w:p w14:paraId="58BC373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0BEB97B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54B53890">
      <w:pPr>
        <w:spacing w:line="360" w:lineRule="auto"/>
        <w:rPr>
          <w:rFonts w:hint="eastAsia" w:ascii="宋体" w:hAnsi="宋体" w:eastAsia="宋体" w:cs="宋体"/>
          <w:b/>
          <w:color w:val="auto"/>
          <w:szCs w:val="21"/>
          <w:highlight w:val="none"/>
        </w:rPr>
      </w:pPr>
    </w:p>
    <w:p w14:paraId="3E23EBD5">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十一、采购（中标）公告发布媒体：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7"/>
          <w:rFonts w:hint="eastAsia" w:ascii="宋体" w:hAnsi="宋体" w:eastAsia="宋体" w:cs="宋体"/>
          <w:color w:val="auto"/>
          <w:szCs w:val="21"/>
          <w:highlight w:val="none"/>
        </w:rPr>
        <w:t>http://zfcg.czt.zj.gov.cn</w:t>
      </w:r>
      <w:r>
        <w:rPr>
          <w:rStyle w:val="27"/>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48689247">
      <w:pPr>
        <w:spacing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1F9517B0">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台州永安工程咨询有限公司</w:t>
      </w:r>
    </w:p>
    <w:p w14:paraId="494FCF9C">
      <w:pPr>
        <w:pStyle w:val="8"/>
        <w:spacing w:line="360" w:lineRule="auto"/>
        <w:jc w:val="righ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w:t>
      </w:r>
      <w:r>
        <w:rPr>
          <w:rFonts w:hint="eastAsia" w:ascii="宋体" w:hAnsi="宋体" w:cs="宋体"/>
          <w:color w:val="auto"/>
          <w:szCs w:val="21"/>
          <w:highlight w:val="none"/>
          <w:lang w:eastAsia="zh-CN"/>
        </w:rPr>
        <w:t>二四年十二月</w:t>
      </w:r>
    </w:p>
    <w:p w14:paraId="71C7F92C">
      <w:pPr>
        <w:numPr>
          <w:ilvl w:val="0"/>
          <w:numId w:val="0"/>
        </w:numPr>
        <w:spacing w:line="360" w:lineRule="auto"/>
        <w:jc w:val="both"/>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3EE68868">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供应商须知</w:t>
      </w:r>
    </w:p>
    <w:p w14:paraId="1375CF95">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  附 表</w:t>
      </w:r>
    </w:p>
    <w:tbl>
      <w:tblPr>
        <w:tblStyle w:val="22"/>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175"/>
        <w:gridCol w:w="6723"/>
      </w:tblGrid>
      <w:tr w14:paraId="7BC5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6FF74E8C">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2175" w:type="dxa"/>
            <w:vAlign w:val="center"/>
          </w:tcPr>
          <w:p w14:paraId="308EE2B5">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w:t>
            </w:r>
          </w:p>
        </w:tc>
        <w:tc>
          <w:tcPr>
            <w:tcW w:w="6723" w:type="dxa"/>
            <w:vAlign w:val="center"/>
          </w:tcPr>
          <w:p w14:paraId="154B2A6F">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06F5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32792266">
            <w:pPr>
              <w:keepNext w:val="0"/>
              <w:keepLines w:val="0"/>
              <w:pageBreakBefore w:val="0"/>
              <w:kinsoku/>
              <w:wordWrap/>
              <w:overflowPunct/>
              <w:topLinePunct w:val="0"/>
              <w:bidi w:val="0"/>
              <w:spacing w:line="240" w:lineRule="auto"/>
              <w:jc w:val="center"/>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2175" w:type="dxa"/>
            <w:vAlign w:val="center"/>
          </w:tcPr>
          <w:p w14:paraId="6AA1565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723" w:type="dxa"/>
            <w:vAlign w:val="center"/>
          </w:tcPr>
          <w:p w14:paraId="5F9D306C">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w:t>
            </w:r>
            <w:r>
              <w:rPr>
                <w:rFonts w:hint="eastAsia" w:ascii="宋体" w:hAnsi="宋体" w:eastAsia="宋体" w:cs="宋体"/>
                <w:color w:val="auto"/>
                <w:sz w:val="21"/>
                <w:szCs w:val="21"/>
                <w:highlight w:val="none"/>
                <w:lang w:val="en-US" w:eastAsia="zh-CN"/>
              </w:rPr>
              <w:t>服务类</w:t>
            </w:r>
          </w:p>
          <w:p w14:paraId="52AAD4E4">
            <w:pPr>
              <w:keepNext w:val="0"/>
              <w:keepLines w:val="0"/>
              <w:pageBreakBefore w:val="0"/>
              <w:kinsoku/>
              <w:wordWrap/>
              <w:overflowPunct/>
              <w:topLinePunct w:val="0"/>
              <w:bidi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3CF1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3CB37D7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2175" w:type="dxa"/>
            <w:vAlign w:val="center"/>
          </w:tcPr>
          <w:p w14:paraId="659EE7B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供应商特定资格要求</w:t>
            </w:r>
          </w:p>
        </w:tc>
        <w:tc>
          <w:tcPr>
            <w:tcW w:w="6723" w:type="dxa"/>
            <w:vAlign w:val="center"/>
          </w:tcPr>
          <w:p w14:paraId="475101F3">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符合竞争性磋商公告资格要求的供应商</w:t>
            </w:r>
          </w:p>
        </w:tc>
      </w:tr>
      <w:tr w14:paraId="5972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5A130FD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2175" w:type="dxa"/>
            <w:vAlign w:val="center"/>
          </w:tcPr>
          <w:p w14:paraId="12CDF91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答疑会或现场踏勘</w:t>
            </w:r>
          </w:p>
        </w:tc>
        <w:tc>
          <w:tcPr>
            <w:tcW w:w="6723" w:type="dxa"/>
            <w:vAlign w:val="center"/>
          </w:tcPr>
          <w:p w14:paraId="318683F5">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4E78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0AFA713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2175" w:type="dxa"/>
            <w:vAlign w:val="center"/>
          </w:tcPr>
          <w:p w14:paraId="29E346D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723" w:type="dxa"/>
            <w:vAlign w:val="center"/>
          </w:tcPr>
          <w:p w14:paraId="0055A016">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108278F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6CB530C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10513170">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7C90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4ADB536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2175" w:type="dxa"/>
            <w:vAlign w:val="center"/>
          </w:tcPr>
          <w:p w14:paraId="093582A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磋商响应文件有效期</w:t>
            </w:r>
          </w:p>
        </w:tc>
        <w:tc>
          <w:tcPr>
            <w:tcW w:w="6723" w:type="dxa"/>
            <w:vAlign w:val="center"/>
          </w:tcPr>
          <w:p w14:paraId="76A864EE">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w:t>
            </w:r>
            <w:r>
              <w:rPr>
                <w:rFonts w:hint="eastAsia" w:ascii="宋体" w:hAnsi="宋体" w:eastAsia="宋体" w:cs="宋体"/>
                <w:color w:val="auto"/>
                <w:szCs w:val="21"/>
                <w:highlight w:val="none"/>
              </w:rPr>
              <w:t>磋商有效期为90天，磋商有效期从提交磋商响应文件的截止之日起算。</w:t>
            </w:r>
          </w:p>
        </w:tc>
      </w:tr>
      <w:tr w14:paraId="1308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7DF704E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2175" w:type="dxa"/>
            <w:vAlign w:val="center"/>
          </w:tcPr>
          <w:p w14:paraId="11BE13A8">
            <w:pPr>
              <w:pStyle w:val="8"/>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电子投标响应文件的传输递交</w:t>
            </w:r>
          </w:p>
        </w:tc>
        <w:tc>
          <w:tcPr>
            <w:tcW w:w="6723" w:type="dxa"/>
            <w:vAlign w:val="center"/>
          </w:tcPr>
          <w:p w14:paraId="75BA1E48">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rPr>
              <w:t>截止时间：</w:t>
            </w:r>
            <w:r>
              <w:rPr>
                <w:rFonts w:hint="eastAsia" w:ascii="宋体" w:hAnsi="宋体" w:eastAsia="宋体" w:cs="宋体"/>
                <w:color w:val="auto"/>
                <w:szCs w:val="21"/>
                <w:highlight w:val="none"/>
              </w:rPr>
              <w:t xml:space="preserve"> </w:t>
            </w:r>
            <w:r>
              <w:rPr>
                <w:rFonts w:hint="eastAsia" w:ascii="宋体" w:hAnsi="宋体" w:cs="宋体"/>
                <w:b/>
                <w:bCs/>
                <w:color w:val="auto"/>
                <w:szCs w:val="21"/>
                <w:highlight w:val="none"/>
                <w:u w:val="single"/>
                <w:lang w:eastAsia="zh-CN"/>
              </w:rPr>
              <w:t>2025年1月6日</w:t>
            </w:r>
            <w:r>
              <w:rPr>
                <w:rFonts w:hint="eastAsia" w:ascii="宋体" w:hAnsi="宋体" w:eastAsia="宋体" w:cs="宋体"/>
                <w:b/>
                <w:bCs/>
                <w:color w:val="auto"/>
                <w:szCs w:val="21"/>
                <w:highlight w:val="none"/>
                <w:u w:val="single"/>
                <w:lang w:eastAsia="zh-CN"/>
              </w:rPr>
              <w:t>上午09:30</w:t>
            </w:r>
            <w:r>
              <w:rPr>
                <w:rFonts w:hint="eastAsia" w:ascii="宋体" w:hAnsi="宋体" w:eastAsia="宋体" w:cs="宋体"/>
                <w:b/>
                <w:bCs/>
                <w:color w:val="auto"/>
                <w:szCs w:val="21"/>
                <w:highlight w:val="none"/>
                <w:u w:val="single"/>
              </w:rPr>
              <w:t>整</w:t>
            </w:r>
          </w:p>
          <w:p w14:paraId="4974344B">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4C4A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6D4D874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2175" w:type="dxa"/>
            <w:vAlign w:val="center"/>
          </w:tcPr>
          <w:p w14:paraId="28FDCFD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备份磋商响应文件的递交</w:t>
            </w:r>
          </w:p>
        </w:tc>
        <w:tc>
          <w:tcPr>
            <w:tcW w:w="6723" w:type="dxa"/>
            <w:vAlign w:val="center"/>
          </w:tcPr>
          <w:p w14:paraId="41933A88">
            <w:pPr>
              <w:pStyle w:val="55"/>
              <w:keepNext w:val="0"/>
              <w:keepLines w:val="0"/>
              <w:pageBreakBefore w:val="0"/>
              <w:kinsoku/>
              <w:wordWrap/>
              <w:overflowPunct/>
              <w:topLinePunct w:val="0"/>
              <w:bidi w:val="0"/>
              <w:snapToGrid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w:t>
            </w:r>
            <w:r>
              <w:rPr>
                <w:rFonts w:hint="eastAsia" w:ascii="宋体" w:hAnsi="宋体" w:eastAsia="宋体" w:cs="宋体"/>
                <w:color w:val="auto"/>
                <w:kern w:val="2"/>
                <w:highlight w:val="none"/>
              </w:rPr>
              <w:t>；联系电话：15757696186，逾期寄达、到付或未按要求密封将被拒收。▲</w:t>
            </w:r>
            <w:r>
              <w:rPr>
                <w:rFonts w:hint="eastAsia" w:ascii="宋体" w:hAnsi="宋体" w:eastAsia="宋体" w:cs="宋体"/>
                <w:color w:val="auto"/>
                <w:kern w:val="2"/>
                <w:sz w:val="21"/>
                <w:szCs w:val="21"/>
                <w:highlight w:val="none"/>
                <w:lang w:val="en-US" w:eastAsia="zh-CN" w:bidi="ar-SA"/>
              </w:rPr>
              <w:t>如供应商未在磋商截止时间前完成电子磋商响应文件的传输递交，其备份磋商响应文件也将为无效磋商响应文件。</w:t>
            </w:r>
          </w:p>
          <w:p w14:paraId="7246059D">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截止时间：</w:t>
            </w:r>
            <w:r>
              <w:rPr>
                <w:rFonts w:hint="eastAsia" w:ascii="宋体" w:hAnsi="宋体" w:eastAsia="宋体" w:cs="宋体"/>
                <w:b/>
                <w:bCs/>
                <w:color w:val="auto"/>
                <w:szCs w:val="21"/>
                <w:highlight w:val="none"/>
                <w:u w:val="single"/>
              </w:rPr>
              <w:t xml:space="preserve"> </w:t>
            </w:r>
            <w:r>
              <w:rPr>
                <w:rFonts w:hint="eastAsia" w:ascii="宋体" w:hAnsi="宋体" w:cs="宋体"/>
                <w:b/>
                <w:bCs/>
                <w:color w:val="auto"/>
                <w:szCs w:val="21"/>
                <w:highlight w:val="none"/>
                <w:u w:val="single"/>
                <w:lang w:eastAsia="zh-CN"/>
              </w:rPr>
              <w:t>2025年1月6日</w:t>
            </w:r>
            <w:r>
              <w:rPr>
                <w:rFonts w:hint="eastAsia" w:ascii="宋体" w:hAnsi="宋体" w:eastAsia="宋体" w:cs="宋体"/>
                <w:b/>
                <w:bCs/>
                <w:color w:val="auto"/>
                <w:szCs w:val="21"/>
                <w:highlight w:val="none"/>
                <w:u w:val="single"/>
                <w:lang w:eastAsia="zh-CN"/>
              </w:rPr>
              <w:t>上午09:30</w:t>
            </w:r>
            <w:r>
              <w:rPr>
                <w:rFonts w:hint="eastAsia" w:ascii="宋体" w:hAnsi="宋体" w:eastAsia="宋体" w:cs="宋体"/>
                <w:b/>
                <w:bCs/>
                <w:color w:val="auto"/>
                <w:szCs w:val="21"/>
                <w:highlight w:val="none"/>
                <w:u w:val="single"/>
              </w:rPr>
              <w:t>整</w:t>
            </w:r>
          </w:p>
        </w:tc>
      </w:tr>
      <w:tr w14:paraId="1EA0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66AD1DB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2175" w:type="dxa"/>
            <w:vAlign w:val="center"/>
          </w:tcPr>
          <w:p w14:paraId="20190C5B">
            <w:pPr>
              <w:keepNext w:val="0"/>
              <w:keepLines w:val="0"/>
              <w:pageBreakBefore w:val="0"/>
              <w:kinsoku/>
              <w:wordWrap/>
              <w:overflowPunct/>
              <w:topLinePunct w:val="0"/>
              <w:bidi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723" w:type="dxa"/>
            <w:vAlign w:val="center"/>
          </w:tcPr>
          <w:p w14:paraId="04B475C0">
            <w:pPr>
              <w:pStyle w:val="18"/>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5A41716F">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32871B69">
            <w:pPr>
              <w:keepNext w:val="0"/>
              <w:keepLines w:val="0"/>
              <w:pageBreakBefore w:val="0"/>
              <w:kinsoku/>
              <w:wordWrap/>
              <w:overflowPunct/>
              <w:topLinePunct w:val="0"/>
              <w:bidi w:val="0"/>
              <w:spacing w:line="240" w:lineRule="auto"/>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2EFF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5E55033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p>
        </w:tc>
        <w:tc>
          <w:tcPr>
            <w:tcW w:w="2175" w:type="dxa"/>
            <w:vAlign w:val="center"/>
          </w:tcPr>
          <w:p w14:paraId="4F6B386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电子投标响应文件解密时间及地点</w:t>
            </w:r>
          </w:p>
        </w:tc>
        <w:tc>
          <w:tcPr>
            <w:tcW w:w="6723" w:type="dxa"/>
            <w:vAlign w:val="center"/>
          </w:tcPr>
          <w:p w14:paraId="0128F30E">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cs="宋体"/>
                <w:color w:val="auto"/>
                <w:szCs w:val="21"/>
                <w:highlight w:val="none"/>
                <w:lang w:eastAsia="zh-CN"/>
              </w:rPr>
              <w:t>2025年1月6日</w:t>
            </w:r>
            <w:r>
              <w:rPr>
                <w:rFonts w:hint="eastAsia" w:ascii="宋体" w:hAnsi="宋体" w:eastAsia="宋体" w:cs="宋体"/>
                <w:color w:val="auto"/>
                <w:szCs w:val="21"/>
                <w:highlight w:val="none"/>
                <w:lang w:eastAsia="zh-CN"/>
              </w:rPr>
              <w:t>上午09:30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10:00</w:t>
            </w:r>
            <w:r>
              <w:rPr>
                <w:rFonts w:hint="eastAsia" w:ascii="宋体" w:hAnsi="宋体" w:eastAsia="宋体" w:cs="宋体"/>
                <w:color w:val="auto"/>
                <w:szCs w:val="21"/>
                <w:highlight w:val="none"/>
              </w:rPr>
              <w:t>（北京时间）</w:t>
            </w:r>
          </w:p>
          <w:p w14:paraId="328E8DCB">
            <w:pPr>
              <w:pStyle w:val="54"/>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地点：</w:t>
            </w:r>
            <w:r>
              <w:rPr>
                <w:rFonts w:hint="eastAsia" w:ascii="宋体" w:hAnsi="宋体" w:eastAsia="宋体" w:cs="宋体"/>
                <w:color w:val="auto"/>
                <w:kern w:val="2"/>
                <w:sz w:val="21"/>
                <w:szCs w:val="21"/>
                <w:highlight w:val="none"/>
                <w:lang w:val="en-US" w:eastAsia="zh-CN" w:bidi="ar-SA"/>
              </w:rPr>
              <w:t>政采云平台（www.zcygov.cn）</w:t>
            </w:r>
          </w:p>
        </w:tc>
      </w:tr>
      <w:tr w14:paraId="39D1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07F2EE6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2175" w:type="dxa"/>
            <w:vAlign w:val="center"/>
          </w:tcPr>
          <w:p w14:paraId="4962C44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实质性条款</w:t>
            </w:r>
          </w:p>
        </w:tc>
        <w:tc>
          <w:tcPr>
            <w:tcW w:w="6723" w:type="dxa"/>
            <w:vAlign w:val="center"/>
          </w:tcPr>
          <w:p w14:paraId="0600D763">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带“</w:t>
            </w:r>
            <w:r>
              <w:rPr>
                <w:rFonts w:hint="eastAsia" w:ascii="宋体" w:hAnsi="宋体" w:eastAsia="宋体" w:cs="宋体"/>
                <w:color w:val="auto"/>
                <w:szCs w:val="21"/>
                <w:highlight w:val="none"/>
              </w:rPr>
              <w:t>▲”的条款是实质性条款，磋商响应文件须作出实质性响应，否则终止磋商。</w:t>
            </w:r>
          </w:p>
        </w:tc>
      </w:tr>
      <w:tr w14:paraId="252F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3DD4D5F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2175" w:type="dxa"/>
            <w:vAlign w:val="center"/>
          </w:tcPr>
          <w:p w14:paraId="0553650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其他要求</w:t>
            </w:r>
          </w:p>
        </w:tc>
        <w:tc>
          <w:tcPr>
            <w:tcW w:w="6723" w:type="dxa"/>
            <w:vAlign w:val="center"/>
          </w:tcPr>
          <w:p w14:paraId="5F588723">
            <w:pPr>
              <w:keepNext w:val="0"/>
              <w:keepLines w:val="0"/>
              <w:pageBreakBefore w:val="0"/>
              <w:kinsoku/>
              <w:wordWrap/>
              <w:overflowPunct/>
              <w:topLinePunct w:val="0"/>
              <w:bidi w:val="0"/>
              <w:spacing w:line="240" w:lineRule="auto"/>
              <w:jc w:val="left"/>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1、踏勘现场时间及地点：不组织，各投标单位根据自己需要，自行前往勘察现场和周围环境，所产生的费用由投标单位自理。</w:t>
            </w:r>
            <w:r>
              <w:rPr>
                <w:rFonts w:hint="eastAsia" w:ascii="宋体" w:hAnsi="宋体" w:eastAsia="宋体" w:cs="宋体"/>
                <w:color w:val="auto"/>
                <w:szCs w:val="21"/>
                <w:highlight w:val="none"/>
              </w:rPr>
              <w:t>2、节能产品、环保产品：无要求；3、样品：无要求；4、现场演示：无要求</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5、本项目无需提供履约保证金</w:t>
            </w:r>
            <w:r>
              <w:rPr>
                <w:rFonts w:hint="eastAsia" w:ascii="宋体" w:hAnsi="宋体" w:eastAsia="宋体" w:cs="宋体"/>
                <w:color w:val="auto"/>
                <w:szCs w:val="21"/>
                <w:highlight w:val="none"/>
              </w:rPr>
              <w:t>。</w:t>
            </w:r>
          </w:p>
        </w:tc>
      </w:tr>
      <w:tr w14:paraId="543A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65A0EDD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2175" w:type="dxa"/>
            <w:vAlign w:val="center"/>
          </w:tcPr>
          <w:p w14:paraId="7880140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723" w:type="dxa"/>
            <w:vAlign w:val="center"/>
          </w:tcPr>
          <w:p w14:paraId="71851CA4">
            <w:pPr>
              <w:pStyle w:val="54"/>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1A82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09D63653">
            <w:pPr>
              <w:keepNext w:val="0"/>
              <w:keepLines w:val="0"/>
              <w:pageBreakBefore w:val="0"/>
              <w:kinsoku/>
              <w:wordWrap/>
              <w:overflowPunct/>
              <w:topLinePunct w:val="0"/>
              <w:bidi w:val="0"/>
              <w:spacing w:line="240" w:lineRule="auto"/>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2175" w:type="dxa"/>
            <w:shd w:val="clear" w:color="auto" w:fill="auto"/>
            <w:vAlign w:val="center"/>
          </w:tcPr>
          <w:p w14:paraId="19D8ED10">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6723" w:type="dxa"/>
            <w:shd w:val="clear" w:color="auto" w:fill="auto"/>
            <w:vAlign w:val="center"/>
          </w:tcPr>
          <w:p w14:paraId="211DB1FC">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5107C992">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25D77312">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198A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24E91F3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p>
        </w:tc>
        <w:tc>
          <w:tcPr>
            <w:tcW w:w="2175" w:type="dxa"/>
            <w:vAlign w:val="center"/>
          </w:tcPr>
          <w:p w14:paraId="1D0FE81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723" w:type="dxa"/>
            <w:vAlign w:val="center"/>
          </w:tcPr>
          <w:p w14:paraId="1F70437F">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25208555">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一、总则</w:t>
      </w:r>
    </w:p>
    <w:p w14:paraId="34C0D188">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 适用范围</w:t>
      </w:r>
    </w:p>
    <w:p w14:paraId="017F603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本磋商文件适用于本次项目的磋商、评审、确定成交供应商、验收、合同履约、付款等行为（法律、法规另有规定的，从其规定）。</w:t>
      </w:r>
    </w:p>
    <w:p w14:paraId="5E872E2F">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（二）定义</w:t>
      </w:r>
    </w:p>
    <w:p w14:paraId="560263E4">
      <w:pPr>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360" w:lineRule="auto"/>
        <w:ind w:firstLine="42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zh-CN"/>
        </w:rPr>
        <w:t>“采购组织机构”指采购人委托组织磋商的集中采购机构或采购代理机构。</w:t>
      </w:r>
    </w:p>
    <w:p w14:paraId="6F281BF5">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2、采购人：是指委托</w:t>
      </w:r>
      <w:r>
        <w:rPr>
          <w:rFonts w:hint="eastAsia" w:ascii="宋体" w:hAnsi="宋体" w:eastAsia="宋体" w:cs="宋体"/>
          <w:color w:val="auto"/>
          <w:szCs w:val="21"/>
          <w:highlight w:val="none"/>
          <w:lang w:val="zh-CN"/>
        </w:rPr>
        <w:t>集中采购机构或</w:t>
      </w:r>
      <w:r>
        <w:rPr>
          <w:rFonts w:hint="eastAsia" w:ascii="宋体" w:hAnsi="宋体" w:eastAsia="宋体" w:cs="宋体"/>
          <w:color w:val="auto"/>
          <w:szCs w:val="21"/>
          <w:highlight w:val="none"/>
        </w:rPr>
        <w:t>采购代理机构采购本次项目的国家机关、事业单位和团体组织。</w:t>
      </w:r>
    </w:p>
    <w:p w14:paraId="0A9F44D0">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3、磋商供应商：是指向</w:t>
      </w:r>
      <w:r>
        <w:rPr>
          <w:rFonts w:hint="eastAsia" w:ascii="宋体" w:hAnsi="宋体" w:eastAsia="宋体" w:cs="宋体"/>
          <w:color w:val="auto"/>
          <w:szCs w:val="21"/>
          <w:highlight w:val="none"/>
          <w:lang w:val="zh-CN"/>
        </w:rPr>
        <w:t>采购组织机构</w:t>
      </w:r>
      <w:r>
        <w:rPr>
          <w:rFonts w:hint="eastAsia" w:ascii="宋体" w:hAnsi="宋体" w:eastAsia="宋体" w:cs="宋体"/>
          <w:color w:val="auto"/>
          <w:szCs w:val="21"/>
          <w:highlight w:val="none"/>
        </w:rPr>
        <w:t>提交磋商响应文件的单位或个人。</w:t>
      </w:r>
    </w:p>
    <w:p w14:paraId="232BF079">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4、货物：是指各种形态和种类的物品，包括原材料、燃料、设备、产品等。</w:t>
      </w:r>
    </w:p>
    <w:p w14:paraId="2755CFEC">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5、服务：是指除货物和工程以外的政府采购对象，包括各类专业服务、信息网络开发服务、金融保险服务、运输服务，以及维修与维护服务等。</w:t>
      </w:r>
    </w:p>
    <w:p w14:paraId="31647EFF">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6、“书面形式”包括信函、传真等。</w:t>
      </w:r>
    </w:p>
    <w:p w14:paraId="2E9323F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7、“▲”系指实质性要求条款。</w:t>
      </w:r>
    </w:p>
    <w:p w14:paraId="422809EB">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（三）磋商费用</w:t>
      </w:r>
    </w:p>
    <w:p w14:paraId="5FB45EA5">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不论磋商结果如何，供应商均应自行承担所有与磋商有关的全部费用（磋商文件有相关规定除外）。</w:t>
      </w:r>
    </w:p>
    <w:p w14:paraId="66D68EE5">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（四）特别说明</w:t>
      </w:r>
    </w:p>
    <w:p w14:paraId="06B0B67C">
      <w:pPr>
        <w:pStyle w:val="11"/>
        <w:keepNext w:val="0"/>
        <w:keepLines w:val="0"/>
        <w:pageBreakBefore w:val="0"/>
        <w:kinsoku/>
        <w:wordWrap/>
        <w:overflowPunct/>
        <w:topLinePunct w:val="0"/>
        <w:bidi w:val="0"/>
        <w:snapToGrid w:val="0"/>
        <w:spacing w:line="360" w:lineRule="auto"/>
        <w:ind w:left="2" w:leftChars="1"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1、供应商磋商所使用的资格、信誉、荣誉、业绩与企业认证必须为本供应商所拥有。供应商磋商所使用的采购项目实施人员必须为本供应商员工。▲其中涉及资格条件的如非本法人所拥有，则投标无效。</w:t>
      </w:r>
    </w:p>
    <w:p w14:paraId="2AED921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szCs w:val="21"/>
          <w:highlight w:val="none"/>
        </w:rPr>
        <w:t>磋商供应商对所标产品技术参数的真实性承担法律责任。</w:t>
      </w:r>
      <w:r>
        <w:rPr>
          <w:rFonts w:hint="eastAsia" w:ascii="宋体" w:hAnsi="宋体" w:eastAsia="宋体" w:cs="宋体"/>
          <w:color w:val="auto"/>
          <w:szCs w:val="21"/>
          <w:highlight w:val="none"/>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szCs w:val="21"/>
          <w:highlight w:val="none"/>
        </w:rPr>
        <w:tab/>
      </w:r>
    </w:p>
    <w:p w14:paraId="4C580BB1">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77FA5DE">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▲4、供应商不得相互串通磋商报价，不得妨碍其他供应商的公平竞争，不得损害采购人或其他供应商的合法权益，供应商不得以向采购人、磋商小组成员行贿或者采取其他不正当手段谋取成交。</w:t>
      </w:r>
    </w:p>
    <w:p w14:paraId="5CAF59BE">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▲5、为采购项目提供整体设计、规范编制或者项目管理、监理、检测等服务的供应商，不得再参加该采购项目的其他采购活动。</w:t>
      </w:r>
    </w:p>
    <w:p w14:paraId="406410A4">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6、磋商响应文件格式中的表格式样可以根据项目差别做适当调整,但应当保持表格样式基本形态不变。</w:t>
      </w:r>
    </w:p>
    <w:p w14:paraId="5144BAFC">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b w:val="0"/>
          <w:bCs w:val="0"/>
          <w:color w:val="auto"/>
          <w:sz w:val="21"/>
          <w:szCs w:val="21"/>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035ACE23">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b w:val="0"/>
          <w:bCs w:val="0"/>
          <w:color w:val="auto"/>
          <w:sz w:val="21"/>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184E3053">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b w:val="0"/>
          <w:bCs w:val="0"/>
          <w:color w:val="auto"/>
          <w:sz w:val="21"/>
          <w:szCs w:val="21"/>
          <w:highlight w:val="none"/>
        </w:rPr>
        <w:t>9、本项目不允许</w:t>
      </w:r>
      <w:r>
        <w:rPr>
          <w:rFonts w:hint="eastAsia" w:ascii="宋体" w:hAnsi="宋体" w:eastAsia="宋体" w:cs="宋体"/>
          <w:b w:val="0"/>
          <w:bCs w:val="0"/>
          <w:color w:val="auto"/>
          <w:sz w:val="21"/>
          <w:szCs w:val="21"/>
          <w:highlight w:val="none"/>
          <w:lang w:val="en-US" w:eastAsia="zh-CN"/>
        </w:rPr>
        <w:t>转包、</w:t>
      </w:r>
      <w:r>
        <w:rPr>
          <w:rFonts w:hint="eastAsia" w:ascii="宋体" w:hAnsi="宋体" w:eastAsia="宋体" w:cs="宋体"/>
          <w:b w:val="0"/>
          <w:bCs w:val="0"/>
          <w:color w:val="auto"/>
          <w:sz w:val="21"/>
          <w:szCs w:val="21"/>
          <w:highlight w:val="none"/>
        </w:rPr>
        <w:t>分包。</w:t>
      </w:r>
    </w:p>
    <w:p w14:paraId="0CA43308">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二、磋商响应文件</w:t>
      </w:r>
    </w:p>
    <w:p w14:paraId="00DA8607">
      <w:pPr>
        <w:keepNext w:val="0"/>
        <w:keepLines w:val="0"/>
        <w:pageBreakBefore w:val="0"/>
        <w:kinsoku/>
        <w:wordWrap/>
        <w:overflowPunct/>
        <w:topLinePunct w:val="0"/>
        <w:autoSpaceDE w:val="0"/>
        <w:autoSpaceDN w:val="0"/>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（一）磋商</w:t>
      </w:r>
      <w:r>
        <w:rPr>
          <w:rFonts w:hint="eastAsia" w:ascii="宋体" w:hAnsi="宋体" w:eastAsia="宋体" w:cs="宋体"/>
          <w:b/>
          <w:color w:val="auto"/>
          <w:szCs w:val="21"/>
          <w:highlight w:val="none"/>
        </w:rPr>
        <w:t>响应文件的形式和效力</w:t>
      </w:r>
    </w:p>
    <w:p w14:paraId="419B317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68C62C4F">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Cs w:val="21"/>
          <w:highlight w:val="none"/>
          <w:lang w:val="zh-CN"/>
        </w:rPr>
        <w:t>电子磋商响应文件按</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云平台供应商项目采购-电子招</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1BDCE06B">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备份磋商响应文件是指“电子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文件”同时生成的数据电文形式的电子文件（备份标书），以U盘形式提供。</w:t>
      </w:r>
    </w:p>
    <w:p w14:paraId="42FA607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28FA58C2">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2CB84DDD">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（二）磋商响应文件的组成</w:t>
      </w:r>
    </w:p>
    <w:p w14:paraId="6D02142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仔细阅读磋商采购文件的所有内容，按磋商采购文件的要求，详细编制磋商响应文件（包含电子响应文件和备份响应文件）。【特别提示：如有要求提供资料原件的，原件另行包装，并与磋商响应文件一起提交，磋商响应截止时间后所有原件不予接收。资料原件也可以用与原件相符的公证原件替代】</w:t>
      </w:r>
    </w:p>
    <w:p w14:paraId="493D08F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▲1、资格证明内容的组成：</w:t>
      </w:r>
    </w:p>
    <w:p w14:paraId="708012E3">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磋商声明书</w:t>
      </w:r>
      <w:r>
        <w:rPr>
          <w:rFonts w:hint="eastAsia" w:ascii="宋体" w:hAnsi="宋体" w:eastAsia="宋体" w:cs="宋体"/>
          <w:color w:val="auto"/>
          <w:szCs w:val="21"/>
          <w:highlight w:val="none"/>
        </w:rPr>
        <w:t>；</w:t>
      </w:r>
    </w:p>
    <w:p w14:paraId="55B463D2">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3A5DFB78">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0B0A2BB7">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认为需要说明的其他材料；</w:t>
      </w:r>
    </w:p>
    <w:p w14:paraId="563EA93A">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2、商务与技术内容的组成：</w:t>
      </w:r>
    </w:p>
    <w:p w14:paraId="6297793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）评标索引:自评表；</w:t>
      </w:r>
    </w:p>
    <w:p w14:paraId="16ED7A8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）供应商</w:t>
      </w:r>
      <w:r>
        <w:rPr>
          <w:rFonts w:hint="eastAsia" w:ascii="宋体" w:hAnsi="宋体" w:cs="宋体"/>
          <w:color w:val="auto"/>
          <w:szCs w:val="21"/>
          <w:highlight w:val="none"/>
          <w:lang w:val="en-US" w:eastAsia="zh-CN"/>
        </w:rPr>
        <w:t>基本情况表</w:t>
      </w:r>
      <w:r>
        <w:rPr>
          <w:rFonts w:hint="eastAsia" w:ascii="宋体" w:hAnsi="宋体" w:eastAsia="宋体" w:cs="宋体"/>
          <w:color w:val="auto"/>
          <w:szCs w:val="21"/>
          <w:highlight w:val="none"/>
        </w:rPr>
        <w:t>；</w:t>
      </w:r>
    </w:p>
    <w:p w14:paraId="0ACAA55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）项目组织实施方案：</w:t>
      </w:r>
    </w:p>
    <w:p w14:paraId="150ABDE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A.项目需求的理解与分析(供应商对项目现状及需求的理解情况，对项目现状和需求描述的全面性、准确性、针对性，对项目重点、难点的把握，解决方案及合理化建议)。</w:t>
      </w:r>
    </w:p>
    <w:p w14:paraId="12EFF60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B.项目组织实施方案（包括项目</w:t>
      </w:r>
      <w:r>
        <w:rPr>
          <w:rFonts w:hint="eastAsia" w:ascii="宋体" w:hAnsi="宋体" w:eastAsia="宋体" w:cs="宋体"/>
          <w:color w:val="auto"/>
          <w:szCs w:val="21"/>
          <w:highlight w:val="none"/>
          <w:lang w:val="en-US" w:eastAsia="zh-CN"/>
        </w:rPr>
        <w:t>服务期</w:t>
      </w:r>
      <w:r>
        <w:rPr>
          <w:rFonts w:hint="eastAsia" w:ascii="宋体" w:hAnsi="宋体" w:eastAsia="宋体" w:cs="宋体"/>
          <w:color w:val="auto"/>
          <w:szCs w:val="21"/>
          <w:highlight w:val="none"/>
        </w:rPr>
        <w:t>、确保项目</w:t>
      </w:r>
      <w:r>
        <w:rPr>
          <w:rFonts w:hint="eastAsia" w:ascii="宋体" w:hAnsi="宋体" w:eastAsia="宋体" w:cs="宋体"/>
          <w:color w:val="auto"/>
          <w:szCs w:val="21"/>
          <w:highlight w:val="none"/>
          <w:lang w:val="en-US" w:eastAsia="zh-CN"/>
        </w:rPr>
        <w:t>实施</w:t>
      </w:r>
      <w:r>
        <w:rPr>
          <w:rFonts w:hint="eastAsia" w:ascii="宋体" w:hAnsi="宋体" w:eastAsia="宋体" w:cs="宋体"/>
          <w:color w:val="auto"/>
          <w:szCs w:val="21"/>
          <w:highlight w:val="none"/>
        </w:rPr>
        <w:t>的措施或方案、项目</w:t>
      </w:r>
      <w:r>
        <w:rPr>
          <w:rFonts w:hint="eastAsia" w:ascii="宋体" w:hAnsi="宋体" w:eastAsia="宋体" w:cs="宋体"/>
          <w:color w:val="auto"/>
          <w:sz w:val="21"/>
          <w:szCs w:val="21"/>
          <w:highlight w:val="none"/>
        </w:rPr>
        <w:t>实施进度安排、项目实施人员及项目负责人的资质、类似经验及社保证明等</w:t>
      </w:r>
      <w:r>
        <w:rPr>
          <w:rFonts w:hint="eastAsia" w:ascii="宋体" w:hAnsi="宋体" w:eastAsia="宋体" w:cs="宋体"/>
          <w:color w:val="auto"/>
          <w:szCs w:val="21"/>
          <w:highlight w:val="none"/>
        </w:rPr>
        <w:t>）。</w:t>
      </w:r>
    </w:p>
    <w:p w14:paraId="25C971C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C.验收方案（包括项目验收标准和验收方法等）和措施；</w:t>
      </w:r>
    </w:p>
    <w:p w14:paraId="0195363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）项目实施人员一览表</w:t>
      </w:r>
      <w:r>
        <w:rPr>
          <w:rFonts w:hint="eastAsia" w:ascii="宋体" w:hAnsi="宋体" w:cs="宋体"/>
          <w:color w:val="auto"/>
          <w:szCs w:val="21"/>
          <w:highlight w:val="none"/>
          <w:lang w:eastAsia="zh-CN"/>
        </w:rPr>
        <w:t>；</w:t>
      </w:r>
    </w:p>
    <w:p w14:paraId="47AA92F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）项目负责人资格情况表</w:t>
      </w:r>
      <w:r>
        <w:rPr>
          <w:rFonts w:hint="eastAsia" w:ascii="宋体" w:hAnsi="宋体" w:cs="宋体"/>
          <w:color w:val="auto"/>
          <w:szCs w:val="21"/>
          <w:highlight w:val="none"/>
          <w:lang w:eastAsia="zh-CN"/>
        </w:rPr>
        <w:t>；</w:t>
      </w:r>
    </w:p>
    <w:p w14:paraId="79E3BC0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商务及技术响应表</w:t>
      </w:r>
      <w:r>
        <w:rPr>
          <w:rFonts w:hint="eastAsia" w:ascii="宋体" w:hAnsi="宋体" w:cs="宋体"/>
          <w:color w:val="auto"/>
          <w:szCs w:val="21"/>
          <w:highlight w:val="none"/>
          <w:lang w:eastAsia="zh-CN"/>
        </w:rPr>
        <w:t>；</w:t>
      </w:r>
    </w:p>
    <w:p w14:paraId="25DCBF8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）企业证书一览表</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供应商通过的与本项目相关的认证证书或文件</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p>
    <w:p w14:paraId="0CAE301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）类似项目实施情况一览表（供应商类似项目实施情况一览表、合同等）；</w:t>
      </w:r>
    </w:p>
    <w:p w14:paraId="328F892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）供应商认为需要提供的其他资料（包括可能影响供应商商务与技术内容评分的各类证明材料）。</w:t>
      </w:r>
    </w:p>
    <w:p w14:paraId="3C903AC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）售后服务措施及承诺：</w:t>
      </w:r>
    </w:p>
    <w:p w14:paraId="0B4F48E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A.距采购人最近的服务网点详细介绍（包括地理位置、资质资格、技术力量、工作业绩、服务内容及联系电话等）。</w:t>
      </w:r>
    </w:p>
    <w:p w14:paraId="5A3CC10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B.针对本项目的售后服务措施及承诺（售后技术服务方案、人员配备、服务响应时间、技术培训方案等）。</w:t>
      </w:r>
    </w:p>
    <w:p w14:paraId="388BE365">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注：若磋商文件中有专门标注的某关联点，并要求供应商在电子投标系统中作出磋商响应的，如供应商未对关联点进行响应或者在响应文件其它内容进行描述，造成电子评审不能查询的责任由供应商自行承担。</w:t>
      </w:r>
    </w:p>
    <w:p w14:paraId="7D13DAF4">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3、报价内容的组成</w:t>
      </w:r>
    </w:p>
    <w:p w14:paraId="463D2214">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（1）报价内容由</w:t>
      </w:r>
      <w:r>
        <w:rPr>
          <w:rFonts w:hint="eastAsia" w:ascii="宋体" w:hAnsi="宋体" w:eastAsia="宋体" w:cs="宋体"/>
          <w:b/>
          <w:bCs/>
          <w:color w:val="auto"/>
          <w:szCs w:val="21"/>
          <w:highlight w:val="none"/>
          <w:lang w:val="en-US" w:eastAsia="zh-CN"/>
        </w:rPr>
        <w:t>开标</w:t>
      </w:r>
      <w:r>
        <w:rPr>
          <w:rFonts w:hint="eastAsia" w:ascii="宋体" w:hAnsi="宋体" w:eastAsia="宋体" w:cs="宋体"/>
          <w:b/>
          <w:bCs/>
          <w:color w:val="auto"/>
          <w:szCs w:val="21"/>
          <w:highlight w:val="none"/>
        </w:rPr>
        <w:t>一览表、中小企业声明函，以及供应商认为其他需要说明的内容组成。</w:t>
      </w:r>
    </w:p>
    <w:p w14:paraId="367E691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▲（2）此报价为供应商针对本项目报出的唯一的首次报价，包含其它一切所要涉及到的费用，有选择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附条件</w:t>
      </w:r>
      <w:r>
        <w:rPr>
          <w:rFonts w:hint="eastAsia" w:ascii="宋体" w:hAnsi="宋体" w:eastAsia="宋体" w:cs="宋体"/>
          <w:color w:val="auto"/>
          <w:szCs w:val="21"/>
          <w:highlight w:val="none"/>
        </w:rPr>
        <w:t>的报价将被拒绝。</w:t>
      </w:r>
    </w:p>
    <w:p w14:paraId="032C883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3B1D30D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（4）政府采购优惠政策相关资料。</w:t>
      </w:r>
    </w:p>
    <w:p w14:paraId="2517DEA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（5）相关报价表需打印或用不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4B26E2D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（6）报价有关表格应按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43225D80">
      <w:pPr>
        <w:pStyle w:val="3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（7）最后的磋商报价低于首次报价，除磋商内容发生实质性变更，其报价明细表（如有）中各项报价需另行明确以外，各项报价均按比例下调。</w:t>
      </w:r>
    </w:p>
    <w:p w14:paraId="2C810E0D">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（三）磋商响应文件的制作、封装及递交要求</w:t>
      </w:r>
    </w:p>
    <w:p w14:paraId="590BAA37">
      <w:pPr>
        <w:keepNext w:val="0"/>
        <w:keepLines w:val="0"/>
        <w:pageBreakBefore w:val="0"/>
        <w:kinsoku/>
        <w:wordWrap/>
        <w:overflowPunct/>
        <w:topLinePunct w:val="0"/>
        <w:bidi w:val="0"/>
        <w:snapToGrid w:val="0"/>
        <w:spacing w:before="120" w:beforeLines="50"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3E9DF14E">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238A20FC">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00E9CA3B">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1CC3DCF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669B076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2、磋商响应文件的制作要求</w:t>
      </w:r>
    </w:p>
    <w:p w14:paraId="0FE00F5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013D52F2">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响应文件（包含电子磋商响应文件和备份磋商响应文件）</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其中电子磋商响应文件中所须加盖公章部分均采用CA签章。备份磋商响应文件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要求密封</w:t>
      </w:r>
      <w:r>
        <w:rPr>
          <w:rFonts w:hint="eastAsia" w:ascii="宋体" w:hAnsi="宋体" w:eastAsia="宋体" w:cs="宋体"/>
          <w:color w:val="auto"/>
          <w:szCs w:val="21"/>
          <w:highlight w:val="none"/>
        </w:rPr>
        <w:t>，否则其响应文件将可能被拒绝。</w:t>
      </w:r>
    </w:p>
    <w:p w14:paraId="4CC2ADA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3F56493F">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1F9BB8F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251CDD6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041CD6E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2916003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3、磋商响应文件的封装要求</w:t>
      </w:r>
    </w:p>
    <w:p w14:paraId="2F5179B4">
      <w:pPr>
        <w:pStyle w:val="54"/>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361A6F9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2ABD061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27727B2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06BD7D5F">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4A5A46F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4、磋商响应文件的递交要求</w:t>
      </w:r>
    </w:p>
    <w:p w14:paraId="6C27D0A6">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备份磋商响应文件在截止时间后提交、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，采购代理机构将拒绝接收。▲如供应商未在磋商截止时间前完成电子磋商响应文件的传输递交，其备份磋商响应文件也将为无效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rPr>
        <w:t>磋商响应文件。</w:t>
      </w:r>
    </w:p>
    <w:p w14:paraId="686129D5">
      <w:pPr>
        <w:keepNext w:val="0"/>
        <w:keepLines w:val="0"/>
        <w:pageBreakBefore w:val="0"/>
        <w:tabs>
          <w:tab w:val="left" w:pos="1418"/>
        </w:tabs>
        <w:kinsoku/>
        <w:wordWrap/>
        <w:overflowPunct/>
        <w:topLinePunct w:val="0"/>
        <w:autoSpaceDE w:val="0"/>
        <w:autoSpaceDN w:val="0"/>
        <w:bidi w:val="0"/>
        <w:adjustRightIn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（2）电子</w:t>
      </w:r>
      <w:r>
        <w:rPr>
          <w:rFonts w:hint="eastAsia" w:ascii="宋体" w:hAnsi="宋体" w:eastAsia="宋体" w:cs="宋体"/>
          <w:b/>
          <w:bCs/>
          <w:color w:val="auto"/>
          <w:szCs w:val="21"/>
          <w:highlight w:val="none"/>
          <w:lang w:val="en-US" w:eastAsia="zh-CN"/>
        </w:rPr>
        <w:t>磋商响应</w:t>
      </w:r>
      <w:r>
        <w:rPr>
          <w:rFonts w:hint="eastAsia" w:ascii="宋体" w:hAnsi="宋体" w:eastAsia="宋体" w:cs="宋体"/>
          <w:b/>
          <w:bCs/>
          <w:color w:val="auto"/>
          <w:szCs w:val="21"/>
          <w:highlight w:val="none"/>
        </w:rPr>
        <w:t>文件的相关说明</w:t>
      </w:r>
    </w:p>
    <w:p w14:paraId="03B5A7BA">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4F4E157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710F169B">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7B628CA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136472E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58517D9E">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5、磋商响应文件的补充、修改和撤回。</w:t>
      </w:r>
    </w:p>
    <w:p w14:paraId="4184981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供应商</w:t>
      </w:r>
      <w:r>
        <w:rPr>
          <w:rFonts w:hint="eastAsia" w:ascii="宋体" w:hAnsi="宋体" w:eastAsia="宋体" w:cs="宋体"/>
          <w:b w:val="0"/>
          <w:bCs w:val="0"/>
          <w:color w:val="auto"/>
          <w:kern w:val="2"/>
          <w:sz w:val="21"/>
          <w:szCs w:val="21"/>
          <w:highlight w:val="none"/>
          <w:lang w:val="en-GB" w:eastAsia="zh-CN" w:bidi="ar-SA"/>
        </w:rPr>
        <w:t>应当在投标截止时间前完成电子</w:t>
      </w:r>
      <w:r>
        <w:rPr>
          <w:rFonts w:hint="eastAsia" w:ascii="宋体" w:hAnsi="宋体" w:eastAsia="宋体" w:cs="宋体"/>
          <w:b w:val="0"/>
          <w:bCs w:val="0"/>
          <w:color w:val="auto"/>
          <w:kern w:val="2"/>
          <w:sz w:val="21"/>
          <w:szCs w:val="21"/>
          <w:highlight w:val="none"/>
          <w:lang w:val="en-US" w:eastAsia="zh-CN" w:bidi="ar-SA"/>
        </w:rPr>
        <w:t>磋商响应</w:t>
      </w:r>
      <w:r>
        <w:rPr>
          <w:rFonts w:hint="eastAsia" w:ascii="宋体" w:hAnsi="宋体" w:eastAsia="宋体" w:cs="宋体"/>
          <w:b w:val="0"/>
          <w:bCs w:val="0"/>
          <w:color w:val="auto"/>
          <w:kern w:val="2"/>
          <w:sz w:val="21"/>
          <w:szCs w:val="21"/>
          <w:highlight w:val="none"/>
          <w:lang w:val="en-GB" w:eastAsia="zh-CN" w:bidi="ar-SA"/>
        </w:rPr>
        <w:t>文件的上传、递交，并可以补充、修改或者撤回</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文件。补充或者修改</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文件。投标截止时间后递交的</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文件，“政府采购云平台”将予以拒收。</w:t>
      </w:r>
    </w:p>
    <w:p w14:paraId="1ABC99A3">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GB" w:eastAsia="zh-CN" w:bidi="ar-SA"/>
        </w:rPr>
        <w:t>）投标截止时间后，供应商不得撤回、修改</w:t>
      </w:r>
      <w:r>
        <w:rPr>
          <w:rFonts w:hint="eastAsia" w:ascii="宋体" w:hAnsi="宋体" w:eastAsia="宋体" w:cs="宋体"/>
          <w:b w:val="0"/>
          <w:bCs w:val="0"/>
          <w:color w:val="auto"/>
          <w:kern w:val="2"/>
          <w:sz w:val="21"/>
          <w:szCs w:val="21"/>
          <w:highlight w:val="none"/>
          <w:lang w:val="en-US" w:eastAsia="zh-CN" w:bidi="ar-SA"/>
        </w:rPr>
        <w:t>磋商响应</w:t>
      </w:r>
      <w:r>
        <w:rPr>
          <w:rFonts w:hint="eastAsia" w:ascii="宋体" w:hAnsi="宋体" w:eastAsia="宋体" w:cs="宋体"/>
          <w:b w:val="0"/>
          <w:bCs w:val="0"/>
          <w:color w:val="auto"/>
          <w:kern w:val="2"/>
          <w:sz w:val="21"/>
          <w:szCs w:val="21"/>
          <w:highlight w:val="none"/>
          <w:lang w:val="en-GB" w:eastAsia="zh-CN" w:bidi="ar-SA"/>
        </w:rPr>
        <w:t>文件。</w:t>
      </w:r>
    </w:p>
    <w:p w14:paraId="7A12CF81">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GB" w:eastAsia="zh-CN" w:bidi="ar-SA"/>
        </w:rPr>
        <w:t>在开标后规定的投标有效期内，</w:t>
      </w:r>
      <w:r>
        <w:rPr>
          <w:rFonts w:hint="eastAsia" w:ascii="宋体" w:hAnsi="宋体" w:eastAsia="宋体" w:cs="宋体"/>
          <w:b w:val="0"/>
          <w:bCs w:val="0"/>
          <w:color w:val="auto"/>
          <w:kern w:val="2"/>
          <w:sz w:val="21"/>
          <w:szCs w:val="21"/>
          <w:highlight w:val="none"/>
          <w:lang w:val="en-US" w:eastAsia="zh-CN" w:bidi="ar-SA"/>
        </w:rPr>
        <w:t>供应商</w:t>
      </w:r>
      <w:r>
        <w:rPr>
          <w:rFonts w:hint="eastAsia" w:ascii="宋体" w:hAnsi="宋体" w:eastAsia="宋体" w:cs="宋体"/>
          <w:b w:val="0"/>
          <w:bCs w:val="0"/>
          <w:color w:val="auto"/>
          <w:kern w:val="2"/>
          <w:sz w:val="21"/>
          <w:szCs w:val="21"/>
          <w:highlight w:val="none"/>
          <w:lang w:val="en-GB" w:eastAsia="zh-CN" w:bidi="ar-SA"/>
        </w:rPr>
        <w:t>不能撤销</w:t>
      </w:r>
      <w:r>
        <w:rPr>
          <w:rFonts w:hint="eastAsia" w:ascii="宋体" w:hAnsi="宋体" w:eastAsia="宋体" w:cs="宋体"/>
          <w:b w:val="0"/>
          <w:bCs w:val="0"/>
          <w:color w:val="auto"/>
          <w:kern w:val="2"/>
          <w:sz w:val="21"/>
          <w:szCs w:val="21"/>
          <w:highlight w:val="none"/>
          <w:lang w:val="en-US" w:eastAsia="zh-CN" w:bidi="ar-SA"/>
        </w:rPr>
        <w:t>磋商响应</w:t>
      </w:r>
      <w:r>
        <w:rPr>
          <w:rFonts w:hint="eastAsia" w:ascii="宋体" w:hAnsi="宋体" w:eastAsia="宋体" w:cs="宋体"/>
          <w:b w:val="0"/>
          <w:bCs w:val="0"/>
          <w:color w:val="auto"/>
          <w:kern w:val="2"/>
          <w:sz w:val="21"/>
          <w:szCs w:val="21"/>
          <w:highlight w:val="none"/>
          <w:lang w:val="en-GB" w:eastAsia="zh-CN" w:bidi="ar-SA"/>
        </w:rPr>
        <w:t>文件。</w:t>
      </w:r>
    </w:p>
    <w:p w14:paraId="1EED9925">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（四）磋商响应文件的有效期</w:t>
      </w:r>
    </w:p>
    <w:p w14:paraId="39C9F71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▲1、自磋商响应截止日起90天磋商响应文件应保持有效。有效期不足的磋商响应文件将被拒绝。</w:t>
      </w:r>
    </w:p>
    <w:p w14:paraId="582BC48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2、在符合相关法律法规规定的情况下，采购人可与磋商供应商协商延长磋商响应文件的有效期，这种要求和答复均以书面形式进行。</w:t>
      </w:r>
    </w:p>
    <w:p w14:paraId="314F2CA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3、磋商供应商可拒绝接受延期要求。同意延长有效期的磋商供应商不能修改磋商响应文件。 </w:t>
      </w:r>
    </w:p>
    <w:p w14:paraId="5B54E2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成交供应商的磋商响应文件自磋商之日起至合同履行完毕均应保持有效。</w:t>
      </w:r>
    </w:p>
    <w:p w14:paraId="35CEF3D7">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color w:val="auto"/>
          <w:kern w:val="0"/>
          <w:szCs w:val="21"/>
          <w:highlight w:val="none"/>
        </w:rPr>
      </w:pPr>
      <w:r>
        <w:rPr>
          <w:rFonts w:hint="eastAsia" w:ascii="宋体" w:hAnsi="宋体" w:eastAsia="宋体" w:cs="宋体"/>
          <w:b/>
          <w:bCs/>
          <w:color w:val="auto"/>
          <w:szCs w:val="21"/>
          <w:highlight w:val="none"/>
        </w:rPr>
        <w:t>三、磋商</w:t>
      </w:r>
    </w:p>
    <w:p w14:paraId="33F66519">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（一）磋商</w:t>
      </w:r>
      <w:r>
        <w:rPr>
          <w:rFonts w:hint="eastAsia" w:ascii="宋体" w:hAnsi="宋体" w:eastAsia="宋体" w:cs="宋体"/>
          <w:b/>
          <w:bCs/>
          <w:color w:val="auto"/>
          <w:szCs w:val="21"/>
          <w:highlight w:val="none"/>
        </w:rPr>
        <w:t>事项：</w:t>
      </w:r>
    </w:p>
    <w:p w14:paraId="2B791453">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70AFFF94">
      <w:pPr>
        <w:tabs>
          <w:tab w:val="left" w:pos="1418"/>
        </w:tabs>
        <w:autoSpaceDE w:val="0"/>
        <w:autoSpaceDN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cs="宋体"/>
          <w:b/>
          <w:bCs/>
          <w:color w:val="auto"/>
          <w:szCs w:val="21"/>
          <w:highlight w:val="none"/>
        </w:rPr>
        <w:t>给予供应商在线解密的时间为截止</w:t>
      </w:r>
      <w:r>
        <w:rPr>
          <w:rFonts w:hint="eastAsia" w:ascii="宋体" w:hAnsi="宋体" w:cs="宋体"/>
          <w:b/>
          <w:bCs/>
          <w:color w:val="auto"/>
          <w:szCs w:val="21"/>
          <w:highlight w:val="none"/>
          <w:lang w:val="en-US" w:eastAsia="zh-CN"/>
        </w:rPr>
        <w:t>提交</w:t>
      </w:r>
      <w:r>
        <w:rPr>
          <w:rFonts w:hint="eastAsia" w:ascii="宋体" w:hAnsi="宋体" w:cs="宋体"/>
          <w:b/>
          <w:bCs/>
          <w:color w:val="auto"/>
          <w:szCs w:val="21"/>
          <w:highlight w:val="none"/>
        </w:rPr>
        <w:t>磋商</w:t>
      </w:r>
      <w:r>
        <w:rPr>
          <w:rFonts w:hint="eastAsia" w:ascii="宋体" w:hAnsi="宋体" w:cs="宋体"/>
          <w:b/>
          <w:bCs/>
          <w:color w:val="auto"/>
          <w:szCs w:val="21"/>
          <w:highlight w:val="none"/>
          <w:lang w:val="en-US" w:eastAsia="zh-CN"/>
        </w:rPr>
        <w:t>响应文件</w:t>
      </w:r>
      <w:r>
        <w:rPr>
          <w:rFonts w:hint="eastAsia" w:ascii="宋体" w:hAnsi="宋体" w:cs="宋体"/>
          <w:b/>
          <w:bCs/>
          <w:color w:val="auto"/>
          <w:szCs w:val="21"/>
          <w:highlight w:val="none"/>
        </w:rPr>
        <w:t>后30分钟。</w:t>
      </w:r>
    </w:p>
    <w:p w14:paraId="2606CB3F">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47901EBC">
      <w:pPr>
        <w:keepNext w:val="0"/>
        <w:keepLines w:val="0"/>
        <w:pageBreakBefore w:val="0"/>
        <w:numPr>
          <w:ilvl w:val="0"/>
          <w:numId w:val="3"/>
        </w:numPr>
        <w:kinsoku/>
        <w:wordWrap/>
        <w:overflowPunct/>
        <w:topLinePunct w:val="0"/>
        <w:autoSpaceDE w:val="0"/>
        <w:autoSpaceDN w:val="0"/>
        <w:bidi w:val="0"/>
        <w:adjustRightIn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磋商委员会或磋商小组</w:t>
      </w:r>
    </w:p>
    <w:p w14:paraId="3F2B71AF">
      <w:pPr>
        <w:keepNext w:val="0"/>
        <w:keepLines w:val="0"/>
        <w:pageBreakBefore w:val="0"/>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磋商委员会或磋商小组（以下简称磋商委员会）成员由政府采购管理部门负责组织，对具备实质性响应的</w:t>
      </w:r>
      <w:r>
        <w:rPr>
          <w:rFonts w:hint="eastAsia" w:ascii="宋体" w:hAnsi="宋体" w:eastAsia="宋体" w:cs="宋体"/>
          <w:bCs/>
          <w:color w:val="auto"/>
          <w:szCs w:val="21"/>
          <w:highlight w:val="none"/>
          <w:lang w:val="en-US" w:eastAsia="zh-CN"/>
        </w:rPr>
        <w:t>响应</w:t>
      </w:r>
      <w:r>
        <w:rPr>
          <w:rFonts w:hint="eastAsia" w:ascii="宋体" w:hAnsi="宋体" w:eastAsia="宋体" w:cs="宋体"/>
          <w:bCs/>
          <w:color w:val="auto"/>
          <w:szCs w:val="21"/>
          <w:highlight w:val="none"/>
        </w:rPr>
        <w:t xml:space="preserve">文件进行评估和比较。磋商委员会由招标人的代表、专家和其他有关方面的代表组成。 </w:t>
      </w:r>
    </w:p>
    <w:p w14:paraId="15D1D2A0">
      <w:pPr>
        <w:keepNext w:val="0"/>
        <w:keepLines w:val="0"/>
        <w:pageBreakBefore w:val="0"/>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0BE874ED">
      <w:pPr>
        <w:keepNext w:val="0"/>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（三）磋商程序</w:t>
      </w:r>
    </w:p>
    <w:p w14:paraId="7D4512A9">
      <w:pPr>
        <w:keepNext w:val="0"/>
        <w:keepLines w:val="0"/>
        <w:pageBreakBefore w:val="0"/>
        <w:kinsoku/>
        <w:wordWrap/>
        <w:overflowPunct/>
        <w:topLinePunct w:val="0"/>
        <w:autoSpaceDE w:val="0"/>
        <w:autoSpaceDN w:val="0"/>
        <w:bidi w:val="0"/>
        <w:adjustRightInd w:val="0"/>
        <w:spacing w:line="360" w:lineRule="auto"/>
        <w:ind w:firstLine="415" w:firstLineChars="198"/>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470BC6CB">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0D584AF7">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7FD05673">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58A85AC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71C9D5F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w:t>
      </w:r>
      <w:r>
        <w:rPr>
          <w:rFonts w:hint="eastAsia" w:ascii="宋体" w:hAnsi="宋体" w:cs="宋体"/>
          <w:color w:val="auto"/>
          <w:szCs w:val="21"/>
          <w:highlight w:val="none"/>
        </w:rPr>
        <w:t>▲</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545198DA">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对响应文件的初审</w:t>
      </w:r>
    </w:p>
    <w:p w14:paraId="50FACB48">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A.</w:t>
      </w:r>
      <w:r>
        <w:rPr>
          <w:rFonts w:hint="eastAsia" w:ascii="宋体" w:hAnsi="宋体" w:eastAsia="宋体" w:cs="宋体"/>
          <w:color w:val="auto"/>
          <w:szCs w:val="21"/>
          <w:highlight w:val="none"/>
        </w:rPr>
        <w:t>资格性检查：依据法律法规和磋商文件的规定，对响应文件中的资格条件进行审查，以确定磋商供应商是否具备投标资格。</w:t>
      </w:r>
    </w:p>
    <w:p w14:paraId="49BB9DB1">
      <w:pPr>
        <w:keepNext w:val="0"/>
        <w:keepLines w:val="0"/>
        <w:pageBreakBefore w:val="0"/>
        <w:kinsoku/>
        <w:wordWrap/>
        <w:overflowPunct/>
        <w:topLinePunct w:val="0"/>
        <w:bidi w:val="0"/>
        <w:adjustRightInd w:val="0"/>
        <w:snapToGrid w:val="0"/>
        <w:spacing w:line="360" w:lineRule="auto"/>
        <w:ind w:left="-210" w:leftChars="-100" w:firstLine="630" w:firstLineChars="300"/>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符合性检查：详细评标之前，磋商小组依据磋商文件的规定，对响应文件是否满足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1C78A28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097B86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61C769C0">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6C7619C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最后报价是供应商响应文件的有效组成部分。</w:t>
      </w:r>
    </w:p>
    <w:p w14:paraId="6AF366B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25C90282">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5ECAE28F">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1C5F1404">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报价、报价得分及总得分），磋商采购会议结束。</w:t>
      </w:r>
      <w:r>
        <w:rPr>
          <w:rFonts w:hint="eastAsia" w:ascii="宋体" w:hAnsi="宋体" w:eastAsia="宋体" w:cs="宋体"/>
          <w:color w:val="auto"/>
          <w:szCs w:val="21"/>
          <w:highlight w:val="none"/>
        </w:rPr>
        <w:t xml:space="preserve">    </w:t>
      </w:r>
    </w:p>
    <w:p w14:paraId="01947BDA">
      <w:pPr>
        <w:pStyle w:val="11"/>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（四）澄清问题的形式</w:t>
      </w:r>
    </w:p>
    <w:p w14:paraId="4C7755A9">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磋商供应商的澄清、说明或者补正应当采用书面形式，并加盖公章，或者由</w:t>
      </w:r>
      <w:r>
        <w:rPr>
          <w:rFonts w:hint="eastAsia" w:ascii="宋体" w:hAnsi="宋体" w:eastAsia="宋体" w:cs="宋体"/>
          <w:color w:val="auto"/>
          <w:szCs w:val="21"/>
          <w:highlight w:val="none"/>
          <w:lang w:eastAsia="zh-CN"/>
        </w:rPr>
        <w:t>法定代表人或授权委托代理人签字</w:t>
      </w:r>
      <w:r>
        <w:rPr>
          <w:rFonts w:hint="eastAsia" w:ascii="宋体" w:hAnsi="宋体" w:eastAsia="宋体" w:cs="宋体"/>
          <w:color w:val="auto"/>
          <w:szCs w:val="21"/>
          <w:highlight w:val="none"/>
        </w:rPr>
        <w:t>，并不得超出磋商响应文件的范围或者改变磋商响应文件的实质性内容。</w:t>
      </w:r>
    </w:p>
    <w:p w14:paraId="60CC1B93">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（五）错误修正</w:t>
      </w:r>
    </w:p>
    <w:p w14:paraId="38677ED6">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2BA3E11C">
      <w:pPr>
        <w:pStyle w:val="18"/>
        <w:keepNext w:val="0"/>
        <w:keepLines w:val="0"/>
        <w:pageBreakBefore w:val="0"/>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548F16F8">
      <w:pPr>
        <w:pStyle w:val="18"/>
        <w:keepNext w:val="0"/>
        <w:keepLines w:val="0"/>
        <w:pageBreakBefore w:val="0"/>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2、大写金额和小写金额不一致的，以大写金额为准；</w:t>
      </w:r>
    </w:p>
    <w:p w14:paraId="3806F1C8">
      <w:pPr>
        <w:pStyle w:val="18"/>
        <w:keepNext w:val="0"/>
        <w:keepLines w:val="0"/>
        <w:pageBreakBefore w:val="0"/>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7E538C11">
      <w:pPr>
        <w:pStyle w:val="18"/>
        <w:keepNext w:val="0"/>
        <w:keepLines w:val="0"/>
        <w:pageBreakBefore w:val="0"/>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4、总价金额与按单价汇总金额不一致的，以单价金额计算结果为准。</w:t>
      </w:r>
    </w:p>
    <w:p w14:paraId="07A3AC50">
      <w:pPr>
        <w:pStyle w:val="18"/>
        <w:keepNext w:val="0"/>
        <w:keepLines w:val="0"/>
        <w:pageBreakBefore w:val="0"/>
        <w:kinsoku/>
        <w:wordWrap/>
        <w:overflowPunct/>
        <w:topLinePunct w:val="0"/>
        <w:bidi w:val="0"/>
        <w:spacing w:before="0" w:beforeAutospacing="0" w:after="0" w:afterAutospacing="0" w:line="360" w:lineRule="auto"/>
        <w:ind w:firstLine="48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2B0AC527">
      <w:pPr>
        <w:pStyle w:val="18"/>
        <w:keepNext w:val="0"/>
        <w:keepLines w:val="0"/>
        <w:pageBreakBefore w:val="0"/>
        <w:kinsoku/>
        <w:wordWrap/>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 w:val="21"/>
          <w:szCs w:val="21"/>
          <w:highlight w:val="none"/>
        </w:rPr>
        <w:t>（六）</w:t>
      </w:r>
      <w:r>
        <w:rPr>
          <w:rFonts w:hint="eastAsia" w:ascii="宋体" w:hAnsi="宋体" w:eastAsia="宋体" w:cs="宋体"/>
          <w:b/>
          <w:color w:val="auto"/>
          <w:sz w:val="21"/>
          <w:szCs w:val="21"/>
          <w:highlight w:val="none"/>
        </w:rPr>
        <w:t>磋商供应商存在下列情况之一的，响应无效，终止磋商</w:t>
      </w:r>
    </w:p>
    <w:p w14:paraId="7AC81734">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1、磋商响应文件中的报价货物跟商务与技术内容中的供应货物出现重大偏差的；</w:t>
      </w:r>
    </w:p>
    <w:p w14:paraId="012411A5">
      <w:pPr>
        <w:pStyle w:val="18"/>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36363598">
      <w:pPr>
        <w:pStyle w:val="18"/>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3、磋商响应文件含有采购人不能接受的附加条件的。</w:t>
      </w:r>
    </w:p>
    <w:p w14:paraId="7A653204">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color w:val="auto"/>
          <w:szCs w:val="21"/>
          <w:highlight w:val="none"/>
        </w:rPr>
        <w:t>4、供应商代表人未能出具身份证明或与法定代表人授权委托人身份不符的（受疫情期间影响供应商代表人无需现场参加磋商会议）；</w:t>
      </w:r>
    </w:p>
    <w:p w14:paraId="0DD4F731">
      <w:pPr>
        <w:pStyle w:val="18"/>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0368AAE9">
      <w:pPr>
        <w:pStyle w:val="18"/>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6、报价超过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中规定的预算金额/最高限（单）价。</w:t>
      </w:r>
    </w:p>
    <w:p w14:paraId="4406C4D2">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、磋商参数未如实填写，完全复制粘贴招标参数的。</w:t>
      </w:r>
    </w:p>
    <w:p w14:paraId="4E2B8E32">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、磋商响应文件提供虚假材料的。</w:t>
      </w:r>
    </w:p>
    <w:p w14:paraId="289D0D73">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不同供应商的磋商响应文件由同一单位或者个人编制；</w:t>
      </w:r>
    </w:p>
    <w:p w14:paraId="5C66C3C3">
      <w:pPr>
        <w:pStyle w:val="18"/>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17728E86">
      <w:pPr>
        <w:pStyle w:val="18"/>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557160D4">
      <w:pPr>
        <w:pStyle w:val="18"/>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275D5863">
      <w:pPr>
        <w:pStyle w:val="18"/>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0699C1D7">
      <w:pPr>
        <w:keepNext w:val="0"/>
        <w:keepLines w:val="0"/>
        <w:pageBreakBefore w:val="0"/>
        <w:kinsoku/>
        <w:wordWrap/>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、不符合法律、法规和</w:t>
      </w:r>
      <w:r>
        <w:rPr>
          <w:rFonts w:hint="eastAsia" w:ascii="宋体" w:hAnsi="宋体" w:cs="宋体"/>
          <w:color w:val="auto"/>
          <w:kern w:val="0"/>
          <w:szCs w:val="21"/>
          <w:highlight w:val="none"/>
          <w:lang w:eastAsia="zh-CN"/>
        </w:rPr>
        <w:t>采购文件</w:t>
      </w:r>
      <w:r>
        <w:rPr>
          <w:rFonts w:hint="eastAsia" w:ascii="宋体" w:hAnsi="宋体" w:eastAsia="宋体" w:cs="宋体"/>
          <w:color w:val="auto"/>
          <w:kern w:val="0"/>
          <w:szCs w:val="21"/>
          <w:highlight w:val="none"/>
        </w:rPr>
        <w:t>中规定的其他实质性要求的（</w:t>
      </w:r>
      <w:r>
        <w:rPr>
          <w:rFonts w:hint="eastAsia" w:ascii="宋体" w:hAnsi="宋体" w:cs="宋体"/>
          <w:color w:val="auto"/>
          <w:kern w:val="0"/>
          <w:szCs w:val="21"/>
          <w:highlight w:val="none"/>
          <w:lang w:eastAsia="zh-CN"/>
        </w:rPr>
        <w:t>采购文件</w:t>
      </w:r>
      <w:r>
        <w:rPr>
          <w:rFonts w:hint="eastAsia" w:ascii="宋体" w:hAnsi="宋体" w:eastAsia="宋体" w:cs="宋体"/>
          <w:color w:val="auto"/>
          <w:kern w:val="0"/>
          <w:szCs w:val="21"/>
          <w:highlight w:val="none"/>
        </w:rPr>
        <w:t>中打“▲”内容及被拒绝的条款）。</w:t>
      </w:r>
    </w:p>
    <w:p w14:paraId="25C25DDA">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、投标人的电子</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文件无法按时解密且本项目未达到启动备份文件条件的。</w:t>
      </w:r>
    </w:p>
    <w:p w14:paraId="18AC0A0E">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、电子响应文件解密失败的，且未在规定时间内提交备份响应文件的；</w:t>
      </w:r>
    </w:p>
    <w:p w14:paraId="7834B3AC">
      <w:pPr>
        <w:pStyle w:val="8"/>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、电子响应文件未按规定要求提供电子签章的。</w:t>
      </w:r>
    </w:p>
    <w:p w14:paraId="6DA0B421">
      <w:pPr>
        <w:keepNext w:val="0"/>
        <w:keepLines w:val="0"/>
        <w:pageBreakBefore w:val="0"/>
        <w:kinsoku/>
        <w:wordWrap/>
        <w:overflowPunct/>
        <w:topLinePunct w:val="0"/>
        <w:autoSpaceDE w:val="0"/>
        <w:autoSpaceDN w:val="0"/>
        <w:bidi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kern w:val="0"/>
          <w:szCs w:val="21"/>
          <w:highlight w:val="none"/>
        </w:rPr>
        <w:t>（七）有下列情况之一的，本次磋商终止</w:t>
      </w:r>
    </w:p>
    <w:p w14:paraId="5CF79416">
      <w:pPr>
        <w:pStyle w:val="18"/>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641FE96E">
      <w:pPr>
        <w:pStyle w:val="18"/>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54460218">
      <w:pPr>
        <w:pStyle w:val="18"/>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602D2CE9">
      <w:pPr>
        <w:pStyle w:val="18"/>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63A7F828">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（八）磋商原则和方法</w:t>
      </w:r>
    </w:p>
    <w:p w14:paraId="1BE890F8">
      <w:pPr>
        <w:pStyle w:val="11"/>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05AD86A4">
      <w:pPr>
        <w:pStyle w:val="11"/>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2、磋商办法。具体磋商内容及评分标准等详见《第三章：评审</w:t>
      </w:r>
      <w:r>
        <w:rPr>
          <w:rFonts w:hint="eastAsia" w:hAnsi="宋体" w:cs="宋体"/>
          <w:color w:val="auto"/>
          <w:szCs w:val="21"/>
          <w:highlight w:val="none"/>
          <w:lang w:val="en-US" w:eastAsia="zh-CN"/>
        </w:rPr>
        <w:t>办法</w:t>
      </w:r>
      <w:r>
        <w:rPr>
          <w:rFonts w:hint="eastAsia" w:ascii="宋体" w:hAnsi="宋体" w:eastAsia="宋体" w:cs="宋体"/>
          <w:color w:val="auto"/>
          <w:szCs w:val="21"/>
          <w:highlight w:val="none"/>
        </w:rPr>
        <w:t>及评分标准》。</w:t>
      </w:r>
    </w:p>
    <w:p w14:paraId="34FD9343">
      <w:pPr>
        <w:pStyle w:val="11"/>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（九）评审过程的监控</w:t>
      </w:r>
    </w:p>
    <w:p w14:paraId="5452E562">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本项目评审过程实行全程录音、录像监控，政府采购监管部门视情进行现场监督，供应商在评审过程中所进行的试图影响评审结果的不公正活动，可能导致其被拒绝磋商。</w:t>
      </w:r>
    </w:p>
    <w:p w14:paraId="6951BEC7">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（十）电子交易异常情形处理</w:t>
      </w:r>
    </w:p>
    <w:p w14:paraId="480EEB34">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采购过程中出现以下情形，导致电子交易平台无法正常运行，或者无法保证电子交易的公平、公正和安全时，采购组织机构可中止电子交易活动：</w:t>
      </w:r>
    </w:p>
    <w:p w14:paraId="00840514">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电子交易平台发生故障而无法登录访问的；</w:t>
      </w:r>
    </w:p>
    <w:p w14:paraId="5107849F">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电子交易平台应用或数据库出现错误，不能进行正常操作的；</w:t>
      </w:r>
    </w:p>
    <w:p w14:paraId="4EBB5755">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电子交易平台发现严重安全漏洞，有潜在泄密危险的；</w:t>
      </w:r>
    </w:p>
    <w:p w14:paraId="49591E87">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病毒发作导致不能进行正常操作的；</w:t>
      </w:r>
    </w:p>
    <w:p w14:paraId="5869E6B8">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其他无法保证电子交易的公平、公正和安全的情况。</w:t>
      </w:r>
    </w:p>
    <w:p w14:paraId="6EFDB086">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出现以上规定情形，不影响采购公平、公正性的，采购组织机构可以待上述情形消除后继续组织电子交易活动，也可以决定某些环节以纸质形式进行；影响或可能影响采购公平、公正性的，应当重新采购。</w:t>
      </w:r>
    </w:p>
    <w:p w14:paraId="7CD8110B">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四、磋商结果确定</w:t>
      </w:r>
    </w:p>
    <w:p w14:paraId="1CB923AF">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582CEF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55D58D3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3、发出成交通知书。采购组织机构在发布成交结果同时，向成交供应商发出成交通知书。</w:t>
      </w:r>
    </w:p>
    <w:p w14:paraId="619D92E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27B0204B">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招标代理费：按照《国家发展改革委关于 进一步放开建设项目专业服务价格的通知》（发改价格2015 299号）执行，</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39C13AE3">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3778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7AB9CB68">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-58420</wp:posOffset>
                      </wp:positionH>
                      <wp:positionV relativeFrom="paragraph">
                        <wp:posOffset>21590</wp:posOffset>
                      </wp:positionV>
                      <wp:extent cx="1619250" cy="725170"/>
                      <wp:effectExtent l="1905" t="4445" r="4445" b="698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x y;margin-left:-4.6pt;margin-top:1.7pt;height:57.1pt;width:127.5pt;z-index:251665408;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9+eVfUAAAACAEAAA8AAAAAAAAAAQAg&#10;AAAAIgAAAGRycy9kb3ducmV2LnhtbFBLAQIUABQAAAAIAIdO4kBz4/Q4EgIAAAQEAAAOAAAAAAAA&#10;AAEAIAAAACMBAABkcnMvZTJvRG9jLnhtbFBLBQYAAAAABgAGAFkBAACnBQAAAAA=&#10;">
                      <v:fill on="f" focussize="0,0"/>
                      <v:stroke color="#0000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645160</wp:posOffset>
                      </wp:positionH>
                      <wp:positionV relativeFrom="paragraph">
                        <wp:posOffset>0</wp:posOffset>
                      </wp:positionV>
                      <wp:extent cx="922655" cy="739775"/>
                      <wp:effectExtent l="3175" t="3810" r="13970" b="57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0.8pt;margin-top:0pt;height:58.25pt;width:72.65pt;z-index:251664384;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4BhXtUAAAAIAQAADwAAAAAAAAABACAAAAAiAAAAZHJz&#10;L2Rvd25yZXYueG1sUEsBAhQAFAAAAAgAh07iQGx8WwoHAgAA8AMAAA4AAAAAAAAAAQAgAAAAJAEA&#10;AGRycy9lMm9Eb2MueG1sUEsFBgAAAAAGAAYAWQEAAJ0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3360"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3360;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767437E3">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7D25DB77">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36285DBD">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263BDCF3">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6D27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4CA77D5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4E195F6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454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47D1D0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061262A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5284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36349C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0998684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51FD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85D1F2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167EB3D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539A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41AA083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57ABB64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1A57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6E6EE6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2859967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0070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3F2994A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4445DB1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2ACD11E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45DA6D78">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五、合同签订及公告</w:t>
      </w:r>
    </w:p>
    <w:p w14:paraId="7AC9BE61">
      <w:pPr>
        <w:pStyle w:val="10"/>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line="360" w:lineRule="auto"/>
        <w:ind w:left="0" w:leftChars="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（一）签订合同</w:t>
      </w:r>
    </w:p>
    <w:p w14:paraId="1F8E9782">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788DE51B">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1464FEE2">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3C398942">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53C8E6FA">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5、询问或者质疑事项可能影响成交结果的，采购人应当暂停签订合同，已经签订合同的，应当中止履行合同（成交结果的质疑期为成交结果公告期限届满之日起七个工作日）。</w:t>
      </w:r>
    </w:p>
    <w:p w14:paraId="6DB0D0C7">
      <w:pPr>
        <w:pStyle w:val="18"/>
        <w:keepNext w:val="0"/>
        <w:keepLines w:val="0"/>
        <w:pageBreakBefore w:val="0"/>
        <w:kinsoku/>
        <w:wordWrap/>
        <w:overflowPunct/>
        <w:topLinePunct w:val="0"/>
        <w:bidi w:val="0"/>
        <w:spacing w:before="0" w:beforeAutospacing="0" w:after="0" w:afterAutospacing="0" w:line="360" w:lineRule="auto"/>
        <w:jc w:val="both"/>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246E5660">
      <w:pPr>
        <w:pStyle w:val="8"/>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1、采购人应当自政府采购合同签订之日起2个工作日内，在省级以上财政部门指定的政府采购信息发布媒体及相关网站上公告。</w:t>
      </w:r>
    </w:p>
    <w:p w14:paraId="0D758A5C">
      <w:pPr>
        <w:pStyle w:val="8"/>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color w:val="auto"/>
          <w:sz w:val="36"/>
          <w:szCs w:val="36"/>
          <w:highlight w:val="none"/>
        </w:rPr>
      </w:pPr>
      <w:r>
        <w:rPr>
          <w:rFonts w:hint="eastAsia" w:ascii="宋体" w:hAnsi="宋体" w:eastAsia="宋体" w:cs="宋体"/>
          <w:color w:val="auto"/>
          <w:szCs w:val="21"/>
          <w:highlight w:val="none"/>
        </w:rPr>
        <w:t>2、采购人应当自政府采购合同签订之日起7个工作日内，将政府采购合同副本报同级人民政府财政部门备案以及采购组织机构存档。</w:t>
      </w:r>
    </w:p>
    <w:p w14:paraId="1F23CA44">
      <w:pPr>
        <w:spacing w:line="360" w:lineRule="auto"/>
        <w:jc w:val="center"/>
        <w:outlineLvl w:val="0"/>
        <w:rPr>
          <w:rFonts w:hint="eastAsia" w:ascii="宋体" w:hAnsi="宋体" w:eastAsia="宋体" w:cs="宋体"/>
          <w:b/>
          <w:color w:val="auto"/>
          <w:sz w:val="36"/>
          <w:szCs w:val="36"/>
          <w:highlight w:val="none"/>
        </w:rPr>
        <w:sectPr>
          <w:pgSz w:w="11906" w:h="16838"/>
          <w:pgMar w:top="1440" w:right="1440" w:bottom="1440" w:left="1803" w:header="851" w:footer="992" w:gutter="0"/>
          <w:pgNumType w:fmt="decimal"/>
          <w:cols w:space="0" w:num="1"/>
          <w:docGrid w:type="lines" w:linePitch="325" w:charSpace="0"/>
        </w:sectPr>
      </w:pPr>
    </w:p>
    <w:p w14:paraId="56271AFC">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评审办法及评审标准</w:t>
      </w:r>
    </w:p>
    <w:p w14:paraId="62C86CA1">
      <w:pPr>
        <w:autoSpaceDE w:val="0"/>
        <w:autoSpaceDN w:val="0"/>
        <w:spacing w:line="360" w:lineRule="auto"/>
        <w:ind w:firstLine="420" w:firstLineChars="200"/>
        <w:rPr>
          <w:rFonts w:hint="eastAsia" w:ascii="宋体" w:hAnsi="宋体" w:eastAsia="宋体" w:cs="宋体"/>
          <w:b/>
          <w:i/>
          <w:color w:val="auto"/>
          <w:kern w:val="0"/>
          <w:szCs w:val="21"/>
          <w:highlight w:val="none"/>
        </w:rPr>
      </w:pPr>
      <w:r>
        <w:rPr>
          <w:rFonts w:hint="eastAsia" w:ascii="宋体" w:hAnsi="宋体" w:eastAsia="宋体" w:cs="宋体"/>
          <w:color w:val="auto"/>
          <w:kern w:val="0"/>
          <w:szCs w:val="21"/>
          <w:highlight w:val="none"/>
        </w:rPr>
        <w:t>一、采购组织机构将组织</w:t>
      </w:r>
      <w:r>
        <w:rPr>
          <w:rFonts w:hint="eastAsia" w:ascii="宋体" w:hAnsi="宋体" w:eastAsia="宋体" w:cs="宋体"/>
          <w:color w:val="auto"/>
          <w:szCs w:val="21"/>
          <w:highlight w:val="none"/>
        </w:rPr>
        <w:t>磋商小组</w:t>
      </w:r>
      <w:r>
        <w:rPr>
          <w:rFonts w:hint="eastAsia" w:ascii="宋体" w:hAnsi="宋体" w:eastAsia="宋体" w:cs="宋体"/>
          <w:color w:val="auto"/>
          <w:kern w:val="0"/>
          <w:szCs w:val="21"/>
          <w:highlight w:val="none"/>
        </w:rPr>
        <w:t>，对</w:t>
      </w:r>
      <w:r>
        <w:rPr>
          <w:rFonts w:hint="eastAsia" w:ascii="宋体" w:hAnsi="宋体" w:eastAsia="宋体" w:cs="宋体"/>
          <w:color w:val="auto"/>
          <w:szCs w:val="21"/>
          <w:highlight w:val="none"/>
        </w:rPr>
        <w:t>供应商</w:t>
      </w:r>
      <w:r>
        <w:rPr>
          <w:rFonts w:hint="eastAsia" w:ascii="宋体" w:hAnsi="宋体" w:eastAsia="宋体" w:cs="宋体"/>
          <w:color w:val="auto"/>
          <w:kern w:val="0"/>
          <w:szCs w:val="21"/>
          <w:highlight w:val="none"/>
        </w:rPr>
        <w:t>提供的</w:t>
      </w:r>
      <w:r>
        <w:rPr>
          <w:rFonts w:hint="eastAsia" w:ascii="宋体" w:hAnsi="宋体" w:eastAsia="宋体" w:cs="宋体"/>
          <w:color w:val="auto"/>
          <w:szCs w:val="21"/>
          <w:highlight w:val="none"/>
        </w:rPr>
        <w:t>磋商响应文件</w:t>
      </w:r>
      <w:r>
        <w:rPr>
          <w:rFonts w:hint="eastAsia" w:ascii="宋体" w:hAnsi="宋体" w:eastAsia="宋体" w:cs="宋体"/>
          <w:color w:val="auto"/>
          <w:kern w:val="0"/>
          <w:szCs w:val="21"/>
          <w:highlight w:val="none"/>
        </w:rPr>
        <w:t xml:space="preserve">进行综合评审。   </w:t>
      </w:r>
    </w:p>
    <w:p w14:paraId="5A8C4F0A">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二、本次磋商项目的评审方法为</w:t>
      </w:r>
      <w:r>
        <w:rPr>
          <w:rFonts w:hint="eastAsia" w:ascii="宋体" w:hAnsi="宋体" w:eastAsia="宋体" w:cs="宋体"/>
          <w:b/>
          <w:color w:val="auto"/>
          <w:kern w:val="0"/>
          <w:szCs w:val="21"/>
          <w:highlight w:val="none"/>
        </w:rPr>
        <w:t>综合评分法</w:t>
      </w:r>
      <w:r>
        <w:rPr>
          <w:rFonts w:hint="eastAsia" w:ascii="宋体" w:hAnsi="宋体" w:eastAsia="宋体" w:cs="宋体"/>
          <w:color w:val="auto"/>
          <w:kern w:val="0"/>
          <w:szCs w:val="21"/>
          <w:highlight w:val="none"/>
        </w:rPr>
        <w:t>，总计100分，</w:t>
      </w:r>
      <w:r>
        <w:rPr>
          <w:rFonts w:hint="eastAsia" w:ascii="宋体" w:hAnsi="宋体" w:eastAsia="宋体" w:cs="宋体"/>
          <w:color w:val="auto"/>
          <w:szCs w:val="21"/>
          <w:highlight w:val="none"/>
        </w:rPr>
        <w:t>其中</w:t>
      </w:r>
      <w:r>
        <w:rPr>
          <w:rFonts w:hint="eastAsia" w:ascii="宋体" w:hAnsi="宋体" w:eastAsia="宋体" w:cs="宋体"/>
          <w:color w:val="auto"/>
          <w:szCs w:val="21"/>
          <w:highlight w:val="none"/>
          <w:lang w:val="zh-CN"/>
        </w:rPr>
        <w:t>商务技术分值</w:t>
      </w:r>
      <w:r>
        <w:rPr>
          <w:rFonts w:hint="eastAsia" w:ascii="宋体" w:hAnsi="宋体" w:eastAsia="宋体" w:cs="宋体"/>
          <w:color w:val="auto"/>
          <w:szCs w:val="21"/>
          <w:highlight w:val="none"/>
        </w:rPr>
        <w:t>80</w:t>
      </w:r>
      <w:r>
        <w:rPr>
          <w:rFonts w:hint="eastAsia" w:ascii="宋体" w:hAnsi="宋体" w:eastAsia="宋体" w:cs="宋体"/>
          <w:color w:val="auto"/>
          <w:szCs w:val="21"/>
          <w:highlight w:val="none"/>
          <w:lang w:val="zh-CN"/>
        </w:rPr>
        <w:t>分，投标报价分值</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评审标准按评分细化条款及分值进行评审。</w:t>
      </w:r>
    </w:p>
    <w:p w14:paraId="44DD8D24">
      <w:pPr>
        <w:autoSpaceDE w:val="0"/>
        <w:autoSpaceDN w:val="0"/>
        <w:adjustRightInd w:val="0"/>
        <w:spacing w:line="360" w:lineRule="auto"/>
        <w:ind w:right="84" w:firstLine="472"/>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Cs w:val="21"/>
          <w:highlight w:val="none"/>
          <w:lang w:val="zh-CN"/>
        </w:rPr>
        <w:t>。</w:t>
      </w:r>
    </w:p>
    <w:p w14:paraId="779AB49F">
      <w:pPr>
        <w:autoSpaceDE w:val="0"/>
        <w:autoSpaceDN w:val="0"/>
        <w:adjustRightInd w:val="0"/>
        <w:spacing w:line="360" w:lineRule="auto"/>
        <w:ind w:right="84" w:firstLine="472"/>
        <w:rPr>
          <w:rFonts w:hint="eastAsia" w:ascii="宋体" w:hAnsi="宋体" w:eastAsia="宋体" w:cs="宋体"/>
          <w:bCs/>
          <w:color w:val="auto"/>
          <w:szCs w:val="21"/>
          <w:highlight w:val="none"/>
          <w:shd w:val="clear" w:color="FFFFFF" w:fill="D9D9D9"/>
          <w:lang w:val="zh-CN"/>
        </w:rPr>
      </w:pPr>
      <w:r>
        <w:rPr>
          <w:rFonts w:hint="eastAsia" w:ascii="宋体" w:hAnsi="宋体" w:eastAsia="宋体" w:cs="宋体"/>
          <w:bCs/>
          <w:color w:val="auto"/>
          <w:szCs w:val="21"/>
          <w:highlight w:val="none"/>
          <w:lang w:val="zh-CN"/>
        </w:rPr>
        <w:t>（二）各磋商供应商商务技术文件</w:t>
      </w:r>
      <w:r>
        <w:rPr>
          <w:rFonts w:hint="eastAsia" w:ascii="宋体" w:hAnsi="宋体" w:eastAsia="宋体" w:cs="宋体"/>
          <w:color w:val="auto"/>
          <w:kern w:val="0"/>
          <w:szCs w:val="21"/>
          <w:highlight w:val="none"/>
          <w:lang w:val="zh-CN"/>
        </w:rPr>
        <w:t>得分按照</w:t>
      </w:r>
      <w:r>
        <w:rPr>
          <w:rFonts w:hint="eastAsia" w:ascii="宋体" w:hAnsi="宋体" w:eastAsia="宋体" w:cs="宋体"/>
          <w:color w:val="auto"/>
          <w:szCs w:val="21"/>
          <w:highlight w:val="none"/>
        </w:rPr>
        <w:t>磋商小组</w:t>
      </w:r>
      <w:r>
        <w:rPr>
          <w:rFonts w:hint="eastAsia" w:ascii="宋体" w:hAnsi="宋体" w:eastAsia="宋体" w:cs="宋体"/>
          <w:color w:val="auto"/>
          <w:kern w:val="0"/>
          <w:szCs w:val="21"/>
          <w:highlight w:val="none"/>
          <w:lang w:val="zh-CN"/>
        </w:rPr>
        <w:t>成</w:t>
      </w:r>
      <w:r>
        <w:rPr>
          <w:rFonts w:hint="eastAsia" w:ascii="宋体" w:hAnsi="宋体" w:eastAsia="宋体" w:cs="宋体"/>
          <w:bCs/>
          <w:color w:val="auto"/>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Cs w:val="21"/>
          <w:highlight w:val="none"/>
          <w:lang w:val="zh-CN"/>
        </w:rPr>
        <w:t>，计算公式为：</w:t>
      </w:r>
    </w:p>
    <w:p w14:paraId="6EAFFD2E">
      <w:pPr>
        <w:autoSpaceDE w:val="0"/>
        <w:autoSpaceDN w:val="0"/>
        <w:adjustRightInd w:val="0"/>
        <w:spacing w:line="360" w:lineRule="auto"/>
        <w:ind w:right="84" w:firstLine="472"/>
        <w:rPr>
          <w:rFonts w:hint="eastAsia" w:ascii="宋体" w:hAnsi="宋体" w:eastAsia="宋体" w:cs="宋体"/>
          <w:bCs/>
          <w:color w:val="auto"/>
          <w:szCs w:val="21"/>
          <w:highlight w:val="none"/>
          <w:shd w:val="clear" w:color="FFFFFF" w:fill="D9D9D9"/>
          <w:lang w:val="zh-CN"/>
        </w:rPr>
      </w:pPr>
      <w:r>
        <w:rPr>
          <w:rFonts w:hint="eastAsia" w:ascii="宋体" w:hAnsi="宋体" w:eastAsia="宋体" w:cs="宋体"/>
          <w:color w:val="auto"/>
          <w:szCs w:val="21"/>
          <w:highlight w:val="none"/>
        </w:rPr>
        <w:t>商务技术文件得分</w:t>
      </w:r>
      <w:r>
        <w:rPr>
          <w:rFonts w:hint="eastAsia" w:ascii="宋体" w:hAnsi="宋体" w:eastAsia="宋体" w:cs="宋体"/>
          <w:bCs/>
          <w:color w:val="auto"/>
          <w:szCs w:val="21"/>
          <w:highlight w:val="none"/>
          <w:lang w:val="zh-CN"/>
        </w:rPr>
        <w:t>=</w:t>
      </w:r>
      <w:r>
        <w:rPr>
          <w:rFonts w:hint="eastAsia" w:ascii="宋体" w:hAnsi="宋体" w:eastAsia="宋体" w:cs="宋体"/>
          <w:color w:val="auto"/>
          <w:szCs w:val="21"/>
          <w:highlight w:val="none"/>
        </w:rPr>
        <w:t>磋商小组</w:t>
      </w:r>
      <w:r>
        <w:rPr>
          <w:rFonts w:hint="eastAsia" w:ascii="宋体" w:hAnsi="宋体" w:eastAsia="宋体" w:cs="宋体"/>
          <w:bCs/>
          <w:color w:val="auto"/>
          <w:szCs w:val="21"/>
          <w:highlight w:val="none"/>
          <w:lang w:val="zh-CN"/>
        </w:rPr>
        <w:t>所有成员评分合计数/</w:t>
      </w:r>
      <w:r>
        <w:rPr>
          <w:rFonts w:hint="eastAsia" w:ascii="宋体" w:hAnsi="宋体" w:eastAsia="宋体" w:cs="宋体"/>
          <w:color w:val="auto"/>
          <w:szCs w:val="21"/>
          <w:highlight w:val="none"/>
        </w:rPr>
        <w:t>磋商小组</w:t>
      </w:r>
      <w:r>
        <w:rPr>
          <w:rFonts w:hint="eastAsia" w:ascii="宋体" w:hAnsi="宋体" w:eastAsia="宋体" w:cs="宋体"/>
          <w:bCs/>
          <w:color w:val="auto"/>
          <w:szCs w:val="21"/>
          <w:highlight w:val="none"/>
          <w:lang w:val="zh-CN"/>
        </w:rPr>
        <w:t>组成人员数。</w:t>
      </w:r>
    </w:p>
    <w:p w14:paraId="1F6D22EA">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bCs/>
          <w:color w:val="auto"/>
          <w:szCs w:val="21"/>
          <w:highlight w:val="none"/>
          <w:lang w:val="zh-CN"/>
        </w:rPr>
        <w:t>（三）</w:t>
      </w:r>
      <w:r>
        <w:rPr>
          <w:rFonts w:hint="eastAsia" w:ascii="宋体" w:hAnsi="宋体" w:eastAsia="宋体" w:cs="宋体"/>
          <w:color w:val="auto"/>
          <w:szCs w:val="21"/>
          <w:highlight w:val="none"/>
          <w:u w:val="single"/>
        </w:rPr>
        <w:t>综合评分法中的价格分统一</w:t>
      </w:r>
      <w:r>
        <w:rPr>
          <w:rFonts w:hint="eastAsia" w:ascii="宋体" w:hAnsi="宋体" w:eastAsia="宋体" w:cs="宋体"/>
          <w:color w:val="auto"/>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zh-CN"/>
        </w:rPr>
        <w:t>，即满足磋商文件要求且最后报价最低的供应商的价格作为磋商基准价，其报价得满分。其他供应商的价格分统一按照下列公式计算：</w:t>
      </w:r>
    </w:p>
    <w:p w14:paraId="1B67EB45">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磋商报价得分=(</w:t>
      </w:r>
      <w:r>
        <w:rPr>
          <w:rFonts w:hint="eastAsia" w:ascii="宋体" w:hAnsi="宋体" w:eastAsia="宋体" w:cs="宋体"/>
          <w:color w:val="auto"/>
          <w:szCs w:val="21"/>
          <w:highlight w:val="none"/>
          <w:u w:val="single"/>
          <w:lang w:val="zh-CN"/>
        </w:rPr>
        <w:t>磋商基准价</w:t>
      </w:r>
      <w:r>
        <w:rPr>
          <w:rFonts w:hint="eastAsia" w:ascii="宋体" w:hAnsi="宋体" w:eastAsia="宋体" w:cs="宋体"/>
          <w:color w:val="auto"/>
          <w:szCs w:val="21"/>
          <w:highlight w:val="none"/>
          <w:u w:val="single"/>
        </w:rPr>
        <w:t>／最后磋商报价)×20%×100 。</w:t>
      </w:r>
    </w:p>
    <w:p w14:paraId="7319744F">
      <w:pPr>
        <w:spacing w:line="360" w:lineRule="auto"/>
        <w:ind w:firstLine="420" w:firstLineChars="200"/>
        <w:rPr>
          <w:rFonts w:hint="eastAsia" w:ascii="宋体" w:hAnsi="宋体" w:eastAsia="宋体" w:cs="宋体"/>
          <w:color w:val="auto"/>
          <w:szCs w:val="21"/>
          <w:highlight w:val="none"/>
          <w:u w:val="single"/>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219906C6">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cs="宋体"/>
          <w:color w:val="auto"/>
          <w:szCs w:val="21"/>
          <w:highlight w:val="none"/>
          <w:lang w:val="en-US" w:eastAsia="zh-CN"/>
        </w:rPr>
        <w:t>五</w:t>
      </w:r>
      <w:r>
        <w:rPr>
          <w:rFonts w:hint="eastAsia" w:ascii="宋体" w:hAnsi="宋体" w:eastAsia="宋体" w:cs="宋体"/>
          <w:color w:val="auto"/>
          <w:szCs w:val="21"/>
          <w:highlight w:val="none"/>
          <w:lang w:val="zh-CN"/>
        </w:rPr>
        <w:t>）政府采购政策及优惠：</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 w:val="21"/>
          <w:szCs w:val="21"/>
          <w:highlight w:val="none"/>
          <w:lang w:val="zh-CN"/>
        </w:rPr>
        <w:t>关于小型、微型企业（简称小微企业）磋商：①根据</w:t>
      </w:r>
      <w:r>
        <w:rPr>
          <w:rFonts w:hint="eastAsia" w:ascii="宋体" w:hAnsi="宋体" w:eastAsia="宋体" w:cs="宋体"/>
          <w:color w:val="auto"/>
          <w:sz w:val="21"/>
          <w:szCs w:val="21"/>
          <w:highlight w:val="none"/>
          <w:lang w:val="en-US" w:eastAsia="zh-CN"/>
        </w:rPr>
        <w:t>浙江省财政厅</w:t>
      </w:r>
      <w:r>
        <w:rPr>
          <w:rFonts w:hint="eastAsia" w:ascii="宋体" w:hAnsi="宋体" w:eastAsia="宋体" w:cs="宋体"/>
          <w:color w:val="auto"/>
          <w:sz w:val="21"/>
          <w:szCs w:val="21"/>
          <w:highlight w:val="none"/>
          <w:lang w:val="zh-CN"/>
        </w:rPr>
        <w:t>发布的《浙江省财政厅关于进一步发挥政府采购政策功能全力推动经济稳进提质的通知》【</w:t>
      </w:r>
      <w:r>
        <w:rPr>
          <w:rFonts w:hint="eastAsia" w:ascii="宋体" w:hAnsi="宋体" w:eastAsia="宋体" w:cs="宋体"/>
          <w:color w:val="auto"/>
          <w:sz w:val="21"/>
          <w:szCs w:val="21"/>
          <w:highlight w:val="none"/>
          <w:lang w:val="en-US" w:eastAsia="zh-CN"/>
        </w:rPr>
        <w:t>浙财采监</w:t>
      </w:r>
      <w:r>
        <w:rPr>
          <w:rFonts w:hint="eastAsia" w:ascii="宋体" w:hAnsi="宋体" w:eastAsia="宋体" w:cs="宋体"/>
          <w:color w:val="auto"/>
          <w:sz w:val="21"/>
          <w:szCs w:val="21"/>
          <w:highlight w:val="none"/>
          <w:lang w:val="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号】规定，对于经主管预算单位统筹后未预留份额专门面向中小企业采购的采购项目，以及预留份额项目中的非预留部分采购包，采购人、采购代理机构应当对符合本办法规定的小微企业报价给予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的扣除，用扣除后的价格参加评审。②小微企业是指符合《中小企业划型标准规定》的供应商，通过磋商提供本企业制造的货物、承担的工程或者服务，或者提供其他小微企业制造的货物。本项所指货物不包括使用大、中型企业注册商标的货物；</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Cs w:val="21"/>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残疾人福利性单位在参加政府采购活动时，应提供《残疾人福利性单位声明函》（见附件），视同小型、微型企业，享受小微企业政府采购优惠政策。</w:t>
      </w:r>
    </w:p>
    <w:p w14:paraId="7E5242B0">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具体优惠：对于非联合体投标，小型微型企业产品的价格给予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%的扣除，用扣除后的价格计算评标基准价和投标报价。对于联合体投标，小型、微型企业的协议合同金额占到联合体协议合同总金额30%以上的，可给予联合体</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%的价格扣除。联合体各方均为小型、微型企业的，联合体视同为小型、微型企业享受扶持政策，对于小型微型企业产品的价格给予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%的扣除，用扣除后的价格计算评标基准价和响应报价。同一投标人（包括联合体），小微企业、监狱企业、残疾人福利性单位价格扣除优惠只享受一次，不得重复享受。</w:t>
      </w:r>
    </w:p>
    <w:p w14:paraId="099C1D25">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注：得分以系统计算为准，保留2位小数。</w:t>
      </w:r>
    </w:p>
    <w:p w14:paraId="2EB396E2">
      <w:pPr>
        <w:autoSpaceDE w:val="0"/>
        <w:autoSpaceDN w:val="0"/>
        <w:adjustRightInd w:val="0"/>
        <w:spacing w:line="360" w:lineRule="auto"/>
        <w:ind w:right="85" w:firstLine="422" w:firstLineChars="2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*以上证明材料不提供或提供不全的视为自动放弃优惠政策。</w:t>
      </w:r>
    </w:p>
    <w:p w14:paraId="76B5081E">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三、在最大限度地满足磋商文件实质性要求前提下，</w:t>
      </w:r>
      <w:r>
        <w:rPr>
          <w:rFonts w:hint="eastAsia" w:ascii="宋体" w:hAnsi="宋体" w:eastAsia="宋体" w:cs="宋体"/>
          <w:color w:val="auto"/>
          <w:szCs w:val="21"/>
          <w:highlight w:val="none"/>
        </w:rPr>
        <w:t>磋商小组</w:t>
      </w:r>
      <w:r>
        <w:rPr>
          <w:rFonts w:hint="eastAsia" w:ascii="宋体" w:hAnsi="宋体" w:eastAsia="宋体" w:cs="宋体"/>
          <w:color w:val="auto"/>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1C5D2E7A">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四、如综合得分相同，最后报价低者为先；如综合得分且最后报价相同的，</w:t>
      </w:r>
      <w:r>
        <w:rPr>
          <w:rFonts w:hint="eastAsia" w:ascii="宋体" w:hAnsi="宋体" w:eastAsia="宋体" w:cs="宋体"/>
          <w:color w:val="auto"/>
          <w:sz w:val="21"/>
          <w:szCs w:val="21"/>
          <w:highlight w:val="none"/>
          <w:lang w:val="zh-CN"/>
        </w:rPr>
        <w:t>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4907F88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五、</w:t>
      </w:r>
      <w:r>
        <w:rPr>
          <w:rFonts w:hint="eastAsia" w:ascii="宋体" w:hAnsi="宋体" w:eastAsia="宋体" w:cs="宋体"/>
          <w:color w:val="auto"/>
          <w:szCs w:val="21"/>
          <w:highlight w:val="none"/>
          <w:lang w:val="zh-CN"/>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456B961F">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六、本次评分具体分值细化条款如下表：</w:t>
      </w:r>
    </w:p>
    <w:p w14:paraId="7A52DE4C">
      <w:pPr>
        <w:spacing w:line="360" w:lineRule="auto"/>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评标打分标准表</w:t>
      </w:r>
    </w:p>
    <w:tbl>
      <w:tblPr>
        <w:tblStyle w:val="22"/>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290"/>
        <w:gridCol w:w="5817"/>
        <w:gridCol w:w="648"/>
      </w:tblGrid>
      <w:tr w14:paraId="68C7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373" w:type="dxa"/>
            <w:gridSpan w:val="2"/>
            <w:vAlign w:val="center"/>
          </w:tcPr>
          <w:p w14:paraId="3518D27A">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5817" w:type="dxa"/>
            <w:vAlign w:val="center"/>
          </w:tcPr>
          <w:p w14:paraId="73B885F1">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48" w:type="dxa"/>
            <w:vAlign w:val="center"/>
          </w:tcPr>
          <w:p w14:paraId="63C5289A">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17EB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restart"/>
            <w:vAlign w:val="center"/>
          </w:tcPr>
          <w:p w14:paraId="2E6D11AE">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14:paraId="7B065184">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分）</w:t>
            </w:r>
          </w:p>
        </w:tc>
        <w:tc>
          <w:tcPr>
            <w:tcW w:w="1290" w:type="dxa"/>
            <w:vAlign w:val="center"/>
          </w:tcPr>
          <w:p w14:paraId="5ECC501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承接经验</w:t>
            </w:r>
          </w:p>
        </w:tc>
        <w:tc>
          <w:tcPr>
            <w:tcW w:w="5817" w:type="dxa"/>
            <w:vAlign w:val="center"/>
          </w:tcPr>
          <w:p w14:paraId="3B50580B">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投标人自2019年1月1日以来</w:t>
            </w:r>
            <w:r>
              <w:rPr>
                <w:rFonts w:hint="eastAsia" w:ascii="宋体" w:hAnsi="宋体" w:eastAsia="宋体" w:cs="宋体"/>
                <w:color w:val="auto"/>
                <w:kern w:val="0"/>
                <w:sz w:val="21"/>
                <w:szCs w:val="21"/>
                <w:highlight w:val="none"/>
                <w:lang w:val="zh-CN"/>
              </w:rPr>
              <w:t>（以合同签订时间为准），</w:t>
            </w:r>
            <w:r>
              <w:rPr>
                <w:rFonts w:hint="eastAsia" w:ascii="宋体" w:hAnsi="宋体" w:eastAsia="宋体" w:cs="宋体"/>
                <w:color w:val="auto"/>
                <w:kern w:val="0"/>
                <w:sz w:val="21"/>
                <w:szCs w:val="21"/>
                <w:highlight w:val="none"/>
              </w:rPr>
              <w:t>承接过产业类规划研究类似项目</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rPr>
              <w:t>，每提供一个合同得</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val="en-US" w:eastAsia="zh-CN"/>
              </w:rPr>
              <w:t>最高得2</w:t>
            </w:r>
            <w:r>
              <w:rPr>
                <w:rFonts w:hint="eastAsia" w:ascii="宋体" w:hAnsi="宋体" w:eastAsia="宋体" w:cs="宋体"/>
                <w:color w:val="auto"/>
                <w:kern w:val="0"/>
                <w:sz w:val="21"/>
                <w:szCs w:val="21"/>
                <w:highlight w:val="none"/>
              </w:rPr>
              <w:t>分。</w:t>
            </w:r>
          </w:p>
          <w:p w14:paraId="5461E3F1">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（须提供有效的合同</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件加盖投标人公章编入投标文件中，未提供的不得分）</w:t>
            </w:r>
          </w:p>
        </w:tc>
        <w:tc>
          <w:tcPr>
            <w:tcW w:w="648" w:type="dxa"/>
            <w:vAlign w:val="center"/>
          </w:tcPr>
          <w:p w14:paraId="10A82AAD">
            <w:pPr>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r>
      <w:tr w14:paraId="5BD0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2F2D55E0">
            <w:pPr>
              <w:adjustRightInd w:val="0"/>
              <w:snapToGrid w:val="0"/>
              <w:spacing w:line="240" w:lineRule="auto"/>
              <w:jc w:val="center"/>
              <w:rPr>
                <w:rFonts w:hint="eastAsia" w:ascii="宋体" w:hAnsi="宋体" w:eastAsia="宋体" w:cs="宋体"/>
                <w:color w:val="auto"/>
                <w:sz w:val="21"/>
                <w:szCs w:val="21"/>
                <w:highlight w:val="none"/>
              </w:rPr>
            </w:pPr>
          </w:p>
        </w:tc>
        <w:tc>
          <w:tcPr>
            <w:tcW w:w="1290" w:type="dxa"/>
            <w:vAlign w:val="center"/>
          </w:tcPr>
          <w:p w14:paraId="075F183A">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企业实力</w:t>
            </w:r>
          </w:p>
        </w:tc>
        <w:tc>
          <w:tcPr>
            <w:tcW w:w="5817" w:type="dxa"/>
            <w:vAlign w:val="center"/>
          </w:tcPr>
          <w:p w14:paraId="50326BAA">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根据投标人企业履约能力、服务能力、企业信誉等进行打分。</w:t>
            </w:r>
          </w:p>
          <w:p w14:paraId="282BEB34">
            <w:pPr>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highlight w:val="none"/>
              </w:rPr>
              <w:t>一档得3分；二档得2分；三档得1分；未提及此项不得分。</w:t>
            </w:r>
          </w:p>
        </w:tc>
        <w:tc>
          <w:tcPr>
            <w:tcW w:w="648" w:type="dxa"/>
            <w:vAlign w:val="center"/>
          </w:tcPr>
          <w:p w14:paraId="63167157">
            <w:pPr>
              <w:pStyle w:val="11"/>
              <w:spacing w:line="240" w:lineRule="auto"/>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w:t>
            </w:r>
          </w:p>
        </w:tc>
      </w:tr>
      <w:tr w14:paraId="6E22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4D569A43">
            <w:pPr>
              <w:adjustRightInd w:val="0"/>
              <w:snapToGrid w:val="0"/>
              <w:spacing w:line="240" w:lineRule="auto"/>
              <w:jc w:val="center"/>
              <w:rPr>
                <w:rFonts w:hint="eastAsia" w:ascii="宋体" w:hAnsi="宋体" w:eastAsia="宋体" w:cs="宋体"/>
                <w:color w:val="auto"/>
                <w:sz w:val="21"/>
                <w:szCs w:val="21"/>
                <w:highlight w:val="none"/>
              </w:rPr>
            </w:pPr>
          </w:p>
        </w:tc>
        <w:tc>
          <w:tcPr>
            <w:tcW w:w="1290" w:type="dxa"/>
            <w:vAlign w:val="center"/>
          </w:tcPr>
          <w:p w14:paraId="57F8901C">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荣誉情况</w:t>
            </w:r>
          </w:p>
        </w:tc>
        <w:tc>
          <w:tcPr>
            <w:tcW w:w="5817" w:type="dxa"/>
            <w:vAlign w:val="center"/>
          </w:tcPr>
          <w:p w14:paraId="19647C6D">
            <w:pPr>
              <w:spacing w:line="240" w:lineRule="auto"/>
              <w:jc w:val="left"/>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z w:val="21"/>
                <w:szCs w:val="21"/>
                <w:highlight w:val="none"/>
              </w:rPr>
              <w:t>投标人自2019年1月1日</w:t>
            </w:r>
            <w:r>
              <w:rPr>
                <w:rFonts w:hint="eastAsia" w:ascii="宋体" w:hAnsi="宋体" w:eastAsia="宋体" w:cs="宋体"/>
                <w:color w:val="auto"/>
                <w:sz w:val="21"/>
                <w:szCs w:val="21"/>
                <w:highlight w:val="none"/>
                <w:lang w:val="en-US" w:eastAsia="zh-CN"/>
              </w:rPr>
              <w:t>以来</w:t>
            </w:r>
            <w:r>
              <w:rPr>
                <w:rFonts w:hint="eastAsia" w:ascii="宋体" w:hAnsi="宋体" w:eastAsia="宋体" w:cs="宋体"/>
                <w:color w:val="auto"/>
                <w:kern w:val="0"/>
                <w:sz w:val="21"/>
                <w:szCs w:val="21"/>
                <w:highlight w:val="none"/>
                <w:lang w:val="zh-CN"/>
              </w:rPr>
              <w:t>（以</w:t>
            </w:r>
            <w:r>
              <w:rPr>
                <w:rFonts w:hint="eastAsia" w:ascii="宋体" w:hAnsi="宋体" w:eastAsia="宋体" w:cs="宋体"/>
                <w:color w:val="auto"/>
                <w:kern w:val="0"/>
                <w:sz w:val="21"/>
                <w:szCs w:val="21"/>
                <w:highlight w:val="none"/>
                <w:lang w:val="en-US" w:eastAsia="zh-CN"/>
              </w:rPr>
              <w:t>获奖</w:t>
            </w:r>
            <w:r>
              <w:rPr>
                <w:rFonts w:hint="eastAsia" w:ascii="宋体" w:hAnsi="宋体" w:eastAsia="宋体" w:cs="宋体"/>
                <w:color w:val="auto"/>
                <w:kern w:val="0"/>
                <w:sz w:val="21"/>
                <w:szCs w:val="21"/>
                <w:highlight w:val="none"/>
                <w:lang w:val="zh-CN"/>
              </w:rPr>
              <w:t>时间为准），</w:t>
            </w:r>
            <w:r>
              <w:rPr>
                <w:rFonts w:hint="eastAsia" w:ascii="宋体" w:hAnsi="宋体" w:eastAsia="宋体" w:cs="宋体"/>
                <w:color w:val="auto"/>
                <w:sz w:val="21"/>
                <w:szCs w:val="21"/>
                <w:highlight w:val="none"/>
              </w:rPr>
              <w:t>参与</w:t>
            </w:r>
            <w:r>
              <w:rPr>
                <w:rFonts w:hint="eastAsia" w:ascii="宋体" w:hAnsi="宋体" w:eastAsia="宋体" w:cs="宋体"/>
                <w:color w:val="auto"/>
                <w:sz w:val="21"/>
                <w:szCs w:val="21"/>
                <w:highlight w:val="none"/>
                <w:lang w:val="en-US" w:eastAsia="zh-CN"/>
              </w:rPr>
              <w:t>过</w:t>
            </w:r>
            <w:r>
              <w:rPr>
                <w:rFonts w:hint="eastAsia" w:ascii="宋体" w:hAnsi="宋体" w:eastAsia="宋体" w:cs="宋体"/>
                <w:color w:val="auto"/>
                <w:sz w:val="21"/>
                <w:szCs w:val="21"/>
                <w:highlight w:val="none"/>
              </w:rPr>
              <w:t>省级及以上重大战略谋划并获得奖项的</w:t>
            </w:r>
            <w:r>
              <w:rPr>
                <w:rFonts w:hint="eastAsia" w:ascii="宋体" w:hAnsi="宋体" w:eastAsia="宋体" w:cs="宋体"/>
                <w:color w:val="auto"/>
                <w:spacing w:val="-4"/>
                <w:sz w:val="21"/>
                <w:szCs w:val="21"/>
                <w:highlight w:val="none"/>
                <w:lang w:val="en-US" w:eastAsia="zh-CN"/>
              </w:rPr>
              <w:t>得2分</w:t>
            </w:r>
            <w:r>
              <w:rPr>
                <w:rFonts w:hint="eastAsia" w:ascii="宋体" w:hAnsi="宋体" w:eastAsia="宋体" w:cs="宋体"/>
                <w:color w:val="auto"/>
                <w:sz w:val="21"/>
                <w:szCs w:val="21"/>
                <w:highlight w:val="none"/>
              </w:rPr>
              <w:t>，其他不得分</w:t>
            </w:r>
            <w:r>
              <w:rPr>
                <w:rFonts w:hint="eastAsia" w:ascii="宋体" w:hAnsi="宋体" w:eastAsia="宋体" w:cs="宋体"/>
                <w:color w:val="auto"/>
                <w:spacing w:val="-4"/>
                <w:sz w:val="21"/>
                <w:szCs w:val="21"/>
                <w:highlight w:val="none"/>
                <w:lang w:val="en-US" w:eastAsia="zh-CN"/>
              </w:rPr>
              <w:t>。</w:t>
            </w:r>
          </w:p>
          <w:p w14:paraId="697000D5">
            <w:pPr>
              <w:spacing w:line="24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（须提供有效的</w:t>
            </w:r>
            <w:r>
              <w:rPr>
                <w:rFonts w:hint="eastAsia" w:ascii="宋体" w:hAnsi="宋体" w:eastAsia="宋体" w:cs="宋体"/>
                <w:b/>
                <w:bCs/>
                <w:color w:val="auto"/>
                <w:sz w:val="21"/>
                <w:szCs w:val="21"/>
                <w:highlight w:val="none"/>
                <w:lang w:val="en-US" w:eastAsia="zh-CN"/>
              </w:rPr>
              <w:t>证明材料</w:t>
            </w:r>
            <w:r>
              <w:rPr>
                <w:rFonts w:hint="eastAsia" w:ascii="宋体" w:hAnsi="宋体" w:eastAsia="宋体" w:cs="宋体"/>
                <w:b/>
                <w:bCs/>
                <w:color w:val="auto"/>
                <w:sz w:val="21"/>
                <w:szCs w:val="21"/>
                <w:highlight w:val="none"/>
              </w:rPr>
              <w:t>扫描件加盖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公章编入投标文件中，未提供的不得分）</w:t>
            </w:r>
          </w:p>
        </w:tc>
        <w:tc>
          <w:tcPr>
            <w:tcW w:w="648" w:type="dxa"/>
            <w:vAlign w:val="center"/>
          </w:tcPr>
          <w:p w14:paraId="68292892">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r>
      <w:tr w14:paraId="05D2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575447BB">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90" w:type="dxa"/>
            <w:vAlign w:val="center"/>
          </w:tcPr>
          <w:p w14:paraId="75E04486">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p>
        </w:tc>
        <w:tc>
          <w:tcPr>
            <w:tcW w:w="5817" w:type="dxa"/>
            <w:vAlign w:val="center"/>
          </w:tcPr>
          <w:p w14:paraId="4BDAF26C">
            <w:pPr>
              <w:adjustRightInd w:val="0"/>
              <w:snapToGrid w:val="0"/>
              <w:spacing w:line="24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1、项目负责人</w:t>
            </w:r>
            <w:r>
              <w:rPr>
                <w:rFonts w:hint="eastAsia" w:ascii="宋体" w:hAnsi="宋体" w:eastAsia="宋体" w:cs="宋体"/>
                <w:bCs/>
                <w:color w:val="auto"/>
                <w:sz w:val="21"/>
                <w:szCs w:val="21"/>
                <w:highlight w:val="none"/>
                <w:lang w:val="en-US" w:eastAsia="zh-CN"/>
              </w:rPr>
              <w:t>具有</w:t>
            </w:r>
            <w:r>
              <w:rPr>
                <w:rFonts w:hint="eastAsia" w:ascii="宋体" w:hAnsi="宋体" w:eastAsia="宋体" w:cs="宋体"/>
                <w:color w:val="auto"/>
                <w:highlight w:val="none"/>
              </w:rPr>
              <w:t>经济学</w:t>
            </w:r>
            <w:r>
              <w:rPr>
                <w:rFonts w:hint="eastAsia" w:ascii="宋体" w:hAnsi="宋体" w:cs="宋体"/>
                <w:color w:val="auto"/>
                <w:highlight w:val="none"/>
                <w:lang w:val="en-US" w:eastAsia="zh-CN"/>
              </w:rPr>
              <w:t>或</w:t>
            </w:r>
            <w:r>
              <w:rPr>
                <w:rFonts w:hint="eastAsia" w:ascii="宋体" w:hAnsi="宋体" w:eastAsia="宋体" w:cs="宋体"/>
                <w:color w:val="auto"/>
                <w:highlight w:val="none"/>
              </w:rPr>
              <w:t>管理学</w:t>
            </w:r>
            <w:r>
              <w:rPr>
                <w:rFonts w:hint="eastAsia" w:ascii="宋体" w:hAnsi="宋体" w:cs="宋体"/>
                <w:color w:val="auto"/>
                <w:highlight w:val="none"/>
                <w:lang w:val="en-US" w:eastAsia="zh-CN"/>
              </w:rPr>
              <w:t>或</w:t>
            </w:r>
            <w:r>
              <w:rPr>
                <w:rFonts w:hint="eastAsia" w:ascii="宋体" w:hAnsi="宋体" w:eastAsia="宋体" w:cs="宋体"/>
                <w:color w:val="auto"/>
                <w:highlight w:val="none"/>
              </w:rPr>
              <w:t>工学</w:t>
            </w:r>
            <w:r>
              <w:rPr>
                <w:rFonts w:hint="eastAsia" w:ascii="宋体" w:hAnsi="宋体" w:cs="宋体"/>
                <w:color w:val="auto"/>
                <w:highlight w:val="none"/>
                <w:lang w:val="en-US" w:eastAsia="zh-CN"/>
              </w:rPr>
              <w:t>或</w:t>
            </w:r>
            <w:r>
              <w:rPr>
                <w:rFonts w:hint="eastAsia" w:ascii="宋体" w:hAnsi="宋体" w:eastAsia="宋体" w:cs="宋体"/>
                <w:color w:val="auto"/>
                <w:highlight w:val="none"/>
              </w:rPr>
              <w:t>城乡规划学</w:t>
            </w:r>
            <w:r>
              <w:rPr>
                <w:rFonts w:hint="eastAsia" w:ascii="宋体" w:hAnsi="宋体" w:cs="宋体"/>
                <w:color w:val="auto"/>
                <w:highlight w:val="none"/>
                <w:lang w:val="en-US" w:eastAsia="zh-CN"/>
              </w:rPr>
              <w:t>等相关</w:t>
            </w:r>
            <w:r>
              <w:rPr>
                <w:rFonts w:hint="eastAsia" w:ascii="宋体" w:hAnsi="宋体" w:eastAsia="宋体" w:cs="宋体"/>
                <w:bCs/>
                <w:color w:val="auto"/>
                <w:sz w:val="21"/>
                <w:szCs w:val="21"/>
                <w:highlight w:val="none"/>
                <w:lang w:val="en-US" w:eastAsia="zh-CN"/>
              </w:rPr>
              <w:t>专业高级工程师及以上职称</w:t>
            </w:r>
            <w:r>
              <w:rPr>
                <w:rFonts w:hint="eastAsia" w:ascii="宋体" w:hAnsi="宋体" w:eastAsia="宋体" w:cs="宋体"/>
                <w:bCs/>
                <w:color w:val="auto"/>
                <w:sz w:val="21"/>
                <w:szCs w:val="21"/>
                <w:highlight w:val="none"/>
              </w:rPr>
              <w:t>的得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其他不得分。</w:t>
            </w:r>
          </w:p>
          <w:p w14:paraId="0E0C8964">
            <w:pPr>
              <w:adjustRightInd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2、项目负责人拥有</w:t>
            </w:r>
            <w:r>
              <w:rPr>
                <w:rFonts w:hint="eastAsia" w:ascii="宋体" w:hAnsi="宋体" w:eastAsia="宋体" w:cs="宋体"/>
                <w:bCs/>
                <w:color w:val="auto"/>
                <w:sz w:val="21"/>
                <w:szCs w:val="21"/>
                <w:highlight w:val="none"/>
                <w:lang w:val="en-US" w:eastAsia="zh-CN"/>
              </w:rPr>
              <w:t>注册</w:t>
            </w:r>
            <w:r>
              <w:rPr>
                <w:rFonts w:hint="eastAsia" w:ascii="宋体" w:hAnsi="宋体" w:eastAsia="宋体" w:cs="宋体"/>
                <w:bCs/>
                <w:color w:val="auto"/>
                <w:sz w:val="21"/>
                <w:szCs w:val="21"/>
                <w:highlight w:val="none"/>
              </w:rPr>
              <w:t>咨询工程师（投资）证书或注册城乡规划师证书的得2分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其他不得分</w:t>
            </w:r>
            <w:r>
              <w:rPr>
                <w:rFonts w:hint="eastAsia" w:ascii="宋体" w:hAnsi="宋体" w:eastAsia="宋体" w:cs="宋体"/>
                <w:bCs/>
                <w:color w:val="auto"/>
                <w:sz w:val="21"/>
                <w:szCs w:val="21"/>
                <w:highlight w:val="none"/>
              </w:rPr>
              <w:t>。</w:t>
            </w:r>
          </w:p>
          <w:p w14:paraId="3214C691">
            <w:pPr>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（须提供在有效期内的相关证书</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件及投标截止时间前的社保缴费证明并加盖投标人公章编入投标文件中，未提供或提供不全的不得分）</w:t>
            </w:r>
          </w:p>
        </w:tc>
        <w:tc>
          <w:tcPr>
            <w:tcW w:w="648" w:type="dxa"/>
            <w:vAlign w:val="center"/>
          </w:tcPr>
          <w:p w14:paraId="76416F25">
            <w:pPr>
              <w:spacing w:line="240" w:lineRule="auto"/>
              <w:jc w:val="center"/>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lang w:val="en-US" w:eastAsia="zh-CN"/>
              </w:rPr>
              <w:t>6</w:t>
            </w:r>
          </w:p>
        </w:tc>
      </w:tr>
      <w:tr w14:paraId="7D42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7D1E8540">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90" w:type="dxa"/>
            <w:vMerge w:val="restart"/>
            <w:vAlign w:val="center"/>
          </w:tcPr>
          <w:p w14:paraId="473ED25C">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项目组成员</w:t>
            </w:r>
            <w:r>
              <w:rPr>
                <w:rFonts w:hint="eastAsia" w:ascii="宋体" w:hAnsi="宋体" w:eastAsia="宋体" w:cs="宋体"/>
                <w:color w:val="auto"/>
                <w:sz w:val="21"/>
                <w:szCs w:val="21"/>
                <w:highlight w:val="none"/>
              </w:rPr>
              <w:t>（项目负责人除外）</w:t>
            </w:r>
          </w:p>
        </w:tc>
        <w:tc>
          <w:tcPr>
            <w:tcW w:w="5817" w:type="dxa"/>
            <w:vAlign w:val="center"/>
          </w:tcPr>
          <w:p w14:paraId="5956924A">
            <w:pPr>
              <w:adjustRightInd w:val="0"/>
              <w:snapToGrid w:val="0"/>
              <w:spacing w:line="240" w:lineRule="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4"/>
                <w:sz w:val="21"/>
                <w:szCs w:val="21"/>
                <w:highlight w:val="none"/>
                <w:lang w:val="en-US" w:eastAsia="zh-CN"/>
              </w:rPr>
              <w:t>项目组成员</w:t>
            </w:r>
            <w:r>
              <w:rPr>
                <w:rFonts w:hint="eastAsia" w:ascii="宋体" w:hAnsi="宋体" w:eastAsia="宋体" w:cs="宋体"/>
                <w:color w:val="auto"/>
                <w:spacing w:val="-4"/>
                <w:sz w:val="21"/>
                <w:szCs w:val="21"/>
                <w:highlight w:val="none"/>
              </w:rPr>
              <w:t>专业配置全面，人员结构包含经济学、管理学、</w:t>
            </w:r>
            <w:r>
              <w:rPr>
                <w:rFonts w:hint="eastAsia" w:ascii="宋体" w:hAnsi="宋体" w:eastAsia="宋体" w:cs="宋体"/>
                <w:color w:val="auto"/>
                <w:spacing w:val="-4"/>
                <w:sz w:val="21"/>
                <w:szCs w:val="21"/>
                <w:highlight w:val="none"/>
                <w:lang w:val="en-US" w:eastAsia="zh-CN"/>
              </w:rPr>
              <w:t>工学、城乡规划学的</w:t>
            </w:r>
            <w:r>
              <w:rPr>
                <w:rFonts w:hint="eastAsia" w:ascii="宋体" w:hAnsi="宋体" w:eastAsia="宋体" w:cs="宋体"/>
                <w:color w:val="auto"/>
                <w:spacing w:val="-4"/>
                <w:sz w:val="21"/>
                <w:szCs w:val="21"/>
                <w:highlight w:val="none"/>
              </w:rPr>
              <w:t>专业人员，每个专业得</w:t>
            </w:r>
            <w:r>
              <w:rPr>
                <w:rFonts w:hint="eastAsia" w:ascii="宋体" w:hAnsi="宋体" w:eastAsia="宋体" w:cs="宋体"/>
                <w:color w:val="auto"/>
                <w:spacing w:val="-4"/>
                <w:sz w:val="21"/>
                <w:szCs w:val="21"/>
                <w:highlight w:val="none"/>
                <w:lang w:val="en-US" w:eastAsia="zh-CN"/>
              </w:rPr>
              <w:t>1</w:t>
            </w:r>
            <w:r>
              <w:rPr>
                <w:rFonts w:hint="eastAsia" w:ascii="宋体" w:hAnsi="宋体" w:eastAsia="宋体" w:cs="宋体"/>
                <w:color w:val="auto"/>
                <w:spacing w:val="-4"/>
                <w:sz w:val="21"/>
                <w:szCs w:val="21"/>
                <w:highlight w:val="none"/>
              </w:rPr>
              <w:t>分，最</w:t>
            </w:r>
            <w:r>
              <w:rPr>
                <w:rFonts w:hint="eastAsia" w:ascii="宋体" w:hAnsi="宋体" w:eastAsia="宋体" w:cs="宋体"/>
                <w:color w:val="auto"/>
                <w:spacing w:val="-4"/>
                <w:sz w:val="21"/>
                <w:szCs w:val="21"/>
                <w:highlight w:val="none"/>
                <w:lang w:val="en-US" w:eastAsia="zh-CN"/>
              </w:rPr>
              <w:t>高</w:t>
            </w:r>
            <w:r>
              <w:rPr>
                <w:rFonts w:hint="eastAsia" w:ascii="宋体" w:hAnsi="宋体" w:eastAsia="宋体" w:cs="宋体"/>
                <w:color w:val="auto"/>
                <w:spacing w:val="-4"/>
                <w:sz w:val="21"/>
                <w:szCs w:val="21"/>
                <w:highlight w:val="none"/>
              </w:rPr>
              <w:t>得</w:t>
            </w:r>
            <w:r>
              <w:rPr>
                <w:rFonts w:hint="eastAsia" w:ascii="宋体" w:hAnsi="宋体" w:eastAsia="宋体" w:cs="宋体"/>
                <w:color w:val="auto"/>
                <w:spacing w:val="-4"/>
                <w:sz w:val="21"/>
                <w:szCs w:val="21"/>
                <w:highlight w:val="none"/>
                <w:lang w:val="en-US" w:eastAsia="zh-CN"/>
              </w:rPr>
              <w:t>4</w:t>
            </w:r>
            <w:r>
              <w:rPr>
                <w:rFonts w:hint="eastAsia" w:ascii="宋体" w:hAnsi="宋体" w:eastAsia="宋体" w:cs="宋体"/>
                <w:color w:val="auto"/>
                <w:spacing w:val="-4"/>
                <w:sz w:val="21"/>
                <w:szCs w:val="21"/>
                <w:highlight w:val="none"/>
              </w:rPr>
              <w:t>分</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同一人不重复计分。</w:t>
            </w:r>
          </w:p>
          <w:p w14:paraId="7AF01E66">
            <w:pPr>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（须提供人员清单、</w:t>
            </w:r>
            <w:r>
              <w:rPr>
                <w:rFonts w:hint="eastAsia" w:ascii="宋体" w:hAnsi="宋体" w:eastAsia="宋体" w:cs="宋体"/>
                <w:b/>
                <w:bCs/>
                <w:color w:val="auto"/>
                <w:sz w:val="21"/>
                <w:szCs w:val="21"/>
                <w:highlight w:val="none"/>
                <w:lang w:val="en-US" w:eastAsia="zh-CN"/>
              </w:rPr>
              <w:t>毕业</w:t>
            </w:r>
            <w:r>
              <w:rPr>
                <w:rFonts w:hint="eastAsia" w:ascii="宋体" w:hAnsi="宋体" w:eastAsia="宋体" w:cs="宋体"/>
                <w:b/>
                <w:bCs/>
                <w:color w:val="auto"/>
                <w:sz w:val="21"/>
                <w:szCs w:val="21"/>
                <w:highlight w:val="none"/>
              </w:rPr>
              <w:t>证书</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件及投标截止时间前的社保缴费证明并加盖投标人公章编入投标文件中，未提供或提供不全的不得分）</w:t>
            </w:r>
          </w:p>
        </w:tc>
        <w:tc>
          <w:tcPr>
            <w:tcW w:w="648" w:type="dxa"/>
            <w:vAlign w:val="center"/>
          </w:tcPr>
          <w:p w14:paraId="1F371DC5">
            <w:pPr>
              <w:spacing w:line="240" w:lineRule="auto"/>
              <w:jc w:val="center"/>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4</w:t>
            </w:r>
          </w:p>
        </w:tc>
      </w:tr>
      <w:tr w14:paraId="27C6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1B44A28A">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90" w:type="dxa"/>
            <w:vMerge w:val="continue"/>
            <w:vAlign w:val="center"/>
          </w:tcPr>
          <w:p w14:paraId="6F3C1F9E">
            <w:pPr>
              <w:autoSpaceDE w:val="0"/>
              <w:autoSpaceDN w:val="0"/>
              <w:adjustRightInd w:val="0"/>
              <w:spacing w:line="240" w:lineRule="auto"/>
              <w:jc w:val="center"/>
              <w:rPr>
                <w:rFonts w:hint="eastAsia" w:ascii="宋体" w:hAnsi="宋体" w:eastAsia="宋体" w:cs="宋体"/>
                <w:color w:val="auto"/>
                <w:spacing w:val="-4"/>
                <w:sz w:val="21"/>
                <w:szCs w:val="21"/>
                <w:highlight w:val="none"/>
              </w:rPr>
            </w:pPr>
          </w:p>
        </w:tc>
        <w:tc>
          <w:tcPr>
            <w:tcW w:w="5817" w:type="dxa"/>
            <w:vAlign w:val="center"/>
          </w:tcPr>
          <w:p w14:paraId="687489A4">
            <w:pPr>
              <w:adjustRightInd w:val="0"/>
              <w:snapToGrid w:val="0"/>
              <w:spacing w:line="24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pacing w:val="-4"/>
                <w:sz w:val="21"/>
                <w:szCs w:val="21"/>
                <w:highlight w:val="none"/>
              </w:rPr>
              <w:t>2、具有经济学</w:t>
            </w:r>
            <w:r>
              <w:rPr>
                <w:rFonts w:hint="eastAsia" w:ascii="宋体" w:hAnsi="宋体" w:cs="宋体"/>
                <w:color w:val="auto"/>
                <w:highlight w:val="none"/>
                <w:lang w:val="en-US" w:eastAsia="zh-CN"/>
              </w:rPr>
              <w:t>或</w:t>
            </w:r>
            <w:r>
              <w:rPr>
                <w:rFonts w:hint="eastAsia" w:ascii="宋体" w:hAnsi="宋体" w:eastAsia="宋体" w:cs="宋体"/>
                <w:color w:val="auto"/>
                <w:spacing w:val="-4"/>
                <w:sz w:val="21"/>
                <w:szCs w:val="21"/>
                <w:highlight w:val="none"/>
              </w:rPr>
              <w:t>管理学</w:t>
            </w:r>
            <w:r>
              <w:rPr>
                <w:rFonts w:hint="eastAsia" w:ascii="宋体" w:hAnsi="宋体" w:cs="宋体"/>
                <w:color w:val="auto"/>
                <w:highlight w:val="none"/>
                <w:lang w:val="en-US" w:eastAsia="zh-CN"/>
              </w:rPr>
              <w:t>或</w:t>
            </w:r>
            <w:r>
              <w:rPr>
                <w:rFonts w:hint="eastAsia" w:ascii="宋体" w:hAnsi="宋体" w:eastAsia="宋体" w:cs="宋体"/>
                <w:color w:val="auto"/>
                <w:spacing w:val="-4"/>
                <w:sz w:val="21"/>
                <w:szCs w:val="21"/>
                <w:highlight w:val="none"/>
                <w:lang w:val="en-US" w:eastAsia="zh-CN"/>
              </w:rPr>
              <w:t>工学</w:t>
            </w:r>
            <w:r>
              <w:rPr>
                <w:rFonts w:hint="eastAsia" w:ascii="宋体" w:hAnsi="宋体" w:cs="宋体"/>
                <w:color w:val="auto"/>
                <w:highlight w:val="none"/>
                <w:lang w:val="en-US" w:eastAsia="zh-CN"/>
              </w:rPr>
              <w:t>或</w:t>
            </w:r>
            <w:r>
              <w:rPr>
                <w:rFonts w:hint="eastAsia" w:ascii="宋体" w:hAnsi="宋体" w:eastAsia="宋体" w:cs="宋体"/>
                <w:color w:val="auto"/>
                <w:spacing w:val="-4"/>
                <w:sz w:val="21"/>
                <w:szCs w:val="21"/>
                <w:highlight w:val="none"/>
                <w:lang w:val="en-US" w:eastAsia="zh-CN"/>
              </w:rPr>
              <w:t>城乡规划学</w:t>
            </w:r>
            <w:r>
              <w:rPr>
                <w:rFonts w:hint="eastAsia" w:ascii="宋体" w:hAnsi="宋体" w:cs="宋体"/>
                <w:color w:val="auto"/>
                <w:highlight w:val="none"/>
                <w:lang w:val="en-US" w:eastAsia="zh-CN"/>
              </w:rPr>
              <w:t>等相关</w:t>
            </w:r>
            <w:r>
              <w:rPr>
                <w:rFonts w:hint="eastAsia" w:ascii="宋体" w:hAnsi="宋体" w:eastAsia="宋体" w:cs="宋体"/>
                <w:bCs/>
                <w:color w:val="auto"/>
                <w:sz w:val="21"/>
                <w:szCs w:val="21"/>
                <w:highlight w:val="none"/>
                <w:lang w:val="en-US" w:eastAsia="zh-CN"/>
              </w:rPr>
              <w:t>专业</w:t>
            </w:r>
            <w:r>
              <w:rPr>
                <w:rFonts w:hint="eastAsia" w:ascii="宋体" w:hAnsi="宋体" w:eastAsia="宋体" w:cs="宋体"/>
                <w:bCs/>
                <w:color w:val="auto"/>
                <w:sz w:val="21"/>
                <w:szCs w:val="21"/>
                <w:highlight w:val="none"/>
              </w:rPr>
              <w:t>副高（含）及以上职称或博士学历的，每人得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最高得2分</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同一人不重复计分。</w:t>
            </w:r>
          </w:p>
          <w:p w14:paraId="33554D72">
            <w:pPr>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（须提供有效期内的证书</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件及投标截止时间前的社保缴费证明并加盖投标人公章编入投标文件中，未提供或提供不全的不得分）</w:t>
            </w:r>
          </w:p>
        </w:tc>
        <w:tc>
          <w:tcPr>
            <w:tcW w:w="648" w:type="dxa"/>
            <w:vAlign w:val="center"/>
          </w:tcPr>
          <w:p w14:paraId="533E4474">
            <w:pPr>
              <w:spacing w:line="240" w:lineRule="auto"/>
              <w:jc w:val="center"/>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2</w:t>
            </w:r>
          </w:p>
        </w:tc>
      </w:tr>
      <w:tr w14:paraId="4FCC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7DCB9416">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90" w:type="dxa"/>
            <w:vMerge w:val="continue"/>
            <w:vAlign w:val="center"/>
          </w:tcPr>
          <w:p w14:paraId="0304E3CE">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5817" w:type="dxa"/>
            <w:vAlign w:val="center"/>
          </w:tcPr>
          <w:p w14:paraId="0F21774C">
            <w:pPr>
              <w:adjustRightInd w:val="0"/>
              <w:snapToGrid w:val="0"/>
              <w:spacing w:line="240" w:lineRule="auto"/>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具有</w:t>
            </w:r>
            <w:r>
              <w:rPr>
                <w:rFonts w:hint="eastAsia" w:ascii="宋体" w:hAnsi="宋体" w:eastAsia="宋体" w:cs="宋体"/>
                <w:bCs/>
                <w:color w:val="auto"/>
                <w:sz w:val="21"/>
                <w:szCs w:val="21"/>
                <w:highlight w:val="none"/>
              </w:rPr>
              <w:t>注册城乡规划师证书或咨询工程师（投资）证书</w:t>
            </w:r>
            <w:r>
              <w:rPr>
                <w:rFonts w:hint="eastAsia" w:ascii="宋体" w:hAnsi="宋体" w:eastAsia="宋体" w:cs="宋体"/>
                <w:color w:val="auto"/>
                <w:sz w:val="21"/>
                <w:szCs w:val="21"/>
                <w:highlight w:val="none"/>
              </w:rPr>
              <w:t>的，每人得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lang w:eastAsia="zh-CN"/>
              </w:rPr>
              <w:t>，</w:t>
            </w:r>
            <w:r>
              <w:rPr>
                <w:rFonts w:hint="eastAsia" w:ascii="宋体" w:hAnsi="宋体" w:eastAsia="宋体" w:cs="宋体"/>
                <w:bCs/>
                <w:color w:val="auto"/>
                <w:sz w:val="21"/>
                <w:szCs w:val="21"/>
                <w:highlight w:val="none"/>
                <w:lang w:val="en-US" w:eastAsia="zh-CN"/>
              </w:rPr>
              <w:t>最高得3分。</w:t>
            </w:r>
            <w:r>
              <w:rPr>
                <w:rFonts w:hint="eastAsia" w:ascii="宋体" w:hAnsi="宋体" w:eastAsia="宋体" w:cs="宋体"/>
                <w:color w:val="auto"/>
                <w:sz w:val="21"/>
                <w:szCs w:val="21"/>
                <w:highlight w:val="none"/>
              </w:rPr>
              <w:t>同一人不重复计分</w:t>
            </w:r>
            <w:r>
              <w:rPr>
                <w:rFonts w:hint="eastAsia" w:ascii="宋体" w:hAnsi="宋体" w:eastAsia="宋体" w:cs="宋体"/>
                <w:color w:val="auto"/>
                <w:sz w:val="21"/>
                <w:szCs w:val="21"/>
                <w:highlight w:val="none"/>
                <w:lang w:eastAsia="zh-CN"/>
              </w:rPr>
              <w:t>。</w:t>
            </w:r>
          </w:p>
          <w:p w14:paraId="1C197519">
            <w:pPr>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（须提供有效期内的证书</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件及投标截止时间前的社保缴费证明并加盖投标人公章编入投标文件中，未提供或提供不全的不得分）</w:t>
            </w:r>
          </w:p>
        </w:tc>
        <w:tc>
          <w:tcPr>
            <w:tcW w:w="648" w:type="dxa"/>
            <w:vAlign w:val="center"/>
          </w:tcPr>
          <w:p w14:paraId="06752596">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r>
      <w:tr w14:paraId="76E5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restart"/>
            <w:vAlign w:val="center"/>
          </w:tcPr>
          <w:p w14:paraId="770997F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技术分（5</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1290" w:type="dxa"/>
            <w:vAlign w:val="center"/>
          </w:tcPr>
          <w:p w14:paraId="1C98402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背景</w:t>
            </w:r>
            <w:r>
              <w:rPr>
                <w:rFonts w:hint="eastAsia" w:ascii="宋体" w:hAnsi="宋体" w:eastAsia="宋体" w:cs="宋体"/>
                <w:color w:val="auto"/>
                <w:sz w:val="21"/>
                <w:szCs w:val="21"/>
                <w:highlight w:val="none"/>
              </w:rPr>
              <w:t>理解</w:t>
            </w:r>
          </w:p>
        </w:tc>
        <w:tc>
          <w:tcPr>
            <w:tcW w:w="5817" w:type="dxa"/>
            <w:vAlign w:val="center"/>
          </w:tcPr>
          <w:p w14:paraId="123A01E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rPr>
              <w:t>对项目背景的</w:t>
            </w:r>
            <w:r>
              <w:rPr>
                <w:rFonts w:hint="eastAsia" w:ascii="宋体" w:hAnsi="宋体" w:eastAsia="宋体" w:cs="宋体"/>
                <w:color w:val="auto"/>
                <w:sz w:val="21"/>
                <w:szCs w:val="21"/>
                <w:highlight w:val="none"/>
                <w:lang w:val="en-US" w:eastAsia="zh-CN"/>
              </w:rPr>
              <w:t>理解</w:t>
            </w:r>
            <w:r>
              <w:rPr>
                <w:rFonts w:hint="eastAsia" w:ascii="宋体" w:hAnsi="宋体" w:eastAsia="宋体" w:cs="宋体"/>
                <w:color w:val="auto"/>
                <w:sz w:val="21"/>
                <w:szCs w:val="21"/>
                <w:highlight w:val="none"/>
              </w:rPr>
              <w:t>程度是否具有深入性、系统性、针对性</w:t>
            </w:r>
            <w:r>
              <w:rPr>
                <w:rFonts w:hint="eastAsia" w:ascii="宋体" w:hAnsi="宋体" w:eastAsia="宋体" w:cs="宋体"/>
                <w:color w:val="auto"/>
                <w:sz w:val="21"/>
                <w:szCs w:val="21"/>
                <w:highlight w:val="none"/>
                <w:lang w:val="en-US" w:eastAsia="zh-CN"/>
              </w:rPr>
              <w:t>等进行打分</w:t>
            </w:r>
            <w:r>
              <w:rPr>
                <w:rFonts w:hint="eastAsia" w:ascii="宋体" w:hAnsi="宋体" w:eastAsia="宋体" w:cs="宋体"/>
                <w:color w:val="auto"/>
                <w:sz w:val="21"/>
                <w:szCs w:val="21"/>
                <w:highlight w:val="none"/>
              </w:rPr>
              <w:t>。</w:t>
            </w:r>
          </w:p>
          <w:p w14:paraId="67EAD3A9">
            <w:pPr>
              <w:spacing w:line="240" w:lineRule="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648" w:type="dxa"/>
            <w:vAlign w:val="center"/>
          </w:tcPr>
          <w:p w14:paraId="521EC147">
            <w:pPr>
              <w:autoSpaceDE w:val="0"/>
              <w:autoSpaceDN w:val="0"/>
              <w:adjustRightIn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r>
      <w:tr w14:paraId="3DF1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5EB2B7C9">
            <w:pPr>
              <w:spacing w:line="240" w:lineRule="auto"/>
              <w:jc w:val="center"/>
              <w:rPr>
                <w:rFonts w:hint="eastAsia" w:ascii="宋体" w:hAnsi="宋体" w:eastAsia="宋体" w:cs="宋体"/>
                <w:color w:val="auto"/>
                <w:sz w:val="21"/>
                <w:szCs w:val="21"/>
                <w:highlight w:val="none"/>
              </w:rPr>
            </w:pPr>
          </w:p>
        </w:tc>
        <w:tc>
          <w:tcPr>
            <w:tcW w:w="1290" w:type="dxa"/>
            <w:vAlign w:val="center"/>
          </w:tcPr>
          <w:p w14:paraId="2D47A042">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项目基础现状和存在问题认知</w:t>
            </w:r>
          </w:p>
        </w:tc>
        <w:tc>
          <w:tcPr>
            <w:tcW w:w="5817" w:type="dxa"/>
            <w:vAlign w:val="center"/>
          </w:tcPr>
          <w:p w14:paraId="33F5416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本项目发展现状和存在问题的认知</w:t>
            </w:r>
            <w:r>
              <w:rPr>
                <w:rFonts w:hint="eastAsia" w:ascii="宋体" w:hAnsi="宋体" w:eastAsia="宋体" w:cs="宋体"/>
                <w:color w:val="auto"/>
                <w:sz w:val="21"/>
                <w:szCs w:val="21"/>
                <w:highlight w:val="none"/>
              </w:rPr>
              <w:t>是否具有针对性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准确性等进行打分</w:t>
            </w:r>
            <w:r>
              <w:rPr>
                <w:rFonts w:hint="eastAsia" w:ascii="宋体" w:hAnsi="宋体" w:eastAsia="宋体" w:cs="宋体"/>
                <w:color w:val="auto"/>
                <w:sz w:val="21"/>
                <w:szCs w:val="21"/>
                <w:highlight w:val="none"/>
              </w:rPr>
              <w:t>。</w:t>
            </w:r>
          </w:p>
          <w:p w14:paraId="52C3D87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648" w:type="dxa"/>
            <w:vAlign w:val="center"/>
          </w:tcPr>
          <w:p w14:paraId="6618E927">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6B36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03492B8C">
            <w:pPr>
              <w:spacing w:line="240" w:lineRule="auto"/>
              <w:jc w:val="center"/>
              <w:rPr>
                <w:rFonts w:hint="eastAsia" w:ascii="宋体" w:hAnsi="宋体" w:eastAsia="宋体" w:cs="宋体"/>
                <w:color w:val="auto"/>
                <w:sz w:val="21"/>
                <w:szCs w:val="21"/>
                <w:highlight w:val="none"/>
              </w:rPr>
            </w:pPr>
          </w:p>
        </w:tc>
        <w:tc>
          <w:tcPr>
            <w:tcW w:w="1290" w:type="dxa"/>
            <w:vAlign w:val="center"/>
          </w:tcPr>
          <w:p w14:paraId="0DEF8E88">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发展宏观环境形势分析</w:t>
            </w:r>
          </w:p>
        </w:tc>
        <w:tc>
          <w:tcPr>
            <w:tcW w:w="5817" w:type="dxa"/>
            <w:vAlign w:val="center"/>
          </w:tcPr>
          <w:p w14:paraId="59D831B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rPr>
              <w:t>对项目内外部环境分析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发展趋势研判</w:t>
            </w:r>
            <w:r>
              <w:rPr>
                <w:rFonts w:hint="eastAsia" w:ascii="宋体" w:hAnsi="宋体" w:eastAsia="宋体" w:cs="宋体"/>
                <w:color w:val="auto"/>
                <w:sz w:val="21"/>
                <w:szCs w:val="21"/>
                <w:highlight w:val="none"/>
              </w:rPr>
              <w:t>，是否</w:t>
            </w:r>
            <w:r>
              <w:rPr>
                <w:rFonts w:hint="eastAsia" w:ascii="宋体" w:hAnsi="宋体" w:eastAsia="宋体" w:cs="宋体"/>
                <w:color w:val="auto"/>
                <w:sz w:val="21"/>
                <w:szCs w:val="21"/>
                <w:highlight w:val="none"/>
                <w:lang w:val="en-US" w:eastAsia="zh-CN"/>
              </w:rPr>
              <w:t>具有针对性、</w:t>
            </w:r>
            <w:r>
              <w:rPr>
                <w:rFonts w:hint="eastAsia" w:ascii="宋体" w:hAnsi="宋体" w:eastAsia="宋体" w:cs="宋体"/>
                <w:color w:val="auto"/>
                <w:sz w:val="21"/>
                <w:szCs w:val="21"/>
                <w:highlight w:val="none"/>
              </w:rPr>
              <w:t>合理性、前瞻性</w:t>
            </w:r>
            <w:r>
              <w:rPr>
                <w:rFonts w:hint="eastAsia" w:ascii="宋体" w:hAnsi="宋体" w:eastAsia="宋体" w:cs="宋体"/>
                <w:color w:val="auto"/>
                <w:sz w:val="21"/>
                <w:szCs w:val="21"/>
                <w:highlight w:val="none"/>
                <w:lang w:val="en-US" w:eastAsia="zh-CN"/>
              </w:rPr>
              <w:t>等进行打分</w:t>
            </w:r>
            <w:r>
              <w:rPr>
                <w:rFonts w:hint="eastAsia" w:ascii="宋体" w:hAnsi="宋体" w:eastAsia="宋体" w:cs="宋体"/>
                <w:color w:val="auto"/>
                <w:sz w:val="21"/>
                <w:szCs w:val="21"/>
                <w:highlight w:val="none"/>
              </w:rPr>
              <w:t>。</w:t>
            </w:r>
          </w:p>
          <w:p w14:paraId="6EE520D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648" w:type="dxa"/>
            <w:vAlign w:val="center"/>
          </w:tcPr>
          <w:p w14:paraId="48A3BD4F">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7DDF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473686B7">
            <w:pPr>
              <w:spacing w:line="240" w:lineRule="auto"/>
              <w:jc w:val="center"/>
              <w:rPr>
                <w:rFonts w:hint="eastAsia" w:ascii="宋体" w:hAnsi="宋体" w:eastAsia="宋体" w:cs="宋体"/>
                <w:color w:val="auto"/>
                <w:sz w:val="21"/>
                <w:szCs w:val="21"/>
                <w:highlight w:val="none"/>
              </w:rPr>
            </w:pPr>
          </w:p>
        </w:tc>
        <w:tc>
          <w:tcPr>
            <w:tcW w:w="1290" w:type="dxa"/>
            <w:shd w:val="clear" w:color="auto" w:fill="auto"/>
            <w:vAlign w:val="center"/>
          </w:tcPr>
          <w:p w14:paraId="09D6CA16">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总体思路研究</w:t>
            </w:r>
          </w:p>
        </w:tc>
        <w:tc>
          <w:tcPr>
            <w:tcW w:w="5817" w:type="dxa"/>
            <w:shd w:val="clear" w:color="auto" w:fill="auto"/>
            <w:vAlign w:val="center"/>
          </w:tcPr>
          <w:p w14:paraId="07130565">
            <w:pPr>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根据投标人对黄岩G104模塑产业走廊规划的目标定位和总体思路的制定是否清晰可行、是否贴合地方实际等进行打分。</w:t>
            </w:r>
          </w:p>
          <w:p w14:paraId="756262FD">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648" w:type="dxa"/>
            <w:shd w:val="clear" w:color="auto" w:fill="auto"/>
            <w:vAlign w:val="center"/>
          </w:tcPr>
          <w:p w14:paraId="2EC7172E">
            <w:pPr>
              <w:autoSpaceDE w:val="0"/>
              <w:autoSpaceDN w:val="0"/>
              <w:adjustRightIn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77A7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761E2910">
            <w:pPr>
              <w:spacing w:line="240" w:lineRule="auto"/>
              <w:jc w:val="center"/>
              <w:rPr>
                <w:rFonts w:hint="eastAsia" w:ascii="宋体" w:hAnsi="宋体" w:eastAsia="宋体" w:cs="宋体"/>
                <w:color w:val="auto"/>
                <w:sz w:val="21"/>
                <w:szCs w:val="21"/>
                <w:highlight w:val="none"/>
              </w:rPr>
            </w:pPr>
          </w:p>
        </w:tc>
        <w:tc>
          <w:tcPr>
            <w:tcW w:w="1290" w:type="dxa"/>
            <w:shd w:val="clear" w:color="auto" w:fill="auto"/>
            <w:vAlign w:val="center"/>
          </w:tcPr>
          <w:p w14:paraId="6A304BF1">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空间规划与功能布局</w:t>
            </w:r>
          </w:p>
        </w:tc>
        <w:tc>
          <w:tcPr>
            <w:tcW w:w="5817" w:type="dxa"/>
            <w:shd w:val="clear" w:color="auto" w:fill="auto"/>
            <w:vAlign w:val="center"/>
          </w:tcPr>
          <w:p w14:paraId="4E9D3424">
            <w:pPr>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根据投标人对黄岩G104模塑产业走廊规划的空间规划与功能布局是否科学合理，是否具有可行性等进行打分。</w:t>
            </w:r>
          </w:p>
          <w:p w14:paraId="584F2734">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648" w:type="dxa"/>
            <w:shd w:val="clear" w:color="auto" w:fill="auto"/>
            <w:vAlign w:val="center"/>
          </w:tcPr>
          <w:p w14:paraId="6CBAC989">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23C7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26A1A86A">
            <w:pPr>
              <w:spacing w:line="240" w:lineRule="auto"/>
              <w:jc w:val="center"/>
              <w:rPr>
                <w:rFonts w:hint="eastAsia" w:ascii="宋体" w:hAnsi="宋体" w:eastAsia="宋体" w:cs="宋体"/>
                <w:color w:val="auto"/>
                <w:sz w:val="21"/>
                <w:szCs w:val="21"/>
                <w:highlight w:val="none"/>
              </w:rPr>
            </w:pPr>
          </w:p>
        </w:tc>
        <w:tc>
          <w:tcPr>
            <w:tcW w:w="1290" w:type="dxa"/>
            <w:shd w:val="clear" w:color="auto" w:fill="auto"/>
            <w:vAlign w:val="center"/>
          </w:tcPr>
          <w:p w14:paraId="169E7C5D">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重点任务研究考虑</w:t>
            </w:r>
          </w:p>
        </w:tc>
        <w:tc>
          <w:tcPr>
            <w:tcW w:w="5817" w:type="dxa"/>
            <w:shd w:val="clear" w:color="auto" w:fill="auto"/>
            <w:vAlign w:val="center"/>
          </w:tcPr>
          <w:p w14:paraId="79A40B9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根据投标人对规划编制的重点任务措施的研究考虑是否具有针对性、可行性等进行打分。</w:t>
            </w:r>
          </w:p>
          <w:p w14:paraId="6330D989">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648" w:type="dxa"/>
            <w:shd w:val="clear" w:color="auto" w:fill="auto"/>
            <w:vAlign w:val="center"/>
          </w:tcPr>
          <w:p w14:paraId="04437358">
            <w:pPr>
              <w:autoSpaceDE w:val="0"/>
              <w:autoSpaceDN w:val="0"/>
              <w:adjustRightIn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6E32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535EEEDF">
            <w:pPr>
              <w:spacing w:line="240" w:lineRule="auto"/>
              <w:jc w:val="center"/>
              <w:rPr>
                <w:rFonts w:hint="eastAsia" w:ascii="宋体" w:hAnsi="宋体" w:eastAsia="宋体" w:cs="宋体"/>
                <w:color w:val="auto"/>
                <w:sz w:val="21"/>
                <w:szCs w:val="21"/>
                <w:highlight w:val="none"/>
              </w:rPr>
            </w:pPr>
          </w:p>
        </w:tc>
        <w:tc>
          <w:tcPr>
            <w:tcW w:w="1290" w:type="dxa"/>
            <w:shd w:val="clear" w:color="auto" w:fill="auto"/>
            <w:vAlign w:val="center"/>
          </w:tcPr>
          <w:p w14:paraId="37177A29">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技术路线选择</w:t>
            </w:r>
          </w:p>
        </w:tc>
        <w:tc>
          <w:tcPr>
            <w:tcW w:w="5817" w:type="dxa"/>
            <w:shd w:val="clear" w:color="auto" w:fill="auto"/>
            <w:vAlign w:val="center"/>
          </w:tcPr>
          <w:p w14:paraId="392CE214">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提供的规划技术路线</w:t>
            </w:r>
            <w:r>
              <w:rPr>
                <w:rFonts w:hint="eastAsia" w:ascii="宋体" w:hAnsi="宋体" w:eastAsia="宋体" w:cs="宋体"/>
                <w:color w:val="auto"/>
                <w:sz w:val="21"/>
                <w:szCs w:val="21"/>
                <w:highlight w:val="none"/>
                <w:lang w:val="en-US" w:eastAsia="zh-CN"/>
              </w:rPr>
              <w:t>和研究方法选择</w:t>
            </w:r>
            <w:r>
              <w:rPr>
                <w:rFonts w:hint="eastAsia" w:ascii="宋体" w:hAnsi="宋体" w:eastAsia="宋体" w:cs="宋体"/>
                <w:color w:val="auto"/>
                <w:sz w:val="21"/>
                <w:szCs w:val="21"/>
                <w:highlight w:val="none"/>
              </w:rPr>
              <w:t>是否科学合理、是否切实可行，并具有创新性</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进行打分</w:t>
            </w:r>
            <w:r>
              <w:rPr>
                <w:rFonts w:hint="eastAsia" w:ascii="宋体" w:hAnsi="宋体" w:eastAsia="宋体" w:cs="宋体"/>
                <w:color w:val="auto"/>
                <w:sz w:val="21"/>
                <w:szCs w:val="21"/>
                <w:highlight w:val="none"/>
                <w:lang w:eastAsia="zh-CN"/>
              </w:rPr>
              <w:t>。</w:t>
            </w:r>
          </w:p>
          <w:p w14:paraId="57F48527">
            <w:pPr>
              <w:numPr>
                <w:ilvl w:val="0"/>
                <w:numId w:val="0"/>
              </w:numPr>
              <w:spacing w:line="240" w:lineRule="auto"/>
              <w:ind w:left="0" w:leftChars="0" w:firstLine="0" w:firstLineChars="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648" w:type="dxa"/>
            <w:shd w:val="clear" w:color="auto" w:fill="auto"/>
            <w:vAlign w:val="center"/>
          </w:tcPr>
          <w:p w14:paraId="50CD80A9">
            <w:pPr>
              <w:autoSpaceDE w:val="0"/>
              <w:autoSpaceDN w:val="0"/>
              <w:adjustRightIn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12E9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1083" w:type="dxa"/>
            <w:vMerge w:val="continue"/>
            <w:vAlign w:val="center"/>
          </w:tcPr>
          <w:p w14:paraId="7A5F4FFF">
            <w:pPr>
              <w:spacing w:line="240" w:lineRule="auto"/>
              <w:jc w:val="center"/>
              <w:rPr>
                <w:rFonts w:hint="eastAsia" w:ascii="宋体" w:hAnsi="宋体" w:eastAsia="宋体" w:cs="宋体"/>
                <w:color w:val="auto"/>
                <w:sz w:val="21"/>
                <w:szCs w:val="21"/>
                <w:highlight w:val="none"/>
              </w:rPr>
            </w:pPr>
          </w:p>
        </w:tc>
        <w:tc>
          <w:tcPr>
            <w:tcW w:w="1290" w:type="dxa"/>
            <w:shd w:val="clear" w:color="auto" w:fill="auto"/>
            <w:vAlign w:val="center"/>
          </w:tcPr>
          <w:p w14:paraId="0324CED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研究重难点理解分析</w:t>
            </w:r>
          </w:p>
        </w:tc>
        <w:tc>
          <w:tcPr>
            <w:tcW w:w="5817" w:type="dxa"/>
            <w:shd w:val="clear" w:color="auto" w:fill="auto"/>
            <w:vAlign w:val="center"/>
          </w:tcPr>
          <w:p w14:paraId="2DB0B32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根据投标人</w:t>
            </w:r>
            <w:r>
              <w:rPr>
                <w:rFonts w:hint="eastAsia" w:ascii="宋体" w:hAnsi="宋体" w:eastAsia="宋体" w:cs="宋体"/>
                <w:color w:val="auto"/>
                <w:sz w:val="21"/>
                <w:szCs w:val="21"/>
                <w:highlight w:val="none"/>
                <w:lang w:val="en-US" w:eastAsia="zh-CN"/>
              </w:rPr>
              <w:t>对</w:t>
            </w:r>
            <w:r>
              <w:rPr>
                <w:rFonts w:hint="eastAsia" w:ascii="宋体" w:hAnsi="宋体" w:eastAsia="宋体" w:cs="宋体"/>
                <w:color w:val="auto"/>
                <w:sz w:val="21"/>
                <w:szCs w:val="21"/>
                <w:highlight w:val="none"/>
              </w:rPr>
              <w:t>项目研究重点及难点问题的理解和把握，是否准确有深度</w:t>
            </w:r>
            <w:r>
              <w:rPr>
                <w:rFonts w:hint="eastAsia" w:ascii="宋体" w:hAnsi="宋体" w:eastAsia="宋体" w:cs="宋体"/>
                <w:color w:val="auto"/>
                <w:sz w:val="21"/>
                <w:szCs w:val="21"/>
                <w:highlight w:val="none"/>
                <w:lang w:val="en-US" w:eastAsia="zh-CN"/>
              </w:rPr>
              <w:t>等进行打分。</w:t>
            </w:r>
          </w:p>
          <w:p w14:paraId="7C830BB6">
            <w:pPr>
              <w:spacing w:line="240"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648" w:type="dxa"/>
            <w:shd w:val="clear" w:color="auto" w:fill="auto"/>
            <w:vAlign w:val="center"/>
          </w:tcPr>
          <w:p w14:paraId="5903A55A">
            <w:pPr>
              <w:autoSpaceDE w:val="0"/>
              <w:autoSpaceDN w:val="0"/>
              <w:adjustRightIn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03F1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3D0134AA">
            <w:pPr>
              <w:spacing w:line="240" w:lineRule="auto"/>
              <w:jc w:val="center"/>
              <w:rPr>
                <w:rFonts w:hint="eastAsia" w:ascii="宋体" w:hAnsi="宋体" w:eastAsia="宋体" w:cs="宋体"/>
                <w:color w:val="auto"/>
                <w:sz w:val="21"/>
                <w:szCs w:val="21"/>
                <w:highlight w:val="none"/>
              </w:rPr>
            </w:pPr>
          </w:p>
        </w:tc>
        <w:tc>
          <w:tcPr>
            <w:tcW w:w="1290" w:type="dxa"/>
            <w:shd w:val="clear" w:color="auto" w:fill="auto"/>
            <w:vAlign w:val="center"/>
          </w:tcPr>
          <w:p w14:paraId="1A73A98A">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合理化建议</w:t>
            </w:r>
          </w:p>
        </w:tc>
        <w:tc>
          <w:tcPr>
            <w:tcW w:w="5817" w:type="dxa"/>
            <w:shd w:val="clear" w:color="auto" w:fill="auto"/>
            <w:vAlign w:val="center"/>
          </w:tcPr>
          <w:p w14:paraId="6ACFD43C">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对本项目</w:t>
            </w:r>
            <w:r>
              <w:rPr>
                <w:rFonts w:hint="eastAsia" w:ascii="宋体" w:hAnsi="宋体" w:eastAsia="宋体" w:cs="宋体"/>
                <w:color w:val="auto"/>
                <w:szCs w:val="21"/>
                <w:highlight w:val="none"/>
                <w:lang w:val="en-US" w:eastAsia="zh-CN"/>
              </w:rPr>
              <w:t>推进及实施</w:t>
            </w:r>
            <w:r>
              <w:rPr>
                <w:rFonts w:hint="eastAsia" w:ascii="宋体" w:hAnsi="宋体" w:eastAsia="宋体" w:cs="宋体"/>
                <w:color w:val="auto"/>
                <w:szCs w:val="21"/>
                <w:highlight w:val="none"/>
              </w:rPr>
              <w:t>的建议</w:t>
            </w:r>
            <w:r>
              <w:rPr>
                <w:rFonts w:hint="eastAsia" w:ascii="宋体" w:hAnsi="宋体" w:eastAsia="宋体" w:cs="宋体"/>
                <w:color w:val="auto"/>
                <w:szCs w:val="21"/>
                <w:highlight w:val="none"/>
                <w:lang w:val="en-US" w:eastAsia="zh-CN"/>
              </w:rPr>
              <w:t>是否实用、是否</w:t>
            </w:r>
            <w:r>
              <w:rPr>
                <w:rFonts w:hint="eastAsia" w:ascii="宋体" w:hAnsi="宋体" w:eastAsia="宋体" w:cs="宋体"/>
                <w:color w:val="auto"/>
                <w:szCs w:val="21"/>
                <w:highlight w:val="none"/>
              </w:rPr>
              <w:t>合理</w:t>
            </w:r>
            <w:r>
              <w:rPr>
                <w:rFonts w:hint="eastAsia" w:ascii="宋体" w:hAnsi="宋体" w:eastAsia="宋体" w:cs="宋体"/>
                <w:color w:val="auto"/>
                <w:szCs w:val="21"/>
                <w:highlight w:val="none"/>
                <w:lang w:val="en-US" w:eastAsia="zh-CN"/>
              </w:rPr>
              <w:t>可行</w:t>
            </w:r>
            <w:r>
              <w:rPr>
                <w:rFonts w:hint="eastAsia" w:ascii="宋体" w:hAnsi="宋体" w:eastAsia="宋体" w:cs="宋体"/>
                <w:color w:val="auto"/>
                <w:szCs w:val="21"/>
                <w:highlight w:val="none"/>
              </w:rPr>
              <w:t>进行打分。</w:t>
            </w:r>
          </w:p>
          <w:p w14:paraId="63C9CB7D">
            <w:pPr>
              <w:spacing w:line="240" w:lineRule="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648" w:type="dxa"/>
            <w:shd w:val="clear" w:color="auto" w:fill="auto"/>
            <w:vAlign w:val="center"/>
          </w:tcPr>
          <w:p w14:paraId="44070505">
            <w:pPr>
              <w:autoSpaceDE w:val="0"/>
              <w:autoSpaceDN w:val="0"/>
              <w:adjustRightIn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3D6F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65AC36E0">
            <w:pPr>
              <w:spacing w:line="240" w:lineRule="auto"/>
              <w:jc w:val="center"/>
              <w:rPr>
                <w:rFonts w:hint="eastAsia" w:ascii="宋体" w:hAnsi="宋体" w:eastAsia="宋体" w:cs="宋体"/>
                <w:color w:val="auto"/>
                <w:sz w:val="21"/>
                <w:szCs w:val="21"/>
                <w:highlight w:val="none"/>
              </w:rPr>
            </w:pPr>
          </w:p>
        </w:tc>
        <w:tc>
          <w:tcPr>
            <w:tcW w:w="1290" w:type="dxa"/>
            <w:shd w:val="clear" w:color="auto" w:fill="auto"/>
            <w:vAlign w:val="center"/>
          </w:tcPr>
          <w:p w14:paraId="271FD4FA">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计划安排</w:t>
            </w:r>
          </w:p>
        </w:tc>
        <w:tc>
          <w:tcPr>
            <w:tcW w:w="5817" w:type="dxa"/>
            <w:shd w:val="clear" w:color="auto" w:fill="auto"/>
            <w:vAlign w:val="center"/>
          </w:tcPr>
          <w:p w14:paraId="5AEF10B2">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根据投标人制定的整体计划安排，包括但不限于对项目整体工作阶段及任务划分、进度控制是否合理、关键时间节点把握是否符合要求、进度保证措施等内容进行打分。</w:t>
            </w:r>
          </w:p>
          <w:p w14:paraId="5A535A02">
            <w:pPr>
              <w:spacing w:line="240"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一档得5分；二档得4.5分；三档得4分；四档得3.5分；五档得3分；六档得2.5分；七档得2分；八档得1.5分；九档得1分；未提及此项不得分。</w:t>
            </w:r>
          </w:p>
        </w:tc>
        <w:tc>
          <w:tcPr>
            <w:tcW w:w="648" w:type="dxa"/>
            <w:shd w:val="clear" w:color="auto" w:fill="auto"/>
            <w:vAlign w:val="center"/>
          </w:tcPr>
          <w:p w14:paraId="782A7CFD">
            <w:pPr>
              <w:autoSpaceDE w:val="0"/>
              <w:autoSpaceDN w:val="0"/>
              <w:adjustRightIn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58B3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71056EBB">
            <w:pPr>
              <w:spacing w:line="240" w:lineRule="auto"/>
              <w:jc w:val="center"/>
              <w:rPr>
                <w:rFonts w:hint="eastAsia" w:ascii="宋体" w:hAnsi="宋体" w:eastAsia="宋体" w:cs="宋体"/>
                <w:color w:val="auto"/>
                <w:sz w:val="21"/>
                <w:szCs w:val="21"/>
                <w:highlight w:val="none"/>
              </w:rPr>
            </w:pPr>
          </w:p>
        </w:tc>
        <w:tc>
          <w:tcPr>
            <w:tcW w:w="1290" w:type="dxa"/>
            <w:shd w:val="clear" w:color="auto" w:fill="auto"/>
            <w:vAlign w:val="center"/>
          </w:tcPr>
          <w:p w14:paraId="56FB3A6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质量保障</w:t>
            </w:r>
          </w:p>
        </w:tc>
        <w:tc>
          <w:tcPr>
            <w:tcW w:w="5817" w:type="dxa"/>
            <w:shd w:val="clear" w:color="auto" w:fill="auto"/>
            <w:vAlign w:val="center"/>
          </w:tcPr>
          <w:p w14:paraId="428745B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根据投标人提供的</w:t>
            </w:r>
            <w:r>
              <w:rPr>
                <w:rFonts w:hint="eastAsia" w:ascii="宋体" w:hAnsi="宋体" w:eastAsia="宋体" w:cs="宋体"/>
                <w:color w:val="auto"/>
                <w:sz w:val="21"/>
                <w:szCs w:val="21"/>
                <w:highlight w:val="none"/>
              </w:rPr>
              <w:t>质量保证措施是否完备周全，是否具有针对性应对措施</w:t>
            </w:r>
            <w:r>
              <w:rPr>
                <w:rFonts w:hint="eastAsia" w:ascii="宋体" w:hAnsi="宋体" w:eastAsia="宋体" w:cs="宋体"/>
                <w:color w:val="auto"/>
                <w:sz w:val="21"/>
                <w:szCs w:val="21"/>
                <w:highlight w:val="none"/>
                <w:lang w:val="en-US" w:eastAsia="zh-CN"/>
              </w:rPr>
              <w:t>等进行打分</w:t>
            </w:r>
            <w:r>
              <w:rPr>
                <w:rFonts w:hint="eastAsia" w:ascii="宋体" w:hAnsi="宋体" w:eastAsia="宋体" w:cs="宋体"/>
                <w:color w:val="auto"/>
                <w:sz w:val="21"/>
                <w:szCs w:val="21"/>
                <w:highlight w:val="none"/>
              </w:rPr>
              <w:t>。</w:t>
            </w:r>
          </w:p>
          <w:p w14:paraId="3927890A">
            <w:pPr>
              <w:spacing w:line="240" w:lineRule="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一档得5分；二档得4.5分；三档得4分；四档得3.5分；五档得3分；六档得2.5分；七档得2分；八档得1.5分；九档得1分；未提及此项不得分。</w:t>
            </w:r>
          </w:p>
        </w:tc>
        <w:tc>
          <w:tcPr>
            <w:tcW w:w="648" w:type="dxa"/>
            <w:shd w:val="clear" w:color="auto" w:fill="auto"/>
            <w:vAlign w:val="center"/>
          </w:tcPr>
          <w:p w14:paraId="2D2A43ED">
            <w:pPr>
              <w:autoSpaceDE w:val="0"/>
              <w:autoSpaceDN w:val="0"/>
              <w:adjustRightIn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62C9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2D05438E">
            <w:pPr>
              <w:spacing w:line="240" w:lineRule="auto"/>
              <w:jc w:val="center"/>
              <w:rPr>
                <w:rFonts w:hint="eastAsia" w:ascii="宋体" w:hAnsi="宋体" w:eastAsia="宋体" w:cs="宋体"/>
                <w:color w:val="auto"/>
                <w:sz w:val="21"/>
                <w:szCs w:val="21"/>
                <w:highlight w:val="none"/>
              </w:rPr>
            </w:pPr>
          </w:p>
        </w:tc>
        <w:tc>
          <w:tcPr>
            <w:tcW w:w="1290" w:type="dxa"/>
            <w:shd w:val="clear" w:color="auto" w:fill="auto"/>
            <w:vAlign w:val="center"/>
          </w:tcPr>
          <w:p w14:paraId="78253546">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保密措施</w:t>
            </w:r>
          </w:p>
        </w:tc>
        <w:tc>
          <w:tcPr>
            <w:tcW w:w="5817" w:type="dxa"/>
            <w:shd w:val="clear" w:color="auto" w:fill="auto"/>
            <w:vAlign w:val="center"/>
          </w:tcPr>
          <w:p w14:paraId="1BC0132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是否有具体保密措施，使得各种档案资料不被泄露等情况进行打分。</w:t>
            </w:r>
          </w:p>
          <w:p w14:paraId="030DF919">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lang w:val="en-US" w:eastAsia="zh-CN"/>
              </w:rPr>
              <w:t>一档得3分；二档得2分；三档得1分；未提及此项不得分。</w:t>
            </w:r>
          </w:p>
        </w:tc>
        <w:tc>
          <w:tcPr>
            <w:tcW w:w="648" w:type="dxa"/>
            <w:shd w:val="clear" w:color="auto" w:fill="auto"/>
            <w:vAlign w:val="center"/>
          </w:tcPr>
          <w:p w14:paraId="539B0E8F">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r>
      <w:tr w14:paraId="761C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3" w:type="dxa"/>
            <w:gridSpan w:val="2"/>
            <w:vAlign w:val="center"/>
          </w:tcPr>
          <w:p w14:paraId="0113E386">
            <w:pPr>
              <w:keepLines w:val="0"/>
              <w:pageBreakBefore w:val="0"/>
              <w:kinsoku/>
              <w:wordWrap/>
              <w:overflowPunct/>
              <w:topLinePunct w:val="0"/>
              <w:bidi w:val="0"/>
              <w:spacing w:beforeAutospacing="0" w:afterAutospacing="0" w:line="240" w:lineRule="auto"/>
              <w:ind w:left="0"/>
              <w:jc w:val="center"/>
              <w:textAlignment w:val="auto"/>
              <w:rPr>
                <w:rStyle w:val="59"/>
                <w:rFonts w:hint="eastAsia" w:ascii="宋体" w:hAnsi="宋体" w:eastAsia="宋体" w:cs="宋体"/>
                <w:color w:val="auto"/>
                <w:kern w:val="0"/>
                <w:sz w:val="21"/>
                <w:szCs w:val="21"/>
                <w:highlight w:val="none"/>
              </w:rPr>
            </w:pPr>
            <w:r>
              <w:rPr>
                <w:rStyle w:val="59"/>
                <w:rFonts w:hint="eastAsia" w:ascii="宋体" w:hAnsi="宋体" w:eastAsia="宋体" w:cs="宋体"/>
                <w:color w:val="auto"/>
                <w:kern w:val="0"/>
                <w:sz w:val="21"/>
                <w:szCs w:val="21"/>
                <w:highlight w:val="none"/>
              </w:rPr>
              <w:t>价格</w:t>
            </w:r>
          </w:p>
          <w:p w14:paraId="47B9B28D">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pacing w:val="-4"/>
                <w:sz w:val="21"/>
                <w:szCs w:val="21"/>
                <w:highlight w:val="none"/>
              </w:rPr>
            </w:pPr>
            <w:r>
              <w:rPr>
                <w:rStyle w:val="59"/>
                <w:rFonts w:hint="eastAsia" w:ascii="宋体" w:hAnsi="宋体" w:eastAsia="宋体" w:cs="宋体"/>
                <w:color w:val="auto"/>
                <w:kern w:val="0"/>
                <w:sz w:val="21"/>
                <w:szCs w:val="21"/>
                <w:highlight w:val="none"/>
              </w:rPr>
              <w:t>（</w:t>
            </w:r>
            <w:r>
              <w:rPr>
                <w:rStyle w:val="59"/>
                <w:rFonts w:hint="eastAsia" w:ascii="宋体" w:hAnsi="宋体" w:eastAsia="宋体" w:cs="宋体"/>
                <w:color w:val="auto"/>
                <w:kern w:val="0"/>
                <w:sz w:val="21"/>
                <w:szCs w:val="21"/>
                <w:highlight w:val="none"/>
                <w:lang w:val="en-US" w:eastAsia="zh-CN"/>
              </w:rPr>
              <w:t>2</w:t>
            </w:r>
            <w:r>
              <w:rPr>
                <w:rStyle w:val="59"/>
                <w:rFonts w:hint="eastAsia" w:ascii="宋体" w:hAnsi="宋体" w:eastAsia="宋体" w:cs="宋体"/>
                <w:color w:val="auto"/>
                <w:kern w:val="0"/>
                <w:sz w:val="21"/>
                <w:szCs w:val="21"/>
                <w:highlight w:val="none"/>
              </w:rPr>
              <w:t>0分）</w:t>
            </w:r>
          </w:p>
        </w:tc>
        <w:tc>
          <w:tcPr>
            <w:tcW w:w="5817" w:type="dxa"/>
            <w:vAlign w:val="center"/>
          </w:tcPr>
          <w:p w14:paraId="6D7F089F">
            <w:pPr>
              <w:keepLines w:val="0"/>
              <w:pageBreakBefore w:val="0"/>
              <w:kinsoku/>
              <w:wordWrap/>
              <w:overflowPunct/>
              <w:topLinePunct w:val="0"/>
              <w:bidi w:val="0"/>
              <w:spacing w:beforeAutospacing="0" w:afterAutospacing="0" w:line="240" w:lineRule="auto"/>
              <w:ind w:left="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val="zh-CN"/>
              </w:rPr>
              <w:t>。</w:t>
            </w:r>
          </w:p>
          <w:p w14:paraId="4111D38C">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lang w:val="zh-CN"/>
              </w:rPr>
              <w:t>）。</w:t>
            </w:r>
          </w:p>
        </w:tc>
        <w:tc>
          <w:tcPr>
            <w:tcW w:w="648" w:type="dxa"/>
            <w:vAlign w:val="center"/>
          </w:tcPr>
          <w:p w14:paraId="54BEC7E1">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p>
        </w:tc>
      </w:tr>
    </w:tbl>
    <w:p w14:paraId="2FA0DF4D">
      <w:pPr>
        <w:pStyle w:val="9"/>
        <w:spacing w:line="360" w:lineRule="auto"/>
        <w:ind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4479E1BF">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项目需求</w:t>
      </w:r>
    </w:p>
    <w:p w14:paraId="0358E4F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一、项目概况</w:t>
      </w:r>
    </w:p>
    <w:p w14:paraId="641A03DE">
      <w:pPr>
        <w:keepNext w:val="0"/>
        <w:keepLines w:val="0"/>
        <w:pageBreakBefore w:val="0"/>
        <w:widowControl w:val="0"/>
        <w:kinsoku/>
        <w:wordWrap/>
        <w:overflowPunct/>
        <w:topLinePunct w:val="0"/>
        <w:autoSpaceDN/>
        <w:bidi w:val="0"/>
        <w:snapToGrid/>
        <w:spacing w:line="360" w:lineRule="auto"/>
        <w:ind w:firstLine="420" w:firstLineChars="200"/>
        <w:jc w:val="left"/>
        <w:textAlignment w:val="auto"/>
        <w:rPr>
          <w:rFonts w:hint="eastAsia" w:ascii="宋体" w:hAnsi="宋体" w:eastAsia="宋体" w:cs="宋体"/>
          <w:bCs/>
          <w:color w:val="auto"/>
          <w:szCs w:val="24"/>
          <w:highlight w:val="none"/>
          <w:lang w:val="en-US" w:eastAsia="zh-CN"/>
        </w:rPr>
      </w:pPr>
      <w:r>
        <w:rPr>
          <w:rFonts w:hint="eastAsia" w:ascii="宋体" w:hAnsi="宋体" w:eastAsia="宋体" w:cs="宋体"/>
          <w:bCs/>
          <w:color w:val="auto"/>
          <w:szCs w:val="24"/>
          <w:highlight w:val="none"/>
        </w:rPr>
        <w:t>台州市黄岩区作为中国模具之乡，其模具生产总量占到了全国的10%，是台州市重点培育的七大千亿级产业集群之一。产业走廊是当前培育新质生产力的重要模式之一，其本质是地理空间上呈现“廊带”状分布的跨区域产业组织</w:t>
      </w:r>
      <w:r>
        <w:rPr>
          <w:rFonts w:hint="eastAsia" w:ascii="宋体" w:hAnsi="宋体" w:eastAsia="宋体" w:cs="宋体"/>
          <w:bCs/>
          <w:color w:val="auto"/>
          <w:szCs w:val="24"/>
          <w:highlight w:val="none"/>
          <w:lang w:eastAsia="zh-CN"/>
        </w:rPr>
        <w:t>，</w:t>
      </w:r>
      <w:r>
        <w:rPr>
          <w:rFonts w:hint="eastAsia" w:ascii="宋体" w:hAnsi="宋体" w:eastAsia="宋体" w:cs="宋体"/>
          <w:bCs/>
          <w:color w:val="auto"/>
          <w:szCs w:val="24"/>
          <w:highlight w:val="none"/>
          <w:lang w:val="en-US" w:eastAsia="zh-CN"/>
        </w:rPr>
        <w:t>黄岩</w:t>
      </w:r>
      <w:r>
        <w:rPr>
          <w:rFonts w:hint="eastAsia" w:ascii="宋体" w:hAnsi="宋体" w:eastAsia="宋体" w:cs="宋体"/>
          <w:bCs/>
          <w:color w:val="auto"/>
          <w:szCs w:val="24"/>
          <w:highlight w:val="none"/>
        </w:rPr>
        <w:t>G104国道连接头陀、北洋、茅畲、沙埠、高桥、院桥</w:t>
      </w:r>
      <w:r>
        <w:rPr>
          <w:rFonts w:hint="eastAsia" w:ascii="宋体" w:hAnsi="宋体" w:eastAsia="宋体" w:cs="宋体"/>
          <w:bCs/>
          <w:color w:val="auto"/>
          <w:szCs w:val="24"/>
          <w:highlight w:val="none"/>
          <w:lang w:val="en-US" w:eastAsia="zh-CN"/>
        </w:rPr>
        <w:t>等乡镇</w:t>
      </w:r>
      <w:r>
        <w:rPr>
          <w:rFonts w:hint="eastAsia" w:ascii="宋体" w:hAnsi="宋体" w:eastAsia="宋体" w:cs="宋体"/>
          <w:bCs/>
          <w:color w:val="auto"/>
          <w:szCs w:val="24"/>
          <w:highlight w:val="none"/>
        </w:rPr>
        <w:t>，辐射联动康山工业区、繁三工业区、合屿工业区，</w:t>
      </w:r>
      <w:r>
        <w:rPr>
          <w:rFonts w:hint="eastAsia" w:ascii="宋体" w:hAnsi="宋体" w:eastAsia="宋体" w:cs="宋体"/>
          <w:bCs/>
          <w:color w:val="auto"/>
          <w:szCs w:val="24"/>
          <w:highlight w:val="none"/>
          <w:lang w:val="en-US" w:eastAsia="zh-CN"/>
        </w:rPr>
        <w:t>是黄岩</w:t>
      </w:r>
      <w:r>
        <w:rPr>
          <w:rFonts w:hint="eastAsia" w:ascii="宋体" w:hAnsi="宋体" w:eastAsia="宋体" w:cs="宋体"/>
          <w:bCs/>
          <w:color w:val="auto"/>
          <w:szCs w:val="24"/>
          <w:highlight w:val="none"/>
        </w:rPr>
        <w:t>打造智能模具产业集群</w:t>
      </w:r>
      <w:r>
        <w:rPr>
          <w:rFonts w:hint="eastAsia" w:ascii="宋体" w:hAnsi="宋体" w:eastAsia="宋体" w:cs="宋体"/>
          <w:bCs/>
          <w:color w:val="auto"/>
          <w:szCs w:val="24"/>
          <w:highlight w:val="none"/>
          <w:lang w:val="en-US" w:eastAsia="zh-CN"/>
        </w:rPr>
        <w:t>的良好载体。</w:t>
      </w:r>
    </w:p>
    <w:p w14:paraId="53831366">
      <w:pPr>
        <w:keepNext w:val="0"/>
        <w:keepLines w:val="0"/>
        <w:pageBreakBefore w:val="0"/>
        <w:widowControl w:val="0"/>
        <w:kinsoku/>
        <w:wordWrap/>
        <w:overflowPunct/>
        <w:topLinePunct w:val="0"/>
        <w:autoSpaceDN/>
        <w:bidi w:val="0"/>
        <w:snapToGrid/>
        <w:spacing w:line="360" w:lineRule="auto"/>
        <w:ind w:firstLine="420" w:firstLineChars="200"/>
        <w:jc w:val="left"/>
        <w:textAlignment w:val="auto"/>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为进一步</w:t>
      </w:r>
      <w:r>
        <w:rPr>
          <w:rFonts w:hint="eastAsia" w:ascii="宋体" w:hAnsi="宋体" w:eastAsia="宋体" w:cs="宋体"/>
          <w:bCs/>
          <w:color w:val="auto"/>
          <w:szCs w:val="24"/>
          <w:highlight w:val="none"/>
          <w:lang w:val="en-US" w:eastAsia="zh-CN"/>
        </w:rPr>
        <w:t>落实区委、区政府相关部署要求，</w:t>
      </w:r>
      <w:r>
        <w:rPr>
          <w:rFonts w:hint="eastAsia" w:ascii="宋体" w:hAnsi="宋体" w:eastAsia="宋体" w:cs="宋体"/>
          <w:bCs/>
          <w:color w:val="auto"/>
          <w:szCs w:val="24"/>
          <w:highlight w:val="none"/>
        </w:rPr>
        <w:t>推进模塑产业高质量发展，加快建成具有较强国际竞争力的模具产业基地、国内领先的模具产业集聚区，将G104沿线打造为模塑产业走廊</w:t>
      </w:r>
      <w:r>
        <w:rPr>
          <w:rFonts w:hint="eastAsia" w:ascii="宋体" w:hAnsi="宋体" w:eastAsia="宋体" w:cs="宋体"/>
          <w:bCs/>
          <w:color w:val="auto"/>
          <w:szCs w:val="24"/>
          <w:highlight w:val="none"/>
          <w:lang w:eastAsia="zh-CN"/>
        </w:rPr>
        <w:t>，</w:t>
      </w:r>
      <w:r>
        <w:rPr>
          <w:rFonts w:hint="eastAsia" w:ascii="宋体" w:hAnsi="宋体" w:eastAsia="宋体" w:cs="宋体"/>
          <w:bCs/>
          <w:color w:val="auto"/>
          <w:szCs w:val="24"/>
          <w:highlight w:val="none"/>
          <w:lang w:val="en-US" w:eastAsia="zh-CN"/>
        </w:rPr>
        <w:t>特开展《黄岩G104模塑产业走廊规划》编制。</w:t>
      </w:r>
    </w:p>
    <w:p w14:paraId="4B586E7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二、采购内容</w:t>
      </w:r>
    </w:p>
    <w:p w14:paraId="52956EB3">
      <w:pPr>
        <w:keepNext w:val="0"/>
        <w:keepLines w:val="0"/>
        <w:pageBreakBefore w:val="0"/>
        <w:widowControl w:val="0"/>
        <w:kinsoku/>
        <w:wordWrap/>
        <w:overflowPunct/>
        <w:topLinePunct w:val="0"/>
        <w:autoSpaceDN/>
        <w:bidi w:val="0"/>
        <w:snapToGrid/>
        <w:spacing w:line="360" w:lineRule="auto"/>
        <w:ind w:firstLine="420" w:firstLineChars="200"/>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紧紧围绕国家、浙江省、台州市重大战略部署，分析黄岩区</w:t>
      </w:r>
      <w:r>
        <w:rPr>
          <w:rFonts w:hint="eastAsia" w:ascii="宋体" w:hAnsi="宋体" w:eastAsia="宋体" w:cs="宋体"/>
          <w:bCs/>
          <w:color w:val="auto"/>
          <w:kern w:val="0"/>
          <w:szCs w:val="21"/>
          <w:highlight w:val="none"/>
          <w:lang w:val="en-US" w:eastAsia="zh-CN"/>
        </w:rPr>
        <w:t>模塑产业发展基础和存在问题，研究提出黄岩G104模塑产业走廊规划的总体思想、发展目标、空间布局、重点任务等方面的考虑</w:t>
      </w:r>
      <w:r>
        <w:rPr>
          <w:rFonts w:hint="eastAsia" w:ascii="宋体" w:hAnsi="宋体" w:eastAsia="宋体" w:cs="宋体"/>
          <w:bCs/>
          <w:color w:val="auto"/>
          <w:kern w:val="0"/>
          <w:szCs w:val="21"/>
          <w:highlight w:val="none"/>
        </w:rPr>
        <w:t>，为黄岩区模塑产业</w:t>
      </w:r>
      <w:r>
        <w:rPr>
          <w:rFonts w:hint="eastAsia" w:ascii="宋体" w:hAnsi="宋体" w:eastAsia="宋体" w:cs="宋体"/>
          <w:bCs/>
          <w:color w:val="auto"/>
          <w:kern w:val="0"/>
          <w:szCs w:val="21"/>
          <w:highlight w:val="none"/>
          <w:lang w:val="en-US" w:eastAsia="zh-CN"/>
        </w:rPr>
        <w:t>集群发展</w:t>
      </w:r>
      <w:r>
        <w:rPr>
          <w:rFonts w:hint="eastAsia" w:ascii="宋体" w:hAnsi="宋体" w:eastAsia="宋体" w:cs="宋体"/>
          <w:bCs/>
          <w:color w:val="auto"/>
          <w:kern w:val="0"/>
          <w:szCs w:val="21"/>
          <w:highlight w:val="none"/>
        </w:rPr>
        <w:t>奠定基础。</w:t>
      </w:r>
    </w:p>
    <w:p w14:paraId="5FE60B16">
      <w:pPr>
        <w:keepNext w:val="0"/>
        <w:keepLines w:val="0"/>
        <w:pageBreakBefore w:val="0"/>
        <w:widowControl w:val="0"/>
        <w:kinsoku/>
        <w:wordWrap/>
        <w:overflowPunct/>
        <w:topLinePunct w:val="0"/>
        <w:autoSpaceDN/>
        <w:bidi w:val="0"/>
        <w:snapToGrid/>
        <w:spacing w:line="360" w:lineRule="auto"/>
        <w:ind w:firstLine="422"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b/>
          <w:bCs/>
          <w:color w:val="auto"/>
          <w:kern w:val="0"/>
          <w:szCs w:val="21"/>
          <w:highlight w:val="none"/>
        </w:rPr>
        <w:t>1、</w:t>
      </w:r>
      <w:r>
        <w:rPr>
          <w:rFonts w:hint="eastAsia" w:ascii="宋体" w:hAnsi="宋体" w:eastAsia="宋体" w:cs="宋体"/>
          <w:b/>
          <w:bCs/>
          <w:color w:val="auto"/>
          <w:kern w:val="0"/>
          <w:szCs w:val="21"/>
          <w:highlight w:val="none"/>
          <w:lang w:val="en-US" w:eastAsia="zh-CN"/>
        </w:rPr>
        <w:t>发展现状与存在问题</w:t>
      </w:r>
    </w:p>
    <w:p w14:paraId="290C74B1">
      <w:pPr>
        <w:keepNext w:val="0"/>
        <w:keepLines w:val="0"/>
        <w:pageBreakBefore w:val="0"/>
        <w:widowControl w:val="0"/>
        <w:kinsoku/>
        <w:wordWrap/>
        <w:overflowPunct/>
        <w:topLinePunct w:val="0"/>
        <w:autoSpaceDN/>
        <w:bidi w:val="0"/>
        <w:snapToGrid/>
        <w:spacing w:line="360" w:lineRule="auto"/>
        <w:ind w:firstLine="420" w:firstLineChars="200"/>
        <w:jc w:val="left"/>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rPr>
        <w:t>全面总结黄岩</w:t>
      </w:r>
      <w:r>
        <w:rPr>
          <w:rFonts w:hint="eastAsia" w:ascii="宋体" w:hAnsi="宋体" w:eastAsia="宋体" w:cs="宋体"/>
          <w:bCs/>
          <w:color w:val="auto"/>
          <w:kern w:val="0"/>
          <w:szCs w:val="21"/>
          <w:highlight w:val="none"/>
          <w:lang w:val="en-US" w:eastAsia="zh-CN"/>
        </w:rPr>
        <w:t>模塑产业规模、产业生态、平台载体、创新成果等基础现状，以及当前存在的问题和短板。</w:t>
      </w:r>
    </w:p>
    <w:p w14:paraId="536881AC">
      <w:pPr>
        <w:keepNext w:val="0"/>
        <w:keepLines w:val="0"/>
        <w:pageBreakBefore w:val="0"/>
        <w:widowControl w:val="0"/>
        <w:kinsoku/>
        <w:wordWrap/>
        <w:overflowPunct/>
        <w:topLinePunct w:val="0"/>
        <w:autoSpaceDN/>
        <w:bidi w:val="0"/>
        <w:snapToGrid/>
        <w:spacing w:line="360" w:lineRule="auto"/>
        <w:ind w:firstLine="422" w:firstLineChars="200"/>
        <w:jc w:val="left"/>
        <w:textAlignment w:val="auto"/>
        <w:rPr>
          <w:rFonts w:hint="eastAsia" w:ascii="宋体" w:hAnsi="宋体" w:eastAsia="宋体" w:cs="宋体"/>
          <w:b/>
          <w:bCs w:val="0"/>
          <w:color w:val="auto"/>
          <w:kern w:val="0"/>
          <w:szCs w:val="21"/>
          <w:highlight w:val="none"/>
          <w:lang w:val="en-US" w:eastAsia="zh-CN"/>
        </w:rPr>
      </w:pPr>
      <w:r>
        <w:rPr>
          <w:rFonts w:hint="eastAsia" w:ascii="宋体" w:hAnsi="宋体" w:eastAsia="宋体" w:cs="宋体"/>
          <w:b/>
          <w:bCs w:val="0"/>
          <w:color w:val="auto"/>
          <w:kern w:val="0"/>
          <w:szCs w:val="21"/>
          <w:highlight w:val="none"/>
          <w:lang w:val="en-US" w:eastAsia="zh-CN"/>
        </w:rPr>
        <w:t>2、面临形势与机遇挑战</w:t>
      </w:r>
    </w:p>
    <w:p w14:paraId="33466032">
      <w:pPr>
        <w:keepNext w:val="0"/>
        <w:keepLines w:val="0"/>
        <w:pageBreakBefore w:val="0"/>
        <w:widowControl w:val="0"/>
        <w:kinsoku/>
        <w:wordWrap/>
        <w:overflowPunct/>
        <w:topLinePunct w:val="0"/>
        <w:autoSpaceDN/>
        <w:bidi w:val="0"/>
        <w:snapToGrid/>
        <w:spacing w:line="360" w:lineRule="auto"/>
        <w:ind w:firstLine="420" w:firstLineChars="200"/>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深入研究国内外经济社会环境、区域发展环境出现的新形势、新变化，科学研判当前黄岩</w:t>
      </w:r>
      <w:r>
        <w:rPr>
          <w:rFonts w:hint="eastAsia" w:ascii="宋体" w:hAnsi="宋体" w:eastAsia="宋体" w:cs="宋体"/>
          <w:bCs/>
          <w:color w:val="auto"/>
          <w:kern w:val="0"/>
          <w:szCs w:val="21"/>
          <w:highlight w:val="none"/>
          <w:lang w:val="en-US" w:eastAsia="zh-CN"/>
        </w:rPr>
        <w:t>模塑产业</w:t>
      </w:r>
      <w:r>
        <w:rPr>
          <w:rFonts w:hint="eastAsia" w:ascii="宋体" w:hAnsi="宋体" w:eastAsia="宋体" w:cs="宋体"/>
          <w:bCs/>
          <w:color w:val="auto"/>
          <w:kern w:val="0"/>
          <w:szCs w:val="21"/>
          <w:highlight w:val="none"/>
        </w:rPr>
        <w:t>所处的历史方位和发展阶段性特征，分析黄岩</w:t>
      </w:r>
      <w:r>
        <w:rPr>
          <w:rFonts w:hint="eastAsia" w:ascii="宋体" w:hAnsi="宋体" w:eastAsia="宋体" w:cs="宋体"/>
          <w:bCs/>
          <w:color w:val="auto"/>
          <w:kern w:val="0"/>
          <w:szCs w:val="21"/>
          <w:highlight w:val="none"/>
          <w:lang w:val="en-US" w:eastAsia="zh-CN"/>
        </w:rPr>
        <w:t>模塑产业</w:t>
      </w:r>
      <w:r>
        <w:rPr>
          <w:rFonts w:hint="eastAsia" w:ascii="宋体" w:hAnsi="宋体" w:eastAsia="宋体" w:cs="宋体"/>
          <w:bCs/>
          <w:color w:val="auto"/>
          <w:kern w:val="0"/>
          <w:szCs w:val="21"/>
          <w:highlight w:val="none"/>
        </w:rPr>
        <w:t>将会面临的外部机遇及挑战。</w:t>
      </w:r>
    </w:p>
    <w:p w14:paraId="154487F7">
      <w:pPr>
        <w:keepNext w:val="0"/>
        <w:keepLines w:val="0"/>
        <w:pageBreakBefore w:val="0"/>
        <w:widowControl w:val="0"/>
        <w:kinsoku/>
        <w:wordWrap/>
        <w:overflowPunct/>
        <w:topLinePunct w:val="0"/>
        <w:autoSpaceDN/>
        <w:bidi w:val="0"/>
        <w:snapToGrid/>
        <w:spacing w:line="360" w:lineRule="auto"/>
        <w:ind w:firstLine="422"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lang w:val="en-US" w:eastAsia="zh-CN"/>
        </w:rPr>
        <w:t>3</w:t>
      </w:r>
      <w:r>
        <w:rPr>
          <w:rFonts w:hint="eastAsia" w:ascii="宋体" w:hAnsi="宋体" w:eastAsia="宋体" w:cs="宋体"/>
          <w:b/>
          <w:color w:val="auto"/>
          <w:kern w:val="0"/>
          <w:szCs w:val="21"/>
          <w:highlight w:val="none"/>
        </w:rPr>
        <w:t>、</w:t>
      </w:r>
      <w:r>
        <w:rPr>
          <w:rFonts w:hint="eastAsia" w:ascii="宋体" w:hAnsi="宋体" w:eastAsia="宋体" w:cs="宋体"/>
          <w:b/>
          <w:bCs/>
          <w:color w:val="auto"/>
          <w:kern w:val="0"/>
          <w:szCs w:val="21"/>
          <w:highlight w:val="none"/>
        </w:rPr>
        <w:t>总体思路与发展目标研究</w:t>
      </w:r>
    </w:p>
    <w:p w14:paraId="3756DC99">
      <w:pPr>
        <w:keepNext w:val="0"/>
        <w:keepLines w:val="0"/>
        <w:pageBreakBefore w:val="0"/>
        <w:widowControl w:val="0"/>
        <w:kinsoku/>
        <w:wordWrap/>
        <w:overflowPunct/>
        <w:topLinePunct w:val="0"/>
        <w:autoSpaceDN/>
        <w:bidi w:val="0"/>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研究提出黄岩G104模塑产业走廊</w:t>
      </w:r>
      <w:r>
        <w:rPr>
          <w:rFonts w:hint="eastAsia" w:ascii="宋体" w:hAnsi="宋体" w:eastAsia="宋体" w:cs="宋体"/>
          <w:color w:val="auto"/>
          <w:kern w:val="0"/>
          <w:szCs w:val="21"/>
          <w:highlight w:val="none"/>
          <w:lang w:val="en-US" w:eastAsia="zh-CN"/>
        </w:rPr>
        <w:t>规划</w:t>
      </w:r>
      <w:r>
        <w:rPr>
          <w:rFonts w:hint="eastAsia" w:ascii="宋体" w:hAnsi="宋体" w:eastAsia="宋体" w:cs="宋体"/>
          <w:color w:val="auto"/>
          <w:kern w:val="0"/>
          <w:szCs w:val="21"/>
          <w:highlight w:val="none"/>
        </w:rPr>
        <w:t>的主要思路，谋划战略方向、总体思路和目标指标，并做好2030</w:t>
      </w:r>
      <w:r>
        <w:rPr>
          <w:rFonts w:hint="eastAsia" w:ascii="宋体" w:hAnsi="宋体" w:eastAsia="宋体" w:cs="宋体"/>
          <w:color w:val="auto"/>
          <w:kern w:val="0"/>
          <w:szCs w:val="21"/>
          <w:highlight w:val="none"/>
          <w:lang w:val="en-US" w:eastAsia="zh-CN"/>
        </w:rPr>
        <w:t>年发展</w:t>
      </w:r>
      <w:r>
        <w:rPr>
          <w:rFonts w:hint="eastAsia" w:ascii="宋体" w:hAnsi="宋体" w:eastAsia="宋体" w:cs="宋体"/>
          <w:color w:val="auto"/>
          <w:kern w:val="0"/>
          <w:szCs w:val="21"/>
          <w:highlight w:val="none"/>
        </w:rPr>
        <w:t>目标研判。</w:t>
      </w:r>
    </w:p>
    <w:p w14:paraId="79058009">
      <w:pPr>
        <w:keepNext w:val="0"/>
        <w:keepLines w:val="0"/>
        <w:pageBreakBefore w:val="0"/>
        <w:widowControl w:val="0"/>
        <w:kinsoku/>
        <w:wordWrap/>
        <w:overflowPunct/>
        <w:topLinePunct w:val="0"/>
        <w:autoSpaceDN/>
        <w:bidi w:val="0"/>
        <w:snapToGrid/>
        <w:spacing w:line="360" w:lineRule="auto"/>
        <w:ind w:firstLine="422" w:firstLineChars="200"/>
        <w:jc w:val="left"/>
        <w:textAlignment w:val="auto"/>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4、空间规划与功能布局</w:t>
      </w:r>
    </w:p>
    <w:p w14:paraId="190D581E">
      <w:pPr>
        <w:keepNext w:val="0"/>
        <w:keepLines w:val="0"/>
        <w:pageBreakBefore w:val="0"/>
        <w:widowControl w:val="0"/>
        <w:kinsoku/>
        <w:wordWrap/>
        <w:overflowPunct/>
        <w:topLinePunct w:val="0"/>
        <w:autoSpaceDN/>
        <w:bidi w:val="0"/>
        <w:snapToGrid/>
        <w:spacing w:line="360" w:lineRule="auto"/>
        <w:ind w:firstLine="420" w:firstLineChars="200"/>
        <w:jc w:val="left"/>
        <w:textAlignment w:val="auto"/>
        <w:rPr>
          <w:rFonts w:hint="eastAsia" w:ascii="宋体" w:hAnsi="宋体" w:eastAsia="宋体" w:cs="宋体"/>
          <w:b/>
          <w:color w:val="auto"/>
          <w:kern w:val="0"/>
          <w:szCs w:val="21"/>
          <w:highlight w:val="none"/>
          <w:lang w:val="en-US" w:eastAsia="zh-CN"/>
        </w:rPr>
      </w:pPr>
      <w:r>
        <w:rPr>
          <w:rFonts w:hint="eastAsia" w:ascii="宋体" w:hAnsi="宋体" w:eastAsia="宋体" w:cs="宋体"/>
          <w:b w:val="0"/>
          <w:bCs/>
          <w:color w:val="auto"/>
          <w:kern w:val="0"/>
          <w:szCs w:val="21"/>
          <w:highlight w:val="none"/>
          <w:lang w:val="en-US" w:eastAsia="zh-CN"/>
        </w:rPr>
        <w:t>对黄岩</w:t>
      </w:r>
      <w:r>
        <w:rPr>
          <w:rFonts w:hint="eastAsia" w:ascii="宋体" w:hAnsi="宋体" w:eastAsia="宋体" w:cs="宋体"/>
          <w:color w:val="auto"/>
          <w:kern w:val="0"/>
          <w:szCs w:val="21"/>
          <w:highlight w:val="none"/>
        </w:rPr>
        <w:t>G104模塑产业走廊</w:t>
      </w:r>
      <w:r>
        <w:rPr>
          <w:rFonts w:hint="eastAsia" w:ascii="宋体" w:hAnsi="宋体" w:eastAsia="宋体" w:cs="宋体"/>
          <w:color w:val="auto"/>
          <w:kern w:val="0"/>
          <w:szCs w:val="21"/>
          <w:highlight w:val="none"/>
          <w:lang w:val="en-US" w:eastAsia="zh-CN"/>
        </w:rPr>
        <w:t>沿线可利用土地进行梳理，对产业走廊谋划合理的空间结构和功能布局，并绘制总体示意图、区位图、产业规划图等相关图纸。</w:t>
      </w:r>
    </w:p>
    <w:p w14:paraId="781C8DC7">
      <w:pPr>
        <w:keepNext w:val="0"/>
        <w:keepLines w:val="0"/>
        <w:pageBreakBefore w:val="0"/>
        <w:widowControl w:val="0"/>
        <w:kinsoku/>
        <w:wordWrap/>
        <w:overflowPunct/>
        <w:topLinePunct w:val="0"/>
        <w:autoSpaceDN/>
        <w:bidi w:val="0"/>
        <w:snapToGrid/>
        <w:spacing w:line="360" w:lineRule="auto"/>
        <w:ind w:firstLine="422" w:firstLineChars="200"/>
        <w:jc w:val="lef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5</w:t>
      </w:r>
      <w:r>
        <w:rPr>
          <w:rFonts w:hint="eastAsia" w:ascii="宋体" w:hAnsi="宋体" w:eastAsia="宋体" w:cs="宋体"/>
          <w:b/>
          <w:color w:val="auto"/>
          <w:kern w:val="0"/>
          <w:szCs w:val="21"/>
          <w:highlight w:val="none"/>
        </w:rPr>
        <w:t>、重点任务举措分析</w:t>
      </w:r>
    </w:p>
    <w:p w14:paraId="04FF8821">
      <w:pPr>
        <w:keepNext w:val="0"/>
        <w:keepLines w:val="0"/>
        <w:pageBreakBefore w:val="0"/>
        <w:widowControl w:val="0"/>
        <w:kinsoku/>
        <w:wordWrap/>
        <w:overflowPunct/>
        <w:topLinePunct w:val="0"/>
        <w:autoSpaceDN/>
        <w:bidi w:val="0"/>
        <w:snapToGrid/>
        <w:spacing w:line="360" w:lineRule="auto"/>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rPr>
        <w:t>以产业发展、科技创新、</w:t>
      </w:r>
      <w:r>
        <w:rPr>
          <w:rFonts w:hint="eastAsia" w:ascii="宋体" w:hAnsi="宋体" w:eastAsia="宋体" w:cs="宋体"/>
          <w:color w:val="auto"/>
          <w:kern w:val="0"/>
          <w:szCs w:val="21"/>
          <w:highlight w:val="none"/>
          <w:lang w:val="en-US" w:eastAsia="zh-CN"/>
        </w:rPr>
        <w:t>空间利用、</w:t>
      </w:r>
      <w:r>
        <w:rPr>
          <w:rFonts w:hint="eastAsia" w:ascii="宋体" w:hAnsi="宋体" w:eastAsia="宋体" w:cs="宋体"/>
          <w:color w:val="auto"/>
          <w:kern w:val="0"/>
          <w:szCs w:val="21"/>
          <w:highlight w:val="none"/>
        </w:rPr>
        <w:t>城乡融合等领域为重点，研究提出</w:t>
      </w:r>
      <w:r>
        <w:rPr>
          <w:rFonts w:hint="eastAsia" w:ascii="宋体" w:hAnsi="宋体" w:eastAsia="宋体" w:cs="宋体"/>
          <w:b w:val="0"/>
          <w:bCs/>
          <w:color w:val="auto"/>
          <w:kern w:val="0"/>
          <w:szCs w:val="21"/>
          <w:highlight w:val="none"/>
          <w:lang w:val="en-US" w:eastAsia="zh-CN"/>
        </w:rPr>
        <w:t>黄岩</w:t>
      </w:r>
      <w:r>
        <w:rPr>
          <w:rFonts w:hint="eastAsia" w:ascii="宋体" w:hAnsi="宋体" w:eastAsia="宋体" w:cs="宋体"/>
          <w:color w:val="auto"/>
          <w:kern w:val="0"/>
          <w:szCs w:val="21"/>
          <w:highlight w:val="none"/>
        </w:rPr>
        <w:t>G104模塑产业走廊</w:t>
      </w:r>
      <w:r>
        <w:rPr>
          <w:rFonts w:hint="eastAsia" w:ascii="宋体" w:hAnsi="宋体" w:eastAsia="宋体" w:cs="宋体"/>
          <w:color w:val="auto"/>
          <w:kern w:val="0"/>
          <w:szCs w:val="21"/>
          <w:highlight w:val="none"/>
          <w:lang w:val="en-US" w:eastAsia="zh-CN"/>
        </w:rPr>
        <w:t>规划</w:t>
      </w:r>
      <w:r>
        <w:rPr>
          <w:rFonts w:hint="eastAsia" w:ascii="宋体" w:hAnsi="宋体" w:eastAsia="宋体" w:cs="宋体"/>
          <w:bCs/>
          <w:color w:val="auto"/>
          <w:szCs w:val="21"/>
          <w:highlight w:val="none"/>
        </w:rPr>
        <w:t>的重点任务和重大举措。</w:t>
      </w:r>
    </w:p>
    <w:p w14:paraId="1753B7C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三、项目实施其它要求</w:t>
      </w:r>
    </w:p>
    <w:p w14:paraId="589C04CF">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一</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项目进度要求</w:t>
      </w:r>
    </w:p>
    <w:p w14:paraId="7A61F002">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4"/>
          <w:highlight w:val="none"/>
          <w:lang w:val="en-US" w:eastAsia="zh-CN" w:bidi="ar"/>
        </w:rPr>
        <w:t>服务期限：</w:t>
      </w:r>
      <w:r>
        <w:rPr>
          <w:rFonts w:hint="eastAsia" w:ascii="宋体" w:hAnsi="宋体" w:eastAsia="宋体" w:cs="宋体"/>
          <w:color w:val="auto"/>
          <w:highlight w:val="none"/>
          <w:lang w:val="en-US" w:eastAsia="zh-CN"/>
        </w:rPr>
        <w:t>自合同签订之日起至2025年</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月。</w:t>
      </w:r>
    </w:p>
    <w:p w14:paraId="5B056DF9">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bidi="ar"/>
        </w:rPr>
        <w:t>（1）2025年</w:t>
      </w:r>
      <w:r>
        <w:rPr>
          <w:rFonts w:hint="eastAsia" w:ascii="宋体" w:hAnsi="宋体" w:cs="宋体"/>
          <w:b w:val="0"/>
          <w:bCs w:val="0"/>
          <w:color w:val="auto"/>
          <w:sz w:val="21"/>
          <w:szCs w:val="21"/>
          <w:highlight w:val="none"/>
          <w:lang w:val="en-US" w:eastAsia="zh-CN" w:bidi="ar"/>
        </w:rPr>
        <w:t>2</w:t>
      </w:r>
      <w:r>
        <w:rPr>
          <w:rFonts w:hint="eastAsia" w:ascii="宋体" w:hAnsi="宋体" w:eastAsia="宋体" w:cs="宋体"/>
          <w:b w:val="0"/>
          <w:bCs w:val="0"/>
          <w:color w:val="auto"/>
          <w:sz w:val="21"/>
          <w:szCs w:val="21"/>
          <w:highlight w:val="none"/>
          <w:lang w:val="en-US" w:eastAsia="zh-CN" w:bidi="ar"/>
        </w:rPr>
        <w:t>月底前提交</w:t>
      </w:r>
      <w:r>
        <w:rPr>
          <w:rFonts w:hint="eastAsia" w:ascii="宋体" w:hAnsi="宋体" w:eastAsia="宋体" w:cs="宋体"/>
          <w:b w:val="0"/>
          <w:bCs w:val="0"/>
          <w:color w:val="auto"/>
          <w:sz w:val="21"/>
          <w:szCs w:val="21"/>
          <w:highlight w:val="none"/>
        </w:rPr>
        <w:t>《黄岩G104模塑产业走廊规划》</w:t>
      </w:r>
      <w:r>
        <w:rPr>
          <w:rFonts w:hint="eastAsia" w:ascii="宋体" w:hAnsi="宋体" w:eastAsia="宋体" w:cs="宋体"/>
          <w:b w:val="0"/>
          <w:bCs w:val="0"/>
          <w:color w:val="auto"/>
          <w:sz w:val="21"/>
          <w:szCs w:val="21"/>
          <w:highlight w:val="none"/>
          <w:lang w:val="en-US" w:eastAsia="zh-CN" w:bidi="ar"/>
        </w:rPr>
        <w:t>初稿；</w:t>
      </w:r>
    </w:p>
    <w:p w14:paraId="7244EA45">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bidi="ar"/>
        </w:rPr>
        <w:t>（2）2025年</w:t>
      </w:r>
      <w:r>
        <w:rPr>
          <w:rFonts w:hint="eastAsia" w:ascii="宋体" w:hAnsi="宋体" w:cs="宋体"/>
          <w:b w:val="0"/>
          <w:bCs w:val="0"/>
          <w:color w:val="auto"/>
          <w:sz w:val="21"/>
          <w:szCs w:val="21"/>
          <w:highlight w:val="none"/>
          <w:lang w:val="en-US" w:eastAsia="zh-CN" w:bidi="ar"/>
        </w:rPr>
        <w:t>3</w:t>
      </w:r>
      <w:r>
        <w:rPr>
          <w:rFonts w:hint="eastAsia" w:ascii="宋体" w:hAnsi="宋体" w:eastAsia="宋体" w:cs="宋体"/>
          <w:b w:val="0"/>
          <w:bCs w:val="0"/>
          <w:color w:val="auto"/>
          <w:sz w:val="21"/>
          <w:szCs w:val="21"/>
          <w:highlight w:val="none"/>
          <w:lang w:val="en-US" w:eastAsia="zh-CN" w:bidi="ar"/>
        </w:rPr>
        <w:t>月底前提交</w:t>
      </w:r>
      <w:r>
        <w:rPr>
          <w:rFonts w:hint="eastAsia" w:ascii="宋体" w:hAnsi="宋体" w:eastAsia="宋体" w:cs="宋体"/>
          <w:b w:val="0"/>
          <w:bCs w:val="0"/>
          <w:color w:val="auto"/>
          <w:sz w:val="21"/>
          <w:szCs w:val="21"/>
          <w:highlight w:val="none"/>
        </w:rPr>
        <w:t>《黄岩G104模塑产业走廊规划》</w:t>
      </w:r>
      <w:r>
        <w:rPr>
          <w:rFonts w:hint="eastAsia" w:ascii="宋体" w:hAnsi="宋体" w:eastAsia="宋体" w:cs="宋体"/>
          <w:b w:val="0"/>
          <w:bCs w:val="0"/>
          <w:color w:val="auto"/>
          <w:sz w:val="21"/>
          <w:szCs w:val="21"/>
          <w:highlight w:val="none"/>
          <w:lang w:val="en-US" w:eastAsia="zh-CN" w:bidi="ar"/>
        </w:rPr>
        <w:t>完成稿；</w:t>
      </w:r>
    </w:p>
    <w:p w14:paraId="281E3A9C">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val="en-US" w:eastAsia="zh-CN" w:bidi="ar"/>
        </w:rPr>
        <w:t>（3）2025年</w:t>
      </w:r>
      <w:r>
        <w:rPr>
          <w:rFonts w:hint="eastAsia" w:ascii="宋体" w:hAnsi="宋体" w:cs="宋体"/>
          <w:b w:val="0"/>
          <w:bCs w:val="0"/>
          <w:color w:val="auto"/>
          <w:sz w:val="21"/>
          <w:szCs w:val="21"/>
          <w:highlight w:val="none"/>
          <w:lang w:val="en-US" w:eastAsia="zh-CN" w:bidi="ar"/>
        </w:rPr>
        <w:t>6</w:t>
      </w:r>
      <w:r>
        <w:rPr>
          <w:rFonts w:hint="eastAsia" w:ascii="宋体" w:hAnsi="宋体" w:eastAsia="宋体" w:cs="宋体"/>
          <w:b w:val="0"/>
          <w:bCs w:val="0"/>
          <w:color w:val="auto"/>
          <w:sz w:val="21"/>
          <w:szCs w:val="21"/>
          <w:highlight w:val="none"/>
          <w:lang w:val="en-US" w:eastAsia="zh-CN" w:bidi="ar"/>
        </w:rPr>
        <w:t>月底前完成全部工作并提交全部相关资料。</w:t>
      </w:r>
    </w:p>
    <w:p w14:paraId="59B7745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（二）项目成果及要求</w:t>
      </w:r>
    </w:p>
    <w:p w14:paraId="680B63A7">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eastAsia="zh-CN" w:bidi="ar"/>
        </w:rPr>
        <w:t>）供应商须向采购人提供《黄岩G104模塑产业走廊规划》。</w:t>
      </w:r>
    </w:p>
    <w:p w14:paraId="19C24BBE">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eastAsia="zh-CN" w:bidi="ar"/>
        </w:rPr>
        <w:t>）成果的构成：成果包括纸质文本、电子文件。内容必须清晰完整，符合审批要求。成果应完整、准确地阐述意图和内容。</w:t>
      </w:r>
    </w:p>
    <w:p w14:paraId="51312A65">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eastAsia="zh-CN" w:bidi="ar"/>
        </w:rPr>
        <w:t>）成果形式：纸质文本、电子文件等，按采购人实际需求提供。</w:t>
      </w:r>
    </w:p>
    <w:p w14:paraId="39375124">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eastAsia="zh-CN" w:bidi="ar"/>
        </w:rPr>
        <w:t>）根据采购人要求，需要提交的相关其他材料。</w:t>
      </w:r>
    </w:p>
    <w:p w14:paraId="525A99A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（三）付款方式</w:t>
      </w:r>
    </w:p>
    <w:p w14:paraId="043B3F14">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（1）签订合同后，合同生效以及具备实施条件后7个工作日内采购人支付合同金额的</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0%作为预付款；</w:t>
      </w:r>
    </w:p>
    <w:p w14:paraId="210955D5">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（2）提交《黄岩G104模塑产业走廊规划》</w:t>
      </w:r>
      <w:r>
        <w:rPr>
          <w:rFonts w:hint="eastAsia" w:ascii="宋体" w:hAnsi="宋体" w:eastAsia="宋体" w:cs="宋体"/>
          <w:b w:val="0"/>
          <w:bCs w:val="0"/>
          <w:color w:val="auto"/>
          <w:sz w:val="21"/>
          <w:szCs w:val="21"/>
          <w:highlight w:val="none"/>
          <w:lang w:val="en-US" w:eastAsia="zh-CN"/>
        </w:rPr>
        <w:t>初稿后</w:t>
      </w:r>
      <w:r>
        <w:rPr>
          <w:rFonts w:hint="eastAsia" w:ascii="宋体" w:hAnsi="宋体" w:eastAsia="宋体" w:cs="宋体"/>
          <w:b w:val="0"/>
          <w:bCs w:val="0"/>
          <w:color w:val="auto"/>
          <w:sz w:val="21"/>
          <w:szCs w:val="21"/>
          <w:highlight w:val="none"/>
        </w:rPr>
        <w:t>15个工作日内，采购人支付合同金额的</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w:t>
      </w:r>
    </w:p>
    <w:p w14:paraId="3E849658">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项目验收完成后，采购方支付剩余款项。</w:t>
      </w:r>
    </w:p>
    <w:p w14:paraId="6CBDF96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（四）项目验收</w:t>
      </w:r>
    </w:p>
    <w:p w14:paraId="0AB6F3DD">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bidi="ar"/>
        </w:rPr>
        <w:t>验收按</w:t>
      </w:r>
      <w:r>
        <w:rPr>
          <w:rFonts w:hint="eastAsia" w:ascii="宋体" w:hAnsi="宋体" w:eastAsia="宋体" w:cs="宋体"/>
          <w:b w:val="0"/>
          <w:bCs w:val="0"/>
          <w:color w:val="auto"/>
          <w:sz w:val="21"/>
          <w:szCs w:val="21"/>
          <w:highlight w:val="none"/>
        </w:rPr>
        <w:t>国家有关规范标准和采购方要求进行。验收相关费用均由中标供应商承担。</w:t>
      </w:r>
    </w:p>
    <w:p w14:paraId="577B2CF6">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供应商认为项目成果已达到了采购合同约定的对技术、服务等要求，可向采购人提出要求验收。采购人采用采购人认可方式验收，并出具咨询服务项目验收证明。</w:t>
      </w:r>
    </w:p>
    <w:p w14:paraId="1F6ADDD2">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评价方法</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通过采购人组织的评审。</w:t>
      </w:r>
    </w:p>
    <w:p w14:paraId="1A919D70">
      <w:pPr>
        <w:keepNext w:val="0"/>
        <w:keepLines w:val="0"/>
        <w:pageBreakBefore w:val="0"/>
        <w:widowControl w:val="0"/>
        <w:kinsoku/>
        <w:wordWrap/>
        <w:overflowPunct/>
        <w:topLinePunct w:val="0"/>
        <w:autoSpaceDN/>
        <w:bidi w:val="0"/>
        <w:spacing w:line="360" w:lineRule="auto"/>
        <w:jc w:val="left"/>
        <w:textAlignment w:val="auto"/>
        <w:rPr>
          <w:rFonts w:hint="eastAsia" w:ascii="宋体" w:hAnsi="宋体" w:eastAsia="宋体" w:cs="宋体"/>
          <w:b/>
          <w:bCs/>
          <w:color w:val="auto"/>
          <w:sz w:val="21"/>
          <w:szCs w:val="21"/>
          <w:highlight w:val="none"/>
        </w:rPr>
      </w:pPr>
    </w:p>
    <w:p w14:paraId="4D519BB7">
      <w:pPr>
        <w:autoSpaceDN w:val="0"/>
        <w:spacing w:line="360" w:lineRule="auto"/>
        <w:ind w:firstLine="422" w:firstLineChars="200"/>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四</w:t>
      </w:r>
      <w:r>
        <w:rPr>
          <w:rFonts w:hint="eastAsia" w:ascii="宋体" w:hAnsi="宋体" w:eastAsia="宋体" w:cs="宋体"/>
          <w:b/>
          <w:color w:val="auto"/>
          <w:szCs w:val="21"/>
          <w:highlight w:val="none"/>
        </w:rPr>
        <w:t>、本项目中标（成交）供应商应在浙江省政府采购网（http://zfcg.czt.zj.gov.cn/）上注册成为“政府采购供应商”，如不按要求注册的，采购方有权延期发布中标（成交）通知书和中标（成交）公告，后果由供应商自行承担。</w:t>
      </w:r>
    </w:p>
    <w:p w14:paraId="0B68C210">
      <w:pPr>
        <w:spacing w:line="360" w:lineRule="auto"/>
        <w:jc w:val="center"/>
        <w:outlineLvl w:val="0"/>
        <w:rPr>
          <w:rFonts w:hint="eastAsia" w:ascii="宋体" w:hAnsi="宋体" w:eastAsia="宋体" w:cs="宋体"/>
          <w:b/>
          <w:color w:val="auto"/>
          <w:sz w:val="36"/>
          <w:szCs w:val="36"/>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pPr>
    </w:p>
    <w:p w14:paraId="72AC7702">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0EADA3EB">
      <w:pPr>
        <w:pStyle w:val="54"/>
        <w:keepNext w:val="0"/>
        <w:keepLines w:val="0"/>
        <w:pageBreakBefore w:val="0"/>
        <w:kinsoku/>
        <w:wordWrap/>
        <w:overflowPunct/>
        <w:topLinePunct w:val="0"/>
        <w:autoSpaceDE/>
        <w:autoSpaceDN/>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rPr>
        <w:t>（此稿为合同样本，最终定稿待双方协商后定，但不得背离实质性内容）</w:t>
      </w:r>
    </w:p>
    <w:p w14:paraId="240EBC25">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台州市黄岩区发展和改革局</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6033A95F">
      <w:pPr>
        <w:pStyle w:val="11"/>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68EDC2DB">
      <w:pPr>
        <w:pStyle w:val="11"/>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甲方：</w:t>
      </w:r>
      <w:r>
        <w:rPr>
          <w:rFonts w:hint="eastAsia" w:ascii="宋体" w:hAnsi="宋体" w:eastAsia="宋体" w:cs="宋体"/>
          <w:color w:val="auto"/>
          <w:szCs w:val="21"/>
          <w:highlight w:val="none"/>
        </w:rPr>
        <w:t>（采购方）</w:t>
      </w:r>
      <w:r>
        <w:rPr>
          <w:rFonts w:hint="eastAsia" w:hAnsi="宋体" w:cs="宋体"/>
          <w:color w:val="auto"/>
          <w:szCs w:val="21"/>
          <w:highlight w:val="none"/>
          <w:lang w:eastAsia="zh-CN"/>
        </w:rPr>
        <w:t>台州市黄岩区发展和改革局</w:t>
      </w:r>
    </w:p>
    <w:p w14:paraId="63CFA710">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w:t>
      </w:r>
      <w:r>
        <w:rPr>
          <w:rFonts w:hint="eastAsia" w:ascii="宋体" w:hAnsi="宋体" w:eastAsia="宋体" w:cs="宋体"/>
          <w:color w:val="auto"/>
          <w:szCs w:val="21"/>
          <w:highlight w:val="none"/>
        </w:rPr>
        <w:t>（供应商）</w:t>
      </w:r>
      <w:r>
        <w:rPr>
          <w:rFonts w:hint="eastAsia" w:ascii="宋体" w:hAnsi="宋体" w:eastAsia="宋体" w:cs="宋体"/>
          <w:b/>
          <w:color w:val="auto"/>
          <w:szCs w:val="21"/>
          <w:highlight w:val="none"/>
        </w:rPr>
        <w:t xml:space="preserve"> </w:t>
      </w:r>
    </w:p>
    <w:p w14:paraId="0F38988E">
      <w:pPr>
        <w:pStyle w:val="11"/>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甲、乙双方根据</w:t>
      </w:r>
      <w:r>
        <w:rPr>
          <w:rFonts w:hint="eastAsia" w:hAnsi="宋体" w:cs="宋体"/>
          <w:color w:val="auto"/>
          <w:szCs w:val="21"/>
          <w:highlight w:val="none"/>
          <w:u w:val="single"/>
          <w:lang w:eastAsia="zh-CN"/>
        </w:rPr>
        <w:t>台州市黄岩区发展和改革局黄岩区G104模塑产业走廊规划项目</w:t>
      </w:r>
      <w:r>
        <w:rPr>
          <w:rFonts w:hint="eastAsia" w:ascii="宋体" w:hAnsi="宋体" w:eastAsia="宋体" w:cs="宋体"/>
          <w:color w:val="auto"/>
          <w:szCs w:val="21"/>
          <w:highlight w:val="none"/>
          <w:u w:val="single"/>
        </w:rPr>
        <w:t>竞争性磋商</w:t>
      </w:r>
      <w:r>
        <w:rPr>
          <w:rFonts w:hint="eastAsia" w:ascii="宋体" w:hAnsi="宋体" w:eastAsia="宋体" w:cs="宋体"/>
          <w:color w:val="auto"/>
          <w:szCs w:val="21"/>
          <w:highlight w:val="none"/>
        </w:rPr>
        <w:t>的结果，签署本合同。</w:t>
      </w:r>
    </w:p>
    <w:p w14:paraId="45758524">
      <w:pPr>
        <w:pStyle w:val="11"/>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第一条：</w:t>
      </w:r>
      <w:r>
        <w:rPr>
          <w:rFonts w:hint="eastAsia" w:ascii="宋体" w:hAnsi="宋体" w:eastAsia="宋体" w:cs="宋体"/>
          <w:b/>
          <w:color w:val="auto"/>
          <w:szCs w:val="21"/>
          <w:highlight w:val="none"/>
        </w:rPr>
        <w:t>服务内容</w:t>
      </w:r>
    </w:p>
    <w:p w14:paraId="0E2EAF2C">
      <w:pPr>
        <w:pStyle w:val="11"/>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详见本项目招标文件</w:t>
      </w:r>
      <w:r>
        <w:rPr>
          <w:rFonts w:hint="eastAsia" w:ascii="宋体" w:hAnsi="宋体" w:eastAsia="宋体" w:cs="宋体"/>
          <w:bCs/>
          <w:color w:val="auto"/>
          <w:szCs w:val="21"/>
          <w:highlight w:val="none"/>
        </w:rPr>
        <w:t>第</w:t>
      </w:r>
      <w:r>
        <w:rPr>
          <w:rFonts w:hint="eastAsia" w:ascii="宋体" w:hAnsi="宋体" w:eastAsia="宋体" w:cs="宋体"/>
          <w:bCs/>
          <w:color w:val="auto"/>
          <w:szCs w:val="21"/>
          <w:highlight w:val="none"/>
          <w:lang w:val="en-US" w:eastAsia="zh-CN"/>
        </w:rPr>
        <w:t>四</w:t>
      </w:r>
      <w:r>
        <w:rPr>
          <w:rFonts w:hint="eastAsia" w:ascii="宋体" w:hAnsi="宋体" w:eastAsia="宋体" w:cs="宋体"/>
          <w:bCs/>
          <w:color w:val="auto"/>
          <w:szCs w:val="21"/>
          <w:highlight w:val="none"/>
        </w:rPr>
        <w:t>部分《</w:t>
      </w:r>
      <w:r>
        <w:rPr>
          <w:rFonts w:hint="eastAsia" w:ascii="宋体" w:hAnsi="宋体" w:eastAsia="宋体" w:cs="宋体"/>
          <w:color w:val="auto"/>
          <w:szCs w:val="21"/>
          <w:highlight w:val="none"/>
        </w:rPr>
        <w:t>项目需求》。</w:t>
      </w:r>
    </w:p>
    <w:p w14:paraId="79911BDD">
      <w:pPr>
        <w:keepNext w:val="0"/>
        <w:keepLines w:val="0"/>
        <w:pageBreakBefore w:val="0"/>
        <w:kinsoku/>
        <w:wordWrap/>
        <w:overflowPunct/>
        <w:topLinePunct w:val="0"/>
        <w:autoSpaceDE/>
        <w:autoSpaceDN/>
        <w:bidi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18033166">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p w14:paraId="54DAD6D1">
      <w:pPr>
        <w:pStyle w:val="11"/>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第三条：技术资料</w:t>
      </w:r>
    </w:p>
    <w:p w14:paraId="101931A3">
      <w:pPr>
        <w:pStyle w:val="11"/>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1、乙方应按招标文件规定的时间向甲方提供有关技术资料。</w:t>
      </w:r>
    </w:p>
    <w:p w14:paraId="2AF2DB7A">
      <w:pPr>
        <w:pStyle w:val="11"/>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0C835BD">
      <w:pPr>
        <w:pStyle w:val="11"/>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第四条：知识产权</w:t>
      </w:r>
    </w:p>
    <w:p w14:paraId="3DBE0973">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1、本项目的所有成果著作权等知识产权和所有权益归</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和</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双方共有。</w:t>
      </w:r>
    </w:p>
    <w:p w14:paraId="11E84578">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引用</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的工作成果所完成的新的技术成果，属于</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所有，</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可依法享有就该项技术成果取得的精神权利、经济权利和其他权利。</w:t>
      </w:r>
    </w:p>
    <w:p w14:paraId="6B66E61B">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3、无论发生何种情形（包括合同提前终止或解除），</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均有权利用</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的阶段性工作成果，并且</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引用</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的阶段性工作成果所完成的新的技术成果，属于</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所有，</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可依法享有就该项技术成果取得的精神权利、经济权利和其他权利。</w:t>
      </w:r>
    </w:p>
    <w:p w14:paraId="4BD4DE43">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4、保密要求：乙方及其工作人员在项目实施过程中，对</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所提供的所有相关资料、数据，未经</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书面同意不得向除浙江省发改委之外的任何第三方泄露，且保密责任不因合同的终止或解除而失效。如</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提出要求，乙方须无条件与</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签订保密协议。</w:t>
      </w:r>
    </w:p>
    <w:p w14:paraId="1A2CCC71">
      <w:pPr>
        <w:keepNext w:val="0"/>
        <w:keepLines w:val="0"/>
        <w:pageBreakBefore w:val="0"/>
        <w:kinsoku/>
        <w:wordWrap/>
        <w:overflowPunct/>
        <w:topLinePunct w:val="0"/>
        <w:autoSpaceDE/>
        <w:autoSpaceDN/>
        <w:bidi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条：转包或分包</w:t>
      </w:r>
    </w:p>
    <w:p w14:paraId="124775FD">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1B95ADF5">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乙方不得将本合同范围的服务全部或部分分包给他人供应；</w:t>
      </w:r>
    </w:p>
    <w:p w14:paraId="51FFC981">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如有转让和分包行为，甲方有权解除合同并追究乙方的违约责任。</w:t>
      </w:r>
    </w:p>
    <w:p w14:paraId="5C61537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rPr>
        <w:t>第</w:t>
      </w:r>
      <w:r>
        <w:rPr>
          <w:rFonts w:hint="eastAsia" w:ascii="宋体" w:hAnsi="宋体" w:eastAsia="宋体" w:cs="宋体"/>
          <w:b/>
          <w:bCs/>
          <w:color w:val="auto"/>
          <w:kern w:val="0"/>
          <w:szCs w:val="21"/>
          <w:highlight w:val="none"/>
          <w:lang w:val="en-US" w:eastAsia="zh-CN"/>
        </w:rPr>
        <w:t>六</w:t>
      </w:r>
      <w:r>
        <w:rPr>
          <w:rFonts w:hint="eastAsia" w:ascii="宋体" w:hAnsi="宋体" w:eastAsia="宋体" w:cs="宋体"/>
          <w:b/>
          <w:bCs/>
          <w:color w:val="auto"/>
          <w:kern w:val="0"/>
          <w:szCs w:val="21"/>
          <w:highlight w:val="none"/>
        </w:rPr>
        <w:t>条：</w:t>
      </w:r>
      <w:r>
        <w:rPr>
          <w:rFonts w:hint="eastAsia" w:ascii="宋体" w:hAnsi="宋体" w:eastAsia="宋体" w:cs="宋体"/>
          <w:b/>
          <w:bCs/>
          <w:color w:val="auto"/>
          <w:kern w:val="0"/>
          <w:szCs w:val="21"/>
          <w:highlight w:val="none"/>
          <w:lang w:val="en-US" w:eastAsia="zh-CN"/>
        </w:rPr>
        <w:t>采购内容</w:t>
      </w:r>
    </w:p>
    <w:p w14:paraId="576DD2EE">
      <w:pPr>
        <w:keepNext w:val="0"/>
        <w:keepLines w:val="0"/>
        <w:pageBreakBefore w:val="0"/>
        <w:widowControl w:val="0"/>
        <w:kinsoku/>
        <w:wordWrap/>
        <w:overflowPunct/>
        <w:topLinePunct w:val="0"/>
        <w:autoSpaceDN/>
        <w:bidi w:val="0"/>
        <w:snapToGrid/>
        <w:spacing w:line="360" w:lineRule="auto"/>
        <w:ind w:firstLine="420" w:firstLineChars="200"/>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紧紧围绕国家、浙江省、台州市重大战略部署，分析黄岩区</w:t>
      </w:r>
      <w:r>
        <w:rPr>
          <w:rFonts w:hint="eastAsia" w:ascii="宋体" w:hAnsi="宋体" w:eastAsia="宋体" w:cs="宋体"/>
          <w:bCs/>
          <w:color w:val="auto"/>
          <w:kern w:val="0"/>
          <w:szCs w:val="21"/>
          <w:highlight w:val="none"/>
          <w:lang w:val="en-US" w:eastAsia="zh-CN"/>
        </w:rPr>
        <w:t>模塑产业发展基础和存在问题，研究提出黄岩G104模塑产业走廊规划的总体思想、发展目标、空间布局、重点任务等方面的考虑</w:t>
      </w:r>
      <w:r>
        <w:rPr>
          <w:rFonts w:hint="eastAsia" w:ascii="宋体" w:hAnsi="宋体" w:eastAsia="宋体" w:cs="宋体"/>
          <w:bCs/>
          <w:color w:val="auto"/>
          <w:kern w:val="0"/>
          <w:szCs w:val="21"/>
          <w:highlight w:val="none"/>
        </w:rPr>
        <w:t>，为黄岩区模塑产业</w:t>
      </w:r>
      <w:r>
        <w:rPr>
          <w:rFonts w:hint="eastAsia" w:ascii="宋体" w:hAnsi="宋体" w:eastAsia="宋体" w:cs="宋体"/>
          <w:bCs/>
          <w:color w:val="auto"/>
          <w:kern w:val="0"/>
          <w:szCs w:val="21"/>
          <w:highlight w:val="none"/>
          <w:lang w:val="en-US" w:eastAsia="zh-CN"/>
        </w:rPr>
        <w:t>集群发展</w:t>
      </w:r>
      <w:r>
        <w:rPr>
          <w:rFonts w:hint="eastAsia" w:ascii="宋体" w:hAnsi="宋体" w:eastAsia="宋体" w:cs="宋体"/>
          <w:bCs/>
          <w:color w:val="auto"/>
          <w:kern w:val="0"/>
          <w:szCs w:val="21"/>
          <w:highlight w:val="none"/>
        </w:rPr>
        <w:t>奠定基础。</w:t>
      </w:r>
    </w:p>
    <w:p w14:paraId="05BD1A95">
      <w:pPr>
        <w:keepNext w:val="0"/>
        <w:keepLines w:val="0"/>
        <w:pageBreakBefore w:val="0"/>
        <w:widowControl w:val="0"/>
        <w:kinsoku/>
        <w:wordWrap/>
        <w:overflowPunct/>
        <w:topLinePunct w:val="0"/>
        <w:autoSpaceDN/>
        <w:bidi w:val="0"/>
        <w:snapToGrid/>
        <w:spacing w:line="360" w:lineRule="auto"/>
        <w:ind w:firstLine="422"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b/>
          <w:bCs/>
          <w:color w:val="auto"/>
          <w:kern w:val="0"/>
          <w:szCs w:val="21"/>
          <w:highlight w:val="none"/>
        </w:rPr>
        <w:t>1、</w:t>
      </w:r>
      <w:r>
        <w:rPr>
          <w:rFonts w:hint="eastAsia" w:ascii="宋体" w:hAnsi="宋体" w:eastAsia="宋体" w:cs="宋体"/>
          <w:b/>
          <w:bCs/>
          <w:color w:val="auto"/>
          <w:kern w:val="0"/>
          <w:szCs w:val="21"/>
          <w:highlight w:val="none"/>
          <w:lang w:val="en-US" w:eastAsia="zh-CN"/>
        </w:rPr>
        <w:t>发展现状与存在问题</w:t>
      </w:r>
    </w:p>
    <w:p w14:paraId="1F010672">
      <w:pPr>
        <w:keepNext w:val="0"/>
        <w:keepLines w:val="0"/>
        <w:pageBreakBefore w:val="0"/>
        <w:widowControl w:val="0"/>
        <w:kinsoku/>
        <w:wordWrap/>
        <w:overflowPunct/>
        <w:topLinePunct w:val="0"/>
        <w:autoSpaceDN/>
        <w:bidi w:val="0"/>
        <w:snapToGrid/>
        <w:spacing w:line="360" w:lineRule="auto"/>
        <w:ind w:firstLine="420" w:firstLineChars="200"/>
        <w:jc w:val="left"/>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rPr>
        <w:t>全面总结黄岩</w:t>
      </w:r>
      <w:r>
        <w:rPr>
          <w:rFonts w:hint="eastAsia" w:ascii="宋体" w:hAnsi="宋体" w:eastAsia="宋体" w:cs="宋体"/>
          <w:bCs/>
          <w:color w:val="auto"/>
          <w:kern w:val="0"/>
          <w:szCs w:val="21"/>
          <w:highlight w:val="none"/>
          <w:lang w:val="en-US" w:eastAsia="zh-CN"/>
        </w:rPr>
        <w:t>模塑产业规模、产业生态、平台载体、创新成果等基础现状，以及当前存在的问题和短板。</w:t>
      </w:r>
    </w:p>
    <w:p w14:paraId="324EA3E9">
      <w:pPr>
        <w:keepNext w:val="0"/>
        <w:keepLines w:val="0"/>
        <w:pageBreakBefore w:val="0"/>
        <w:widowControl w:val="0"/>
        <w:kinsoku/>
        <w:wordWrap/>
        <w:overflowPunct/>
        <w:topLinePunct w:val="0"/>
        <w:autoSpaceDN/>
        <w:bidi w:val="0"/>
        <w:snapToGrid/>
        <w:spacing w:line="360" w:lineRule="auto"/>
        <w:ind w:firstLine="422" w:firstLineChars="200"/>
        <w:jc w:val="left"/>
        <w:textAlignment w:val="auto"/>
        <w:rPr>
          <w:rFonts w:hint="eastAsia" w:ascii="宋体" w:hAnsi="宋体" w:eastAsia="宋体" w:cs="宋体"/>
          <w:b/>
          <w:bCs w:val="0"/>
          <w:color w:val="auto"/>
          <w:kern w:val="0"/>
          <w:szCs w:val="21"/>
          <w:highlight w:val="none"/>
          <w:lang w:val="en-US" w:eastAsia="zh-CN"/>
        </w:rPr>
      </w:pPr>
      <w:r>
        <w:rPr>
          <w:rFonts w:hint="eastAsia" w:ascii="宋体" w:hAnsi="宋体" w:eastAsia="宋体" w:cs="宋体"/>
          <w:b/>
          <w:bCs w:val="0"/>
          <w:color w:val="auto"/>
          <w:kern w:val="0"/>
          <w:szCs w:val="21"/>
          <w:highlight w:val="none"/>
          <w:lang w:val="en-US" w:eastAsia="zh-CN"/>
        </w:rPr>
        <w:t>2、面临形势与机遇挑战</w:t>
      </w:r>
    </w:p>
    <w:p w14:paraId="117E719F">
      <w:pPr>
        <w:keepNext w:val="0"/>
        <w:keepLines w:val="0"/>
        <w:pageBreakBefore w:val="0"/>
        <w:widowControl w:val="0"/>
        <w:kinsoku/>
        <w:wordWrap/>
        <w:overflowPunct/>
        <w:topLinePunct w:val="0"/>
        <w:autoSpaceDN/>
        <w:bidi w:val="0"/>
        <w:snapToGrid/>
        <w:spacing w:line="360" w:lineRule="auto"/>
        <w:ind w:firstLine="420" w:firstLineChars="200"/>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深入研究国内外经济社会环境、区域发展环境出现的新形势、新变化，科学研判当前黄岩</w:t>
      </w:r>
      <w:r>
        <w:rPr>
          <w:rFonts w:hint="eastAsia" w:ascii="宋体" w:hAnsi="宋体" w:eastAsia="宋体" w:cs="宋体"/>
          <w:bCs/>
          <w:color w:val="auto"/>
          <w:kern w:val="0"/>
          <w:szCs w:val="21"/>
          <w:highlight w:val="none"/>
          <w:lang w:val="en-US" w:eastAsia="zh-CN"/>
        </w:rPr>
        <w:t>模塑产业</w:t>
      </w:r>
      <w:r>
        <w:rPr>
          <w:rFonts w:hint="eastAsia" w:ascii="宋体" w:hAnsi="宋体" w:eastAsia="宋体" w:cs="宋体"/>
          <w:bCs/>
          <w:color w:val="auto"/>
          <w:kern w:val="0"/>
          <w:szCs w:val="21"/>
          <w:highlight w:val="none"/>
        </w:rPr>
        <w:t>所处的历史方位和发展阶段性特征，分析黄岩</w:t>
      </w:r>
      <w:r>
        <w:rPr>
          <w:rFonts w:hint="eastAsia" w:ascii="宋体" w:hAnsi="宋体" w:eastAsia="宋体" w:cs="宋体"/>
          <w:bCs/>
          <w:color w:val="auto"/>
          <w:kern w:val="0"/>
          <w:szCs w:val="21"/>
          <w:highlight w:val="none"/>
          <w:lang w:val="en-US" w:eastAsia="zh-CN"/>
        </w:rPr>
        <w:t>模塑产业</w:t>
      </w:r>
      <w:r>
        <w:rPr>
          <w:rFonts w:hint="eastAsia" w:ascii="宋体" w:hAnsi="宋体" w:eastAsia="宋体" w:cs="宋体"/>
          <w:bCs/>
          <w:color w:val="auto"/>
          <w:kern w:val="0"/>
          <w:szCs w:val="21"/>
          <w:highlight w:val="none"/>
        </w:rPr>
        <w:t>将会面临的外部机遇及挑战。</w:t>
      </w:r>
    </w:p>
    <w:p w14:paraId="0D8852EA">
      <w:pPr>
        <w:keepNext w:val="0"/>
        <w:keepLines w:val="0"/>
        <w:pageBreakBefore w:val="0"/>
        <w:widowControl w:val="0"/>
        <w:kinsoku/>
        <w:wordWrap/>
        <w:overflowPunct/>
        <w:topLinePunct w:val="0"/>
        <w:autoSpaceDN/>
        <w:bidi w:val="0"/>
        <w:snapToGrid/>
        <w:spacing w:line="360" w:lineRule="auto"/>
        <w:ind w:firstLine="422"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lang w:val="en-US" w:eastAsia="zh-CN"/>
        </w:rPr>
        <w:t>3</w:t>
      </w:r>
      <w:r>
        <w:rPr>
          <w:rFonts w:hint="eastAsia" w:ascii="宋体" w:hAnsi="宋体" w:eastAsia="宋体" w:cs="宋体"/>
          <w:b/>
          <w:color w:val="auto"/>
          <w:kern w:val="0"/>
          <w:szCs w:val="21"/>
          <w:highlight w:val="none"/>
        </w:rPr>
        <w:t>、</w:t>
      </w:r>
      <w:r>
        <w:rPr>
          <w:rFonts w:hint="eastAsia" w:ascii="宋体" w:hAnsi="宋体" w:eastAsia="宋体" w:cs="宋体"/>
          <w:b/>
          <w:bCs/>
          <w:color w:val="auto"/>
          <w:kern w:val="0"/>
          <w:szCs w:val="21"/>
          <w:highlight w:val="none"/>
        </w:rPr>
        <w:t>总体思路与发展目标研究</w:t>
      </w:r>
    </w:p>
    <w:p w14:paraId="535EF529">
      <w:pPr>
        <w:keepNext w:val="0"/>
        <w:keepLines w:val="0"/>
        <w:pageBreakBefore w:val="0"/>
        <w:widowControl w:val="0"/>
        <w:kinsoku/>
        <w:wordWrap/>
        <w:overflowPunct/>
        <w:topLinePunct w:val="0"/>
        <w:autoSpaceDN/>
        <w:bidi w:val="0"/>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研究提出黄岩G104模塑产业走廊</w:t>
      </w:r>
      <w:r>
        <w:rPr>
          <w:rFonts w:hint="eastAsia" w:ascii="宋体" w:hAnsi="宋体" w:eastAsia="宋体" w:cs="宋体"/>
          <w:color w:val="auto"/>
          <w:kern w:val="0"/>
          <w:szCs w:val="21"/>
          <w:highlight w:val="none"/>
          <w:lang w:val="en-US" w:eastAsia="zh-CN"/>
        </w:rPr>
        <w:t>规划</w:t>
      </w:r>
      <w:r>
        <w:rPr>
          <w:rFonts w:hint="eastAsia" w:ascii="宋体" w:hAnsi="宋体" w:eastAsia="宋体" w:cs="宋体"/>
          <w:color w:val="auto"/>
          <w:kern w:val="0"/>
          <w:szCs w:val="21"/>
          <w:highlight w:val="none"/>
        </w:rPr>
        <w:t>的主要思路，谋划战略方向、总体思路和目标指标，并做好2030</w:t>
      </w:r>
      <w:r>
        <w:rPr>
          <w:rFonts w:hint="eastAsia" w:ascii="宋体" w:hAnsi="宋体" w:eastAsia="宋体" w:cs="宋体"/>
          <w:color w:val="auto"/>
          <w:kern w:val="0"/>
          <w:szCs w:val="21"/>
          <w:highlight w:val="none"/>
          <w:lang w:val="en-US" w:eastAsia="zh-CN"/>
        </w:rPr>
        <w:t>年发展</w:t>
      </w:r>
      <w:r>
        <w:rPr>
          <w:rFonts w:hint="eastAsia" w:ascii="宋体" w:hAnsi="宋体" w:eastAsia="宋体" w:cs="宋体"/>
          <w:color w:val="auto"/>
          <w:kern w:val="0"/>
          <w:szCs w:val="21"/>
          <w:highlight w:val="none"/>
        </w:rPr>
        <w:t>目标研判。</w:t>
      </w:r>
    </w:p>
    <w:p w14:paraId="56DB177A">
      <w:pPr>
        <w:keepNext w:val="0"/>
        <w:keepLines w:val="0"/>
        <w:pageBreakBefore w:val="0"/>
        <w:widowControl w:val="0"/>
        <w:kinsoku/>
        <w:wordWrap/>
        <w:overflowPunct/>
        <w:topLinePunct w:val="0"/>
        <w:autoSpaceDN/>
        <w:bidi w:val="0"/>
        <w:snapToGrid/>
        <w:spacing w:line="360" w:lineRule="auto"/>
        <w:ind w:firstLine="422" w:firstLineChars="200"/>
        <w:jc w:val="left"/>
        <w:textAlignment w:val="auto"/>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4、空间规划与功能布局</w:t>
      </w:r>
    </w:p>
    <w:p w14:paraId="5728602E">
      <w:pPr>
        <w:keepNext w:val="0"/>
        <w:keepLines w:val="0"/>
        <w:pageBreakBefore w:val="0"/>
        <w:widowControl w:val="0"/>
        <w:kinsoku/>
        <w:wordWrap/>
        <w:overflowPunct/>
        <w:topLinePunct w:val="0"/>
        <w:autoSpaceDN/>
        <w:bidi w:val="0"/>
        <w:snapToGrid/>
        <w:spacing w:line="360" w:lineRule="auto"/>
        <w:ind w:firstLine="420" w:firstLineChars="200"/>
        <w:jc w:val="left"/>
        <w:textAlignment w:val="auto"/>
        <w:rPr>
          <w:rFonts w:hint="eastAsia" w:ascii="宋体" w:hAnsi="宋体" w:eastAsia="宋体" w:cs="宋体"/>
          <w:b/>
          <w:color w:val="auto"/>
          <w:kern w:val="0"/>
          <w:szCs w:val="21"/>
          <w:highlight w:val="none"/>
          <w:lang w:val="en-US" w:eastAsia="zh-CN"/>
        </w:rPr>
      </w:pPr>
      <w:r>
        <w:rPr>
          <w:rFonts w:hint="eastAsia" w:ascii="宋体" w:hAnsi="宋体" w:eastAsia="宋体" w:cs="宋体"/>
          <w:b w:val="0"/>
          <w:bCs/>
          <w:color w:val="auto"/>
          <w:kern w:val="0"/>
          <w:szCs w:val="21"/>
          <w:highlight w:val="none"/>
          <w:lang w:val="en-US" w:eastAsia="zh-CN"/>
        </w:rPr>
        <w:t>对黄岩</w:t>
      </w:r>
      <w:r>
        <w:rPr>
          <w:rFonts w:hint="eastAsia" w:ascii="宋体" w:hAnsi="宋体" w:eastAsia="宋体" w:cs="宋体"/>
          <w:color w:val="auto"/>
          <w:kern w:val="0"/>
          <w:szCs w:val="21"/>
          <w:highlight w:val="none"/>
        </w:rPr>
        <w:t>G104模塑产业走廊</w:t>
      </w:r>
      <w:r>
        <w:rPr>
          <w:rFonts w:hint="eastAsia" w:ascii="宋体" w:hAnsi="宋体" w:eastAsia="宋体" w:cs="宋体"/>
          <w:color w:val="auto"/>
          <w:kern w:val="0"/>
          <w:szCs w:val="21"/>
          <w:highlight w:val="none"/>
          <w:lang w:val="en-US" w:eastAsia="zh-CN"/>
        </w:rPr>
        <w:t>沿线可利用土地进行梳理，对产业走廊谋划合理的空间结构和功能布局，并绘制总体示意图、区位图、产业规划图等相关图纸。</w:t>
      </w:r>
    </w:p>
    <w:p w14:paraId="2B8B52F6">
      <w:pPr>
        <w:keepNext w:val="0"/>
        <w:keepLines w:val="0"/>
        <w:pageBreakBefore w:val="0"/>
        <w:widowControl w:val="0"/>
        <w:kinsoku/>
        <w:wordWrap/>
        <w:overflowPunct/>
        <w:topLinePunct w:val="0"/>
        <w:autoSpaceDN/>
        <w:bidi w:val="0"/>
        <w:snapToGrid/>
        <w:spacing w:line="360" w:lineRule="auto"/>
        <w:ind w:firstLine="422" w:firstLineChars="200"/>
        <w:jc w:val="lef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5</w:t>
      </w:r>
      <w:r>
        <w:rPr>
          <w:rFonts w:hint="eastAsia" w:ascii="宋体" w:hAnsi="宋体" w:eastAsia="宋体" w:cs="宋体"/>
          <w:b/>
          <w:color w:val="auto"/>
          <w:kern w:val="0"/>
          <w:szCs w:val="21"/>
          <w:highlight w:val="none"/>
        </w:rPr>
        <w:t>、重点任务举措分析</w:t>
      </w:r>
    </w:p>
    <w:p w14:paraId="5C2E61AA">
      <w:pPr>
        <w:keepNext w:val="0"/>
        <w:keepLines w:val="0"/>
        <w:pageBreakBefore w:val="0"/>
        <w:widowControl w:val="0"/>
        <w:kinsoku/>
        <w:wordWrap/>
        <w:overflowPunct/>
        <w:topLinePunct w:val="0"/>
        <w:autoSpaceDN/>
        <w:bidi w:val="0"/>
        <w:snapToGrid/>
        <w:spacing w:line="360" w:lineRule="auto"/>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rPr>
        <w:t>以产业发展、科技创新、</w:t>
      </w:r>
      <w:r>
        <w:rPr>
          <w:rFonts w:hint="eastAsia" w:ascii="宋体" w:hAnsi="宋体" w:eastAsia="宋体" w:cs="宋体"/>
          <w:color w:val="auto"/>
          <w:kern w:val="0"/>
          <w:szCs w:val="21"/>
          <w:highlight w:val="none"/>
          <w:lang w:val="en-US" w:eastAsia="zh-CN"/>
        </w:rPr>
        <w:t>空间利用、</w:t>
      </w:r>
      <w:r>
        <w:rPr>
          <w:rFonts w:hint="eastAsia" w:ascii="宋体" w:hAnsi="宋体" w:eastAsia="宋体" w:cs="宋体"/>
          <w:color w:val="auto"/>
          <w:kern w:val="0"/>
          <w:szCs w:val="21"/>
          <w:highlight w:val="none"/>
        </w:rPr>
        <w:t>城乡融合等领域为重点，研究提出</w:t>
      </w:r>
      <w:r>
        <w:rPr>
          <w:rFonts w:hint="eastAsia" w:ascii="宋体" w:hAnsi="宋体" w:eastAsia="宋体" w:cs="宋体"/>
          <w:b w:val="0"/>
          <w:bCs/>
          <w:color w:val="auto"/>
          <w:kern w:val="0"/>
          <w:szCs w:val="21"/>
          <w:highlight w:val="none"/>
          <w:lang w:val="en-US" w:eastAsia="zh-CN"/>
        </w:rPr>
        <w:t>黄岩</w:t>
      </w:r>
      <w:r>
        <w:rPr>
          <w:rFonts w:hint="eastAsia" w:ascii="宋体" w:hAnsi="宋体" w:eastAsia="宋体" w:cs="宋体"/>
          <w:color w:val="auto"/>
          <w:kern w:val="0"/>
          <w:szCs w:val="21"/>
          <w:highlight w:val="none"/>
        </w:rPr>
        <w:t>G104模塑产业走廊</w:t>
      </w:r>
      <w:r>
        <w:rPr>
          <w:rFonts w:hint="eastAsia" w:ascii="宋体" w:hAnsi="宋体" w:eastAsia="宋体" w:cs="宋体"/>
          <w:color w:val="auto"/>
          <w:kern w:val="0"/>
          <w:szCs w:val="21"/>
          <w:highlight w:val="none"/>
          <w:lang w:val="en-US" w:eastAsia="zh-CN"/>
        </w:rPr>
        <w:t>规划</w:t>
      </w:r>
      <w:r>
        <w:rPr>
          <w:rFonts w:hint="eastAsia" w:ascii="宋体" w:hAnsi="宋体" w:eastAsia="宋体" w:cs="宋体"/>
          <w:bCs/>
          <w:color w:val="auto"/>
          <w:szCs w:val="21"/>
          <w:highlight w:val="none"/>
        </w:rPr>
        <w:t>的重点任务和重大举措。</w:t>
      </w:r>
    </w:p>
    <w:p w14:paraId="5CDB179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w:t>
      </w:r>
      <w:r>
        <w:rPr>
          <w:rFonts w:hint="eastAsia" w:ascii="宋体" w:hAnsi="宋体" w:eastAsia="宋体" w:cs="宋体"/>
          <w:b/>
          <w:bCs/>
          <w:color w:val="auto"/>
          <w:kern w:val="0"/>
          <w:szCs w:val="21"/>
          <w:highlight w:val="none"/>
          <w:lang w:val="en-US" w:eastAsia="zh-CN"/>
        </w:rPr>
        <w:t>七</w:t>
      </w:r>
      <w:r>
        <w:rPr>
          <w:rFonts w:hint="eastAsia" w:ascii="宋体" w:hAnsi="宋体" w:eastAsia="宋体" w:cs="宋体"/>
          <w:b/>
          <w:bCs/>
          <w:color w:val="auto"/>
          <w:kern w:val="0"/>
          <w:szCs w:val="21"/>
          <w:highlight w:val="none"/>
        </w:rPr>
        <w:t>条：项目实施其它要求</w:t>
      </w:r>
    </w:p>
    <w:p w14:paraId="1E6F119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一</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项目进度要求</w:t>
      </w:r>
    </w:p>
    <w:p w14:paraId="5030181C">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4"/>
          <w:highlight w:val="none"/>
          <w:lang w:val="en-US" w:eastAsia="zh-CN" w:bidi="ar"/>
        </w:rPr>
        <w:t>服务期限：</w:t>
      </w:r>
      <w:r>
        <w:rPr>
          <w:rFonts w:hint="eastAsia" w:ascii="宋体" w:hAnsi="宋体" w:eastAsia="宋体" w:cs="宋体"/>
          <w:color w:val="auto"/>
          <w:highlight w:val="none"/>
          <w:lang w:val="en-US" w:eastAsia="zh-CN"/>
        </w:rPr>
        <w:t>自合同签订之日起至2025年</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月。</w:t>
      </w:r>
    </w:p>
    <w:p w14:paraId="4B3E5698">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bidi="ar"/>
        </w:rPr>
        <w:t>（1）2025年</w:t>
      </w:r>
      <w:r>
        <w:rPr>
          <w:rFonts w:hint="eastAsia" w:ascii="宋体" w:hAnsi="宋体" w:cs="宋体"/>
          <w:b w:val="0"/>
          <w:bCs w:val="0"/>
          <w:color w:val="auto"/>
          <w:sz w:val="21"/>
          <w:szCs w:val="21"/>
          <w:highlight w:val="none"/>
          <w:lang w:val="en-US" w:eastAsia="zh-CN" w:bidi="ar"/>
        </w:rPr>
        <w:t>2</w:t>
      </w:r>
      <w:r>
        <w:rPr>
          <w:rFonts w:hint="eastAsia" w:ascii="宋体" w:hAnsi="宋体" w:eastAsia="宋体" w:cs="宋体"/>
          <w:b w:val="0"/>
          <w:bCs w:val="0"/>
          <w:color w:val="auto"/>
          <w:sz w:val="21"/>
          <w:szCs w:val="21"/>
          <w:highlight w:val="none"/>
          <w:lang w:val="en-US" w:eastAsia="zh-CN" w:bidi="ar"/>
        </w:rPr>
        <w:t>月底前提交</w:t>
      </w:r>
      <w:r>
        <w:rPr>
          <w:rFonts w:hint="eastAsia" w:ascii="宋体" w:hAnsi="宋体" w:eastAsia="宋体" w:cs="宋体"/>
          <w:b w:val="0"/>
          <w:bCs w:val="0"/>
          <w:color w:val="auto"/>
          <w:sz w:val="21"/>
          <w:szCs w:val="21"/>
          <w:highlight w:val="none"/>
        </w:rPr>
        <w:t>《黄岩G104模塑产业走廊规划》</w:t>
      </w:r>
      <w:r>
        <w:rPr>
          <w:rFonts w:hint="eastAsia" w:ascii="宋体" w:hAnsi="宋体" w:eastAsia="宋体" w:cs="宋体"/>
          <w:b w:val="0"/>
          <w:bCs w:val="0"/>
          <w:color w:val="auto"/>
          <w:sz w:val="21"/>
          <w:szCs w:val="21"/>
          <w:highlight w:val="none"/>
          <w:lang w:val="en-US" w:eastAsia="zh-CN" w:bidi="ar"/>
        </w:rPr>
        <w:t>初稿；</w:t>
      </w:r>
    </w:p>
    <w:p w14:paraId="36D0AB6C">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bidi="ar"/>
        </w:rPr>
        <w:t>（2）2025年</w:t>
      </w:r>
      <w:r>
        <w:rPr>
          <w:rFonts w:hint="eastAsia" w:ascii="宋体" w:hAnsi="宋体" w:cs="宋体"/>
          <w:b w:val="0"/>
          <w:bCs w:val="0"/>
          <w:color w:val="auto"/>
          <w:sz w:val="21"/>
          <w:szCs w:val="21"/>
          <w:highlight w:val="none"/>
          <w:lang w:val="en-US" w:eastAsia="zh-CN" w:bidi="ar"/>
        </w:rPr>
        <w:t>3</w:t>
      </w:r>
      <w:r>
        <w:rPr>
          <w:rFonts w:hint="eastAsia" w:ascii="宋体" w:hAnsi="宋体" w:eastAsia="宋体" w:cs="宋体"/>
          <w:b w:val="0"/>
          <w:bCs w:val="0"/>
          <w:color w:val="auto"/>
          <w:sz w:val="21"/>
          <w:szCs w:val="21"/>
          <w:highlight w:val="none"/>
          <w:lang w:val="en-US" w:eastAsia="zh-CN" w:bidi="ar"/>
        </w:rPr>
        <w:t>月底前提交</w:t>
      </w:r>
      <w:r>
        <w:rPr>
          <w:rFonts w:hint="eastAsia" w:ascii="宋体" w:hAnsi="宋体" w:eastAsia="宋体" w:cs="宋体"/>
          <w:b w:val="0"/>
          <w:bCs w:val="0"/>
          <w:color w:val="auto"/>
          <w:sz w:val="21"/>
          <w:szCs w:val="21"/>
          <w:highlight w:val="none"/>
        </w:rPr>
        <w:t>《黄岩G104模塑产业走廊规划》</w:t>
      </w:r>
      <w:r>
        <w:rPr>
          <w:rFonts w:hint="eastAsia" w:ascii="宋体" w:hAnsi="宋体" w:eastAsia="宋体" w:cs="宋体"/>
          <w:b w:val="0"/>
          <w:bCs w:val="0"/>
          <w:color w:val="auto"/>
          <w:sz w:val="21"/>
          <w:szCs w:val="21"/>
          <w:highlight w:val="none"/>
          <w:lang w:val="en-US" w:eastAsia="zh-CN" w:bidi="ar"/>
        </w:rPr>
        <w:t>完成稿；</w:t>
      </w:r>
    </w:p>
    <w:p w14:paraId="451DB65E">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val="en-US" w:eastAsia="zh-CN" w:bidi="ar"/>
        </w:rPr>
        <w:t>（3）2025年</w:t>
      </w:r>
      <w:r>
        <w:rPr>
          <w:rFonts w:hint="eastAsia" w:ascii="宋体" w:hAnsi="宋体" w:cs="宋体"/>
          <w:b w:val="0"/>
          <w:bCs w:val="0"/>
          <w:color w:val="auto"/>
          <w:sz w:val="21"/>
          <w:szCs w:val="21"/>
          <w:highlight w:val="none"/>
          <w:lang w:val="en-US" w:eastAsia="zh-CN" w:bidi="ar"/>
        </w:rPr>
        <w:t>6</w:t>
      </w:r>
      <w:r>
        <w:rPr>
          <w:rFonts w:hint="eastAsia" w:ascii="宋体" w:hAnsi="宋体" w:eastAsia="宋体" w:cs="宋体"/>
          <w:b w:val="0"/>
          <w:bCs w:val="0"/>
          <w:color w:val="auto"/>
          <w:sz w:val="21"/>
          <w:szCs w:val="21"/>
          <w:highlight w:val="none"/>
          <w:lang w:val="en-US" w:eastAsia="zh-CN" w:bidi="ar"/>
        </w:rPr>
        <w:t>月底前完成全部工作并提交全部相关资料。</w:t>
      </w:r>
    </w:p>
    <w:p w14:paraId="058ABDC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（二）项目成果及要求</w:t>
      </w:r>
    </w:p>
    <w:p w14:paraId="466BE7B2">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eastAsia="zh-CN" w:bidi="ar"/>
        </w:rPr>
        <w:t>）</w:t>
      </w:r>
      <w:r>
        <w:rPr>
          <w:rFonts w:hint="eastAsia" w:ascii="宋体" w:hAnsi="宋体" w:cs="宋体"/>
          <w:color w:val="auto"/>
          <w:sz w:val="21"/>
          <w:szCs w:val="21"/>
          <w:highlight w:val="none"/>
          <w:lang w:eastAsia="zh-CN" w:bidi="ar"/>
        </w:rPr>
        <w:t>乙方</w:t>
      </w:r>
      <w:r>
        <w:rPr>
          <w:rFonts w:hint="eastAsia" w:ascii="宋体" w:hAnsi="宋体" w:eastAsia="宋体" w:cs="宋体"/>
          <w:color w:val="auto"/>
          <w:sz w:val="21"/>
          <w:szCs w:val="21"/>
          <w:highlight w:val="none"/>
          <w:lang w:eastAsia="zh-CN" w:bidi="ar"/>
        </w:rPr>
        <w:t>须向</w:t>
      </w:r>
      <w:r>
        <w:rPr>
          <w:rFonts w:hint="eastAsia" w:ascii="宋体" w:hAnsi="宋体" w:cs="宋体"/>
          <w:color w:val="auto"/>
          <w:sz w:val="21"/>
          <w:szCs w:val="21"/>
          <w:highlight w:val="none"/>
          <w:lang w:eastAsia="zh-CN" w:bidi="ar"/>
        </w:rPr>
        <w:t>甲方</w:t>
      </w:r>
      <w:r>
        <w:rPr>
          <w:rFonts w:hint="eastAsia" w:ascii="宋体" w:hAnsi="宋体" w:eastAsia="宋体" w:cs="宋体"/>
          <w:color w:val="auto"/>
          <w:sz w:val="21"/>
          <w:szCs w:val="21"/>
          <w:highlight w:val="none"/>
          <w:lang w:eastAsia="zh-CN" w:bidi="ar"/>
        </w:rPr>
        <w:t>提供《黄岩G104模塑产业走廊规划》。</w:t>
      </w:r>
    </w:p>
    <w:p w14:paraId="2A937B46">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eastAsia="zh-CN" w:bidi="ar"/>
        </w:rPr>
        <w:t>）成果的构成：成果包括纸质文本、电子文件。内容必须清晰完整，符合审批要求。成果应完整、准确地阐述意图和内容。</w:t>
      </w:r>
    </w:p>
    <w:p w14:paraId="49311B13">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eastAsia="zh-CN" w:bidi="ar"/>
        </w:rPr>
        <w:t>）成果形式：纸质文本、电子文件等，按</w:t>
      </w:r>
      <w:r>
        <w:rPr>
          <w:rFonts w:hint="eastAsia" w:ascii="宋体" w:hAnsi="宋体" w:cs="宋体"/>
          <w:color w:val="auto"/>
          <w:sz w:val="21"/>
          <w:szCs w:val="21"/>
          <w:highlight w:val="none"/>
          <w:lang w:eastAsia="zh-CN" w:bidi="ar"/>
        </w:rPr>
        <w:t>甲方</w:t>
      </w:r>
      <w:r>
        <w:rPr>
          <w:rFonts w:hint="eastAsia" w:ascii="宋体" w:hAnsi="宋体" w:eastAsia="宋体" w:cs="宋体"/>
          <w:color w:val="auto"/>
          <w:sz w:val="21"/>
          <w:szCs w:val="21"/>
          <w:highlight w:val="none"/>
          <w:lang w:eastAsia="zh-CN" w:bidi="ar"/>
        </w:rPr>
        <w:t>实际需求提供。</w:t>
      </w:r>
    </w:p>
    <w:p w14:paraId="7F0DD78D">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eastAsia="zh-CN" w:bidi="ar"/>
        </w:rPr>
        <w:t>）根据</w:t>
      </w:r>
      <w:r>
        <w:rPr>
          <w:rFonts w:hint="eastAsia" w:ascii="宋体" w:hAnsi="宋体" w:cs="宋体"/>
          <w:color w:val="auto"/>
          <w:sz w:val="21"/>
          <w:szCs w:val="21"/>
          <w:highlight w:val="none"/>
          <w:lang w:eastAsia="zh-CN" w:bidi="ar"/>
        </w:rPr>
        <w:t>甲方</w:t>
      </w:r>
      <w:r>
        <w:rPr>
          <w:rFonts w:hint="eastAsia" w:ascii="宋体" w:hAnsi="宋体" w:eastAsia="宋体" w:cs="宋体"/>
          <w:color w:val="auto"/>
          <w:sz w:val="21"/>
          <w:szCs w:val="21"/>
          <w:highlight w:val="none"/>
          <w:lang w:eastAsia="zh-CN" w:bidi="ar"/>
        </w:rPr>
        <w:t>要求，需要提交的相关其他材料。</w:t>
      </w:r>
    </w:p>
    <w:p w14:paraId="422EF56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（三）付款方式</w:t>
      </w:r>
    </w:p>
    <w:p w14:paraId="34F6DC41">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（1）签订合同后，合同生效以及具备实施条件后7个工作日内</w:t>
      </w:r>
      <w:r>
        <w:rPr>
          <w:rFonts w:hint="eastAsia" w:ascii="宋体" w:hAnsi="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支付合同金额的</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0%作为预付款；</w:t>
      </w:r>
    </w:p>
    <w:p w14:paraId="51E01808">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（2）提交《黄岩G104模塑产业走廊规划》</w:t>
      </w:r>
      <w:r>
        <w:rPr>
          <w:rFonts w:hint="eastAsia" w:ascii="宋体" w:hAnsi="宋体" w:eastAsia="宋体" w:cs="宋体"/>
          <w:b w:val="0"/>
          <w:bCs w:val="0"/>
          <w:color w:val="auto"/>
          <w:sz w:val="21"/>
          <w:szCs w:val="21"/>
          <w:highlight w:val="none"/>
          <w:lang w:val="en-US" w:eastAsia="zh-CN"/>
        </w:rPr>
        <w:t>初稿后</w:t>
      </w:r>
      <w:r>
        <w:rPr>
          <w:rFonts w:hint="eastAsia" w:ascii="宋体" w:hAnsi="宋体" w:eastAsia="宋体" w:cs="宋体"/>
          <w:b w:val="0"/>
          <w:bCs w:val="0"/>
          <w:color w:val="auto"/>
          <w:sz w:val="21"/>
          <w:szCs w:val="21"/>
          <w:highlight w:val="none"/>
        </w:rPr>
        <w:t>15个工作日内，</w:t>
      </w:r>
      <w:r>
        <w:rPr>
          <w:rFonts w:hint="eastAsia" w:ascii="宋体" w:hAnsi="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支付合同金额的</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w:t>
      </w:r>
    </w:p>
    <w:p w14:paraId="70D5BB3E">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项目验收完成后，甲方支付剩余款项。</w:t>
      </w:r>
    </w:p>
    <w:p w14:paraId="026E7BB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（四）项目验收</w:t>
      </w:r>
    </w:p>
    <w:p w14:paraId="3CBF72D6">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bidi="ar"/>
        </w:rPr>
        <w:t>验收按</w:t>
      </w:r>
      <w:r>
        <w:rPr>
          <w:rFonts w:hint="eastAsia" w:ascii="宋体" w:hAnsi="宋体" w:eastAsia="宋体" w:cs="宋体"/>
          <w:b w:val="0"/>
          <w:bCs w:val="0"/>
          <w:color w:val="auto"/>
          <w:sz w:val="21"/>
          <w:szCs w:val="21"/>
          <w:highlight w:val="none"/>
        </w:rPr>
        <w:t>国家有关规范标准和采购方要求进行。验收相关费用均由乙方承担。</w:t>
      </w:r>
    </w:p>
    <w:p w14:paraId="5E28B827">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乙方</w:t>
      </w:r>
      <w:r>
        <w:rPr>
          <w:rFonts w:hint="eastAsia" w:ascii="宋体" w:hAnsi="宋体" w:eastAsia="宋体" w:cs="宋体"/>
          <w:b w:val="0"/>
          <w:bCs w:val="0"/>
          <w:color w:val="auto"/>
          <w:sz w:val="21"/>
          <w:szCs w:val="21"/>
          <w:highlight w:val="none"/>
        </w:rPr>
        <w:t>认为项目成果已达到了采购合同约定的对技术、服务等要求，可向</w:t>
      </w:r>
      <w:r>
        <w:rPr>
          <w:rFonts w:hint="eastAsia" w:ascii="宋体" w:hAnsi="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提出要求验收。</w:t>
      </w:r>
      <w:r>
        <w:rPr>
          <w:rFonts w:hint="eastAsia" w:ascii="宋体" w:hAnsi="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采用</w:t>
      </w:r>
      <w:r>
        <w:rPr>
          <w:rFonts w:hint="eastAsia" w:ascii="宋体" w:hAnsi="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认可方式验收，并出具咨询服务项目验收证明。</w:t>
      </w:r>
    </w:p>
    <w:p w14:paraId="5186566B">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评价方法</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通过</w:t>
      </w:r>
      <w:r>
        <w:rPr>
          <w:rFonts w:hint="eastAsia" w:ascii="宋体" w:hAnsi="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组织的评审。</w:t>
      </w:r>
    </w:p>
    <w:p w14:paraId="6CE240FA">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2" w:firstLineChars="200"/>
        <w:jc w:val="left"/>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第</w:t>
      </w:r>
      <w:r>
        <w:rPr>
          <w:rFonts w:hint="eastAsia" w:ascii="宋体" w:hAnsi="宋体" w:eastAsia="宋体" w:cs="宋体"/>
          <w:b/>
          <w:color w:val="auto"/>
          <w:highlight w:val="none"/>
          <w:lang w:val="en-US" w:eastAsia="zh-CN"/>
        </w:rPr>
        <w:t>八</w:t>
      </w:r>
      <w:r>
        <w:rPr>
          <w:rFonts w:hint="eastAsia" w:ascii="宋体" w:hAnsi="宋体" w:eastAsia="宋体" w:cs="宋体"/>
          <w:b/>
          <w:color w:val="auto"/>
          <w:highlight w:val="none"/>
        </w:rPr>
        <w:t>条：违约责任</w:t>
      </w:r>
    </w:p>
    <w:p w14:paraId="5B7D3073">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1、甲方无正当理由拒收接受服务的，甲方向乙方支付合同款项百分之五作为违约金。</w:t>
      </w:r>
    </w:p>
    <w:p w14:paraId="0925843B">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 甲方无故逾期验收和办理款项支付手续的，甲方应按逾期付款总额向乙方支付每日万分之五违约金。</w:t>
      </w:r>
    </w:p>
    <w:p w14:paraId="1F0C1F85">
      <w:pPr>
        <w:pStyle w:val="11"/>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w:t>
      </w:r>
    </w:p>
    <w:p w14:paraId="05EA8088">
      <w:pPr>
        <w:pStyle w:val="11"/>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4、若发生纠纷，由违约方赔偿守约方因纠纷所支付的费用（包括但不限于律师费、差旅费、诉讼费、保全费、鉴定费、评估费等）。</w:t>
      </w:r>
    </w:p>
    <w:p w14:paraId="59C2BFA4">
      <w:pPr>
        <w:pStyle w:val="11"/>
        <w:keepNext w:val="0"/>
        <w:keepLines w:val="0"/>
        <w:pageBreakBefore w:val="0"/>
        <w:kinsoku/>
        <w:wordWrap/>
        <w:overflowPunct/>
        <w:topLinePunct w:val="0"/>
        <w:autoSpaceDE/>
        <w:autoSpaceDN/>
        <w:bidi w:val="0"/>
        <w:snapToGrid w:val="0"/>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w:t>
      </w:r>
      <w:r>
        <w:rPr>
          <w:rFonts w:hint="eastAsia" w:ascii="宋体" w:hAnsi="宋体" w:eastAsia="宋体" w:cs="宋体"/>
          <w:b/>
          <w:bCs/>
          <w:snapToGrid w:val="0"/>
          <w:color w:val="auto"/>
          <w:szCs w:val="21"/>
          <w:highlight w:val="none"/>
          <w:lang w:val="en-US" w:eastAsia="zh-CN"/>
        </w:rPr>
        <w:t>九</w:t>
      </w:r>
      <w:r>
        <w:rPr>
          <w:rFonts w:hint="eastAsia" w:ascii="宋体" w:hAnsi="宋体" w:eastAsia="宋体" w:cs="宋体"/>
          <w:b/>
          <w:bCs/>
          <w:snapToGrid w:val="0"/>
          <w:color w:val="auto"/>
          <w:szCs w:val="21"/>
          <w:highlight w:val="none"/>
        </w:rPr>
        <w:t>条：不可抗力事件处理</w:t>
      </w:r>
    </w:p>
    <w:p w14:paraId="040323ED">
      <w:pPr>
        <w:pStyle w:val="11"/>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1、在合同有效期内，任何一方因不可抗力事件导致不能履行合同，则合同履行期可延长，其延长期与不可抗力影响期相同。</w:t>
      </w:r>
    </w:p>
    <w:p w14:paraId="01B9ABCC">
      <w:pPr>
        <w:pStyle w:val="11"/>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2、不可抗力事件发生后，应立即通知对方，并寄送有关权威机构出具的证明。</w:t>
      </w:r>
    </w:p>
    <w:p w14:paraId="493E65DC">
      <w:pPr>
        <w:pStyle w:val="11"/>
        <w:keepNext w:val="0"/>
        <w:keepLines w:val="0"/>
        <w:pageBreakBefore w:val="0"/>
        <w:kinsoku/>
        <w:wordWrap/>
        <w:overflowPunct/>
        <w:topLinePunct w:val="0"/>
        <w:autoSpaceDE/>
        <w:autoSpaceDN/>
        <w:bidi w:val="0"/>
        <w:snapToGrid w:val="0"/>
        <w:spacing w:line="360" w:lineRule="auto"/>
        <w:ind w:firstLine="420" w:firstLineChars="200"/>
        <w:jc w:val="left"/>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3、不可抗力事件延续120天以上，双方应通过友好协商，确定是否继续履行合同。</w:t>
      </w:r>
    </w:p>
    <w:p w14:paraId="55F9821E">
      <w:pPr>
        <w:pStyle w:val="11"/>
        <w:keepNext w:val="0"/>
        <w:keepLines w:val="0"/>
        <w:pageBreakBefore w:val="0"/>
        <w:kinsoku/>
        <w:wordWrap/>
        <w:overflowPunct/>
        <w:topLinePunct w:val="0"/>
        <w:autoSpaceDE/>
        <w:autoSpaceDN/>
        <w:bidi w:val="0"/>
        <w:snapToGrid w:val="0"/>
        <w:spacing w:line="360" w:lineRule="auto"/>
        <w:ind w:firstLine="420" w:firstLineChars="200"/>
        <w:jc w:val="left"/>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4、如合同履行时间内，因疫情原因需要延迟相关活动或解除合同的，由双方进行协商；合同解除后，双方根据乙方的实际履行支付情况及凭证（发票）进行结算。</w:t>
      </w:r>
    </w:p>
    <w:p w14:paraId="7DC56BF2">
      <w:pPr>
        <w:pStyle w:val="11"/>
        <w:keepNext w:val="0"/>
        <w:keepLines w:val="0"/>
        <w:pageBreakBefore w:val="0"/>
        <w:kinsoku/>
        <w:wordWrap/>
        <w:overflowPunct/>
        <w:topLinePunct w:val="0"/>
        <w:autoSpaceDE/>
        <w:autoSpaceDN/>
        <w:bidi w:val="0"/>
        <w:snapToGrid w:val="0"/>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第十条：诉讼</w:t>
      </w:r>
    </w:p>
    <w:p w14:paraId="385DFB87">
      <w:pPr>
        <w:pStyle w:val="11"/>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lang w:val="en-US" w:eastAsia="zh-CN"/>
        </w:rPr>
        <w:t>1、</w:t>
      </w:r>
      <w:r>
        <w:rPr>
          <w:rFonts w:hint="eastAsia" w:ascii="宋体" w:hAnsi="宋体" w:eastAsia="宋体" w:cs="宋体"/>
          <w:snapToGrid w:val="0"/>
          <w:color w:val="auto"/>
          <w:szCs w:val="21"/>
          <w:highlight w:val="none"/>
        </w:rPr>
        <w:t>双方在执行合同中所发生的一切争议，应通过协商解决。如协商不成，可向甲方所在地法院起诉。</w:t>
      </w:r>
    </w:p>
    <w:p w14:paraId="33912E9E">
      <w:pPr>
        <w:pStyle w:val="11"/>
        <w:keepNext w:val="0"/>
        <w:keepLines w:val="0"/>
        <w:pageBreakBefore w:val="0"/>
        <w:kinsoku/>
        <w:wordWrap/>
        <w:overflowPunct/>
        <w:topLinePunct w:val="0"/>
        <w:autoSpaceDE/>
        <w:autoSpaceDN/>
        <w:bidi w:val="0"/>
        <w:snapToGrid w:val="0"/>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w:t>
      </w:r>
      <w:r>
        <w:rPr>
          <w:rFonts w:hint="eastAsia" w:ascii="宋体" w:hAnsi="宋体" w:eastAsia="宋体" w:cs="宋体"/>
          <w:b/>
          <w:bCs/>
          <w:snapToGrid w:val="0"/>
          <w:color w:val="auto"/>
          <w:szCs w:val="21"/>
          <w:highlight w:val="none"/>
          <w:lang w:val="en-US" w:eastAsia="zh-CN"/>
        </w:rPr>
        <w:t>一</w:t>
      </w:r>
      <w:r>
        <w:rPr>
          <w:rFonts w:hint="eastAsia" w:ascii="宋体" w:hAnsi="宋体" w:eastAsia="宋体" w:cs="宋体"/>
          <w:b/>
          <w:bCs/>
          <w:snapToGrid w:val="0"/>
          <w:color w:val="auto"/>
          <w:szCs w:val="21"/>
          <w:highlight w:val="none"/>
        </w:rPr>
        <w:t>条：合同生效及其它</w:t>
      </w:r>
    </w:p>
    <w:p w14:paraId="7050DD8C">
      <w:pPr>
        <w:pStyle w:val="11"/>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1、合同经双方法定代表人或授权代表签字并加盖单位公章后生效。</w:t>
      </w:r>
    </w:p>
    <w:p w14:paraId="4916B3B5">
      <w:pPr>
        <w:pStyle w:val="11"/>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2、合同执行中涉及采购资金和采购内容修改或补充的，须经财政部门审批，并签书面补充协议报政府采购监督管理部门备案，方可作为主合同不可分割的一部分。</w:t>
      </w:r>
    </w:p>
    <w:p w14:paraId="1BE09043">
      <w:pPr>
        <w:pStyle w:val="11"/>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3、本合同未尽事宜，遵照《</w:t>
      </w:r>
      <w:r>
        <w:rPr>
          <w:rFonts w:hint="eastAsia" w:ascii="宋体" w:hAnsi="宋体" w:eastAsia="宋体" w:cs="宋体"/>
          <w:snapToGrid w:val="0"/>
          <w:color w:val="auto"/>
          <w:szCs w:val="21"/>
          <w:highlight w:val="none"/>
          <w:lang w:val="en-US" w:eastAsia="zh-CN"/>
        </w:rPr>
        <w:t>民法典</w:t>
      </w:r>
      <w:r>
        <w:rPr>
          <w:rFonts w:hint="eastAsia" w:ascii="宋体" w:hAnsi="宋体" w:eastAsia="宋体" w:cs="宋体"/>
          <w:snapToGrid w:val="0"/>
          <w:color w:val="auto"/>
          <w:szCs w:val="21"/>
          <w:highlight w:val="none"/>
        </w:rPr>
        <w:t>》有关条文执行。</w:t>
      </w:r>
    </w:p>
    <w:p w14:paraId="1DF30472">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pacing w:val="-6"/>
          <w:kern w:val="0"/>
          <w:szCs w:val="21"/>
          <w:highlight w:val="none"/>
        </w:rPr>
        <w:t>、本合同壹式陆份，甲、乙双方、招标代理公司各执贰份。本项目未尽事宜以招标文件、</w:t>
      </w:r>
      <w:r>
        <w:rPr>
          <w:rFonts w:hint="eastAsia" w:ascii="宋体" w:hAnsi="宋体" w:eastAsia="宋体" w:cs="宋体"/>
          <w:color w:val="auto"/>
          <w:spacing w:val="-6"/>
          <w:kern w:val="0"/>
          <w:szCs w:val="21"/>
          <w:highlight w:val="none"/>
          <w:lang w:val="en-US" w:eastAsia="zh-CN"/>
        </w:rPr>
        <w:t>磋商响应</w:t>
      </w:r>
      <w:r>
        <w:rPr>
          <w:rFonts w:hint="eastAsia" w:ascii="宋体" w:hAnsi="宋体" w:eastAsia="宋体" w:cs="宋体"/>
          <w:color w:val="auto"/>
          <w:spacing w:val="-6"/>
          <w:kern w:val="0"/>
          <w:szCs w:val="21"/>
          <w:highlight w:val="none"/>
        </w:rPr>
        <w:t>文件及澄清文件等为准。</w:t>
      </w:r>
    </w:p>
    <w:p w14:paraId="09F304D0">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pacing w:val="-6"/>
          <w:kern w:val="0"/>
          <w:szCs w:val="21"/>
          <w:highlight w:val="none"/>
        </w:rPr>
        <w:t>、与本合同有关标书及记录同本合同具有同等法律效果。</w:t>
      </w:r>
    </w:p>
    <w:p w14:paraId="783A7C6D">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3FAF8775">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204CB2E3">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甲方（公章）：                             乙方（公章）：          </w:t>
      </w:r>
    </w:p>
    <w:p w14:paraId="6A6E615A">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p>
    <w:p w14:paraId="16033436">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联系电话：</w:t>
      </w:r>
    </w:p>
    <w:p w14:paraId="0E50A241">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开户银行：                                开户银行：    </w:t>
      </w:r>
    </w:p>
    <w:p w14:paraId="155FF3F2">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                                账    号：</w:t>
      </w:r>
    </w:p>
    <w:p w14:paraId="5FC5F535">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               </w:t>
      </w:r>
    </w:p>
    <w:p w14:paraId="3C346A38">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合同</w:t>
      </w:r>
      <w:r>
        <w:rPr>
          <w:rFonts w:hint="eastAsia" w:ascii="宋体" w:hAnsi="宋体" w:cs="宋体"/>
          <w:snapToGrid w:val="0"/>
          <w:color w:val="auto"/>
          <w:szCs w:val="21"/>
          <w:highlight w:val="none"/>
          <w:lang w:val="en-US" w:eastAsia="zh-CN"/>
        </w:rPr>
        <w:t>见</w:t>
      </w:r>
      <w:r>
        <w:rPr>
          <w:rFonts w:hint="eastAsia" w:ascii="宋体" w:hAnsi="宋体" w:eastAsia="宋体" w:cs="宋体"/>
          <w:snapToGrid w:val="0"/>
          <w:color w:val="auto"/>
          <w:szCs w:val="21"/>
          <w:highlight w:val="none"/>
        </w:rPr>
        <w:t>证方：</w:t>
      </w:r>
    </w:p>
    <w:p w14:paraId="0FF3511D">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color w:val="auto"/>
          <w:sz w:val="24"/>
          <w:highlight w:val="none"/>
        </w:rPr>
      </w:pPr>
      <w:r>
        <w:rPr>
          <w:rFonts w:hint="eastAsia" w:ascii="宋体" w:hAnsi="宋体" w:eastAsia="宋体" w:cs="宋体"/>
          <w:color w:val="auto"/>
          <w:kern w:val="0"/>
          <w:szCs w:val="21"/>
          <w:highlight w:val="none"/>
        </w:rPr>
        <w:t>签订日期：       年     月     日</w:t>
      </w:r>
    </w:p>
    <w:p w14:paraId="41D8988F">
      <w:pPr>
        <w:rPr>
          <w:rFonts w:hint="eastAsia" w:ascii="宋体" w:hAnsi="宋体" w:eastAsia="宋体" w:cs="宋体"/>
          <w:b/>
          <w:color w:val="auto"/>
          <w:sz w:val="36"/>
          <w:szCs w:val="36"/>
          <w:highlight w:val="none"/>
        </w:rPr>
      </w:pPr>
    </w:p>
    <w:p w14:paraId="095B984C">
      <w:pPr>
        <w:spacing w:line="360" w:lineRule="auto"/>
        <w:jc w:val="center"/>
        <w:outlineLvl w:val="0"/>
        <w:rPr>
          <w:rFonts w:hint="eastAsia" w:ascii="宋体" w:hAnsi="宋体" w:eastAsia="宋体" w:cs="宋体"/>
          <w:b/>
          <w:color w:val="auto"/>
          <w:sz w:val="36"/>
          <w:szCs w:val="36"/>
          <w:highlight w:val="none"/>
        </w:rPr>
        <w:sectPr>
          <w:pgSz w:w="11906" w:h="16838"/>
          <w:pgMar w:top="1440" w:right="1800" w:bottom="1440" w:left="1800" w:header="851" w:footer="992" w:gutter="0"/>
          <w:pgNumType w:fmt="decimal"/>
          <w:cols w:space="425" w:num="1"/>
          <w:docGrid w:type="lines" w:linePitch="312" w:charSpace="0"/>
        </w:sectPr>
      </w:pPr>
    </w:p>
    <w:p w14:paraId="7FF8593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响应文件格式附件</w:t>
      </w:r>
    </w:p>
    <w:p w14:paraId="30FF4215">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4A49E9DA">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0B98359B">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0DED6FF0">
      <w:pPr>
        <w:keepNext w:val="0"/>
        <w:keepLines w:val="0"/>
        <w:pageBreakBefore w:val="0"/>
        <w:kinsoku/>
        <w:overflowPunct/>
        <w:topLinePunct w:val="0"/>
        <w:bidi w:val="0"/>
        <w:spacing w:before="312" w:beforeLines="100" w:line="360" w:lineRule="auto"/>
        <w:ind w:right="-108" w:firstLine="2160" w:firstLineChars="6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4060D05">
      <w:pPr>
        <w:keepNext w:val="0"/>
        <w:keepLines w:val="0"/>
        <w:pageBreakBefore w:val="0"/>
        <w:kinsoku/>
        <w:overflowPunct/>
        <w:topLinePunct w:val="0"/>
        <w:bidi w:val="0"/>
        <w:spacing w:before="312" w:beforeLines="100" w:line="240" w:lineRule="atLeast"/>
        <w:ind w:right="-108"/>
        <w:jc w:val="center"/>
        <w:outlineLvl w:val="9"/>
        <w:rPr>
          <w:rFonts w:hint="eastAsia" w:ascii="宋体" w:hAnsi="宋体" w:eastAsia="宋体" w:cs="宋体"/>
          <w:color w:val="auto"/>
          <w:sz w:val="32"/>
          <w:szCs w:val="32"/>
          <w:highlight w:val="none"/>
        </w:rPr>
      </w:pPr>
    </w:p>
    <w:p w14:paraId="59832F6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F0DF80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70C13FA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4E1315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42AC7DE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464E1FB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5A7C0B50">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6A59C8CB">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2B550F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46F032EB">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E4A0485">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6D05F7F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02AB392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184E2B0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4D3CF35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4、供应商认为需要说明的其他材料</w:t>
      </w:r>
    </w:p>
    <w:p w14:paraId="10F4C5A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p>
    <w:p w14:paraId="0C8FC12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8746BB">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71AD71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554E89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68AED31">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6AE0E3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F04644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1C89A0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B1797D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0C1698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738E2E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55871D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562632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4BFD5B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1A4870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3E4D1E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C3FE355">
      <w:pPr>
        <w:pStyle w:val="9"/>
        <w:ind w:left="0" w:leftChars="0" w:firstLine="0" w:firstLineChars="0"/>
        <w:rPr>
          <w:rFonts w:hint="eastAsia" w:ascii="宋体" w:hAnsi="宋体" w:eastAsia="宋体" w:cs="宋体"/>
          <w:color w:val="auto"/>
          <w:highlight w:val="none"/>
        </w:rPr>
      </w:pPr>
    </w:p>
    <w:p w14:paraId="5BFBCAD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1FBAC107">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7"/>
          <w:rFonts w:hint="eastAsia" w:ascii="宋体" w:hAnsi="宋体" w:eastAsia="宋体" w:cs="宋体"/>
          <w:b/>
          <w:color w:val="auto"/>
          <w:sz w:val="32"/>
          <w:szCs w:val="32"/>
          <w:highlight w:val="none"/>
          <w:u w:val="none"/>
        </w:rPr>
      </w:pPr>
      <w:r>
        <w:rPr>
          <w:rStyle w:val="27"/>
          <w:rFonts w:hint="eastAsia" w:ascii="宋体" w:hAnsi="宋体" w:eastAsia="宋体" w:cs="宋体"/>
          <w:b/>
          <w:color w:val="auto"/>
          <w:sz w:val="32"/>
          <w:szCs w:val="32"/>
          <w:highlight w:val="none"/>
          <w:u w:val="none"/>
        </w:rPr>
        <w:t>磋商声明书</w:t>
      </w:r>
    </w:p>
    <w:p w14:paraId="3F1B9809">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u w:val="single"/>
        </w:rPr>
      </w:pPr>
      <w:r>
        <w:rPr>
          <w:rFonts w:hint="eastAsia" w:ascii="宋体" w:hAnsi="宋体" w:cs="宋体"/>
          <w:color w:val="auto"/>
          <w:szCs w:val="21"/>
          <w:highlight w:val="none"/>
          <w:u w:val="single"/>
          <w:lang w:eastAsia="zh-CN"/>
        </w:rPr>
        <w:t>台州市黄岩区发展和改革局</w:t>
      </w:r>
      <w:r>
        <w:rPr>
          <w:rFonts w:hint="eastAsia" w:ascii="宋体" w:hAnsi="宋体" w:eastAsia="宋体" w:cs="宋体"/>
          <w:color w:val="auto"/>
          <w:szCs w:val="21"/>
          <w:highlight w:val="none"/>
          <w:u w:val="single"/>
        </w:rPr>
        <w:t>、台州永安工程咨询有限公司：</w:t>
      </w:r>
    </w:p>
    <w:p w14:paraId="50EE0D86">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供应商名称 </w:t>
      </w:r>
      <w:r>
        <w:rPr>
          <w:rFonts w:hint="eastAsia" w:ascii="宋体" w:hAnsi="宋体" w:eastAsia="宋体" w:cs="宋体"/>
          <w:color w:val="auto"/>
          <w:szCs w:val="21"/>
          <w:highlight w:val="none"/>
        </w:rPr>
        <w:t>）系中华人民共和国合法企业，经营地址</w:t>
      </w:r>
      <w:r>
        <w:rPr>
          <w:rFonts w:hint="eastAsia" w:ascii="宋体" w:hAnsi="宋体" w:eastAsia="宋体" w:cs="宋体"/>
          <w:color w:val="auto"/>
          <w:kern w:val="0"/>
          <w:szCs w:val="21"/>
          <w:highlight w:val="none"/>
        </w:rPr>
        <w:t>。</w:t>
      </w:r>
    </w:p>
    <w:p w14:paraId="43D63E50">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w:t>
      </w:r>
      <w:r>
        <w:rPr>
          <w:rFonts w:hint="eastAsia" w:ascii="宋体" w:hAnsi="宋体" w:eastAsia="宋体" w:cs="宋体"/>
          <w:color w:val="auto"/>
          <w:kern w:val="0"/>
          <w:szCs w:val="21"/>
          <w:highlight w:val="none"/>
          <w:u w:val="single"/>
        </w:rPr>
        <w:t xml:space="preserve"> 姓名 </w:t>
      </w: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供应商名称 </w:t>
      </w:r>
      <w:r>
        <w:rPr>
          <w:rFonts w:hint="eastAsia" w:ascii="宋体" w:hAnsi="宋体" w:eastAsia="宋体" w:cs="宋体"/>
          <w:color w:val="auto"/>
          <w:kern w:val="0"/>
          <w:szCs w:val="21"/>
          <w:highlight w:val="none"/>
        </w:rPr>
        <w:t>）的法定代表人，我公司自愿参加贵方组织的</w:t>
      </w:r>
      <w:r>
        <w:rPr>
          <w:rFonts w:hint="eastAsia" w:ascii="宋体" w:hAnsi="宋体" w:cs="宋体"/>
          <w:color w:val="auto"/>
          <w:kern w:val="0"/>
          <w:szCs w:val="21"/>
          <w:highlight w:val="none"/>
          <w:u w:val="single"/>
          <w:lang w:eastAsia="zh-CN"/>
        </w:rPr>
        <w:t>黄岩区G104模塑产业走廊规划项目</w:t>
      </w:r>
      <w:r>
        <w:rPr>
          <w:rFonts w:hint="eastAsia" w:ascii="宋体" w:hAnsi="宋体" w:eastAsia="宋体" w:cs="宋体"/>
          <w:color w:val="auto"/>
          <w:kern w:val="0"/>
          <w:szCs w:val="21"/>
          <w:highlight w:val="none"/>
        </w:rPr>
        <w:t>（编号为</w:t>
      </w:r>
      <w:r>
        <w:rPr>
          <w:rFonts w:hint="eastAsia" w:ascii="宋体" w:hAnsi="宋体" w:cs="宋体"/>
          <w:color w:val="auto"/>
          <w:kern w:val="0"/>
          <w:szCs w:val="21"/>
          <w:highlight w:val="none"/>
          <w:lang w:eastAsia="zh-CN"/>
        </w:rPr>
        <w:t>tzya2024-hy28</w:t>
      </w:r>
      <w:r>
        <w:rPr>
          <w:rFonts w:hint="eastAsia" w:ascii="宋体" w:hAnsi="宋体" w:eastAsia="宋体" w:cs="宋体"/>
          <w:color w:val="auto"/>
          <w:kern w:val="0"/>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0A76F528">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1A0D6B6B">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Cs w:val="21"/>
          <w:highlight w:val="none"/>
        </w:rPr>
      </w:pPr>
    </w:p>
    <w:p w14:paraId="2498978B">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供应商名称(公章)：</w:t>
      </w:r>
    </w:p>
    <w:p w14:paraId="535ECFD9">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法定代表人或授权委托</w:t>
      </w:r>
      <w:r>
        <w:rPr>
          <w:rFonts w:hint="eastAsia" w:ascii="宋体" w:hAnsi="宋体" w:eastAsia="宋体" w:cs="宋体"/>
          <w:color w:val="auto"/>
          <w:kern w:val="0"/>
          <w:szCs w:val="21"/>
          <w:highlight w:val="none"/>
        </w:rPr>
        <w:t>代理</w:t>
      </w:r>
      <w:r>
        <w:rPr>
          <w:rFonts w:hint="eastAsia" w:ascii="宋体" w:hAnsi="宋体" w:eastAsia="宋体" w:cs="宋体"/>
          <w:color w:val="auto"/>
          <w:kern w:val="0"/>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Cs w:val="21"/>
          <w:highlight w:val="none"/>
          <w:lang w:val="zh-CN"/>
        </w:rPr>
        <w:t>：</w:t>
      </w:r>
    </w:p>
    <w:p w14:paraId="40DE682B">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日期：年  月   日</w:t>
      </w:r>
    </w:p>
    <w:p w14:paraId="0BE7002B">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517C8261">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06891A29">
      <w:pPr>
        <w:pStyle w:val="11"/>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r>
        <w:rPr>
          <w:rFonts w:hint="eastAsia" w:hAnsi="宋体" w:cs="宋体"/>
          <w:bCs/>
          <w:color w:val="auto"/>
          <w:szCs w:val="21"/>
          <w:highlight w:val="none"/>
          <w:u w:val="single"/>
          <w:lang w:eastAsia="zh-CN"/>
        </w:rPr>
        <w:t>台州市黄岩区发展和改革局</w:t>
      </w:r>
      <w:r>
        <w:rPr>
          <w:rFonts w:hint="eastAsia" w:ascii="宋体" w:hAnsi="宋体" w:eastAsia="宋体" w:cs="宋体"/>
          <w:bCs/>
          <w:color w:val="auto"/>
          <w:szCs w:val="21"/>
          <w:highlight w:val="none"/>
          <w:u w:val="single"/>
        </w:rPr>
        <w:t>、台州永安工程咨询有限公司：</w:t>
      </w:r>
    </w:p>
    <w:p w14:paraId="1C83DCCA">
      <w:pPr>
        <w:pStyle w:val="11"/>
        <w:keepNext w:val="0"/>
        <w:keepLines w:val="0"/>
        <w:pageBreakBefore w:val="0"/>
        <w:kinsoku/>
        <w:overflowPunct/>
        <w:topLinePunct w:val="0"/>
        <w:bidi w:val="0"/>
        <w:spacing w:line="360" w:lineRule="auto"/>
        <w:ind w:left="210" w:hanging="210" w:hanging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（供应商全称）  </w:t>
      </w:r>
      <w:r>
        <w:rPr>
          <w:rFonts w:hint="eastAsia" w:ascii="宋体" w:hAnsi="宋体" w:eastAsia="宋体" w:cs="宋体"/>
          <w:color w:val="auto"/>
          <w:szCs w:val="21"/>
          <w:highlight w:val="none"/>
        </w:rPr>
        <w:t>法定代表人（或营业执照中单位负责人）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（法定代表人或营业执照中单位负责人姓名） </w:t>
      </w:r>
      <w:r>
        <w:rPr>
          <w:rFonts w:hint="eastAsia" w:ascii="宋体" w:hAnsi="宋体" w:eastAsia="宋体" w:cs="宋体"/>
          <w:color w:val="auto"/>
          <w:szCs w:val="21"/>
          <w:highlight w:val="none"/>
        </w:rPr>
        <w:t>授权</w:t>
      </w:r>
      <w:r>
        <w:rPr>
          <w:rFonts w:hint="eastAsia" w:ascii="宋体" w:hAnsi="宋体" w:eastAsia="宋体" w:cs="宋体"/>
          <w:color w:val="auto"/>
          <w:szCs w:val="21"/>
          <w:highlight w:val="none"/>
          <w:u w:val="single"/>
        </w:rPr>
        <w:t xml:space="preserve">   （授权代表姓名） </w:t>
      </w:r>
      <w:r>
        <w:rPr>
          <w:rFonts w:hint="eastAsia" w:ascii="宋体" w:hAnsi="宋体" w:eastAsia="宋体" w:cs="宋体"/>
          <w:color w:val="auto"/>
          <w:szCs w:val="21"/>
          <w:highlight w:val="none"/>
        </w:rPr>
        <w:t>为授权委托代理人，参加贵单位组织的</w:t>
      </w:r>
      <w:r>
        <w:rPr>
          <w:rFonts w:hint="eastAsia" w:hAnsi="宋体" w:cs="宋体"/>
          <w:color w:val="auto"/>
          <w:szCs w:val="21"/>
          <w:highlight w:val="none"/>
          <w:u w:val="single"/>
          <w:lang w:eastAsia="zh-CN"/>
        </w:rPr>
        <w:t>黄岩区G104模塑产业走廊规划项目</w:t>
      </w:r>
      <w:r>
        <w:rPr>
          <w:rFonts w:hint="eastAsia" w:ascii="宋体" w:hAnsi="宋体" w:eastAsia="宋体" w:cs="宋体"/>
          <w:color w:val="auto"/>
          <w:szCs w:val="21"/>
          <w:highlight w:val="none"/>
          <w:u w:val="single"/>
        </w:rPr>
        <w:t>（编号为</w:t>
      </w:r>
      <w:r>
        <w:rPr>
          <w:rFonts w:hint="eastAsia" w:hAnsi="宋体" w:cs="宋体"/>
          <w:color w:val="auto"/>
          <w:szCs w:val="21"/>
          <w:highlight w:val="none"/>
          <w:u w:val="single"/>
          <w:lang w:eastAsia="zh-CN"/>
        </w:rPr>
        <w:t>tzya2024-hy28</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的采购活动，并代表我方全权办理针对上述项目的磋商、签约等具体事务和签署相关文件。我方对授权委托代理人的签字事项负全部责任。</w:t>
      </w:r>
    </w:p>
    <w:p w14:paraId="76492C9C">
      <w:pPr>
        <w:pStyle w:val="11"/>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在撤销授权的书面通知以前，本授权书一直有效。授权委托代理人在授权委托书有效期内签署的所有文件不因授权的撤销而失效。</w:t>
      </w:r>
    </w:p>
    <w:p w14:paraId="6032DC32">
      <w:pPr>
        <w:pStyle w:val="11"/>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授权委托代理人无转委托权，特此委托。</w:t>
      </w:r>
    </w:p>
    <w:p w14:paraId="5D109B7D">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p w14:paraId="41FBE23B">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p>
    <w:p w14:paraId="28305691">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供应商全称（公章）：                              </w:t>
      </w:r>
    </w:p>
    <w:p w14:paraId="620C2A83">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2F2C17FE">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p w14:paraId="71827BDD">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CD4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38C10DE">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p>
          <w:p w14:paraId="704FEBC3">
            <w:pPr>
              <w:keepNext w:val="0"/>
              <w:keepLines w:val="0"/>
              <w:pageBreakBefore w:val="0"/>
              <w:kinsoku/>
              <w:overflowPunct/>
              <w:topLinePunct w:val="0"/>
              <w:bidi w:val="0"/>
              <w:spacing w:line="360" w:lineRule="auto"/>
              <w:ind w:firstLine="316" w:firstLineChars="15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法定代表身份证复印件粘帖处</w:t>
            </w:r>
          </w:p>
        </w:tc>
      </w:tr>
    </w:tbl>
    <w:p w14:paraId="5D76F3C9">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法定代表人姓名：                                 </w:t>
      </w:r>
    </w:p>
    <w:p w14:paraId="6F63AFA1">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2B73DA24">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183E4A84">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p>
    <w:p w14:paraId="654B25DE">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002FC945">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B4B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9DE9339">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p>
          <w:p w14:paraId="58F9029D">
            <w:pPr>
              <w:keepNext w:val="0"/>
              <w:keepLines w:val="0"/>
              <w:pageBreakBefore w:val="0"/>
              <w:kinsoku/>
              <w:overflowPunct/>
              <w:topLinePunct w:val="0"/>
              <w:bidi w:val="0"/>
              <w:spacing w:line="360" w:lineRule="auto"/>
              <w:ind w:firstLine="316" w:firstLineChars="15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授权委托代理人身份证复印件粘帖处</w:t>
            </w:r>
          </w:p>
        </w:tc>
      </w:tr>
    </w:tbl>
    <w:p w14:paraId="1859A436">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授权委托代理人姓名：       </w:t>
      </w:r>
    </w:p>
    <w:p w14:paraId="31925DCC">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职务：                           </w:t>
      </w:r>
    </w:p>
    <w:p w14:paraId="2EC8DBE2">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55674524">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071E4F1D">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p>
    <w:p w14:paraId="33CCAF42">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3BA6AE7C">
      <w:pPr>
        <w:pStyle w:val="57"/>
        <w:keepNext w:val="0"/>
        <w:keepLines w:val="0"/>
        <w:pageBreakBefore w:val="0"/>
        <w:widowControl w:val="0"/>
        <w:kinsoku/>
        <w:overflowPunct/>
        <w:topLinePunct w:val="0"/>
        <w:bidi w:val="0"/>
        <w:snapToGrid w:val="0"/>
        <w:spacing w:line="360" w:lineRule="auto"/>
        <w:jc w:val="center"/>
        <w:outlineLvl w:val="9"/>
        <w:rPr>
          <w:rFonts w:hint="eastAsia" w:ascii="宋体" w:hAnsi="宋体" w:eastAsia="宋体" w:cs="宋体"/>
          <w:b/>
          <w:color w:val="auto"/>
          <w:kern w:val="2"/>
          <w:sz w:val="32"/>
          <w:szCs w:val="32"/>
          <w:highlight w:val="none"/>
        </w:rPr>
      </w:pPr>
      <w:r>
        <w:rPr>
          <w:rFonts w:hint="eastAsia" w:ascii="宋体" w:hAnsi="宋体" w:eastAsia="宋体" w:cs="宋体"/>
          <w:b/>
          <w:color w:val="auto"/>
          <w:kern w:val="2"/>
          <w:sz w:val="32"/>
          <w:szCs w:val="32"/>
          <w:highlight w:val="none"/>
        </w:rPr>
        <w:t>政府采购活动现场确认声明书</w:t>
      </w:r>
    </w:p>
    <w:p w14:paraId="47B5C1AD">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台州永安工程咨询有限公司</w:t>
      </w:r>
      <w:r>
        <w:rPr>
          <w:rFonts w:hint="eastAsia" w:ascii="宋体" w:hAnsi="宋体" w:eastAsia="宋体" w:cs="宋体"/>
          <w:color w:val="auto"/>
          <w:sz w:val="21"/>
          <w:szCs w:val="21"/>
          <w:highlight w:val="none"/>
        </w:rPr>
        <w:t>：</w:t>
      </w:r>
    </w:p>
    <w:p w14:paraId="34B1177E">
      <w:pPr>
        <w:pStyle w:val="57"/>
        <w:keepNext w:val="0"/>
        <w:keepLines w:val="0"/>
        <w:pageBreakBefore w:val="0"/>
        <w:widowControl w:val="0"/>
        <w:kinsoku/>
        <w:overflowPunct/>
        <w:topLinePunct w:val="0"/>
        <w:bidi w:val="0"/>
        <w:snapToGrid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z w:val="21"/>
          <w:szCs w:val="21"/>
          <w:highlight w:val="none"/>
          <w:u w:val="single"/>
        </w:rPr>
        <w:t xml:space="preserve">  （法定代表人姓名）   </w:t>
      </w:r>
      <w:r>
        <w:rPr>
          <w:rFonts w:hint="eastAsia" w:ascii="宋体" w:hAnsi="宋体" w:eastAsia="宋体" w:cs="宋体"/>
          <w:color w:val="auto"/>
          <w:sz w:val="21"/>
          <w:szCs w:val="21"/>
          <w:highlight w:val="none"/>
        </w:rPr>
        <w:t>合</w:t>
      </w:r>
      <w:r>
        <w:rPr>
          <w:rFonts w:hint="eastAsia" w:ascii="宋体" w:hAnsi="宋体" w:eastAsia="宋体" w:cs="宋体"/>
          <w:color w:val="auto"/>
          <w:spacing w:val="6"/>
          <w:sz w:val="21"/>
          <w:szCs w:val="21"/>
          <w:highlight w:val="none"/>
        </w:rPr>
        <w:t>法授权参加</w:t>
      </w:r>
      <w:r>
        <w:rPr>
          <w:rFonts w:hint="eastAsia" w:hAnsi="宋体" w:cs="宋体"/>
          <w:color w:val="auto"/>
          <w:spacing w:val="6"/>
          <w:sz w:val="21"/>
          <w:szCs w:val="21"/>
          <w:highlight w:val="none"/>
          <w:u w:val="single"/>
          <w:lang w:eastAsia="zh-CN"/>
        </w:rPr>
        <w:t>黄岩区G104模塑产业走廊规划项目</w:t>
      </w:r>
      <w:r>
        <w:rPr>
          <w:rFonts w:hint="eastAsia" w:ascii="宋体" w:hAnsi="宋体" w:eastAsia="宋体" w:cs="宋体"/>
          <w:color w:val="auto"/>
          <w:spacing w:val="6"/>
          <w:sz w:val="21"/>
          <w:szCs w:val="21"/>
          <w:highlight w:val="none"/>
        </w:rPr>
        <w:t>（编号：</w:t>
      </w:r>
      <w:r>
        <w:rPr>
          <w:rFonts w:hint="eastAsia" w:hAnsi="宋体" w:cs="宋体"/>
          <w:color w:val="auto"/>
          <w:spacing w:val="6"/>
          <w:sz w:val="21"/>
          <w:szCs w:val="21"/>
          <w:highlight w:val="none"/>
          <w:u w:val="single"/>
          <w:lang w:eastAsia="zh-CN"/>
        </w:rPr>
        <w:t>tzya2024-hy28</w:t>
      </w:r>
      <w:r>
        <w:rPr>
          <w:rFonts w:hint="eastAsia" w:ascii="宋体" w:hAnsi="宋体" w:eastAsia="宋体" w:cs="宋体"/>
          <w:color w:val="auto"/>
          <w:spacing w:val="6"/>
          <w:sz w:val="21"/>
          <w:szCs w:val="21"/>
          <w:highlight w:val="none"/>
        </w:rPr>
        <w:t xml:space="preserve">）政府采购活动，经与本单位法定代表人代表（负责人）联系确认，现就有关公平竞争事项郑重声明如下： </w:t>
      </w:r>
    </w:p>
    <w:p w14:paraId="2F9CBA1E">
      <w:pPr>
        <w:pStyle w:val="54"/>
        <w:keepNext w:val="0"/>
        <w:keepLines w:val="0"/>
        <w:pageBreakBefore w:val="0"/>
        <w:widowControl/>
        <w:tabs>
          <w:tab w:val="left" w:pos="630"/>
        </w:tabs>
        <w:kinsoku/>
        <w:overflowPunct/>
        <w:topLinePunct w:val="0"/>
        <w:bidi w:val="0"/>
        <w:snapToGrid w:val="0"/>
        <w:spacing w:line="360" w:lineRule="auto"/>
        <w:ind w:left="21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不存在利害关系 □存在下列利害关系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BC46C16">
      <w:pPr>
        <w:pStyle w:val="54"/>
        <w:keepNext w:val="0"/>
        <w:keepLines w:val="0"/>
        <w:pageBreakBefore w:val="0"/>
        <w:widowControl/>
        <w:kinsoku/>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A.投资关系    B.行政隶属关系    C.业务指导关系</w:t>
      </w:r>
    </w:p>
    <w:p w14:paraId="7E7FF146">
      <w:pPr>
        <w:pStyle w:val="54"/>
        <w:keepNext w:val="0"/>
        <w:keepLines w:val="0"/>
        <w:pageBreakBefore w:val="0"/>
        <w:widowControl/>
        <w:kinsoku/>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D.其他可能影响采购公正的利害关系</w:t>
      </w:r>
      <w:r>
        <w:rPr>
          <w:rFonts w:hint="eastAsia" w:ascii="宋体" w:hAnsi="宋体" w:eastAsia="宋体" w:cs="宋体"/>
          <w:color w:val="auto"/>
          <w:sz w:val="21"/>
          <w:szCs w:val="21"/>
          <w:highlight w:val="none"/>
          <w:u w:val="single"/>
        </w:rPr>
        <w:t xml:space="preserve">（如有，请如实说明）                 </w:t>
      </w:r>
      <w:r>
        <w:rPr>
          <w:rFonts w:hint="eastAsia" w:ascii="宋体" w:hAnsi="宋体" w:eastAsia="宋体" w:cs="宋体"/>
          <w:color w:val="auto"/>
          <w:sz w:val="21"/>
          <w:szCs w:val="21"/>
          <w:highlight w:val="none"/>
        </w:rPr>
        <w:t>。</w:t>
      </w:r>
    </w:p>
    <w:p w14:paraId="189A4D58">
      <w:pPr>
        <w:pStyle w:val="54"/>
        <w:keepNext w:val="0"/>
        <w:keepLines w:val="0"/>
        <w:pageBreakBefore w:val="0"/>
        <w:widowControl/>
        <w:kinsoku/>
        <w:overflowPunct/>
        <w:topLinePunct w:val="0"/>
        <w:bidi w:val="0"/>
        <w:snapToGrid w:val="0"/>
        <w:spacing w:line="360" w:lineRule="auto"/>
        <w:ind w:firstLine="222" w:firstLineChars="100"/>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与其他所有供应商之间均不存在利害关系 □与</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之间存在下列利害关系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A3527B3">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A.法定代表人或负责人或实际控制人是同一人</w:t>
      </w:r>
    </w:p>
    <w:p w14:paraId="22569F61">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B.法定代表人或负责人或实际控制人是夫妻关系</w:t>
      </w:r>
    </w:p>
    <w:p w14:paraId="0B586AC2">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C.法定代表人或负责人或实际控制人是直系血亲关系</w:t>
      </w:r>
    </w:p>
    <w:p w14:paraId="3EF8F8ED">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D.法定代表人或负责人或实际控制人存在三代以内旁系血亲关系</w:t>
      </w:r>
    </w:p>
    <w:p w14:paraId="0519F010">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E.法定代表人或负责人或实际控制人存在近姻亲关系</w:t>
      </w:r>
    </w:p>
    <w:p w14:paraId="2C944892">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F.法定代表人或负责人或实际控制人存在股份控制或实际控制关系</w:t>
      </w:r>
    </w:p>
    <w:p w14:paraId="21750A88">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G.存在共同直接或间接投资设立子公司、联营企业和合营企业情况</w:t>
      </w:r>
    </w:p>
    <w:p w14:paraId="6FF72E3C">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H.存在分级代理或代销关系、同一生产制造商关系、管理关系、重要业务（占主营业务收入50%以上）或重要财务往来关系（如融资）等其他实质性控制关系</w:t>
      </w:r>
    </w:p>
    <w:p w14:paraId="2F1474BA">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4A011BD">
      <w:pPr>
        <w:pStyle w:val="54"/>
        <w:keepNext w:val="0"/>
        <w:keepLines w:val="0"/>
        <w:pageBreakBefore w:val="0"/>
        <w:widowControl/>
        <w:kinsoku/>
        <w:overflowPunct/>
        <w:topLinePunct w:val="0"/>
        <w:bidi w:val="0"/>
        <w:snapToGrid w:val="0"/>
        <w:spacing w:line="360" w:lineRule="auto"/>
        <w:ind w:left="21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三、现已清楚知道并严格遵守政府采购法律法规和现场纪律。</w:t>
      </w:r>
    </w:p>
    <w:p w14:paraId="37C1F8D9">
      <w:pPr>
        <w:pStyle w:val="54"/>
        <w:keepNext w:val="0"/>
        <w:keepLines w:val="0"/>
        <w:pageBreakBefore w:val="0"/>
        <w:widowControl/>
        <w:kinsoku/>
        <w:overflowPunct/>
        <w:topLinePunct w:val="0"/>
        <w:bidi w:val="0"/>
        <w:snapToGrid w:val="0"/>
        <w:spacing w:line="360" w:lineRule="auto"/>
        <w:ind w:left="36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四、我发现</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rPr>
        <w:t xml:space="preserve"> /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供应商之间存在或可能存在上述第二条第</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项利害关系。</w:t>
      </w:r>
    </w:p>
    <w:p w14:paraId="26A3EC67">
      <w:pPr>
        <w:pStyle w:val="54"/>
        <w:keepNext w:val="0"/>
        <w:keepLines w:val="0"/>
        <w:pageBreakBefore w:val="0"/>
        <w:widowControl/>
        <w:kinsoku/>
        <w:overflowPunct/>
        <w:topLinePunct w:val="0"/>
        <w:bidi w:val="0"/>
        <w:snapToGrid w:val="0"/>
        <w:spacing w:line="360" w:lineRule="auto"/>
        <w:ind w:left="21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五、本单位若有违反诚信投标、采购法律法规等行为，愿意按照</w:t>
      </w:r>
      <w:r>
        <w:rPr>
          <w:rFonts w:hint="eastAsia" w:hAnsi="宋体" w:cs="宋体"/>
          <w:color w:val="auto"/>
          <w:sz w:val="21"/>
          <w:szCs w:val="21"/>
          <w:highlight w:val="none"/>
          <w:lang w:eastAsia="zh-CN"/>
        </w:rPr>
        <w:t>采购文件</w:t>
      </w:r>
      <w:r>
        <w:rPr>
          <w:rFonts w:hint="eastAsia" w:ascii="宋体" w:hAnsi="宋体" w:eastAsia="宋体" w:cs="宋体"/>
          <w:color w:val="auto"/>
          <w:sz w:val="21"/>
          <w:szCs w:val="21"/>
          <w:highlight w:val="none"/>
        </w:rPr>
        <w:t>规定接受投标担保的处理。如已中标，自动放弃中标资格；给招标人造成损失的，依法承担赔偿责任。</w:t>
      </w:r>
    </w:p>
    <w:p w14:paraId="6403E100">
      <w:pPr>
        <w:pStyle w:val="57"/>
        <w:keepNext w:val="0"/>
        <w:keepLines w:val="0"/>
        <w:pageBreakBefore w:val="0"/>
        <w:widowControl w:val="0"/>
        <w:kinsoku/>
        <w:overflowPunct/>
        <w:topLinePunct w:val="0"/>
        <w:bidi w:val="0"/>
        <w:snapToGrid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6EB5EC8C">
      <w:pPr>
        <w:pStyle w:val="57"/>
        <w:keepNext w:val="0"/>
        <w:keepLines w:val="0"/>
        <w:pageBreakBefore w:val="0"/>
        <w:widowControl w:val="0"/>
        <w:kinsoku/>
        <w:overflowPunct/>
        <w:topLinePunct w:val="0"/>
        <w:bidi w:val="0"/>
        <w:snapToGrid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7273E6F7">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607CF6A0">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394405E6">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78BDA504">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0A448461">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3062315E">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EE42695">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49A595C3">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2D61CB2C">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442C66E1">
      <w:pPr>
        <w:pStyle w:val="19"/>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630D2915">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5A3E90C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9F975A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393156B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385F1D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54ED8C3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8CC4E33">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0FB06523">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B3FE26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0C6F4CFD">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2C4A975B">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7CAA5BE3">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7865C33B">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4DE11D14">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0FE10B0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评标索引：自评表（附件5）</w:t>
      </w:r>
    </w:p>
    <w:p w14:paraId="6DECCE7A">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218AA23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1、供应商基本情况表（附件6）</w:t>
      </w:r>
    </w:p>
    <w:p w14:paraId="3E55BE7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5BA5957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3、项目实施人员一览表（附件7）；</w:t>
      </w:r>
    </w:p>
    <w:p w14:paraId="1F93B19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4、项目负责人资格情况表(附件8)；</w:t>
      </w:r>
    </w:p>
    <w:p w14:paraId="6F4F478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5、商务及技术响应表（附件9）</w:t>
      </w:r>
    </w:p>
    <w:p w14:paraId="772FF51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6、企业证书一览表（附件10）；</w:t>
      </w:r>
    </w:p>
    <w:p w14:paraId="161BE8F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7、类似项目实施情况一览表（附件11）</w:t>
      </w:r>
    </w:p>
    <w:p w14:paraId="31033B5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
          <w:bCs/>
          <w:color w:val="auto"/>
          <w:sz w:val="32"/>
          <w:szCs w:val="32"/>
          <w:highlight w:val="none"/>
          <w:lang w:val="zh-CN"/>
        </w:rPr>
      </w:pPr>
      <w:r>
        <w:rPr>
          <w:rFonts w:hint="eastAsia" w:ascii="宋体" w:hAnsi="宋体" w:eastAsia="宋体" w:cs="宋体"/>
          <w:bCs/>
          <w:color w:val="auto"/>
          <w:sz w:val="24"/>
          <w:highlight w:val="none"/>
          <w:lang w:val="en-US" w:eastAsia="zh-CN"/>
        </w:rPr>
        <w:t>8、售后服务措施及承诺（可视情选用附件12）；</w:t>
      </w:r>
    </w:p>
    <w:p w14:paraId="666A6590">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21BF900E">
      <w:pPr>
        <w:pStyle w:val="42"/>
        <w:keepNext w:val="0"/>
        <w:keepLines w:val="0"/>
        <w:pageBreakBefore w:val="0"/>
        <w:shd w:val="clear" w:color="auto" w:fill="FFFFFF"/>
        <w:kinsoku/>
        <w:overflowPunct/>
        <w:topLinePunct w:val="0"/>
        <w:bidi w:val="0"/>
        <w:spacing w:before="0" w:beforeAutospacing="0" w:after="0" w:afterAutospacing="0"/>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附件5</w:t>
      </w:r>
    </w:p>
    <w:p w14:paraId="6873EAE8">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评标索引：自评表</w:t>
      </w:r>
    </w:p>
    <w:tbl>
      <w:tblPr>
        <w:tblStyle w:val="22"/>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290"/>
        <w:gridCol w:w="5817"/>
        <w:gridCol w:w="648"/>
        <w:gridCol w:w="648"/>
        <w:gridCol w:w="648"/>
      </w:tblGrid>
      <w:tr w14:paraId="18CF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373" w:type="dxa"/>
            <w:gridSpan w:val="2"/>
            <w:vAlign w:val="center"/>
          </w:tcPr>
          <w:p w14:paraId="19A613FF">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5817" w:type="dxa"/>
            <w:vAlign w:val="center"/>
          </w:tcPr>
          <w:p w14:paraId="5716BE4C">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48" w:type="dxa"/>
            <w:vAlign w:val="center"/>
          </w:tcPr>
          <w:p w14:paraId="59181C01">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48" w:type="dxa"/>
            <w:vAlign w:val="center"/>
          </w:tcPr>
          <w:p w14:paraId="400167A2">
            <w:pPr>
              <w:adjustRightInd w:val="0"/>
              <w:snapToGrid w:val="0"/>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648" w:type="dxa"/>
            <w:vAlign w:val="center"/>
          </w:tcPr>
          <w:p w14:paraId="10168232">
            <w:pPr>
              <w:adjustRightInd w:val="0"/>
              <w:snapToGrid w:val="0"/>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bookmarkStart w:id="2" w:name="_GoBack"/>
            <w:bookmarkEnd w:id="2"/>
          </w:p>
        </w:tc>
      </w:tr>
      <w:tr w14:paraId="3FA0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restart"/>
            <w:vAlign w:val="center"/>
          </w:tcPr>
          <w:p w14:paraId="6B5107BA">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14:paraId="076D010D">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分）</w:t>
            </w:r>
          </w:p>
        </w:tc>
        <w:tc>
          <w:tcPr>
            <w:tcW w:w="1290" w:type="dxa"/>
            <w:vAlign w:val="center"/>
          </w:tcPr>
          <w:p w14:paraId="110B0569">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承接经验</w:t>
            </w:r>
          </w:p>
        </w:tc>
        <w:tc>
          <w:tcPr>
            <w:tcW w:w="5817" w:type="dxa"/>
            <w:vAlign w:val="center"/>
          </w:tcPr>
          <w:p w14:paraId="0A2BD9ED">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投标人自2019年1月1日以来</w:t>
            </w:r>
            <w:r>
              <w:rPr>
                <w:rFonts w:hint="eastAsia" w:ascii="宋体" w:hAnsi="宋体" w:eastAsia="宋体" w:cs="宋体"/>
                <w:color w:val="auto"/>
                <w:kern w:val="0"/>
                <w:sz w:val="21"/>
                <w:szCs w:val="21"/>
                <w:highlight w:val="none"/>
                <w:lang w:val="zh-CN"/>
              </w:rPr>
              <w:t>（以合同签订时间为准），</w:t>
            </w:r>
            <w:r>
              <w:rPr>
                <w:rFonts w:hint="eastAsia" w:ascii="宋体" w:hAnsi="宋体" w:eastAsia="宋体" w:cs="宋体"/>
                <w:color w:val="auto"/>
                <w:kern w:val="0"/>
                <w:sz w:val="21"/>
                <w:szCs w:val="21"/>
                <w:highlight w:val="none"/>
              </w:rPr>
              <w:t>承接过产业类规划研究类似项目</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rPr>
              <w:t>，每提供一个合同得</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val="en-US" w:eastAsia="zh-CN"/>
              </w:rPr>
              <w:t>最高得2</w:t>
            </w:r>
            <w:r>
              <w:rPr>
                <w:rFonts w:hint="eastAsia" w:ascii="宋体" w:hAnsi="宋体" w:eastAsia="宋体" w:cs="宋体"/>
                <w:color w:val="auto"/>
                <w:kern w:val="0"/>
                <w:sz w:val="21"/>
                <w:szCs w:val="21"/>
                <w:highlight w:val="none"/>
              </w:rPr>
              <w:t>分。</w:t>
            </w:r>
          </w:p>
          <w:p w14:paraId="1BB64E30">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（须提供有效的合同</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件加盖投标人公章编入投标文件中，未提供的不得分）</w:t>
            </w:r>
          </w:p>
        </w:tc>
        <w:tc>
          <w:tcPr>
            <w:tcW w:w="648" w:type="dxa"/>
            <w:vAlign w:val="center"/>
          </w:tcPr>
          <w:p w14:paraId="5B7B48C8">
            <w:pPr>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648" w:type="dxa"/>
            <w:vAlign w:val="center"/>
          </w:tcPr>
          <w:p w14:paraId="05277675">
            <w:pPr>
              <w:snapToGrid w:val="0"/>
              <w:spacing w:line="240" w:lineRule="auto"/>
              <w:jc w:val="center"/>
              <w:rPr>
                <w:rFonts w:hint="eastAsia" w:ascii="宋体" w:hAnsi="宋体" w:eastAsia="宋体" w:cs="宋体"/>
                <w:color w:val="auto"/>
                <w:sz w:val="21"/>
                <w:szCs w:val="21"/>
                <w:highlight w:val="none"/>
                <w:lang w:val="en-US" w:eastAsia="zh-CN"/>
              </w:rPr>
            </w:pPr>
          </w:p>
        </w:tc>
        <w:tc>
          <w:tcPr>
            <w:tcW w:w="648" w:type="dxa"/>
            <w:vAlign w:val="center"/>
          </w:tcPr>
          <w:p w14:paraId="12C7803D">
            <w:pPr>
              <w:snapToGrid w:val="0"/>
              <w:spacing w:line="240" w:lineRule="auto"/>
              <w:jc w:val="center"/>
              <w:rPr>
                <w:rFonts w:hint="eastAsia" w:ascii="宋体" w:hAnsi="宋体" w:eastAsia="宋体" w:cs="宋体"/>
                <w:color w:val="auto"/>
                <w:sz w:val="21"/>
                <w:szCs w:val="21"/>
                <w:highlight w:val="none"/>
                <w:lang w:val="en-US" w:eastAsia="zh-CN"/>
              </w:rPr>
            </w:pPr>
          </w:p>
        </w:tc>
      </w:tr>
      <w:tr w14:paraId="4D5B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6DE743B0">
            <w:pPr>
              <w:adjustRightInd w:val="0"/>
              <w:snapToGrid w:val="0"/>
              <w:spacing w:line="240" w:lineRule="auto"/>
              <w:jc w:val="center"/>
              <w:rPr>
                <w:rFonts w:hint="eastAsia" w:ascii="宋体" w:hAnsi="宋体" w:eastAsia="宋体" w:cs="宋体"/>
                <w:color w:val="auto"/>
                <w:sz w:val="21"/>
                <w:szCs w:val="21"/>
                <w:highlight w:val="none"/>
              </w:rPr>
            </w:pPr>
          </w:p>
        </w:tc>
        <w:tc>
          <w:tcPr>
            <w:tcW w:w="1290" w:type="dxa"/>
            <w:vAlign w:val="center"/>
          </w:tcPr>
          <w:p w14:paraId="6CB189E9">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企业实力</w:t>
            </w:r>
          </w:p>
        </w:tc>
        <w:tc>
          <w:tcPr>
            <w:tcW w:w="5817" w:type="dxa"/>
            <w:vAlign w:val="center"/>
          </w:tcPr>
          <w:p w14:paraId="6F73500E">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根据投标人企业履约能力、服务能力、企业信誉等进行打分。</w:t>
            </w:r>
          </w:p>
          <w:p w14:paraId="5EE212F6">
            <w:pPr>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highlight w:val="none"/>
              </w:rPr>
              <w:t>一档得3分；二档得2分；三档得1分；未提及此项不得分。</w:t>
            </w:r>
          </w:p>
        </w:tc>
        <w:tc>
          <w:tcPr>
            <w:tcW w:w="648" w:type="dxa"/>
            <w:vAlign w:val="center"/>
          </w:tcPr>
          <w:p w14:paraId="5F1E1D42">
            <w:pPr>
              <w:pStyle w:val="11"/>
              <w:spacing w:line="240" w:lineRule="auto"/>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w:t>
            </w:r>
          </w:p>
        </w:tc>
        <w:tc>
          <w:tcPr>
            <w:tcW w:w="648" w:type="dxa"/>
            <w:vAlign w:val="center"/>
          </w:tcPr>
          <w:p w14:paraId="16A22836">
            <w:pPr>
              <w:pStyle w:val="11"/>
              <w:spacing w:line="240" w:lineRule="auto"/>
              <w:jc w:val="center"/>
              <w:rPr>
                <w:rFonts w:hint="eastAsia" w:hAnsi="宋体" w:cs="宋体"/>
                <w:color w:val="auto"/>
                <w:sz w:val="21"/>
                <w:szCs w:val="21"/>
                <w:highlight w:val="none"/>
                <w:lang w:val="en-US" w:eastAsia="zh-CN"/>
              </w:rPr>
            </w:pPr>
          </w:p>
        </w:tc>
        <w:tc>
          <w:tcPr>
            <w:tcW w:w="648" w:type="dxa"/>
            <w:vAlign w:val="center"/>
          </w:tcPr>
          <w:p w14:paraId="22B9A478">
            <w:pPr>
              <w:pStyle w:val="11"/>
              <w:spacing w:line="240" w:lineRule="auto"/>
              <w:jc w:val="center"/>
              <w:rPr>
                <w:rFonts w:hint="eastAsia" w:hAnsi="宋体" w:cs="宋体"/>
                <w:color w:val="auto"/>
                <w:sz w:val="21"/>
                <w:szCs w:val="21"/>
                <w:highlight w:val="none"/>
                <w:lang w:val="en-US" w:eastAsia="zh-CN"/>
              </w:rPr>
            </w:pPr>
          </w:p>
        </w:tc>
      </w:tr>
      <w:tr w14:paraId="23AB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3F550746">
            <w:pPr>
              <w:adjustRightInd w:val="0"/>
              <w:snapToGrid w:val="0"/>
              <w:spacing w:line="240" w:lineRule="auto"/>
              <w:jc w:val="center"/>
              <w:rPr>
                <w:rFonts w:hint="eastAsia" w:ascii="宋体" w:hAnsi="宋体" w:eastAsia="宋体" w:cs="宋体"/>
                <w:color w:val="auto"/>
                <w:sz w:val="21"/>
                <w:szCs w:val="21"/>
                <w:highlight w:val="none"/>
              </w:rPr>
            </w:pPr>
          </w:p>
        </w:tc>
        <w:tc>
          <w:tcPr>
            <w:tcW w:w="1290" w:type="dxa"/>
            <w:vAlign w:val="center"/>
          </w:tcPr>
          <w:p w14:paraId="22DEC3E3">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荣誉情况</w:t>
            </w:r>
          </w:p>
        </w:tc>
        <w:tc>
          <w:tcPr>
            <w:tcW w:w="5817" w:type="dxa"/>
            <w:vAlign w:val="center"/>
          </w:tcPr>
          <w:p w14:paraId="10B8E6FD">
            <w:pPr>
              <w:spacing w:line="240" w:lineRule="auto"/>
              <w:jc w:val="left"/>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z w:val="21"/>
                <w:szCs w:val="21"/>
                <w:highlight w:val="none"/>
              </w:rPr>
              <w:t>投标人自2019年1月1日</w:t>
            </w:r>
            <w:r>
              <w:rPr>
                <w:rFonts w:hint="eastAsia" w:ascii="宋体" w:hAnsi="宋体" w:eastAsia="宋体" w:cs="宋体"/>
                <w:color w:val="auto"/>
                <w:sz w:val="21"/>
                <w:szCs w:val="21"/>
                <w:highlight w:val="none"/>
                <w:lang w:val="en-US" w:eastAsia="zh-CN"/>
              </w:rPr>
              <w:t>以来</w:t>
            </w:r>
            <w:r>
              <w:rPr>
                <w:rFonts w:hint="eastAsia" w:ascii="宋体" w:hAnsi="宋体" w:eastAsia="宋体" w:cs="宋体"/>
                <w:color w:val="auto"/>
                <w:kern w:val="0"/>
                <w:sz w:val="21"/>
                <w:szCs w:val="21"/>
                <w:highlight w:val="none"/>
                <w:lang w:val="zh-CN"/>
              </w:rPr>
              <w:t>（以</w:t>
            </w:r>
            <w:r>
              <w:rPr>
                <w:rFonts w:hint="eastAsia" w:ascii="宋体" w:hAnsi="宋体" w:eastAsia="宋体" w:cs="宋体"/>
                <w:color w:val="auto"/>
                <w:kern w:val="0"/>
                <w:sz w:val="21"/>
                <w:szCs w:val="21"/>
                <w:highlight w:val="none"/>
                <w:lang w:val="en-US" w:eastAsia="zh-CN"/>
              </w:rPr>
              <w:t>获奖</w:t>
            </w:r>
            <w:r>
              <w:rPr>
                <w:rFonts w:hint="eastAsia" w:ascii="宋体" w:hAnsi="宋体" w:eastAsia="宋体" w:cs="宋体"/>
                <w:color w:val="auto"/>
                <w:kern w:val="0"/>
                <w:sz w:val="21"/>
                <w:szCs w:val="21"/>
                <w:highlight w:val="none"/>
                <w:lang w:val="zh-CN"/>
              </w:rPr>
              <w:t>时间为准），</w:t>
            </w:r>
            <w:r>
              <w:rPr>
                <w:rFonts w:hint="eastAsia" w:ascii="宋体" w:hAnsi="宋体" w:eastAsia="宋体" w:cs="宋体"/>
                <w:color w:val="auto"/>
                <w:sz w:val="21"/>
                <w:szCs w:val="21"/>
                <w:highlight w:val="none"/>
              </w:rPr>
              <w:t>参与</w:t>
            </w:r>
            <w:r>
              <w:rPr>
                <w:rFonts w:hint="eastAsia" w:ascii="宋体" w:hAnsi="宋体" w:eastAsia="宋体" w:cs="宋体"/>
                <w:color w:val="auto"/>
                <w:sz w:val="21"/>
                <w:szCs w:val="21"/>
                <w:highlight w:val="none"/>
                <w:lang w:val="en-US" w:eastAsia="zh-CN"/>
              </w:rPr>
              <w:t>过</w:t>
            </w:r>
            <w:r>
              <w:rPr>
                <w:rFonts w:hint="eastAsia" w:ascii="宋体" w:hAnsi="宋体" w:eastAsia="宋体" w:cs="宋体"/>
                <w:color w:val="auto"/>
                <w:sz w:val="21"/>
                <w:szCs w:val="21"/>
                <w:highlight w:val="none"/>
              </w:rPr>
              <w:t>省级及以上重大战略谋划并获得奖项的</w:t>
            </w:r>
            <w:r>
              <w:rPr>
                <w:rFonts w:hint="eastAsia" w:ascii="宋体" w:hAnsi="宋体" w:eastAsia="宋体" w:cs="宋体"/>
                <w:color w:val="auto"/>
                <w:spacing w:val="-4"/>
                <w:sz w:val="21"/>
                <w:szCs w:val="21"/>
                <w:highlight w:val="none"/>
                <w:lang w:val="en-US" w:eastAsia="zh-CN"/>
              </w:rPr>
              <w:t>得2分</w:t>
            </w:r>
            <w:r>
              <w:rPr>
                <w:rFonts w:hint="eastAsia" w:ascii="宋体" w:hAnsi="宋体" w:eastAsia="宋体" w:cs="宋体"/>
                <w:color w:val="auto"/>
                <w:sz w:val="21"/>
                <w:szCs w:val="21"/>
                <w:highlight w:val="none"/>
              </w:rPr>
              <w:t>，其他不得分</w:t>
            </w:r>
            <w:r>
              <w:rPr>
                <w:rFonts w:hint="eastAsia" w:ascii="宋体" w:hAnsi="宋体" w:eastAsia="宋体" w:cs="宋体"/>
                <w:color w:val="auto"/>
                <w:spacing w:val="-4"/>
                <w:sz w:val="21"/>
                <w:szCs w:val="21"/>
                <w:highlight w:val="none"/>
                <w:lang w:val="en-US" w:eastAsia="zh-CN"/>
              </w:rPr>
              <w:t>。</w:t>
            </w:r>
          </w:p>
          <w:p w14:paraId="0DAA53BA">
            <w:pPr>
              <w:spacing w:line="24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（须提供有效的</w:t>
            </w:r>
            <w:r>
              <w:rPr>
                <w:rFonts w:hint="eastAsia" w:ascii="宋体" w:hAnsi="宋体" w:eastAsia="宋体" w:cs="宋体"/>
                <w:b/>
                <w:bCs/>
                <w:color w:val="auto"/>
                <w:sz w:val="21"/>
                <w:szCs w:val="21"/>
                <w:highlight w:val="none"/>
                <w:lang w:val="en-US" w:eastAsia="zh-CN"/>
              </w:rPr>
              <w:t>证明材料</w:t>
            </w:r>
            <w:r>
              <w:rPr>
                <w:rFonts w:hint="eastAsia" w:ascii="宋体" w:hAnsi="宋体" w:eastAsia="宋体" w:cs="宋体"/>
                <w:b/>
                <w:bCs/>
                <w:color w:val="auto"/>
                <w:sz w:val="21"/>
                <w:szCs w:val="21"/>
                <w:highlight w:val="none"/>
              </w:rPr>
              <w:t>扫描件加盖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公章编入投标文件中，未提供的不得分）</w:t>
            </w:r>
          </w:p>
        </w:tc>
        <w:tc>
          <w:tcPr>
            <w:tcW w:w="648" w:type="dxa"/>
            <w:vAlign w:val="center"/>
          </w:tcPr>
          <w:p w14:paraId="332B42EA">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648" w:type="dxa"/>
            <w:vAlign w:val="center"/>
          </w:tcPr>
          <w:p w14:paraId="42D4DB21">
            <w:pPr>
              <w:spacing w:line="240" w:lineRule="auto"/>
              <w:jc w:val="center"/>
              <w:rPr>
                <w:rFonts w:hint="eastAsia" w:ascii="宋体" w:hAnsi="宋体" w:eastAsia="宋体" w:cs="宋体"/>
                <w:color w:val="auto"/>
                <w:sz w:val="21"/>
                <w:szCs w:val="21"/>
                <w:highlight w:val="none"/>
                <w:lang w:val="en-US" w:eastAsia="zh-CN"/>
              </w:rPr>
            </w:pPr>
          </w:p>
        </w:tc>
        <w:tc>
          <w:tcPr>
            <w:tcW w:w="648" w:type="dxa"/>
            <w:vAlign w:val="center"/>
          </w:tcPr>
          <w:p w14:paraId="183E3A9D">
            <w:pPr>
              <w:spacing w:line="240" w:lineRule="auto"/>
              <w:jc w:val="center"/>
              <w:rPr>
                <w:rFonts w:hint="eastAsia" w:ascii="宋体" w:hAnsi="宋体" w:eastAsia="宋体" w:cs="宋体"/>
                <w:color w:val="auto"/>
                <w:sz w:val="21"/>
                <w:szCs w:val="21"/>
                <w:highlight w:val="none"/>
                <w:lang w:val="en-US" w:eastAsia="zh-CN"/>
              </w:rPr>
            </w:pPr>
          </w:p>
        </w:tc>
      </w:tr>
      <w:tr w14:paraId="1045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50F7CE4E">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90" w:type="dxa"/>
            <w:vAlign w:val="center"/>
          </w:tcPr>
          <w:p w14:paraId="31BEB824">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p>
        </w:tc>
        <w:tc>
          <w:tcPr>
            <w:tcW w:w="5817" w:type="dxa"/>
            <w:vAlign w:val="center"/>
          </w:tcPr>
          <w:p w14:paraId="75B9437C">
            <w:pPr>
              <w:adjustRightInd w:val="0"/>
              <w:snapToGrid w:val="0"/>
              <w:spacing w:line="24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1、项目负责人</w:t>
            </w:r>
            <w:r>
              <w:rPr>
                <w:rFonts w:hint="eastAsia" w:ascii="宋体" w:hAnsi="宋体" w:eastAsia="宋体" w:cs="宋体"/>
                <w:bCs/>
                <w:color w:val="auto"/>
                <w:sz w:val="21"/>
                <w:szCs w:val="21"/>
                <w:highlight w:val="none"/>
                <w:lang w:val="en-US" w:eastAsia="zh-CN"/>
              </w:rPr>
              <w:t>具有</w:t>
            </w:r>
            <w:r>
              <w:rPr>
                <w:rFonts w:hint="eastAsia" w:ascii="宋体" w:hAnsi="宋体" w:eastAsia="宋体" w:cs="宋体"/>
                <w:color w:val="auto"/>
                <w:highlight w:val="none"/>
              </w:rPr>
              <w:t>经济学</w:t>
            </w:r>
            <w:r>
              <w:rPr>
                <w:rFonts w:hint="eastAsia" w:ascii="宋体" w:hAnsi="宋体" w:cs="宋体"/>
                <w:color w:val="auto"/>
                <w:highlight w:val="none"/>
                <w:lang w:val="en-US" w:eastAsia="zh-CN"/>
              </w:rPr>
              <w:t>或</w:t>
            </w:r>
            <w:r>
              <w:rPr>
                <w:rFonts w:hint="eastAsia" w:ascii="宋体" w:hAnsi="宋体" w:eastAsia="宋体" w:cs="宋体"/>
                <w:color w:val="auto"/>
                <w:highlight w:val="none"/>
              </w:rPr>
              <w:t>管理学</w:t>
            </w:r>
            <w:r>
              <w:rPr>
                <w:rFonts w:hint="eastAsia" w:ascii="宋体" w:hAnsi="宋体" w:cs="宋体"/>
                <w:color w:val="auto"/>
                <w:highlight w:val="none"/>
                <w:lang w:val="en-US" w:eastAsia="zh-CN"/>
              </w:rPr>
              <w:t>或</w:t>
            </w:r>
            <w:r>
              <w:rPr>
                <w:rFonts w:hint="eastAsia" w:ascii="宋体" w:hAnsi="宋体" w:eastAsia="宋体" w:cs="宋体"/>
                <w:color w:val="auto"/>
                <w:highlight w:val="none"/>
              </w:rPr>
              <w:t>工学</w:t>
            </w:r>
            <w:r>
              <w:rPr>
                <w:rFonts w:hint="eastAsia" w:ascii="宋体" w:hAnsi="宋体" w:cs="宋体"/>
                <w:color w:val="auto"/>
                <w:highlight w:val="none"/>
                <w:lang w:val="en-US" w:eastAsia="zh-CN"/>
              </w:rPr>
              <w:t>或</w:t>
            </w:r>
            <w:r>
              <w:rPr>
                <w:rFonts w:hint="eastAsia" w:ascii="宋体" w:hAnsi="宋体" w:eastAsia="宋体" w:cs="宋体"/>
                <w:color w:val="auto"/>
                <w:highlight w:val="none"/>
              </w:rPr>
              <w:t>城乡规划学</w:t>
            </w:r>
            <w:r>
              <w:rPr>
                <w:rFonts w:hint="eastAsia" w:ascii="宋体" w:hAnsi="宋体" w:cs="宋体"/>
                <w:color w:val="auto"/>
                <w:highlight w:val="none"/>
                <w:lang w:val="en-US" w:eastAsia="zh-CN"/>
              </w:rPr>
              <w:t>等相关</w:t>
            </w:r>
            <w:r>
              <w:rPr>
                <w:rFonts w:hint="eastAsia" w:ascii="宋体" w:hAnsi="宋体" w:eastAsia="宋体" w:cs="宋体"/>
                <w:bCs/>
                <w:color w:val="auto"/>
                <w:sz w:val="21"/>
                <w:szCs w:val="21"/>
                <w:highlight w:val="none"/>
                <w:lang w:val="en-US" w:eastAsia="zh-CN"/>
              </w:rPr>
              <w:t>专业高级工程师及以上职称</w:t>
            </w:r>
            <w:r>
              <w:rPr>
                <w:rFonts w:hint="eastAsia" w:ascii="宋体" w:hAnsi="宋体" w:eastAsia="宋体" w:cs="宋体"/>
                <w:bCs/>
                <w:color w:val="auto"/>
                <w:sz w:val="21"/>
                <w:szCs w:val="21"/>
                <w:highlight w:val="none"/>
              </w:rPr>
              <w:t>的得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其他不得分。</w:t>
            </w:r>
          </w:p>
          <w:p w14:paraId="32B53485">
            <w:pPr>
              <w:adjustRightInd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2、项目负责人拥有</w:t>
            </w:r>
            <w:r>
              <w:rPr>
                <w:rFonts w:hint="eastAsia" w:ascii="宋体" w:hAnsi="宋体" w:eastAsia="宋体" w:cs="宋体"/>
                <w:bCs/>
                <w:color w:val="auto"/>
                <w:sz w:val="21"/>
                <w:szCs w:val="21"/>
                <w:highlight w:val="none"/>
                <w:lang w:val="en-US" w:eastAsia="zh-CN"/>
              </w:rPr>
              <w:t>注册</w:t>
            </w:r>
            <w:r>
              <w:rPr>
                <w:rFonts w:hint="eastAsia" w:ascii="宋体" w:hAnsi="宋体" w:eastAsia="宋体" w:cs="宋体"/>
                <w:bCs/>
                <w:color w:val="auto"/>
                <w:sz w:val="21"/>
                <w:szCs w:val="21"/>
                <w:highlight w:val="none"/>
              </w:rPr>
              <w:t>咨询工程师（投资）证书或注册城乡规划师证书的得2分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其他不得分</w:t>
            </w:r>
            <w:r>
              <w:rPr>
                <w:rFonts w:hint="eastAsia" w:ascii="宋体" w:hAnsi="宋体" w:eastAsia="宋体" w:cs="宋体"/>
                <w:bCs/>
                <w:color w:val="auto"/>
                <w:sz w:val="21"/>
                <w:szCs w:val="21"/>
                <w:highlight w:val="none"/>
              </w:rPr>
              <w:t>。</w:t>
            </w:r>
          </w:p>
          <w:p w14:paraId="23836587">
            <w:pPr>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（须提供在有效期内的相关证书</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件及投标截止时间前的社保缴费证明并加盖投标人公章编入投标文件中，未提供或提供不全的不得分）</w:t>
            </w:r>
          </w:p>
        </w:tc>
        <w:tc>
          <w:tcPr>
            <w:tcW w:w="648" w:type="dxa"/>
            <w:vAlign w:val="center"/>
          </w:tcPr>
          <w:p w14:paraId="191C54DC">
            <w:pPr>
              <w:spacing w:line="240" w:lineRule="auto"/>
              <w:jc w:val="center"/>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lang w:val="en-US" w:eastAsia="zh-CN"/>
              </w:rPr>
              <w:t>6</w:t>
            </w:r>
          </w:p>
        </w:tc>
        <w:tc>
          <w:tcPr>
            <w:tcW w:w="648" w:type="dxa"/>
            <w:vAlign w:val="center"/>
          </w:tcPr>
          <w:p w14:paraId="19FA4FDF">
            <w:pPr>
              <w:spacing w:line="240" w:lineRule="auto"/>
              <w:jc w:val="center"/>
              <w:rPr>
                <w:rFonts w:hint="eastAsia" w:ascii="宋体" w:hAnsi="宋体" w:eastAsia="宋体" w:cs="宋体"/>
                <w:color w:val="auto"/>
                <w:spacing w:val="-4"/>
                <w:sz w:val="21"/>
                <w:szCs w:val="21"/>
                <w:highlight w:val="none"/>
                <w:lang w:val="en-US" w:eastAsia="zh-CN"/>
              </w:rPr>
            </w:pPr>
          </w:p>
        </w:tc>
        <w:tc>
          <w:tcPr>
            <w:tcW w:w="648" w:type="dxa"/>
            <w:vAlign w:val="center"/>
          </w:tcPr>
          <w:p w14:paraId="2608B22A">
            <w:pPr>
              <w:spacing w:line="240" w:lineRule="auto"/>
              <w:jc w:val="center"/>
              <w:rPr>
                <w:rFonts w:hint="eastAsia" w:ascii="宋体" w:hAnsi="宋体" w:eastAsia="宋体" w:cs="宋体"/>
                <w:color w:val="auto"/>
                <w:spacing w:val="-4"/>
                <w:sz w:val="21"/>
                <w:szCs w:val="21"/>
                <w:highlight w:val="none"/>
                <w:lang w:val="en-US" w:eastAsia="zh-CN"/>
              </w:rPr>
            </w:pPr>
          </w:p>
        </w:tc>
      </w:tr>
      <w:tr w14:paraId="225EF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59EDB4DE">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90" w:type="dxa"/>
            <w:vMerge w:val="restart"/>
            <w:vAlign w:val="center"/>
          </w:tcPr>
          <w:p w14:paraId="0A0FA796">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项目组成员</w:t>
            </w:r>
            <w:r>
              <w:rPr>
                <w:rFonts w:hint="eastAsia" w:ascii="宋体" w:hAnsi="宋体" w:eastAsia="宋体" w:cs="宋体"/>
                <w:color w:val="auto"/>
                <w:sz w:val="21"/>
                <w:szCs w:val="21"/>
                <w:highlight w:val="none"/>
              </w:rPr>
              <w:t>（项目负责人除外）</w:t>
            </w:r>
          </w:p>
        </w:tc>
        <w:tc>
          <w:tcPr>
            <w:tcW w:w="5817" w:type="dxa"/>
            <w:vAlign w:val="center"/>
          </w:tcPr>
          <w:p w14:paraId="6563C5D1">
            <w:pPr>
              <w:adjustRightInd w:val="0"/>
              <w:snapToGrid w:val="0"/>
              <w:spacing w:line="240" w:lineRule="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4"/>
                <w:sz w:val="21"/>
                <w:szCs w:val="21"/>
                <w:highlight w:val="none"/>
                <w:lang w:val="en-US" w:eastAsia="zh-CN"/>
              </w:rPr>
              <w:t>项目组成员</w:t>
            </w:r>
            <w:r>
              <w:rPr>
                <w:rFonts w:hint="eastAsia" w:ascii="宋体" w:hAnsi="宋体" w:eastAsia="宋体" w:cs="宋体"/>
                <w:color w:val="auto"/>
                <w:spacing w:val="-4"/>
                <w:sz w:val="21"/>
                <w:szCs w:val="21"/>
                <w:highlight w:val="none"/>
              </w:rPr>
              <w:t>专业配置全面，人员结构包含经济学、管理学、</w:t>
            </w:r>
            <w:r>
              <w:rPr>
                <w:rFonts w:hint="eastAsia" w:ascii="宋体" w:hAnsi="宋体" w:eastAsia="宋体" w:cs="宋体"/>
                <w:color w:val="auto"/>
                <w:spacing w:val="-4"/>
                <w:sz w:val="21"/>
                <w:szCs w:val="21"/>
                <w:highlight w:val="none"/>
                <w:lang w:val="en-US" w:eastAsia="zh-CN"/>
              </w:rPr>
              <w:t>工学、城乡规划学的</w:t>
            </w:r>
            <w:r>
              <w:rPr>
                <w:rFonts w:hint="eastAsia" w:ascii="宋体" w:hAnsi="宋体" w:eastAsia="宋体" w:cs="宋体"/>
                <w:color w:val="auto"/>
                <w:spacing w:val="-4"/>
                <w:sz w:val="21"/>
                <w:szCs w:val="21"/>
                <w:highlight w:val="none"/>
              </w:rPr>
              <w:t>专业人员，每个专业得</w:t>
            </w:r>
            <w:r>
              <w:rPr>
                <w:rFonts w:hint="eastAsia" w:ascii="宋体" w:hAnsi="宋体" w:eastAsia="宋体" w:cs="宋体"/>
                <w:color w:val="auto"/>
                <w:spacing w:val="-4"/>
                <w:sz w:val="21"/>
                <w:szCs w:val="21"/>
                <w:highlight w:val="none"/>
                <w:lang w:val="en-US" w:eastAsia="zh-CN"/>
              </w:rPr>
              <w:t>1</w:t>
            </w:r>
            <w:r>
              <w:rPr>
                <w:rFonts w:hint="eastAsia" w:ascii="宋体" w:hAnsi="宋体" w:eastAsia="宋体" w:cs="宋体"/>
                <w:color w:val="auto"/>
                <w:spacing w:val="-4"/>
                <w:sz w:val="21"/>
                <w:szCs w:val="21"/>
                <w:highlight w:val="none"/>
              </w:rPr>
              <w:t>分，最</w:t>
            </w:r>
            <w:r>
              <w:rPr>
                <w:rFonts w:hint="eastAsia" w:ascii="宋体" w:hAnsi="宋体" w:eastAsia="宋体" w:cs="宋体"/>
                <w:color w:val="auto"/>
                <w:spacing w:val="-4"/>
                <w:sz w:val="21"/>
                <w:szCs w:val="21"/>
                <w:highlight w:val="none"/>
                <w:lang w:val="en-US" w:eastAsia="zh-CN"/>
              </w:rPr>
              <w:t>高</w:t>
            </w:r>
            <w:r>
              <w:rPr>
                <w:rFonts w:hint="eastAsia" w:ascii="宋体" w:hAnsi="宋体" w:eastAsia="宋体" w:cs="宋体"/>
                <w:color w:val="auto"/>
                <w:spacing w:val="-4"/>
                <w:sz w:val="21"/>
                <w:szCs w:val="21"/>
                <w:highlight w:val="none"/>
              </w:rPr>
              <w:t>得</w:t>
            </w:r>
            <w:r>
              <w:rPr>
                <w:rFonts w:hint="eastAsia" w:ascii="宋体" w:hAnsi="宋体" w:eastAsia="宋体" w:cs="宋体"/>
                <w:color w:val="auto"/>
                <w:spacing w:val="-4"/>
                <w:sz w:val="21"/>
                <w:szCs w:val="21"/>
                <w:highlight w:val="none"/>
                <w:lang w:val="en-US" w:eastAsia="zh-CN"/>
              </w:rPr>
              <w:t>4</w:t>
            </w:r>
            <w:r>
              <w:rPr>
                <w:rFonts w:hint="eastAsia" w:ascii="宋体" w:hAnsi="宋体" w:eastAsia="宋体" w:cs="宋体"/>
                <w:color w:val="auto"/>
                <w:spacing w:val="-4"/>
                <w:sz w:val="21"/>
                <w:szCs w:val="21"/>
                <w:highlight w:val="none"/>
              </w:rPr>
              <w:t>分</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同一人不重复计分。</w:t>
            </w:r>
          </w:p>
          <w:p w14:paraId="669F9095">
            <w:pPr>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（须提供人员清单、</w:t>
            </w:r>
            <w:r>
              <w:rPr>
                <w:rFonts w:hint="eastAsia" w:ascii="宋体" w:hAnsi="宋体" w:eastAsia="宋体" w:cs="宋体"/>
                <w:b/>
                <w:bCs/>
                <w:color w:val="auto"/>
                <w:sz w:val="21"/>
                <w:szCs w:val="21"/>
                <w:highlight w:val="none"/>
                <w:lang w:val="en-US" w:eastAsia="zh-CN"/>
              </w:rPr>
              <w:t>毕业</w:t>
            </w:r>
            <w:r>
              <w:rPr>
                <w:rFonts w:hint="eastAsia" w:ascii="宋体" w:hAnsi="宋体" w:eastAsia="宋体" w:cs="宋体"/>
                <w:b/>
                <w:bCs/>
                <w:color w:val="auto"/>
                <w:sz w:val="21"/>
                <w:szCs w:val="21"/>
                <w:highlight w:val="none"/>
              </w:rPr>
              <w:t>证书</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件及投标截止时间前的社保缴费证明并加盖投标人公章编入投标文件中，未提供或提供不全的不得分）</w:t>
            </w:r>
          </w:p>
        </w:tc>
        <w:tc>
          <w:tcPr>
            <w:tcW w:w="648" w:type="dxa"/>
            <w:vAlign w:val="center"/>
          </w:tcPr>
          <w:p w14:paraId="0657A9F1">
            <w:pPr>
              <w:spacing w:line="240" w:lineRule="auto"/>
              <w:jc w:val="center"/>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4</w:t>
            </w:r>
          </w:p>
        </w:tc>
        <w:tc>
          <w:tcPr>
            <w:tcW w:w="648" w:type="dxa"/>
            <w:vAlign w:val="center"/>
          </w:tcPr>
          <w:p w14:paraId="7EEEC85E">
            <w:pPr>
              <w:spacing w:line="240" w:lineRule="auto"/>
              <w:jc w:val="center"/>
              <w:rPr>
                <w:rFonts w:hint="eastAsia" w:ascii="宋体" w:hAnsi="宋体" w:eastAsia="宋体" w:cs="宋体"/>
                <w:color w:val="auto"/>
                <w:spacing w:val="-4"/>
                <w:sz w:val="21"/>
                <w:szCs w:val="21"/>
                <w:highlight w:val="none"/>
                <w:lang w:val="en-US" w:eastAsia="zh-CN"/>
              </w:rPr>
            </w:pPr>
          </w:p>
        </w:tc>
        <w:tc>
          <w:tcPr>
            <w:tcW w:w="648" w:type="dxa"/>
            <w:vAlign w:val="center"/>
          </w:tcPr>
          <w:p w14:paraId="5C0386E0">
            <w:pPr>
              <w:spacing w:line="240" w:lineRule="auto"/>
              <w:jc w:val="center"/>
              <w:rPr>
                <w:rFonts w:hint="eastAsia" w:ascii="宋体" w:hAnsi="宋体" w:eastAsia="宋体" w:cs="宋体"/>
                <w:color w:val="auto"/>
                <w:spacing w:val="-4"/>
                <w:sz w:val="21"/>
                <w:szCs w:val="21"/>
                <w:highlight w:val="none"/>
                <w:lang w:val="en-US" w:eastAsia="zh-CN"/>
              </w:rPr>
            </w:pPr>
          </w:p>
        </w:tc>
      </w:tr>
      <w:tr w14:paraId="405F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7BD061D8">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90" w:type="dxa"/>
            <w:vMerge w:val="continue"/>
            <w:vAlign w:val="center"/>
          </w:tcPr>
          <w:p w14:paraId="60891703">
            <w:pPr>
              <w:autoSpaceDE w:val="0"/>
              <w:autoSpaceDN w:val="0"/>
              <w:adjustRightInd w:val="0"/>
              <w:spacing w:line="240" w:lineRule="auto"/>
              <w:jc w:val="center"/>
              <w:rPr>
                <w:rFonts w:hint="eastAsia" w:ascii="宋体" w:hAnsi="宋体" w:eastAsia="宋体" w:cs="宋体"/>
                <w:color w:val="auto"/>
                <w:spacing w:val="-4"/>
                <w:sz w:val="21"/>
                <w:szCs w:val="21"/>
                <w:highlight w:val="none"/>
              </w:rPr>
            </w:pPr>
          </w:p>
        </w:tc>
        <w:tc>
          <w:tcPr>
            <w:tcW w:w="5817" w:type="dxa"/>
            <w:vAlign w:val="center"/>
          </w:tcPr>
          <w:p w14:paraId="59A0C989">
            <w:pPr>
              <w:adjustRightInd w:val="0"/>
              <w:snapToGrid w:val="0"/>
              <w:spacing w:line="24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pacing w:val="-4"/>
                <w:sz w:val="21"/>
                <w:szCs w:val="21"/>
                <w:highlight w:val="none"/>
              </w:rPr>
              <w:t>2、具有经济学</w:t>
            </w:r>
            <w:r>
              <w:rPr>
                <w:rFonts w:hint="eastAsia" w:ascii="宋体" w:hAnsi="宋体" w:cs="宋体"/>
                <w:color w:val="auto"/>
                <w:highlight w:val="none"/>
                <w:lang w:val="en-US" w:eastAsia="zh-CN"/>
              </w:rPr>
              <w:t>或</w:t>
            </w:r>
            <w:r>
              <w:rPr>
                <w:rFonts w:hint="eastAsia" w:ascii="宋体" w:hAnsi="宋体" w:eastAsia="宋体" w:cs="宋体"/>
                <w:color w:val="auto"/>
                <w:spacing w:val="-4"/>
                <w:sz w:val="21"/>
                <w:szCs w:val="21"/>
                <w:highlight w:val="none"/>
              </w:rPr>
              <w:t>管理学</w:t>
            </w:r>
            <w:r>
              <w:rPr>
                <w:rFonts w:hint="eastAsia" w:ascii="宋体" w:hAnsi="宋体" w:cs="宋体"/>
                <w:color w:val="auto"/>
                <w:highlight w:val="none"/>
                <w:lang w:val="en-US" w:eastAsia="zh-CN"/>
              </w:rPr>
              <w:t>或</w:t>
            </w:r>
            <w:r>
              <w:rPr>
                <w:rFonts w:hint="eastAsia" w:ascii="宋体" w:hAnsi="宋体" w:eastAsia="宋体" w:cs="宋体"/>
                <w:color w:val="auto"/>
                <w:spacing w:val="-4"/>
                <w:sz w:val="21"/>
                <w:szCs w:val="21"/>
                <w:highlight w:val="none"/>
                <w:lang w:val="en-US" w:eastAsia="zh-CN"/>
              </w:rPr>
              <w:t>工学</w:t>
            </w:r>
            <w:r>
              <w:rPr>
                <w:rFonts w:hint="eastAsia" w:ascii="宋体" w:hAnsi="宋体" w:cs="宋体"/>
                <w:color w:val="auto"/>
                <w:highlight w:val="none"/>
                <w:lang w:val="en-US" w:eastAsia="zh-CN"/>
              </w:rPr>
              <w:t>或</w:t>
            </w:r>
            <w:r>
              <w:rPr>
                <w:rFonts w:hint="eastAsia" w:ascii="宋体" w:hAnsi="宋体" w:eastAsia="宋体" w:cs="宋体"/>
                <w:color w:val="auto"/>
                <w:spacing w:val="-4"/>
                <w:sz w:val="21"/>
                <w:szCs w:val="21"/>
                <w:highlight w:val="none"/>
                <w:lang w:val="en-US" w:eastAsia="zh-CN"/>
              </w:rPr>
              <w:t>城乡规划学</w:t>
            </w:r>
            <w:r>
              <w:rPr>
                <w:rFonts w:hint="eastAsia" w:ascii="宋体" w:hAnsi="宋体" w:cs="宋体"/>
                <w:color w:val="auto"/>
                <w:highlight w:val="none"/>
                <w:lang w:val="en-US" w:eastAsia="zh-CN"/>
              </w:rPr>
              <w:t>等相关</w:t>
            </w:r>
            <w:r>
              <w:rPr>
                <w:rFonts w:hint="eastAsia" w:ascii="宋体" w:hAnsi="宋体" w:eastAsia="宋体" w:cs="宋体"/>
                <w:bCs/>
                <w:color w:val="auto"/>
                <w:sz w:val="21"/>
                <w:szCs w:val="21"/>
                <w:highlight w:val="none"/>
                <w:lang w:val="en-US" w:eastAsia="zh-CN"/>
              </w:rPr>
              <w:t>专业</w:t>
            </w:r>
            <w:r>
              <w:rPr>
                <w:rFonts w:hint="eastAsia" w:ascii="宋体" w:hAnsi="宋体" w:eastAsia="宋体" w:cs="宋体"/>
                <w:bCs/>
                <w:color w:val="auto"/>
                <w:sz w:val="21"/>
                <w:szCs w:val="21"/>
                <w:highlight w:val="none"/>
              </w:rPr>
              <w:t>副高（含）及以上职称或博士学历的，每人得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最高得2分</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同一人不重复计分。</w:t>
            </w:r>
          </w:p>
          <w:p w14:paraId="39CF399D">
            <w:pPr>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（须提供有效期内的证书</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件及投标截止时间前的社保缴费证明并加盖投标人公章编入投标文件中，未提供或提供不全的不得分）</w:t>
            </w:r>
          </w:p>
        </w:tc>
        <w:tc>
          <w:tcPr>
            <w:tcW w:w="648" w:type="dxa"/>
            <w:vAlign w:val="center"/>
          </w:tcPr>
          <w:p w14:paraId="4E34564B">
            <w:pPr>
              <w:spacing w:line="240" w:lineRule="auto"/>
              <w:jc w:val="center"/>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2</w:t>
            </w:r>
          </w:p>
        </w:tc>
        <w:tc>
          <w:tcPr>
            <w:tcW w:w="648" w:type="dxa"/>
            <w:vAlign w:val="center"/>
          </w:tcPr>
          <w:p w14:paraId="4DB64FD5">
            <w:pPr>
              <w:spacing w:line="240" w:lineRule="auto"/>
              <w:jc w:val="center"/>
              <w:rPr>
                <w:rFonts w:hint="eastAsia" w:ascii="宋体" w:hAnsi="宋体" w:eastAsia="宋体" w:cs="宋体"/>
                <w:color w:val="auto"/>
                <w:spacing w:val="-4"/>
                <w:sz w:val="21"/>
                <w:szCs w:val="21"/>
                <w:highlight w:val="none"/>
                <w:lang w:val="en-US" w:eastAsia="zh-CN"/>
              </w:rPr>
            </w:pPr>
          </w:p>
        </w:tc>
        <w:tc>
          <w:tcPr>
            <w:tcW w:w="648" w:type="dxa"/>
            <w:vAlign w:val="center"/>
          </w:tcPr>
          <w:p w14:paraId="64499697">
            <w:pPr>
              <w:spacing w:line="240" w:lineRule="auto"/>
              <w:jc w:val="center"/>
              <w:rPr>
                <w:rFonts w:hint="eastAsia" w:ascii="宋体" w:hAnsi="宋体" w:eastAsia="宋体" w:cs="宋体"/>
                <w:color w:val="auto"/>
                <w:spacing w:val="-4"/>
                <w:sz w:val="21"/>
                <w:szCs w:val="21"/>
                <w:highlight w:val="none"/>
                <w:lang w:val="en-US" w:eastAsia="zh-CN"/>
              </w:rPr>
            </w:pPr>
          </w:p>
        </w:tc>
      </w:tr>
      <w:tr w14:paraId="71CF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6F0AD9B5">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90" w:type="dxa"/>
            <w:vMerge w:val="continue"/>
            <w:vAlign w:val="center"/>
          </w:tcPr>
          <w:p w14:paraId="33E7F528">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5817" w:type="dxa"/>
            <w:vAlign w:val="center"/>
          </w:tcPr>
          <w:p w14:paraId="5A8974A7">
            <w:pPr>
              <w:adjustRightInd w:val="0"/>
              <w:snapToGrid w:val="0"/>
              <w:spacing w:line="240" w:lineRule="auto"/>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具有</w:t>
            </w:r>
            <w:r>
              <w:rPr>
                <w:rFonts w:hint="eastAsia" w:ascii="宋体" w:hAnsi="宋体" w:eastAsia="宋体" w:cs="宋体"/>
                <w:bCs/>
                <w:color w:val="auto"/>
                <w:sz w:val="21"/>
                <w:szCs w:val="21"/>
                <w:highlight w:val="none"/>
              </w:rPr>
              <w:t>注册城乡规划师证书或咨询工程师（投资）证书</w:t>
            </w:r>
            <w:r>
              <w:rPr>
                <w:rFonts w:hint="eastAsia" w:ascii="宋体" w:hAnsi="宋体" w:eastAsia="宋体" w:cs="宋体"/>
                <w:color w:val="auto"/>
                <w:sz w:val="21"/>
                <w:szCs w:val="21"/>
                <w:highlight w:val="none"/>
              </w:rPr>
              <w:t>的，每人得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lang w:eastAsia="zh-CN"/>
              </w:rPr>
              <w:t>，</w:t>
            </w:r>
            <w:r>
              <w:rPr>
                <w:rFonts w:hint="eastAsia" w:ascii="宋体" w:hAnsi="宋体" w:eastAsia="宋体" w:cs="宋体"/>
                <w:bCs/>
                <w:color w:val="auto"/>
                <w:sz w:val="21"/>
                <w:szCs w:val="21"/>
                <w:highlight w:val="none"/>
                <w:lang w:val="en-US" w:eastAsia="zh-CN"/>
              </w:rPr>
              <w:t>最高得3分。</w:t>
            </w:r>
            <w:r>
              <w:rPr>
                <w:rFonts w:hint="eastAsia" w:ascii="宋体" w:hAnsi="宋体" w:eastAsia="宋体" w:cs="宋体"/>
                <w:color w:val="auto"/>
                <w:sz w:val="21"/>
                <w:szCs w:val="21"/>
                <w:highlight w:val="none"/>
              </w:rPr>
              <w:t>同一人不重复计分</w:t>
            </w:r>
            <w:r>
              <w:rPr>
                <w:rFonts w:hint="eastAsia" w:ascii="宋体" w:hAnsi="宋体" w:eastAsia="宋体" w:cs="宋体"/>
                <w:color w:val="auto"/>
                <w:sz w:val="21"/>
                <w:szCs w:val="21"/>
                <w:highlight w:val="none"/>
                <w:lang w:eastAsia="zh-CN"/>
              </w:rPr>
              <w:t>。</w:t>
            </w:r>
          </w:p>
          <w:p w14:paraId="794609AE">
            <w:pPr>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（须提供有效期内的证书</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件及投标截止时间前的社保缴费证明并加盖投标人公章编入投标文件中，未提供或提供不全的不得分）</w:t>
            </w:r>
          </w:p>
        </w:tc>
        <w:tc>
          <w:tcPr>
            <w:tcW w:w="648" w:type="dxa"/>
            <w:vAlign w:val="center"/>
          </w:tcPr>
          <w:p w14:paraId="6BFEBDE0">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648" w:type="dxa"/>
            <w:vAlign w:val="center"/>
          </w:tcPr>
          <w:p w14:paraId="3C0E1DA1">
            <w:pPr>
              <w:adjustRightInd w:val="0"/>
              <w:snapToGrid w:val="0"/>
              <w:spacing w:line="240" w:lineRule="auto"/>
              <w:jc w:val="center"/>
              <w:rPr>
                <w:rFonts w:hint="eastAsia" w:ascii="宋体" w:hAnsi="宋体" w:eastAsia="宋体" w:cs="宋体"/>
                <w:color w:val="auto"/>
                <w:kern w:val="0"/>
                <w:sz w:val="21"/>
                <w:szCs w:val="21"/>
                <w:highlight w:val="none"/>
                <w:lang w:val="en-US" w:eastAsia="zh-CN"/>
              </w:rPr>
            </w:pPr>
          </w:p>
        </w:tc>
        <w:tc>
          <w:tcPr>
            <w:tcW w:w="648" w:type="dxa"/>
            <w:vAlign w:val="center"/>
          </w:tcPr>
          <w:p w14:paraId="0234DE4B">
            <w:pPr>
              <w:adjustRightInd w:val="0"/>
              <w:snapToGrid w:val="0"/>
              <w:spacing w:line="240" w:lineRule="auto"/>
              <w:jc w:val="center"/>
              <w:rPr>
                <w:rFonts w:hint="eastAsia" w:ascii="宋体" w:hAnsi="宋体" w:eastAsia="宋体" w:cs="宋体"/>
                <w:color w:val="auto"/>
                <w:kern w:val="0"/>
                <w:sz w:val="21"/>
                <w:szCs w:val="21"/>
                <w:highlight w:val="none"/>
                <w:lang w:val="en-US" w:eastAsia="zh-CN"/>
              </w:rPr>
            </w:pPr>
          </w:p>
        </w:tc>
      </w:tr>
      <w:tr w14:paraId="169D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restart"/>
            <w:vAlign w:val="center"/>
          </w:tcPr>
          <w:p w14:paraId="5F3BEC3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技术分（5</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1290" w:type="dxa"/>
            <w:vAlign w:val="center"/>
          </w:tcPr>
          <w:p w14:paraId="2EC6C24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背景</w:t>
            </w:r>
            <w:r>
              <w:rPr>
                <w:rFonts w:hint="eastAsia" w:ascii="宋体" w:hAnsi="宋体" w:eastAsia="宋体" w:cs="宋体"/>
                <w:color w:val="auto"/>
                <w:sz w:val="21"/>
                <w:szCs w:val="21"/>
                <w:highlight w:val="none"/>
              </w:rPr>
              <w:t>理解</w:t>
            </w:r>
          </w:p>
        </w:tc>
        <w:tc>
          <w:tcPr>
            <w:tcW w:w="5817" w:type="dxa"/>
            <w:vAlign w:val="center"/>
          </w:tcPr>
          <w:p w14:paraId="58B399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rPr>
              <w:t>对项目背景的</w:t>
            </w:r>
            <w:r>
              <w:rPr>
                <w:rFonts w:hint="eastAsia" w:ascii="宋体" w:hAnsi="宋体" w:eastAsia="宋体" w:cs="宋体"/>
                <w:color w:val="auto"/>
                <w:sz w:val="21"/>
                <w:szCs w:val="21"/>
                <w:highlight w:val="none"/>
                <w:lang w:val="en-US" w:eastAsia="zh-CN"/>
              </w:rPr>
              <w:t>理解</w:t>
            </w:r>
            <w:r>
              <w:rPr>
                <w:rFonts w:hint="eastAsia" w:ascii="宋体" w:hAnsi="宋体" w:eastAsia="宋体" w:cs="宋体"/>
                <w:color w:val="auto"/>
                <w:sz w:val="21"/>
                <w:szCs w:val="21"/>
                <w:highlight w:val="none"/>
              </w:rPr>
              <w:t>程度是否具有深入性、系统性、针对性</w:t>
            </w:r>
            <w:r>
              <w:rPr>
                <w:rFonts w:hint="eastAsia" w:ascii="宋体" w:hAnsi="宋体" w:eastAsia="宋体" w:cs="宋体"/>
                <w:color w:val="auto"/>
                <w:sz w:val="21"/>
                <w:szCs w:val="21"/>
                <w:highlight w:val="none"/>
                <w:lang w:val="en-US" w:eastAsia="zh-CN"/>
              </w:rPr>
              <w:t>等进行打分</w:t>
            </w:r>
            <w:r>
              <w:rPr>
                <w:rFonts w:hint="eastAsia" w:ascii="宋体" w:hAnsi="宋体" w:eastAsia="宋体" w:cs="宋体"/>
                <w:color w:val="auto"/>
                <w:sz w:val="21"/>
                <w:szCs w:val="21"/>
                <w:highlight w:val="none"/>
              </w:rPr>
              <w:t>。</w:t>
            </w:r>
          </w:p>
          <w:p w14:paraId="1C675785">
            <w:pPr>
              <w:spacing w:line="240" w:lineRule="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648" w:type="dxa"/>
            <w:vAlign w:val="center"/>
          </w:tcPr>
          <w:p w14:paraId="6B7D2B55">
            <w:pPr>
              <w:autoSpaceDE w:val="0"/>
              <w:autoSpaceDN w:val="0"/>
              <w:adjustRightIn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648" w:type="dxa"/>
            <w:vAlign w:val="center"/>
          </w:tcPr>
          <w:p w14:paraId="48F73592">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648" w:type="dxa"/>
            <w:vAlign w:val="center"/>
          </w:tcPr>
          <w:p w14:paraId="298251CA">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31C2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5C37EE73">
            <w:pPr>
              <w:spacing w:line="240" w:lineRule="auto"/>
              <w:jc w:val="center"/>
              <w:rPr>
                <w:rFonts w:hint="eastAsia" w:ascii="宋体" w:hAnsi="宋体" w:eastAsia="宋体" w:cs="宋体"/>
                <w:color w:val="auto"/>
                <w:sz w:val="21"/>
                <w:szCs w:val="21"/>
                <w:highlight w:val="none"/>
              </w:rPr>
            </w:pPr>
          </w:p>
        </w:tc>
        <w:tc>
          <w:tcPr>
            <w:tcW w:w="1290" w:type="dxa"/>
            <w:vAlign w:val="center"/>
          </w:tcPr>
          <w:p w14:paraId="46092829">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项目基础现状和存在问题认知</w:t>
            </w:r>
          </w:p>
        </w:tc>
        <w:tc>
          <w:tcPr>
            <w:tcW w:w="5817" w:type="dxa"/>
            <w:vAlign w:val="center"/>
          </w:tcPr>
          <w:p w14:paraId="330B2B5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本项目发展现状和存在问题的认知</w:t>
            </w:r>
            <w:r>
              <w:rPr>
                <w:rFonts w:hint="eastAsia" w:ascii="宋体" w:hAnsi="宋体" w:eastAsia="宋体" w:cs="宋体"/>
                <w:color w:val="auto"/>
                <w:sz w:val="21"/>
                <w:szCs w:val="21"/>
                <w:highlight w:val="none"/>
              </w:rPr>
              <w:t>是否具有针对性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准确性等进行打分</w:t>
            </w:r>
            <w:r>
              <w:rPr>
                <w:rFonts w:hint="eastAsia" w:ascii="宋体" w:hAnsi="宋体" w:eastAsia="宋体" w:cs="宋体"/>
                <w:color w:val="auto"/>
                <w:sz w:val="21"/>
                <w:szCs w:val="21"/>
                <w:highlight w:val="none"/>
              </w:rPr>
              <w:t>。</w:t>
            </w:r>
          </w:p>
          <w:p w14:paraId="7A8AFA7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648" w:type="dxa"/>
            <w:vAlign w:val="center"/>
          </w:tcPr>
          <w:p w14:paraId="6CE51204">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48" w:type="dxa"/>
            <w:vAlign w:val="center"/>
          </w:tcPr>
          <w:p w14:paraId="41360162">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648" w:type="dxa"/>
            <w:vAlign w:val="center"/>
          </w:tcPr>
          <w:p w14:paraId="402399BB">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3DC5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2A317E0C">
            <w:pPr>
              <w:spacing w:line="240" w:lineRule="auto"/>
              <w:jc w:val="center"/>
              <w:rPr>
                <w:rFonts w:hint="eastAsia" w:ascii="宋体" w:hAnsi="宋体" w:eastAsia="宋体" w:cs="宋体"/>
                <w:color w:val="auto"/>
                <w:sz w:val="21"/>
                <w:szCs w:val="21"/>
                <w:highlight w:val="none"/>
              </w:rPr>
            </w:pPr>
          </w:p>
        </w:tc>
        <w:tc>
          <w:tcPr>
            <w:tcW w:w="1290" w:type="dxa"/>
            <w:vAlign w:val="center"/>
          </w:tcPr>
          <w:p w14:paraId="237727D3">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发展宏观环境形势分析</w:t>
            </w:r>
          </w:p>
        </w:tc>
        <w:tc>
          <w:tcPr>
            <w:tcW w:w="5817" w:type="dxa"/>
            <w:vAlign w:val="center"/>
          </w:tcPr>
          <w:p w14:paraId="18914C8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rPr>
              <w:t>对项目内外部环境分析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发展趋势研判</w:t>
            </w:r>
            <w:r>
              <w:rPr>
                <w:rFonts w:hint="eastAsia" w:ascii="宋体" w:hAnsi="宋体" w:eastAsia="宋体" w:cs="宋体"/>
                <w:color w:val="auto"/>
                <w:sz w:val="21"/>
                <w:szCs w:val="21"/>
                <w:highlight w:val="none"/>
              </w:rPr>
              <w:t>，是否</w:t>
            </w:r>
            <w:r>
              <w:rPr>
                <w:rFonts w:hint="eastAsia" w:ascii="宋体" w:hAnsi="宋体" w:eastAsia="宋体" w:cs="宋体"/>
                <w:color w:val="auto"/>
                <w:sz w:val="21"/>
                <w:szCs w:val="21"/>
                <w:highlight w:val="none"/>
                <w:lang w:val="en-US" w:eastAsia="zh-CN"/>
              </w:rPr>
              <w:t>具有针对性、</w:t>
            </w:r>
            <w:r>
              <w:rPr>
                <w:rFonts w:hint="eastAsia" w:ascii="宋体" w:hAnsi="宋体" w:eastAsia="宋体" w:cs="宋体"/>
                <w:color w:val="auto"/>
                <w:sz w:val="21"/>
                <w:szCs w:val="21"/>
                <w:highlight w:val="none"/>
              </w:rPr>
              <w:t>合理性、前瞻性</w:t>
            </w:r>
            <w:r>
              <w:rPr>
                <w:rFonts w:hint="eastAsia" w:ascii="宋体" w:hAnsi="宋体" w:eastAsia="宋体" w:cs="宋体"/>
                <w:color w:val="auto"/>
                <w:sz w:val="21"/>
                <w:szCs w:val="21"/>
                <w:highlight w:val="none"/>
                <w:lang w:val="en-US" w:eastAsia="zh-CN"/>
              </w:rPr>
              <w:t>等进行打分</w:t>
            </w:r>
            <w:r>
              <w:rPr>
                <w:rFonts w:hint="eastAsia" w:ascii="宋体" w:hAnsi="宋体" w:eastAsia="宋体" w:cs="宋体"/>
                <w:color w:val="auto"/>
                <w:sz w:val="21"/>
                <w:szCs w:val="21"/>
                <w:highlight w:val="none"/>
              </w:rPr>
              <w:t>。</w:t>
            </w:r>
          </w:p>
          <w:p w14:paraId="3AFABAA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648" w:type="dxa"/>
            <w:vAlign w:val="center"/>
          </w:tcPr>
          <w:p w14:paraId="64B18A08">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48" w:type="dxa"/>
            <w:vAlign w:val="center"/>
          </w:tcPr>
          <w:p w14:paraId="718E574B">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648" w:type="dxa"/>
            <w:vAlign w:val="center"/>
          </w:tcPr>
          <w:p w14:paraId="2B98ED5A">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06D4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7CC45D4D">
            <w:pPr>
              <w:spacing w:line="240" w:lineRule="auto"/>
              <w:jc w:val="center"/>
              <w:rPr>
                <w:rFonts w:hint="eastAsia" w:ascii="宋体" w:hAnsi="宋体" w:eastAsia="宋体" w:cs="宋体"/>
                <w:color w:val="auto"/>
                <w:sz w:val="21"/>
                <w:szCs w:val="21"/>
                <w:highlight w:val="none"/>
              </w:rPr>
            </w:pPr>
          </w:p>
        </w:tc>
        <w:tc>
          <w:tcPr>
            <w:tcW w:w="1290" w:type="dxa"/>
            <w:shd w:val="clear" w:color="auto" w:fill="auto"/>
            <w:vAlign w:val="center"/>
          </w:tcPr>
          <w:p w14:paraId="230B53B2">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总体思路研究</w:t>
            </w:r>
          </w:p>
        </w:tc>
        <w:tc>
          <w:tcPr>
            <w:tcW w:w="5817" w:type="dxa"/>
            <w:shd w:val="clear" w:color="auto" w:fill="auto"/>
            <w:vAlign w:val="center"/>
          </w:tcPr>
          <w:p w14:paraId="2961A70D">
            <w:pPr>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根据投标人对黄岩G104模塑产业走廊规划的目标定位和总体思路的制定是否清晰可行、是否贴合地方实际等进行打分。</w:t>
            </w:r>
          </w:p>
          <w:p w14:paraId="0F1529DE">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648" w:type="dxa"/>
            <w:shd w:val="clear" w:color="auto" w:fill="auto"/>
            <w:vAlign w:val="center"/>
          </w:tcPr>
          <w:p w14:paraId="6EA8845B">
            <w:pPr>
              <w:autoSpaceDE w:val="0"/>
              <w:autoSpaceDN w:val="0"/>
              <w:adjustRightIn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48" w:type="dxa"/>
            <w:shd w:val="clear" w:color="auto" w:fill="auto"/>
            <w:vAlign w:val="center"/>
          </w:tcPr>
          <w:p w14:paraId="77AEA381">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648" w:type="dxa"/>
            <w:shd w:val="clear" w:color="auto" w:fill="auto"/>
            <w:vAlign w:val="center"/>
          </w:tcPr>
          <w:p w14:paraId="52E49453">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1DC3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3FDEAE5D">
            <w:pPr>
              <w:spacing w:line="240" w:lineRule="auto"/>
              <w:jc w:val="center"/>
              <w:rPr>
                <w:rFonts w:hint="eastAsia" w:ascii="宋体" w:hAnsi="宋体" w:eastAsia="宋体" w:cs="宋体"/>
                <w:color w:val="auto"/>
                <w:sz w:val="21"/>
                <w:szCs w:val="21"/>
                <w:highlight w:val="none"/>
              </w:rPr>
            </w:pPr>
          </w:p>
        </w:tc>
        <w:tc>
          <w:tcPr>
            <w:tcW w:w="1290" w:type="dxa"/>
            <w:shd w:val="clear" w:color="auto" w:fill="auto"/>
            <w:vAlign w:val="center"/>
          </w:tcPr>
          <w:p w14:paraId="2486C12A">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空间规划与功能布局</w:t>
            </w:r>
          </w:p>
        </w:tc>
        <w:tc>
          <w:tcPr>
            <w:tcW w:w="5817" w:type="dxa"/>
            <w:shd w:val="clear" w:color="auto" w:fill="auto"/>
            <w:vAlign w:val="center"/>
          </w:tcPr>
          <w:p w14:paraId="47590FAF">
            <w:pPr>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根据投标人对黄岩G104模塑产业走廊规划的空间规划与功能布局是否科学合理，是否具有可行性等进行打分。</w:t>
            </w:r>
          </w:p>
          <w:p w14:paraId="41563174">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648" w:type="dxa"/>
            <w:shd w:val="clear" w:color="auto" w:fill="auto"/>
            <w:vAlign w:val="center"/>
          </w:tcPr>
          <w:p w14:paraId="69365ED2">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48" w:type="dxa"/>
            <w:shd w:val="clear" w:color="auto" w:fill="auto"/>
            <w:vAlign w:val="center"/>
          </w:tcPr>
          <w:p w14:paraId="2933D00B">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648" w:type="dxa"/>
            <w:shd w:val="clear" w:color="auto" w:fill="auto"/>
            <w:vAlign w:val="center"/>
          </w:tcPr>
          <w:p w14:paraId="7C2D60A5">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554A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727C518C">
            <w:pPr>
              <w:spacing w:line="240" w:lineRule="auto"/>
              <w:jc w:val="center"/>
              <w:rPr>
                <w:rFonts w:hint="eastAsia" w:ascii="宋体" w:hAnsi="宋体" w:eastAsia="宋体" w:cs="宋体"/>
                <w:color w:val="auto"/>
                <w:sz w:val="21"/>
                <w:szCs w:val="21"/>
                <w:highlight w:val="none"/>
              </w:rPr>
            </w:pPr>
          </w:p>
        </w:tc>
        <w:tc>
          <w:tcPr>
            <w:tcW w:w="1290" w:type="dxa"/>
            <w:shd w:val="clear" w:color="auto" w:fill="auto"/>
            <w:vAlign w:val="center"/>
          </w:tcPr>
          <w:p w14:paraId="25F1ECB4">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重点任务研究考虑</w:t>
            </w:r>
          </w:p>
        </w:tc>
        <w:tc>
          <w:tcPr>
            <w:tcW w:w="5817" w:type="dxa"/>
            <w:shd w:val="clear" w:color="auto" w:fill="auto"/>
            <w:vAlign w:val="center"/>
          </w:tcPr>
          <w:p w14:paraId="485DF14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根据投标人对规划编制的重点任务措施的研究考虑是否具有针对性、可行性等进行打分。</w:t>
            </w:r>
          </w:p>
          <w:p w14:paraId="08BC57D1">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648" w:type="dxa"/>
            <w:shd w:val="clear" w:color="auto" w:fill="auto"/>
            <w:vAlign w:val="center"/>
          </w:tcPr>
          <w:p w14:paraId="6493C8B1">
            <w:pPr>
              <w:autoSpaceDE w:val="0"/>
              <w:autoSpaceDN w:val="0"/>
              <w:adjustRightIn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48" w:type="dxa"/>
            <w:shd w:val="clear" w:color="auto" w:fill="auto"/>
            <w:vAlign w:val="center"/>
          </w:tcPr>
          <w:p w14:paraId="460A531B">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648" w:type="dxa"/>
            <w:shd w:val="clear" w:color="auto" w:fill="auto"/>
            <w:vAlign w:val="center"/>
          </w:tcPr>
          <w:p w14:paraId="1B782185">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3E3A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62902AA0">
            <w:pPr>
              <w:spacing w:line="240" w:lineRule="auto"/>
              <w:jc w:val="center"/>
              <w:rPr>
                <w:rFonts w:hint="eastAsia" w:ascii="宋体" w:hAnsi="宋体" w:eastAsia="宋体" w:cs="宋体"/>
                <w:color w:val="auto"/>
                <w:sz w:val="21"/>
                <w:szCs w:val="21"/>
                <w:highlight w:val="none"/>
              </w:rPr>
            </w:pPr>
          </w:p>
        </w:tc>
        <w:tc>
          <w:tcPr>
            <w:tcW w:w="1290" w:type="dxa"/>
            <w:shd w:val="clear" w:color="auto" w:fill="auto"/>
            <w:vAlign w:val="center"/>
          </w:tcPr>
          <w:p w14:paraId="1F604945">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技术路线选择</w:t>
            </w:r>
          </w:p>
        </w:tc>
        <w:tc>
          <w:tcPr>
            <w:tcW w:w="5817" w:type="dxa"/>
            <w:shd w:val="clear" w:color="auto" w:fill="auto"/>
            <w:vAlign w:val="center"/>
          </w:tcPr>
          <w:p w14:paraId="717DADEC">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提供的规划技术路线</w:t>
            </w:r>
            <w:r>
              <w:rPr>
                <w:rFonts w:hint="eastAsia" w:ascii="宋体" w:hAnsi="宋体" w:eastAsia="宋体" w:cs="宋体"/>
                <w:color w:val="auto"/>
                <w:sz w:val="21"/>
                <w:szCs w:val="21"/>
                <w:highlight w:val="none"/>
                <w:lang w:val="en-US" w:eastAsia="zh-CN"/>
              </w:rPr>
              <w:t>和研究方法选择</w:t>
            </w:r>
            <w:r>
              <w:rPr>
                <w:rFonts w:hint="eastAsia" w:ascii="宋体" w:hAnsi="宋体" w:eastAsia="宋体" w:cs="宋体"/>
                <w:color w:val="auto"/>
                <w:sz w:val="21"/>
                <w:szCs w:val="21"/>
                <w:highlight w:val="none"/>
              </w:rPr>
              <w:t>是否科学合理、是否切实可行，并具有创新性</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进行打分</w:t>
            </w:r>
            <w:r>
              <w:rPr>
                <w:rFonts w:hint="eastAsia" w:ascii="宋体" w:hAnsi="宋体" w:eastAsia="宋体" w:cs="宋体"/>
                <w:color w:val="auto"/>
                <w:sz w:val="21"/>
                <w:szCs w:val="21"/>
                <w:highlight w:val="none"/>
                <w:lang w:eastAsia="zh-CN"/>
              </w:rPr>
              <w:t>。</w:t>
            </w:r>
          </w:p>
          <w:p w14:paraId="1A9764A3">
            <w:pPr>
              <w:numPr>
                <w:ilvl w:val="0"/>
                <w:numId w:val="0"/>
              </w:numPr>
              <w:spacing w:line="240" w:lineRule="auto"/>
              <w:ind w:left="0" w:leftChars="0" w:firstLine="0" w:firstLineChars="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648" w:type="dxa"/>
            <w:shd w:val="clear" w:color="auto" w:fill="auto"/>
            <w:vAlign w:val="center"/>
          </w:tcPr>
          <w:p w14:paraId="32B8F181">
            <w:pPr>
              <w:autoSpaceDE w:val="0"/>
              <w:autoSpaceDN w:val="0"/>
              <w:adjustRightIn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48" w:type="dxa"/>
            <w:shd w:val="clear" w:color="auto" w:fill="auto"/>
            <w:vAlign w:val="center"/>
          </w:tcPr>
          <w:p w14:paraId="196B48FA">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648" w:type="dxa"/>
            <w:shd w:val="clear" w:color="auto" w:fill="auto"/>
            <w:vAlign w:val="center"/>
          </w:tcPr>
          <w:p w14:paraId="6E29E362">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11B1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1083" w:type="dxa"/>
            <w:vMerge w:val="continue"/>
            <w:vAlign w:val="center"/>
          </w:tcPr>
          <w:p w14:paraId="4FF0B399">
            <w:pPr>
              <w:spacing w:line="240" w:lineRule="auto"/>
              <w:jc w:val="center"/>
              <w:rPr>
                <w:rFonts w:hint="eastAsia" w:ascii="宋体" w:hAnsi="宋体" w:eastAsia="宋体" w:cs="宋体"/>
                <w:color w:val="auto"/>
                <w:sz w:val="21"/>
                <w:szCs w:val="21"/>
                <w:highlight w:val="none"/>
              </w:rPr>
            </w:pPr>
          </w:p>
        </w:tc>
        <w:tc>
          <w:tcPr>
            <w:tcW w:w="1290" w:type="dxa"/>
            <w:shd w:val="clear" w:color="auto" w:fill="auto"/>
            <w:vAlign w:val="center"/>
          </w:tcPr>
          <w:p w14:paraId="36CAB987">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研究重难点理解分析</w:t>
            </w:r>
          </w:p>
        </w:tc>
        <w:tc>
          <w:tcPr>
            <w:tcW w:w="5817" w:type="dxa"/>
            <w:shd w:val="clear" w:color="auto" w:fill="auto"/>
            <w:vAlign w:val="center"/>
          </w:tcPr>
          <w:p w14:paraId="764ED0F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根据投标人</w:t>
            </w:r>
            <w:r>
              <w:rPr>
                <w:rFonts w:hint="eastAsia" w:ascii="宋体" w:hAnsi="宋体" w:eastAsia="宋体" w:cs="宋体"/>
                <w:color w:val="auto"/>
                <w:sz w:val="21"/>
                <w:szCs w:val="21"/>
                <w:highlight w:val="none"/>
                <w:lang w:val="en-US" w:eastAsia="zh-CN"/>
              </w:rPr>
              <w:t>对</w:t>
            </w:r>
            <w:r>
              <w:rPr>
                <w:rFonts w:hint="eastAsia" w:ascii="宋体" w:hAnsi="宋体" w:eastAsia="宋体" w:cs="宋体"/>
                <w:color w:val="auto"/>
                <w:sz w:val="21"/>
                <w:szCs w:val="21"/>
                <w:highlight w:val="none"/>
              </w:rPr>
              <w:t>项目研究重点及难点问题的理解和把握，是否准确有深度</w:t>
            </w:r>
            <w:r>
              <w:rPr>
                <w:rFonts w:hint="eastAsia" w:ascii="宋体" w:hAnsi="宋体" w:eastAsia="宋体" w:cs="宋体"/>
                <w:color w:val="auto"/>
                <w:sz w:val="21"/>
                <w:szCs w:val="21"/>
                <w:highlight w:val="none"/>
                <w:lang w:val="en-US" w:eastAsia="zh-CN"/>
              </w:rPr>
              <w:t>等进行打分。</w:t>
            </w:r>
          </w:p>
          <w:p w14:paraId="78BE33BD">
            <w:pPr>
              <w:spacing w:line="240"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648" w:type="dxa"/>
            <w:shd w:val="clear" w:color="auto" w:fill="auto"/>
            <w:vAlign w:val="center"/>
          </w:tcPr>
          <w:p w14:paraId="503DB828">
            <w:pPr>
              <w:autoSpaceDE w:val="0"/>
              <w:autoSpaceDN w:val="0"/>
              <w:adjustRightIn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48" w:type="dxa"/>
            <w:shd w:val="clear" w:color="auto" w:fill="auto"/>
            <w:vAlign w:val="center"/>
          </w:tcPr>
          <w:p w14:paraId="7992D34A">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648" w:type="dxa"/>
            <w:shd w:val="clear" w:color="auto" w:fill="auto"/>
            <w:vAlign w:val="center"/>
          </w:tcPr>
          <w:p w14:paraId="44CEFF3A">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2D16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141C7014">
            <w:pPr>
              <w:spacing w:line="240" w:lineRule="auto"/>
              <w:jc w:val="center"/>
              <w:rPr>
                <w:rFonts w:hint="eastAsia" w:ascii="宋体" w:hAnsi="宋体" w:eastAsia="宋体" w:cs="宋体"/>
                <w:color w:val="auto"/>
                <w:sz w:val="21"/>
                <w:szCs w:val="21"/>
                <w:highlight w:val="none"/>
              </w:rPr>
            </w:pPr>
          </w:p>
        </w:tc>
        <w:tc>
          <w:tcPr>
            <w:tcW w:w="1290" w:type="dxa"/>
            <w:shd w:val="clear" w:color="auto" w:fill="auto"/>
            <w:vAlign w:val="center"/>
          </w:tcPr>
          <w:p w14:paraId="5711508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合理化建议</w:t>
            </w:r>
          </w:p>
        </w:tc>
        <w:tc>
          <w:tcPr>
            <w:tcW w:w="5817" w:type="dxa"/>
            <w:shd w:val="clear" w:color="auto" w:fill="auto"/>
            <w:vAlign w:val="center"/>
          </w:tcPr>
          <w:p w14:paraId="65367025">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对本项目</w:t>
            </w:r>
            <w:r>
              <w:rPr>
                <w:rFonts w:hint="eastAsia" w:ascii="宋体" w:hAnsi="宋体" w:eastAsia="宋体" w:cs="宋体"/>
                <w:color w:val="auto"/>
                <w:szCs w:val="21"/>
                <w:highlight w:val="none"/>
                <w:lang w:val="en-US" w:eastAsia="zh-CN"/>
              </w:rPr>
              <w:t>推进及实施</w:t>
            </w:r>
            <w:r>
              <w:rPr>
                <w:rFonts w:hint="eastAsia" w:ascii="宋体" w:hAnsi="宋体" w:eastAsia="宋体" w:cs="宋体"/>
                <w:color w:val="auto"/>
                <w:szCs w:val="21"/>
                <w:highlight w:val="none"/>
              </w:rPr>
              <w:t>的建议</w:t>
            </w:r>
            <w:r>
              <w:rPr>
                <w:rFonts w:hint="eastAsia" w:ascii="宋体" w:hAnsi="宋体" w:eastAsia="宋体" w:cs="宋体"/>
                <w:color w:val="auto"/>
                <w:szCs w:val="21"/>
                <w:highlight w:val="none"/>
                <w:lang w:val="en-US" w:eastAsia="zh-CN"/>
              </w:rPr>
              <w:t>是否实用、是否</w:t>
            </w:r>
            <w:r>
              <w:rPr>
                <w:rFonts w:hint="eastAsia" w:ascii="宋体" w:hAnsi="宋体" w:eastAsia="宋体" w:cs="宋体"/>
                <w:color w:val="auto"/>
                <w:szCs w:val="21"/>
                <w:highlight w:val="none"/>
              </w:rPr>
              <w:t>合理</w:t>
            </w:r>
            <w:r>
              <w:rPr>
                <w:rFonts w:hint="eastAsia" w:ascii="宋体" w:hAnsi="宋体" w:eastAsia="宋体" w:cs="宋体"/>
                <w:color w:val="auto"/>
                <w:szCs w:val="21"/>
                <w:highlight w:val="none"/>
                <w:lang w:val="en-US" w:eastAsia="zh-CN"/>
              </w:rPr>
              <w:t>可行</w:t>
            </w:r>
            <w:r>
              <w:rPr>
                <w:rFonts w:hint="eastAsia" w:ascii="宋体" w:hAnsi="宋体" w:eastAsia="宋体" w:cs="宋体"/>
                <w:color w:val="auto"/>
                <w:szCs w:val="21"/>
                <w:highlight w:val="none"/>
              </w:rPr>
              <w:t>进行打分。</w:t>
            </w:r>
          </w:p>
          <w:p w14:paraId="22078A4C">
            <w:pPr>
              <w:spacing w:line="240" w:lineRule="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648" w:type="dxa"/>
            <w:shd w:val="clear" w:color="auto" w:fill="auto"/>
            <w:vAlign w:val="center"/>
          </w:tcPr>
          <w:p w14:paraId="76193B2B">
            <w:pPr>
              <w:autoSpaceDE w:val="0"/>
              <w:autoSpaceDN w:val="0"/>
              <w:adjustRightIn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48" w:type="dxa"/>
            <w:shd w:val="clear" w:color="auto" w:fill="auto"/>
            <w:vAlign w:val="center"/>
          </w:tcPr>
          <w:p w14:paraId="76D5205B">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648" w:type="dxa"/>
            <w:shd w:val="clear" w:color="auto" w:fill="auto"/>
            <w:vAlign w:val="center"/>
          </w:tcPr>
          <w:p w14:paraId="3FA8028A">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40AF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131D68E0">
            <w:pPr>
              <w:spacing w:line="240" w:lineRule="auto"/>
              <w:jc w:val="center"/>
              <w:rPr>
                <w:rFonts w:hint="eastAsia" w:ascii="宋体" w:hAnsi="宋体" w:eastAsia="宋体" w:cs="宋体"/>
                <w:color w:val="auto"/>
                <w:sz w:val="21"/>
                <w:szCs w:val="21"/>
                <w:highlight w:val="none"/>
              </w:rPr>
            </w:pPr>
          </w:p>
        </w:tc>
        <w:tc>
          <w:tcPr>
            <w:tcW w:w="1290" w:type="dxa"/>
            <w:shd w:val="clear" w:color="auto" w:fill="auto"/>
            <w:vAlign w:val="center"/>
          </w:tcPr>
          <w:p w14:paraId="03435C8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计划安排</w:t>
            </w:r>
          </w:p>
        </w:tc>
        <w:tc>
          <w:tcPr>
            <w:tcW w:w="5817" w:type="dxa"/>
            <w:shd w:val="clear" w:color="auto" w:fill="auto"/>
            <w:vAlign w:val="center"/>
          </w:tcPr>
          <w:p w14:paraId="43FF14A4">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根据投标人制定的整体计划安排，包括但不限于对项目整体工作阶段及任务划分、进度控制是否合理、关键时间节点把握是否符合要求、进度保证措施等内容进行打分。</w:t>
            </w:r>
          </w:p>
          <w:p w14:paraId="7D665251">
            <w:pPr>
              <w:spacing w:line="240"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一档得5分；二档得4.5分；三档得4分；四档得3.5分；五档得3分；六档得2.5分；七档得2分；八档得1.5分；九档得1分；未提及此项不得分。</w:t>
            </w:r>
          </w:p>
        </w:tc>
        <w:tc>
          <w:tcPr>
            <w:tcW w:w="648" w:type="dxa"/>
            <w:shd w:val="clear" w:color="auto" w:fill="auto"/>
            <w:vAlign w:val="center"/>
          </w:tcPr>
          <w:p w14:paraId="6E6F9443">
            <w:pPr>
              <w:autoSpaceDE w:val="0"/>
              <w:autoSpaceDN w:val="0"/>
              <w:adjustRightIn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48" w:type="dxa"/>
            <w:shd w:val="clear" w:color="auto" w:fill="auto"/>
            <w:vAlign w:val="center"/>
          </w:tcPr>
          <w:p w14:paraId="1FE3F954">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648" w:type="dxa"/>
            <w:shd w:val="clear" w:color="auto" w:fill="auto"/>
            <w:vAlign w:val="center"/>
          </w:tcPr>
          <w:p w14:paraId="72ED1EC1">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7F7F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3C84D6CF">
            <w:pPr>
              <w:spacing w:line="240" w:lineRule="auto"/>
              <w:jc w:val="center"/>
              <w:rPr>
                <w:rFonts w:hint="eastAsia" w:ascii="宋体" w:hAnsi="宋体" w:eastAsia="宋体" w:cs="宋体"/>
                <w:color w:val="auto"/>
                <w:sz w:val="21"/>
                <w:szCs w:val="21"/>
                <w:highlight w:val="none"/>
              </w:rPr>
            </w:pPr>
          </w:p>
        </w:tc>
        <w:tc>
          <w:tcPr>
            <w:tcW w:w="1290" w:type="dxa"/>
            <w:shd w:val="clear" w:color="auto" w:fill="auto"/>
            <w:vAlign w:val="center"/>
          </w:tcPr>
          <w:p w14:paraId="599C6519">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质量保障</w:t>
            </w:r>
          </w:p>
        </w:tc>
        <w:tc>
          <w:tcPr>
            <w:tcW w:w="5817" w:type="dxa"/>
            <w:shd w:val="clear" w:color="auto" w:fill="auto"/>
            <w:vAlign w:val="center"/>
          </w:tcPr>
          <w:p w14:paraId="5EE115B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根据投标人提供的</w:t>
            </w:r>
            <w:r>
              <w:rPr>
                <w:rFonts w:hint="eastAsia" w:ascii="宋体" w:hAnsi="宋体" w:eastAsia="宋体" w:cs="宋体"/>
                <w:color w:val="auto"/>
                <w:sz w:val="21"/>
                <w:szCs w:val="21"/>
                <w:highlight w:val="none"/>
              </w:rPr>
              <w:t>质量保证措施是否完备周全，是否具有针对性应对措施</w:t>
            </w:r>
            <w:r>
              <w:rPr>
                <w:rFonts w:hint="eastAsia" w:ascii="宋体" w:hAnsi="宋体" w:eastAsia="宋体" w:cs="宋体"/>
                <w:color w:val="auto"/>
                <w:sz w:val="21"/>
                <w:szCs w:val="21"/>
                <w:highlight w:val="none"/>
                <w:lang w:val="en-US" w:eastAsia="zh-CN"/>
              </w:rPr>
              <w:t>等进行打分</w:t>
            </w:r>
            <w:r>
              <w:rPr>
                <w:rFonts w:hint="eastAsia" w:ascii="宋体" w:hAnsi="宋体" w:eastAsia="宋体" w:cs="宋体"/>
                <w:color w:val="auto"/>
                <w:sz w:val="21"/>
                <w:szCs w:val="21"/>
                <w:highlight w:val="none"/>
              </w:rPr>
              <w:t>。</w:t>
            </w:r>
          </w:p>
          <w:p w14:paraId="57283839">
            <w:pPr>
              <w:spacing w:line="240" w:lineRule="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一档得5分；二档得4.5分；三档得4分；四档得3.5分；五档得3分；六档得2.5分；七档得2分；八档得1.5分；九档得1分；未提及此项不得分。</w:t>
            </w:r>
          </w:p>
        </w:tc>
        <w:tc>
          <w:tcPr>
            <w:tcW w:w="648" w:type="dxa"/>
            <w:shd w:val="clear" w:color="auto" w:fill="auto"/>
            <w:vAlign w:val="center"/>
          </w:tcPr>
          <w:p w14:paraId="67ED410C">
            <w:pPr>
              <w:autoSpaceDE w:val="0"/>
              <w:autoSpaceDN w:val="0"/>
              <w:adjustRightIn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48" w:type="dxa"/>
            <w:shd w:val="clear" w:color="auto" w:fill="auto"/>
            <w:vAlign w:val="center"/>
          </w:tcPr>
          <w:p w14:paraId="17501E3C">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648" w:type="dxa"/>
            <w:shd w:val="clear" w:color="auto" w:fill="auto"/>
            <w:vAlign w:val="center"/>
          </w:tcPr>
          <w:p w14:paraId="1D02C24D">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4E06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vAlign w:val="center"/>
          </w:tcPr>
          <w:p w14:paraId="2BE1800F">
            <w:pPr>
              <w:spacing w:line="240" w:lineRule="auto"/>
              <w:jc w:val="center"/>
              <w:rPr>
                <w:rFonts w:hint="eastAsia" w:ascii="宋体" w:hAnsi="宋体" w:eastAsia="宋体" w:cs="宋体"/>
                <w:color w:val="auto"/>
                <w:sz w:val="21"/>
                <w:szCs w:val="21"/>
                <w:highlight w:val="none"/>
              </w:rPr>
            </w:pPr>
          </w:p>
        </w:tc>
        <w:tc>
          <w:tcPr>
            <w:tcW w:w="1290" w:type="dxa"/>
            <w:shd w:val="clear" w:color="auto" w:fill="auto"/>
            <w:vAlign w:val="center"/>
          </w:tcPr>
          <w:p w14:paraId="7456A502">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保密措施</w:t>
            </w:r>
          </w:p>
        </w:tc>
        <w:tc>
          <w:tcPr>
            <w:tcW w:w="5817" w:type="dxa"/>
            <w:shd w:val="clear" w:color="auto" w:fill="auto"/>
            <w:vAlign w:val="center"/>
          </w:tcPr>
          <w:p w14:paraId="7298169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是否有具体保密措施，使得各种档案资料不被泄露等情况进行打分。</w:t>
            </w:r>
          </w:p>
          <w:p w14:paraId="51409E7D">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lang w:val="en-US" w:eastAsia="zh-CN"/>
              </w:rPr>
              <w:t>一档得3分；二档得2分；三档得1分；未提及此项不得分。</w:t>
            </w:r>
          </w:p>
        </w:tc>
        <w:tc>
          <w:tcPr>
            <w:tcW w:w="648" w:type="dxa"/>
            <w:shd w:val="clear" w:color="auto" w:fill="auto"/>
            <w:vAlign w:val="center"/>
          </w:tcPr>
          <w:p w14:paraId="05A53315">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648" w:type="dxa"/>
            <w:shd w:val="clear" w:color="auto" w:fill="auto"/>
            <w:vAlign w:val="center"/>
          </w:tcPr>
          <w:p w14:paraId="7F3FDE6B">
            <w:pPr>
              <w:spacing w:line="240" w:lineRule="auto"/>
              <w:jc w:val="center"/>
              <w:rPr>
                <w:rFonts w:hint="eastAsia" w:ascii="宋体" w:hAnsi="宋体" w:eastAsia="宋体" w:cs="宋体"/>
                <w:color w:val="auto"/>
                <w:sz w:val="21"/>
                <w:szCs w:val="21"/>
                <w:highlight w:val="none"/>
                <w:lang w:val="en-US" w:eastAsia="zh-CN"/>
              </w:rPr>
            </w:pPr>
          </w:p>
        </w:tc>
        <w:tc>
          <w:tcPr>
            <w:tcW w:w="648" w:type="dxa"/>
            <w:shd w:val="clear" w:color="auto" w:fill="auto"/>
            <w:vAlign w:val="center"/>
          </w:tcPr>
          <w:p w14:paraId="63734BFD">
            <w:pPr>
              <w:spacing w:line="240" w:lineRule="auto"/>
              <w:jc w:val="center"/>
              <w:rPr>
                <w:rFonts w:hint="eastAsia" w:ascii="宋体" w:hAnsi="宋体" w:eastAsia="宋体" w:cs="宋体"/>
                <w:color w:val="auto"/>
                <w:sz w:val="21"/>
                <w:szCs w:val="21"/>
                <w:highlight w:val="none"/>
                <w:lang w:val="en-US" w:eastAsia="zh-CN"/>
              </w:rPr>
            </w:pPr>
          </w:p>
        </w:tc>
      </w:tr>
    </w:tbl>
    <w:p w14:paraId="5EDB65F1">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41B0563">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附件6：       </w:t>
      </w:r>
    </w:p>
    <w:p w14:paraId="4011E26F">
      <w:pPr>
        <w:pStyle w:val="42"/>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rPr>
        <w:t>供应商基本情况表</w:t>
      </w:r>
    </w:p>
    <w:tbl>
      <w:tblPr>
        <w:tblStyle w:val="2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1418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tcPr>
          <w:p w14:paraId="2305E6D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tcPr>
          <w:p w14:paraId="594E29D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tcPr>
          <w:p w14:paraId="1D2CC5B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法定代表人代表</w:t>
            </w:r>
          </w:p>
        </w:tc>
        <w:tc>
          <w:tcPr>
            <w:tcW w:w="2151" w:type="dxa"/>
            <w:gridSpan w:val="2"/>
          </w:tcPr>
          <w:p w14:paraId="7C5D92A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28D0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tcPr>
          <w:p w14:paraId="548139A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tcPr>
          <w:p w14:paraId="3F3B9E3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Pr>
          <w:p w14:paraId="3F73264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0302C79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021D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tcPr>
          <w:p w14:paraId="655C1FE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tcPr>
          <w:p w14:paraId="6CD78A0B">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tcPr>
          <w:p w14:paraId="3B4AA41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tcPr>
          <w:p w14:paraId="1D901B9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68B81B9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Pr>
          <w:p w14:paraId="352DF26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1E867BAC">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74C6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tcPr>
          <w:p w14:paraId="07996984">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tcPr>
          <w:p w14:paraId="178BB93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tcPr>
          <w:p w14:paraId="49707832">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tcPr>
          <w:p w14:paraId="045EC0D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7E7A3287">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tcPr>
          <w:p w14:paraId="0FD5CDF2">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5D86EBD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3427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tcPr>
          <w:p w14:paraId="4499DAAE">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tcPr>
          <w:p w14:paraId="0F1073C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tcPr>
          <w:p w14:paraId="133D251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tcPr>
          <w:p w14:paraId="5E9C27DE">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tcPr>
          <w:p w14:paraId="736CD1C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tcPr>
          <w:p w14:paraId="3A0C1E6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3B1D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tcPr>
          <w:p w14:paraId="2701CF6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706A7A3F">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65188F83">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58E31639">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6358E8CB">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tcPr>
          <w:p w14:paraId="03B51A44">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tcPr>
          <w:p w14:paraId="2174518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tcPr>
          <w:p w14:paraId="34BF9224">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tcPr>
          <w:p w14:paraId="2DA51012">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0350B82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35A1426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tcPr>
          <w:p w14:paraId="63BC215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tcPr>
          <w:p w14:paraId="46016E9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5B2B425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21E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tcPr>
          <w:p w14:paraId="366C5F10">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tcPr>
          <w:p w14:paraId="460289AC">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tcPr>
          <w:p w14:paraId="6D4376A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tcPr>
          <w:p w14:paraId="5323F70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1F5ABB3D">
            <w:pPr>
              <w:pStyle w:val="42"/>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3AE277D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4C65A96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40B07349">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3495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tcPr>
          <w:p w14:paraId="2DB09B82">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tcPr>
          <w:p w14:paraId="3E1AFED6">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tcPr>
          <w:p w14:paraId="48F315E4">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tcPr>
          <w:p w14:paraId="13AA26FB">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7335C2E7">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Cs w:val="21"/>
                <w:highlight w:val="none"/>
              </w:rPr>
            </w:pPr>
          </w:p>
          <w:p w14:paraId="1F9ABC71">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tcPr>
          <w:p w14:paraId="4E196BB2">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344F1B2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6D71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tcPr>
          <w:p w14:paraId="12A31779">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tcPr>
          <w:p w14:paraId="15568B02">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tcPr>
          <w:p w14:paraId="7385D77E">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7618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tcPr>
          <w:p w14:paraId="2F11D28C">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tcPr>
          <w:p w14:paraId="402B7082">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13C5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tcPr>
          <w:p w14:paraId="38FC0F3D">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39CD7538">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tcPr>
          <w:p w14:paraId="59F52BD2">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tcPr>
          <w:p w14:paraId="2855F2F8">
            <w:pPr>
              <w:pStyle w:val="42"/>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4EE3B1CC">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3B71AD72">
            <w:pPr>
              <w:pStyle w:val="42"/>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11EA8AB8">
            <w:pPr>
              <w:pStyle w:val="42"/>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0213B44C">
            <w:pPr>
              <w:pStyle w:val="42"/>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3D87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tcPr>
          <w:p w14:paraId="164D01B7">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tcPr>
          <w:p w14:paraId="2370F61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tcPr>
          <w:p w14:paraId="7F11994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tcPr>
          <w:p w14:paraId="797F1ED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tcPr>
          <w:p w14:paraId="777E3ABE">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tcPr>
          <w:p w14:paraId="6E733BF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6C23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tcPr>
          <w:p w14:paraId="71EFD0C1">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tcPr>
          <w:p w14:paraId="6A21DCA6">
            <w:pPr>
              <w:pStyle w:val="42"/>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tcPr>
          <w:p w14:paraId="355E9E8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A25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tcPr>
          <w:p w14:paraId="3F4E2F35">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tcPr>
          <w:p w14:paraId="52153CD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tcPr>
          <w:p w14:paraId="7AFC9F8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09E2B414">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3874A859">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7E42A2A1">
      <w:pPr>
        <w:pStyle w:val="42"/>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0F083F86">
      <w:pPr>
        <w:keepNext w:val="0"/>
        <w:keepLines w:val="0"/>
        <w:pageBreakBefore w:val="0"/>
        <w:kinsoku/>
        <w:overflowPunct/>
        <w:topLinePunct w:val="0"/>
        <w:bidi w:val="0"/>
        <w:outlineLvl w:val="9"/>
        <w:rPr>
          <w:rFonts w:hint="eastAsia" w:ascii="宋体" w:hAnsi="宋体" w:eastAsia="宋体" w:cs="宋体"/>
          <w:color w:val="auto"/>
          <w:szCs w:val="21"/>
          <w:highlight w:val="none"/>
        </w:rPr>
      </w:pPr>
    </w:p>
    <w:p w14:paraId="64F8D6A8">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4EBC1F41">
      <w:pPr>
        <w:keepNext w:val="0"/>
        <w:keepLines w:val="0"/>
        <w:pageBreakBefore w:val="0"/>
        <w:kinsoku/>
        <w:overflowPunct/>
        <w:topLinePunct w:val="0"/>
        <w:bidi w:val="0"/>
        <w:ind w:left="420"/>
        <w:outlineLvl w:val="9"/>
        <w:rPr>
          <w:rFonts w:hint="eastAsia" w:ascii="宋体" w:hAnsi="宋体" w:eastAsia="宋体" w:cs="宋体"/>
          <w:color w:val="auto"/>
          <w:szCs w:val="21"/>
          <w:highlight w:val="none"/>
        </w:rPr>
      </w:pPr>
    </w:p>
    <w:p w14:paraId="5D1ACF55">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15E39E3D">
      <w:pPr>
        <w:keepNext w:val="0"/>
        <w:keepLines w:val="0"/>
        <w:pageBreakBefore w:val="0"/>
        <w:kinsoku/>
        <w:overflowPunct/>
        <w:topLinePunct w:val="0"/>
        <w:bidi w:val="0"/>
        <w:ind w:firstLine="435"/>
        <w:outlineLvl w:val="9"/>
        <w:rPr>
          <w:rFonts w:hint="eastAsia" w:ascii="宋体" w:hAnsi="宋体" w:eastAsia="宋体" w:cs="宋体"/>
          <w:color w:val="auto"/>
          <w:szCs w:val="21"/>
          <w:highlight w:val="none"/>
        </w:rPr>
      </w:pPr>
    </w:p>
    <w:p w14:paraId="377C924C">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7EAFDF4D">
      <w:pPr>
        <w:keepNext w:val="0"/>
        <w:keepLines w:val="0"/>
        <w:pageBreakBefore w:val="0"/>
        <w:kinsoku/>
        <w:overflowPunct/>
        <w:topLinePunct w:val="0"/>
        <w:bidi w:val="0"/>
        <w:outlineLvl w:val="9"/>
        <w:rPr>
          <w:rFonts w:hint="eastAsia" w:ascii="宋体" w:hAnsi="宋体" w:eastAsia="宋体" w:cs="宋体"/>
          <w:color w:val="auto"/>
          <w:szCs w:val="21"/>
          <w:highlight w:val="none"/>
        </w:rPr>
      </w:pPr>
    </w:p>
    <w:p w14:paraId="65A32335">
      <w:pPr>
        <w:pStyle w:val="42"/>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A2CFA2D">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2DD284E">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rPr>
      </w:pPr>
      <w:r>
        <w:rPr>
          <w:rFonts w:hint="eastAsia" w:ascii="宋体" w:hAnsi="宋体" w:eastAsia="宋体" w:cs="宋体"/>
          <w:b/>
          <w:color w:val="auto"/>
          <w:sz w:val="28"/>
          <w:highlight w:val="none"/>
        </w:rPr>
        <w:t>附件7</w:t>
      </w:r>
    </w:p>
    <w:p w14:paraId="6FFA6CBA">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570169FA">
      <w:pPr>
        <w:keepNext w:val="0"/>
        <w:keepLines w:val="0"/>
        <w:pageBreakBefore w:val="0"/>
        <w:kinsoku/>
        <w:overflowPunct/>
        <w:topLinePunct w:val="0"/>
        <w:bidi w:val="0"/>
        <w:snapToGrid w:val="0"/>
        <w:spacing w:before="156"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2"/>
        <w:tblW w:w="9175" w:type="dxa"/>
        <w:tblInd w:w="-42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880"/>
        <w:gridCol w:w="921"/>
        <w:gridCol w:w="857"/>
        <w:gridCol w:w="1586"/>
        <w:gridCol w:w="1221"/>
        <w:gridCol w:w="1436"/>
        <w:gridCol w:w="1536"/>
      </w:tblGrid>
      <w:tr w14:paraId="7BF41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vAlign w:val="center"/>
          </w:tcPr>
          <w:p w14:paraId="649FBDA9">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80" w:type="dxa"/>
            <w:tcBorders>
              <w:top w:val="single" w:color="auto" w:sz="4" w:space="0"/>
              <w:left w:val="single" w:color="auto" w:sz="4" w:space="0"/>
              <w:bottom w:val="single" w:color="auto" w:sz="4" w:space="0"/>
              <w:right w:val="single" w:color="auto" w:sz="4" w:space="0"/>
            </w:tcBorders>
            <w:vAlign w:val="center"/>
          </w:tcPr>
          <w:p w14:paraId="3CC359CE">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姓名</w:t>
            </w:r>
          </w:p>
        </w:tc>
        <w:tc>
          <w:tcPr>
            <w:tcW w:w="921" w:type="dxa"/>
            <w:tcBorders>
              <w:top w:val="single" w:color="auto" w:sz="4" w:space="0"/>
              <w:left w:val="single" w:color="auto" w:sz="4" w:space="0"/>
              <w:bottom w:val="single" w:color="auto" w:sz="4" w:space="0"/>
              <w:right w:val="single" w:color="auto" w:sz="4" w:space="0"/>
            </w:tcBorders>
            <w:vAlign w:val="center"/>
          </w:tcPr>
          <w:p w14:paraId="4A16C826">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职务</w:t>
            </w:r>
          </w:p>
        </w:tc>
        <w:tc>
          <w:tcPr>
            <w:tcW w:w="857" w:type="dxa"/>
            <w:tcBorders>
              <w:top w:val="single" w:color="auto" w:sz="4" w:space="0"/>
              <w:left w:val="single" w:color="auto" w:sz="4" w:space="0"/>
              <w:bottom w:val="single" w:color="auto" w:sz="4" w:space="0"/>
              <w:right w:val="single" w:color="auto" w:sz="4" w:space="0"/>
            </w:tcBorders>
            <w:vAlign w:val="center"/>
          </w:tcPr>
          <w:p w14:paraId="5AA447AD">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职责</w:t>
            </w:r>
          </w:p>
        </w:tc>
        <w:tc>
          <w:tcPr>
            <w:tcW w:w="1586" w:type="dxa"/>
            <w:tcBorders>
              <w:top w:val="single" w:color="auto" w:sz="4" w:space="0"/>
              <w:left w:val="single" w:color="auto" w:sz="4" w:space="0"/>
              <w:bottom w:val="single" w:color="auto" w:sz="4" w:space="0"/>
              <w:right w:val="single" w:color="auto" w:sz="4" w:space="0"/>
            </w:tcBorders>
            <w:vAlign w:val="center"/>
          </w:tcPr>
          <w:p w14:paraId="5C87F66A">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专业技术资格</w:t>
            </w:r>
          </w:p>
        </w:tc>
        <w:tc>
          <w:tcPr>
            <w:tcW w:w="1221" w:type="dxa"/>
            <w:tcBorders>
              <w:top w:val="single" w:color="auto" w:sz="4" w:space="0"/>
              <w:left w:val="single" w:color="auto" w:sz="4" w:space="0"/>
              <w:bottom w:val="single" w:color="auto" w:sz="4" w:space="0"/>
              <w:right w:val="single" w:color="auto" w:sz="4" w:space="0"/>
            </w:tcBorders>
            <w:vAlign w:val="center"/>
          </w:tcPr>
          <w:p w14:paraId="742C172A">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证书编号</w:t>
            </w:r>
          </w:p>
        </w:tc>
        <w:tc>
          <w:tcPr>
            <w:tcW w:w="1436" w:type="dxa"/>
            <w:tcBorders>
              <w:top w:val="single" w:color="auto" w:sz="4" w:space="0"/>
              <w:left w:val="single" w:color="auto" w:sz="4" w:space="0"/>
              <w:bottom w:val="single" w:color="auto" w:sz="4" w:space="0"/>
              <w:right w:val="single" w:color="auto" w:sz="4" w:space="0"/>
            </w:tcBorders>
            <w:vAlign w:val="center"/>
          </w:tcPr>
          <w:p w14:paraId="7A1F2E48">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参加本单位工作时间</w:t>
            </w:r>
          </w:p>
        </w:tc>
        <w:tc>
          <w:tcPr>
            <w:tcW w:w="1536" w:type="dxa"/>
            <w:tcBorders>
              <w:top w:val="single" w:color="auto" w:sz="4" w:space="0"/>
              <w:left w:val="single" w:color="auto" w:sz="4" w:space="0"/>
              <w:bottom w:val="single" w:color="auto" w:sz="4" w:space="0"/>
            </w:tcBorders>
            <w:vAlign w:val="center"/>
          </w:tcPr>
          <w:p w14:paraId="3A1D1475">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劳动合同编号</w:t>
            </w:r>
          </w:p>
        </w:tc>
      </w:tr>
      <w:tr w14:paraId="2FC5D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2AA48F3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1FD6CE6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16C426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41320D8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74517FD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1FB3037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664342A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177A1BC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261EF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63827C6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1033061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A8DFF0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6979941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527B2D3C">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56A7F91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49BC192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350EC88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1FC13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42076D3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5CC015B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B64F5B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53B143C8">
            <w:pPr>
              <w:pStyle w:val="12"/>
              <w:keepNext w:val="0"/>
              <w:keepLines w:val="0"/>
              <w:pageBreakBefore w:val="0"/>
              <w:kinsoku/>
              <w:overflowPunct/>
              <w:topLinePunct w:val="0"/>
              <w:bidi w:val="0"/>
              <w:snapToGrid w:val="0"/>
              <w:spacing w:before="156" w:beforeLines="50" w:after="50" w:line="360" w:lineRule="auto"/>
              <w:ind w:left="5250"/>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5F737326">
            <w:pPr>
              <w:pStyle w:val="12"/>
              <w:keepNext w:val="0"/>
              <w:keepLines w:val="0"/>
              <w:pageBreakBefore w:val="0"/>
              <w:kinsoku/>
              <w:overflowPunct/>
              <w:topLinePunct w:val="0"/>
              <w:bidi w:val="0"/>
              <w:snapToGrid w:val="0"/>
              <w:spacing w:before="156" w:beforeLines="50" w:after="50" w:line="360" w:lineRule="auto"/>
              <w:ind w:left="5250"/>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7EC0297A">
            <w:pPr>
              <w:pStyle w:val="12"/>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740EA89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1536" w:type="dxa"/>
            <w:tcBorders>
              <w:top w:val="single" w:color="auto" w:sz="4" w:space="0"/>
              <w:left w:val="single" w:color="auto" w:sz="4" w:space="0"/>
              <w:bottom w:val="single" w:color="auto" w:sz="4" w:space="0"/>
            </w:tcBorders>
          </w:tcPr>
          <w:p w14:paraId="7723931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658D2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350CC52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34DC218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DB887F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238E974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283F957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A05EDC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5B7A3D9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0D841F8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549DC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1322C7D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6FD5381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174D2D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2912097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06656A0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47D7987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14BC2AA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04FB353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22A99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0F023AC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0BD4D3AC">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CA498E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1A67D31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490AF15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35ABF46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663C25D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6739901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0C85C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0B0F1ED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567BD5E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775D7BB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4E4E719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184D293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0156B0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2D29C32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03B3134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06188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321E36B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6E223D4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D5B37C0">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7CBEF44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5C3A849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6F6FCCA9">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18A3A27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1A32B82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bl>
    <w:p w14:paraId="45C21D3F">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2B1A3376">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color w:val="auto"/>
          <w:szCs w:val="21"/>
          <w:highlight w:val="none"/>
        </w:rPr>
        <w:t>在填写时，如本表格不适合投标单位的实际情况，可根据本表格式自行划表填写。</w:t>
      </w:r>
    </w:p>
    <w:p w14:paraId="5B983864">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附人员证书复印件；</w:t>
      </w:r>
    </w:p>
    <w:p w14:paraId="514B1C5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出具上述人员在本单位服务的外部证明。</w:t>
      </w:r>
    </w:p>
    <w:p w14:paraId="747A496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346B4C4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CA0323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6F47230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2B02824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6CC3B08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490C8ED7">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 w:val="24"/>
          <w:highlight w:val="none"/>
          <w:u w:val="single"/>
        </w:rPr>
        <w:t xml:space="preserve">   </w:t>
      </w:r>
    </w:p>
    <w:p w14:paraId="12734A5A">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27D6169">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附件8：</w:t>
      </w:r>
    </w:p>
    <w:p w14:paraId="5D087652">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0AAE198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采购项目：采购编号：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51A4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262B6820">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3C60819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43CE76B6">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30F9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D39277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7EB7185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60123192">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注：业绩证明应提供旁证材料</w:t>
            </w:r>
          </w:p>
          <w:p w14:paraId="0AEB6D0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（供货合同或中标通知书）。</w:t>
            </w:r>
          </w:p>
        </w:tc>
      </w:tr>
      <w:tr w14:paraId="533E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81799E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6FE1E96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4741BA4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DF5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352ABC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503B72A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4EA969C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48F4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F9FA9B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07562065">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344B04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889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4867A6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6E32F42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B18985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124F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C43006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17840D2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4026381">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50A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2A07EC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3D3E253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9B3985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E92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22A15511">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6DDCB995">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0565C252">
      <w:pPr>
        <w:spacing w:line="360" w:lineRule="auto"/>
        <w:ind w:left="420"/>
        <w:rPr>
          <w:rFonts w:hint="eastAsia" w:ascii="宋体" w:hAnsi="宋体" w:eastAsia="宋体" w:cs="宋体"/>
          <w:color w:val="auto"/>
          <w:sz w:val="21"/>
          <w:szCs w:val="21"/>
          <w:highlight w:val="none"/>
        </w:rPr>
      </w:pPr>
    </w:p>
    <w:p w14:paraId="683BD1FB">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4A287C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2AD9FE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6C7058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39D4D9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0A971DE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383336">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02AB1EA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附件9：</w:t>
      </w:r>
    </w:p>
    <w:p w14:paraId="51548FF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1884189D">
      <w:pPr>
        <w:pStyle w:val="11"/>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项目名称及编号：</w:t>
      </w:r>
    </w:p>
    <w:tbl>
      <w:tblPr>
        <w:tblStyle w:val="22"/>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14:paraId="0EF746E5">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499CBE9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1E5B158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vAlign w:val="center"/>
          </w:tcPr>
          <w:p w14:paraId="2F0A8D6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257C872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7E222FF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偏离情况</w:t>
            </w:r>
          </w:p>
        </w:tc>
      </w:tr>
      <w:tr w14:paraId="0E9F0A12">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14:paraId="04535636">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0E1BD28A">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服务期限</w:t>
            </w:r>
          </w:p>
        </w:tc>
        <w:tc>
          <w:tcPr>
            <w:tcW w:w="2160" w:type="dxa"/>
            <w:tcBorders>
              <w:top w:val="single" w:color="auto" w:sz="4" w:space="0"/>
              <w:left w:val="single" w:color="auto" w:sz="4" w:space="0"/>
              <w:bottom w:val="single" w:color="auto" w:sz="4" w:space="0"/>
              <w:right w:val="single" w:color="auto" w:sz="4" w:space="0"/>
            </w:tcBorders>
          </w:tcPr>
          <w:p w14:paraId="3E7AF31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1585F3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3F1126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4A8E6C06">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39B41C84">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35EAAB9E">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tcPr>
          <w:p w14:paraId="253C0D2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DFB1EC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4BC900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4D3A708A">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0D5407AF">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D2C28D6">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160" w:type="dxa"/>
            <w:tcBorders>
              <w:top w:val="single" w:color="auto" w:sz="4" w:space="0"/>
              <w:left w:val="single" w:color="auto" w:sz="4" w:space="0"/>
              <w:bottom w:val="single" w:color="auto" w:sz="4" w:space="0"/>
              <w:right w:val="single" w:color="auto" w:sz="4" w:space="0"/>
            </w:tcBorders>
          </w:tcPr>
          <w:p w14:paraId="2183AAE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1A8539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BF8FBA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52AF8D97">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14:paraId="469DCC58">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3FE01225">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5B1322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A4D47F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BA1DFE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75898800">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5DDD21E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6674C44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2160" w:type="dxa"/>
            <w:tcBorders>
              <w:top w:val="single" w:color="auto" w:sz="4" w:space="0"/>
              <w:left w:val="single" w:color="auto" w:sz="4" w:space="0"/>
              <w:bottom w:val="single" w:color="auto" w:sz="4" w:space="0"/>
              <w:right w:val="single" w:color="auto" w:sz="4" w:space="0"/>
            </w:tcBorders>
            <w:vAlign w:val="center"/>
          </w:tcPr>
          <w:p w14:paraId="341BF04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7D353A9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磋商响应产品技术响应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352E2D9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r>
      <w:tr w14:paraId="4832FD79">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2915DCC7">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0D4583BC">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9EF49A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FA78C9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ED32C8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4BFC7657">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09D498B5">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0447FAD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E5C171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B5AAD1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C76C5D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1DA67EB2">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3D6D9A9">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50CC983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453CA7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D4586A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F888A7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58EED67E">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67C99BE0">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7F5DAF3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68FA23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DB744C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F3BB41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1FABF67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97ACADD">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9157F5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C29F24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C5BE4D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E789D4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6FC3528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7CFB35B1">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15F7004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C29AD9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3848959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6A6854E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15C70002">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0E981338">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44CC97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14898A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9AE373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46CBECE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bl>
    <w:p w14:paraId="49037223">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rPr>
      </w:pPr>
    </w:p>
    <w:p w14:paraId="6DA7EF90">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rPr>
      </w:pPr>
    </w:p>
    <w:p w14:paraId="7D805672">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532BAAAA">
      <w:pPr>
        <w:keepNext w:val="0"/>
        <w:keepLines w:val="0"/>
        <w:pageBreakBefore w:val="0"/>
        <w:kinsoku/>
        <w:overflowPunct/>
        <w:topLinePunct w:val="0"/>
        <w:bidi w:val="0"/>
        <w:ind w:left="420"/>
        <w:outlineLvl w:val="9"/>
        <w:rPr>
          <w:rFonts w:hint="eastAsia" w:ascii="宋体" w:hAnsi="宋体" w:eastAsia="宋体" w:cs="宋体"/>
          <w:color w:val="auto"/>
          <w:szCs w:val="21"/>
          <w:highlight w:val="none"/>
        </w:rPr>
      </w:pPr>
    </w:p>
    <w:p w14:paraId="7C291DDF">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375C743">
      <w:pPr>
        <w:keepNext w:val="0"/>
        <w:keepLines w:val="0"/>
        <w:pageBreakBefore w:val="0"/>
        <w:kinsoku/>
        <w:overflowPunct/>
        <w:topLinePunct w:val="0"/>
        <w:bidi w:val="0"/>
        <w:ind w:firstLine="435"/>
        <w:outlineLvl w:val="9"/>
        <w:rPr>
          <w:rFonts w:hint="eastAsia" w:ascii="宋体" w:hAnsi="宋体" w:eastAsia="宋体" w:cs="宋体"/>
          <w:color w:val="auto"/>
          <w:szCs w:val="21"/>
          <w:highlight w:val="none"/>
        </w:rPr>
      </w:pPr>
    </w:p>
    <w:p w14:paraId="69637EB5">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21A725EB">
      <w:pPr>
        <w:keepNext w:val="0"/>
        <w:keepLines w:val="0"/>
        <w:pageBreakBefore w:val="0"/>
        <w:kinsoku/>
        <w:overflowPunct/>
        <w:topLinePunct w:val="0"/>
        <w:bidi w:val="0"/>
        <w:outlineLvl w:val="9"/>
        <w:rPr>
          <w:rFonts w:hint="eastAsia" w:ascii="宋体" w:hAnsi="宋体" w:eastAsia="宋体" w:cs="宋体"/>
          <w:color w:val="auto"/>
          <w:szCs w:val="21"/>
          <w:highlight w:val="none"/>
        </w:rPr>
      </w:pPr>
    </w:p>
    <w:p w14:paraId="4FE06F28">
      <w:pPr>
        <w:pStyle w:val="42"/>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141D95E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36E6053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6B61CB9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08F79A3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060026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附件10：</w:t>
      </w:r>
    </w:p>
    <w:p w14:paraId="15F69AD0">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企业证书一览表</w:t>
      </w:r>
    </w:p>
    <w:p w14:paraId="73CBEA0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6AC263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2C529434">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证书名称</w:t>
            </w:r>
          </w:p>
        </w:tc>
        <w:tc>
          <w:tcPr>
            <w:tcW w:w="2258" w:type="dxa"/>
            <w:tcBorders>
              <w:top w:val="single" w:color="auto" w:sz="4" w:space="0"/>
              <w:bottom w:val="single" w:color="auto" w:sz="4" w:space="0"/>
            </w:tcBorders>
          </w:tcPr>
          <w:p w14:paraId="3B920A71">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发证单位</w:t>
            </w:r>
          </w:p>
        </w:tc>
        <w:tc>
          <w:tcPr>
            <w:tcW w:w="2260" w:type="dxa"/>
            <w:tcBorders>
              <w:top w:val="single" w:color="auto" w:sz="4" w:space="0"/>
              <w:bottom w:val="single" w:color="auto" w:sz="4" w:space="0"/>
            </w:tcBorders>
          </w:tcPr>
          <w:p w14:paraId="5FA3B07E">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证书等级</w:t>
            </w:r>
          </w:p>
        </w:tc>
        <w:tc>
          <w:tcPr>
            <w:tcW w:w="2047" w:type="dxa"/>
            <w:tcBorders>
              <w:top w:val="single" w:color="auto" w:sz="4" w:space="0"/>
              <w:bottom w:val="single" w:color="auto" w:sz="4" w:space="0"/>
              <w:right w:val="single" w:color="auto" w:sz="4" w:space="0"/>
            </w:tcBorders>
          </w:tcPr>
          <w:p w14:paraId="08002C89">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证书有效期</w:t>
            </w:r>
          </w:p>
        </w:tc>
      </w:tr>
      <w:tr w14:paraId="12DA3B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608CC52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Borders>
              <w:top w:val="single" w:color="auto" w:sz="4" w:space="0"/>
            </w:tcBorders>
          </w:tcPr>
          <w:p w14:paraId="7F4F7D39">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Borders>
              <w:top w:val="single" w:color="auto" w:sz="4" w:space="0"/>
            </w:tcBorders>
          </w:tcPr>
          <w:p w14:paraId="1BCFBBC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top w:val="single" w:color="auto" w:sz="4" w:space="0"/>
              <w:right w:val="single" w:color="auto" w:sz="4" w:space="0"/>
            </w:tcBorders>
          </w:tcPr>
          <w:p w14:paraId="19C0B6C8">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745BF9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2ADFFF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0209FB5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18F7C31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3E752DA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697404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AE72AD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6A47E9C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43FAC293">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4C9DDAE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643FAB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058368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1A774C4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10B012B3">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173F36F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67B36A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8F728B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57F9B91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055087E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59FB4D7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7059FF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20BEE6E">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2E0785B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106A1C8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637A334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21393F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6BA3DEA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Borders>
              <w:bottom w:val="single" w:color="auto" w:sz="4" w:space="0"/>
            </w:tcBorders>
          </w:tcPr>
          <w:p w14:paraId="709D7F3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Borders>
              <w:bottom w:val="single" w:color="auto" w:sz="4" w:space="0"/>
            </w:tcBorders>
          </w:tcPr>
          <w:p w14:paraId="4C7A265E">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bottom w:val="single" w:color="auto" w:sz="4" w:space="0"/>
              <w:right w:val="single" w:color="auto" w:sz="4" w:space="0"/>
            </w:tcBorders>
          </w:tcPr>
          <w:p w14:paraId="606D0138">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bl>
    <w:p w14:paraId="4B43EC00">
      <w:pPr>
        <w:pStyle w:val="46"/>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Cs w:val="21"/>
          <w:highlight w:val="none"/>
        </w:rPr>
      </w:pPr>
    </w:p>
    <w:p w14:paraId="355850EC">
      <w:pPr>
        <w:pStyle w:val="46"/>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要求：</w:t>
      </w:r>
    </w:p>
    <w:p w14:paraId="72F8B61B">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填写磋商供应商获得资质、认证或企业信誉证书。</w:t>
      </w:r>
    </w:p>
    <w:p w14:paraId="7EEF01E4">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附所列证书复印件或其他证明材料。</w:t>
      </w:r>
    </w:p>
    <w:p w14:paraId="4DE54E54">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Cs w:val="21"/>
          <w:highlight w:val="none"/>
        </w:rPr>
      </w:pPr>
    </w:p>
    <w:p w14:paraId="377174AB">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3289B1AB">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4A25F6E8">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7862EE62">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46216F4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07FC61EE">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2C8DA2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7D26F0A9">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63C557B7">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p w14:paraId="748DE2F2">
      <w:pPr>
        <w:pStyle w:val="42"/>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6E9816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0848AC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AC670A2">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A7DC20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附件11:</w:t>
      </w:r>
    </w:p>
    <w:p w14:paraId="3B5098AB">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675B84FE">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2"/>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2B38C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vAlign w:val="center"/>
          </w:tcPr>
          <w:p w14:paraId="0B9BC068">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vAlign w:val="center"/>
          </w:tcPr>
          <w:p w14:paraId="631DD23F">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vAlign w:val="center"/>
          </w:tcPr>
          <w:p w14:paraId="5824B356">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vAlign w:val="center"/>
          </w:tcPr>
          <w:p w14:paraId="6CFE55F5">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vAlign w:val="center"/>
          </w:tcPr>
          <w:p w14:paraId="7D0F5E94">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vAlign w:val="center"/>
          </w:tcPr>
          <w:p w14:paraId="634E3BD6">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vAlign w:val="center"/>
          </w:tcPr>
          <w:p w14:paraId="19DCC804">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项目单位名称及其联系人电话</w:t>
            </w:r>
          </w:p>
        </w:tc>
      </w:tr>
      <w:tr w14:paraId="591A6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tcPr>
          <w:p w14:paraId="13A26B70">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09" w:type="dxa"/>
            <w:tcBorders>
              <w:top w:val="single" w:color="auto" w:sz="6" w:space="0"/>
              <w:left w:val="single" w:color="auto" w:sz="6" w:space="0"/>
              <w:bottom w:val="single" w:color="auto" w:sz="6" w:space="0"/>
              <w:right w:val="single" w:color="auto" w:sz="6" w:space="0"/>
            </w:tcBorders>
          </w:tcPr>
          <w:p w14:paraId="2505202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02FD49BB">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04255BE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11CE8E1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6E85B0B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47F7205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3C6DA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tcPr>
          <w:p w14:paraId="7F2D64D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09" w:type="dxa"/>
            <w:tcBorders>
              <w:top w:val="single" w:color="auto" w:sz="6" w:space="0"/>
              <w:left w:val="single" w:color="auto" w:sz="6" w:space="0"/>
              <w:bottom w:val="single" w:color="auto" w:sz="6" w:space="0"/>
              <w:right w:val="single" w:color="auto" w:sz="6" w:space="0"/>
            </w:tcBorders>
          </w:tcPr>
          <w:p w14:paraId="07D7CDD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3BF6BC6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78F8FA0F">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733F5CD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0ECE734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18682B76">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60BDC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tcPr>
          <w:p w14:paraId="74FEB7E3">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309" w:type="dxa"/>
            <w:tcBorders>
              <w:top w:val="single" w:color="auto" w:sz="6" w:space="0"/>
              <w:left w:val="single" w:color="auto" w:sz="6" w:space="0"/>
              <w:bottom w:val="single" w:color="auto" w:sz="6" w:space="0"/>
              <w:right w:val="single" w:color="auto" w:sz="6" w:space="0"/>
            </w:tcBorders>
          </w:tcPr>
          <w:p w14:paraId="3A2EDA0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0F61936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6CAFA89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42858FF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50E07DA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026A399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4B774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tcPr>
          <w:p w14:paraId="0E49932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09" w:type="dxa"/>
            <w:tcBorders>
              <w:top w:val="single" w:color="auto" w:sz="6" w:space="0"/>
              <w:left w:val="single" w:color="auto" w:sz="6" w:space="0"/>
              <w:bottom w:val="single" w:color="auto" w:sz="6" w:space="0"/>
              <w:right w:val="single" w:color="auto" w:sz="6" w:space="0"/>
            </w:tcBorders>
          </w:tcPr>
          <w:p w14:paraId="039F192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1CF02D7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4E5D2695">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59502A5F">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3D2803B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5D49628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32D57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tcPr>
          <w:p w14:paraId="3ED6A90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tcPr>
          <w:p w14:paraId="2EF741DF">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71E70B0B">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0B2657E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1CCE5BB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734D521F">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3347760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5D513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tcPr>
          <w:p w14:paraId="2CC6A94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tcPr>
          <w:p w14:paraId="796B754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174CE5A5">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24A19A9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41DC3366">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744AE05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49DE8B7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575AD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tcPr>
          <w:p w14:paraId="0009D32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tcPr>
          <w:p w14:paraId="3D222E7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527940C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71BCFAC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2AD3853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67A2A88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6776AB1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bl>
    <w:p w14:paraId="7DBCB865">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75E20C26">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业绩证明应提供证明材料（合同复印件可只提供首页、含金额页、盖章页并加盖磋商供应商公章）；</w:t>
      </w:r>
    </w:p>
    <w:p w14:paraId="43E290B3">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磋商供应商可按此表格式复制。</w:t>
      </w:r>
    </w:p>
    <w:p w14:paraId="507003F7">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07C8D3D7">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5DFD7F1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73DC4A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4681810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4A9E6D4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3625E913">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p w14:paraId="06E389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12E4E235">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5FC16499">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813AAA0">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附件12:  </w:t>
      </w:r>
      <w:r>
        <w:rPr>
          <w:rFonts w:hint="eastAsia" w:ascii="宋体" w:hAnsi="宋体" w:eastAsia="宋体" w:cs="宋体"/>
          <w:b/>
          <w:color w:val="auto"/>
          <w:sz w:val="28"/>
          <w:highlight w:val="none"/>
        </w:rPr>
        <w:tab/>
      </w:r>
    </w:p>
    <w:p w14:paraId="312EA8A7">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1B2D71CB">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2FA88E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29620E7E">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355" w:type="dxa"/>
            <w:vAlign w:val="center"/>
          </w:tcPr>
          <w:p w14:paraId="1268C224">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4061" w:type="dxa"/>
            <w:vAlign w:val="center"/>
          </w:tcPr>
          <w:p w14:paraId="21E1E413">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磋商供应商承诺</w:t>
            </w:r>
          </w:p>
        </w:tc>
        <w:tc>
          <w:tcPr>
            <w:tcW w:w="1373" w:type="dxa"/>
            <w:vAlign w:val="center"/>
          </w:tcPr>
          <w:p w14:paraId="351E0CA6">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1199DB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Align w:val="center"/>
          </w:tcPr>
          <w:p w14:paraId="315A7B45">
            <w:pPr>
              <w:pStyle w:val="47"/>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2355" w:type="dxa"/>
            <w:vAlign w:val="center"/>
          </w:tcPr>
          <w:p w14:paraId="3D318955">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服务期</w:t>
            </w:r>
            <w:r>
              <w:rPr>
                <w:rFonts w:hint="eastAsia" w:ascii="宋体" w:hAnsi="宋体" w:eastAsia="宋体" w:cs="宋体"/>
                <w:bCs/>
                <w:color w:val="auto"/>
                <w:szCs w:val="21"/>
                <w:highlight w:val="none"/>
              </w:rPr>
              <w:t>内售后服务情况(服务方式、服务网点、售后服务的内容和措施等等，可用附页和宣传材料)</w:t>
            </w:r>
          </w:p>
        </w:tc>
        <w:tc>
          <w:tcPr>
            <w:tcW w:w="4061" w:type="dxa"/>
          </w:tcPr>
          <w:p w14:paraId="3246DAD5">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c>
          <w:tcPr>
            <w:tcW w:w="1373" w:type="dxa"/>
          </w:tcPr>
          <w:p w14:paraId="4A1BAE0C">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r>
      <w:tr w14:paraId="2E2614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5" w:hRule="exact"/>
          <w:jc w:val="center"/>
        </w:trPr>
        <w:tc>
          <w:tcPr>
            <w:tcW w:w="739" w:type="dxa"/>
            <w:vAlign w:val="center"/>
          </w:tcPr>
          <w:p w14:paraId="7B75B60E">
            <w:pPr>
              <w:pStyle w:val="47"/>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2355" w:type="dxa"/>
            <w:vAlign w:val="center"/>
          </w:tcPr>
          <w:p w14:paraId="07B7DAC5">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服务期</w:t>
            </w:r>
            <w:r>
              <w:rPr>
                <w:rFonts w:hint="eastAsia" w:ascii="宋体" w:hAnsi="宋体" w:cs="宋体"/>
                <w:bCs/>
                <w:color w:val="auto"/>
                <w:szCs w:val="21"/>
                <w:highlight w:val="none"/>
                <w:lang w:val="en-US" w:eastAsia="zh-CN"/>
              </w:rPr>
              <w:t>满</w:t>
            </w:r>
            <w:r>
              <w:rPr>
                <w:rFonts w:hint="eastAsia" w:ascii="宋体" w:hAnsi="宋体" w:eastAsia="宋体" w:cs="宋体"/>
                <w:bCs/>
                <w:color w:val="auto"/>
                <w:szCs w:val="21"/>
                <w:highlight w:val="none"/>
              </w:rPr>
              <w:t>后售后服务</w:t>
            </w:r>
          </w:p>
        </w:tc>
        <w:tc>
          <w:tcPr>
            <w:tcW w:w="4061" w:type="dxa"/>
          </w:tcPr>
          <w:p w14:paraId="072ADEC5">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532E8844">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570561F6">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c>
          <w:tcPr>
            <w:tcW w:w="1373" w:type="dxa"/>
          </w:tcPr>
          <w:p w14:paraId="41BEBCBB">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195C4009">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63320DAC">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r>
      <w:tr w14:paraId="57CE19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54D3AD93">
            <w:pPr>
              <w:pStyle w:val="47"/>
              <w:keepNext w:val="0"/>
              <w:keepLines w:val="0"/>
              <w:pageBreakBefore w:val="0"/>
              <w:widowControl/>
              <w:kinsoku/>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2355" w:type="dxa"/>
            <w:vAlign w:val="center"/>
          </w:tcPr>
          <w:p w14:paraId="3F0F2530">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培训方案（可用附页）</w:t>
            </w:r>
          </w:p>
        </w:tc>
        <w:tc>
          <w:tcPr>
            <w:tcW w:w="4061" w:type="dxa"/>
          </w:tcPr>
          <w:p w14:paraId="1A6A0923">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p w14:paraId="51E455FB">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tc>
        <w:tc>
          <w:tcPr>
            <w:tcW w:w="1373" w:type="dxa"/>
          </w:tcPr>
          <w:p w14:paraId="1106479C">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p w14:paraId="0C6068FC">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p w14:paraId="55DDD6AD">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tc>
      </w:tr>
      <w:tr w14:paraId="00240A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27EE9089">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2355" w:type="dxa"/>
            <w:vAlign w:val="center"/>
          </w:tcPr>
          <w:p w14:paraId="2DDF6846">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4061" w:type="dxa"/>
          </w:tcPr>
          <w:p w14:paraId="3745A242">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tc>
        <w:tc>
          <w:tcPr>
            <w:tcW w:w="1373" w:type="dxa"/>
          </w:tcPr>
          <w:p w14:paraId="3974F538">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tc>
      </w:tr>
    </w:tbl>
    <w:p w14:paraId="4BF1070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34BAB93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7561A35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0006E85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908A61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05A4671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3889600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1FAAA2B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68E1F98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454A6FC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u w:val="single"/>
        </w:rPr>
      </w:pPr>
    </w:p>
    <w:p w14:paraId="0871DDD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729FBD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4576FD3C">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975853D">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13</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B2E74D5">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2204D433">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6BC3F5C8">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1BF29C62">
      <w:pPr>
        <w:pStyle w:val="19"/>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6C403A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ABC4EF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087A301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0A94ADB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2E80677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0BDDE9C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9F07667">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0CAE3B41">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45F1FC8F">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7D3E960B">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497F1CAD">
      <w:pPr>
        <w:keepNext w:val="0"/>
        <w:keepLines w:val="0"/>
        <w:pageBreakBefore w:val="0"/>
        <w:kinsoku/>
        <w:overflowPunct/>
        <w:topLinePunct w:val="0"/>
        <w:bidi w:val="0"/>
        <w:spacing w:line="360" w:lineRule="auto"/>
        <w:ind w:right="-108" w:firstLine="316" w:firstLineChars="150"/>
        <w:outlineLvl w:val="9"/>
        <w:rPr>
          <w:rFonts w:hint="eastAsia" w:ascii="宋体" w:hAnsi="宋体" w:eastAsia="宋体" w:cs="宋体"/>
          <w:b/>
          <w:bCs/>
          <w:color w:val="auto"/>
          <w:kern w:val="0"/>
          <w:szCs w:val="21"/>
          <w:highlight w:val="none"/>
        </w:rPr>
      </w:pPr>
    </w:p>
    <w:p w14:paraId="4413BB80">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70AB96CA">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一览表（附件1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p>
    <w:p w14:paraId="4723A6D1">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2、针对报价投标人认为其他需要说明的；</w:t>
      </w:r>
    </w:p>
    <w:p w14:paraId="5FAD4E44">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中小</w:t>
      </w:r>
      <w:r>
        <w:rPr>
          <w:rFonts w:hint="eastAsia" w:ascii="宋体" w:hAnsi="宋体" w:eastAsia="宋体" w:cs="宋体"/>
          <w:color w:val="auto"/>
          <w:sz w:val="21"/>
          <w:szCs w:val="21"/>
          <w:highlight w:val="none"/>
        </w:rPr>
        <w:t>企业等声明函（附件1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）；（如有需提供）</w:t>
      </w:r>
    </w:p>
    <w:p w14:paraId="36C8E81B">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sectPr>
          <w:pgSz w:w="11906" w:h="16838"/>
          <w:pgMar w:top="1440" w:right="1800" w:bottom="1440" w:left="1800" w:header="851" w:footer="992" w:gutter="0"/>
          <w:pgNumType w:fmt="decimal"/>
          <w:cols w:space="425" w:num="1"/>
          <w:docGrid w:type="lines" w:linePitch="312" w:charSpace="0"/>
        </w:sectPr>
      </w:pPr>
    </w:p>
    <w:p w14:paraId="59E2D450">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14</w:t>
      </w:r>
      <w:r>
        <w:rPr>
          <w:rFonts w:hint="eastAsia" w:ascii="宋体" w:hAnsi="宋体" w:eastAsia="宋体" w:cs="宋体"/>
          <w:b/>
          <w:color w:val="auto"/>
          <w:sz w:val="28"/>
          <w:highlight w:val="none"/>
        </w:rPr>
        <w:t>：</w:t>
      </w:r>
      <w:r>
        <w:rPr>
          <w:rFonts w:hint="eastAsia" w:ascii="宋体" w:hAnsi="宋体" w:eastAsia="宋体" w:cs="宋体"/>
          <w:b/>
          <w:color w:val="auto"/>
          <w:sz w:val="30"/>
          <w:szCs w:val="30"/>
          <w:highlight w:val="none"/>
        </w:rPr>
        <w:t xml:space="preserve">                                     </w:t>
      </w:r>
    </w:p>
    <w:p w14:paraId="14EFE08B">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3B17A6FE">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54C8E253">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项目编号：</w:t>
      </w:r>
      <w:r>
        <w:rPr>
          <w:rFonts w:hint="eastAsia" w:ascii="宋体" w:hAnsi="宋体" w:eastAsia="宋体" w:cs="宋体"/>
          <w:b/>
          <w:color w:val="auto"/>
          <w:szCs w:val="21"/>
          <w:highlight w:val="none"/>
          <w:u w:val="single"/>
        </w:rPr>
        <w:t xml:space="preserve">               </w:t>
      </w:r>
    </w:p>
    <w:p w14:paraId="167A9D0F">
      <w:pPr>
        <w:pStyle w:val="51"/>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 xml:space="preserve">                    [货币单位：人民币元]</w:t>
      </w:r>
    </w:p>
    <w:tbl>
      <w:tblPr>
        <w:tblStyle w:val="2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24F9767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5D321461">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1381D472">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6B3B44DE">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p>
        </w:tc>
      </w:tr>
      <w:tr w14:paraId="5C0F487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6222B5AA">
            <w:pPr>
              <w:keepNext w:val="0"/>
              <w:keepLines w:val="0"/>
              <w:pageBreakBefore w:val="0"/>
              <w:kinsoku/>
              <w:overflowPunct/>
              <w:topLinePunct w:val="0"/>
              <w:bidi w:val="0"/>
              <w:outlineLvl w:val="9"/>
              <w:rPr>
                <w:rFonts w:hint="eastAsia" w:ascii="宋体" w:hAnsi="宋体" w:eastAsia="宋体" w:cs="宋体"/>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6E53A511">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68CD806C">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p>
        </w:tc>
      </w:tr>
    </w:tbl>
    <w:p w14:paraId="49C47689">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Cs w:val="21"/>
          <w:highlight w:val="none"/>
        </w:rPr>
      </w:pPr>
    </w:p>
    <w:p w14:paraId="1598B0D3">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填报要求：</w:t>
      </w:r>
    </w:p>
    <w:p w14:paraId="536686D7">
      <w:pPr>
        <w:pStyle w:val="5"/>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r>
        <w:rPr>
          <w:rFonts w:hint="eastAsia" w:ascii="宋体" w:hAnsi="宋体" w:eastAsia="宋体" w:cs="宋体"/>
          <w:color w:val="auto"/>
          <w:kern w:val="0"/>
          <w:szCs w:val="21"/>
          <w:highlight w:val="none"/>
        </w:rPr>
        <w:t>。</w:t>
      </w:r>
    </w:p>
    <w:p w14:paraId="543F9922">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Cs w:val="21"/>
          <w:highlight w:val="none"/>
          <w:u w:val="singl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报价一经涂改，应在涂改处加盖单位公章，或者由法定代表人或授权委托代理人签字或盖章，否则作无效标处理。</w:t>
      </w:r>
    </w:p>
    <w:p w14:paraId="5ECE1858">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1CC79565">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Cs w:val="21"/>
          <w:highlight w:val="none"/>
        </w:rPr>
      </w:pPr>
    </w:p>
    <w:p w14:paraId="46FAFC4A">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165D412D">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Cs w:val="21"/>
          <w:highlight w:val="none"/>
        </w:rPr>
      </w:pPr>
    </w:p>
    <w:p w14:paraId="1E97F50D">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4BA2D410">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p>
    <w:p w14:paraId="02A52F3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00687AC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p>
    <w:p w14:paraId="3F26133B">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528D5CA5">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657C4267">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436419BE">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54CB3E1F">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29718BE3">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7DF58CA2">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403D789">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5</w:t>
      </w:r>
    </w:p>
    <w:p w14:paraId="56947875">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rPr>
        <w:t>中小企业声明函</w:t>
      </w:r>
    </w:p>
    <w:p w14:paraId="23FAFB70">
      <w:pPr>
        <w:pStyle w:val="8"/>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35D28194">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7B25DA13">
      <w:pPr>
        <w:pStyle w:val="8"/>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1F139101">
      <w:pPr>
        <w:pStyle w:val="8"/>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08F823C8">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21F11723">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1F8CC811">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45B10045">
      <w:pPr>
        <w:pStyle w:val="8"/>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6C56AE1E">
      <w:pPr>
        <w:pStyle w:val="8"/>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43471206">
      <w:pPr>
        <w:pStyle w:val="8"/>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13F38159">
      <w:pPr>
        <w:pStyle w:val="8"/>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5C021174">
      <w:pPr>
        <w:pStyle w:val="11"/>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24CFA7EA">
      <w:pPr>
        <w:pStyle w:val="52"/>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1EDCF135">
      <w:pPr>
        <w:pStyle w:val="52"/>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229A3B7">
      <w:pPr>
        <w:pStyle w:val="52"/>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4AA4B97B">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sectPr>
          <w:pgSz w:w="11906" w:h="16838"/>
          <w:pgMar w:top="1440" w:right="1800" w:bottom="1440" w:left="1800" w:header="851" w:footer="992" w:gutter="0"/>
          <w:pgNumType w:fmt="decimal"/>
          <w:cols w:space="425" w:num="1"/>
          <w:docGrid w:type="lines" w:linePitch="312" w:charSpace="0"/>
        </w:sectPr>
      </w:pPr>
    </w:p>
    <w:p w14:paraId="08AAA3E7">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5A72A01B">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25BA6BD">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14:paraId="1DBF24E1">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Cs w:val="21"/>
          <w:highlight w:val="none"/>
        </w:rPr>
      </w:pPr>
    </w:p>
    <w:p w14:paraId="7041C2A7">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磋商供应商名称（盖章）：</w:t>
      </w:r>
    </w:p>
    <w:p w14:paraId="2D92EBC4">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p>
    <w:p w14:paraId="486CEEF7">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日期：</w:t>
      </w:r>
    </w:p>
    <w:p w14:paraId="5BBD877F">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D248DCC">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6CE56EA">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5D69EE7">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183CEA3">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C1FDAB7">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5BF93534">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C8C2F47">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DE14F43">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A3C7691">
      <w:pPr>
        <w:pStyle w:val="8"/>
        <w:keepNext w:val="0"/>
        <w:keepLines w:val="0"/>
        <w:pageBreakBefore w:val="0"/>
        <w:kinsoku/>
        <w:overflowPunct/>
        <w:topLinePunct w:val="0"/>
        <w:bidi w:val="0"/>
        <w:outlineLvl w:val="9"/>
        <w:rPr>
          <w:rFonts w:hint="eastAsia" w:ascii="宋体" w:hAnsi="宋体" w:eastAsia="宋体" w:cs="宋体"/>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EF48F">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909B4B">
                          <w:pPr>
                            <w:pStyle w:val="1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1312;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2D909B4B">
                    <w:pPr>
                      <w:pStyle w:val="1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810F3">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45C285">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B45C285">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2A4A1">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919DC">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8C55B">
    <w:pPr>
      <w:rPr>
        <w:rFonts w:hint="eastAsia" w:eastAsia="宋体"/>
        <w:iCs/>
        <w:lang w:eastAsia="zh-CN"/>
      </w:rPr>
    </w:pPr>
    <w:r>
      <w:rPr>
        <w:rFonts w:hint="eastAsia"/>
        <w:b/>
        <w:iCs/>
        <w:color w:val="000000"/>
        <w:kern w:val="0"/>
        <w:sz w:val="18"/>
        <w:u w:val="single"/>
      </w:rPr>
      <w:t>政府采购竞争性磋商文件</w:t>
    </w:r>
    <w:r>
      <w:rPr>
        <w:b/>
        <w:iCs/>
        <w:color w:val="000000"/>
        <w:kern w:val="0"/>
        <w:sz w:val="18"/>
        <w:u w:val="single"/>
      </w:rPr>
      <w:t>--</w:t>
    </w:r>
    <w:r>
      <w:rPr>
        <w:rFonts w:hint="eastAsia"/>
        <w:b/>
        <w:iCs/>
        <w:color w:val="000000"/>
        <w:kern w:val="0"/>
        <w:sz w:val="18"/>
        <w:u w:val="single"/>
        <w:lang w:eastAsia="zh-CN"/>
      </w:rPr>
      <w:t>黄岩区G104模塑产业走廊规划项目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2BE48">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9E24F">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C5E3C">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45603C"/>
    <w:multiLevelType w:val="singleLevel"/>
    <w:tmpl w:val="E845603C"/>
    <w:lvl w:ilvl="0" w:tentative="0">
      <w:start w:val="2"/>
      <w:numFmt w:val="decimal"/>
      <w:suff w:val="nothing"/>
      <w:lvlText w:val="%1、"/>
      <w:lvlJc w:val="left"/>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2">
    <w:nsid w:val="770A450F"/>
    <w:multiLevelType w:val="singleLevel"/>
    <w:tmpl w:val="770A450F"/>
    <w:lvl w:ilvl="0" w:tentative="0">
      <w:start w:val="2"/>
      <w:numFmt w:val="chineseCounting"/>
      <w:suff w:val="space"/>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5C69E7"/>
    <w:rsid w:val="005E0476"/>
    <w:rsid w:val="006932E2"/>
    <w:rsid w:val="006E4C60"/>
    <w:rsid w:val="00777425"/>
    <w:rsid w:val="008929F9"/>
    <w:rsid w:val="009B7365"/>
    <w:rsid w:val="009C6908"/>
    <w:rsid w:val="009E7B9B"/>
    <w:rsid w:val="00B77BBE"/>
    <w:rsid w:val="00BE3149"/>
    <w:rsid w:val="00D27694"/>
    <w:rsid w:val="00E03F49"/>
    <w:rsid w:val="00E04ED8"/>
    <w:rsid w:val="00ED278B"/>
    <w:rsid w:val="00F7079C"/>
    <w:rsid w:val="00FC32D9"/>
    <w:rsid w:val="00FD1E0C"/>
    <w:rsid w:val="00FF74E6"/>
    <w:rsid w:val="01307AD0"/>
    <w:rsid w:val="017D1E30"/>
    <w:rsid w:val="02231574"/>
    <w:rsid w:val="02380D19"/>
    <w:rsid w:val="02AE7397"/>
    <w:rsid w:val="02E5202C"/>
    <w:rsid w:val="03466AA6"/>
    <w:rsid w:val="036C1E9F"/>
    <w:rsid w:val="043F4777"/>
    <w:rsid w:val="043F7FC4"/>
    <w:rsid w:val="04E74FBD"/>
    <w:rsid w:val="05D4117F"/>
    <w:rsid w:val="064419F4"/>
    <w:rsid w:val="07685A63"/>
    <w:rsid w:val="07A306E4"/>
    <w:rsid w:val="08390248"/>
    <w:rsid w:val="08A563E6"/>
    <w:rsid w:val="08FD1976"/>
    <w:rsid w:val="09001A02"/>
    <w:rsid w:val="09426C23"/>
    <w:rsid w:val="0943100A"/>
    <w:rsid w:val="09E03F7D"/>
    <w:rsid w:val="09E705AA"/>
    <w:rsid w:val="09F33DD0"/>
    <w:rsid w:val="09F35FF4"/>
    <w:rsid w:val="0A1B53D3"/>
    <w:rsid w:val="0AA92A82"/>
    <w:rsid w:val="0AF64F0D"/>
    <w:rsid w:val="0B2A4CED"/>
    <w:rsid w:val="0B6173A5"/>
    <w:rsid w:val="0B7373D0"/>
    <w:rsid w:val="0B7D1897"/>
    <w:rsid w:val="0C1803D6"/>
    <w:rsid w:val="0C181AC6"/>
    <w:rsid w:val="0CFA4EFD"/>
    <w:rsid w:val="0D1129FD"/>
    <w:rsid w:val="0D1F4CD0"/>
    <w:rsid w:val="0D6C490D"/>
    <w:rsid w:val="0DB856B1"/>
    <w:rsid w:val="0E0F138C"/>
    <w:rsid w:val="0E732C77"/>
    <w:rsid w:val="0EC6046D"/>
    <w:rsid w:val="0ECC2ABC"/>
    <w:rsid w:val="0ED2632B"/>
    <w:rsid w:val="0F7E6199"/>
    <w:rsid w:val="0F943ED7"/>
    <w:rsid w:val="0FE53655"/>
    <w:rsid w:val="0FE74D1C"/>
    <w:rsid w:val="10452B67"/>
    <w:rsid w:val="109F080C"/>
    <w:rsid w:val="10AB5685"/>
    <w:rsid w:val="10AF6F0E"/>
    <w:rsid w:val="11E77423"/>
    <w:rsid w:val="121665CB"/>
    <w:rsid w:val="12681311"/>
    <w:rsid w:val="12704EB7"/>
    <w:rsid w:val="129E4025"/>
    <w:rsid w:val="12EC03CE"/>
    <w:rsid w:val="132107E8"/>
    <w:rsid w:val="135C66DF"/>
    <w:rsid w:val="13BC7536"/>
    <w:rsid w:val="13D95ADA"/>
    <w:rsid w:val="13F01B8E"/>
    <w:rsid w:val="14CC336A"/>
    <w:rsid w:val="15374951"/>
    <w:rsid w:val="15544BDD"/>
    <w:rsid w:val="156D5593"/>
    <w:rsid w:val="159E68EB"/>
    <w:rsid w:val="15BF57BD"/>
    <w:rsid w:val="1622526E"/>
    <w:rsid w:val="168339D9"/>
    <w:rsid w:val="16916269"/>
    <w:rsid w:val="16C47771"/>
    <w:rsid w:val="16D009D7"/>
    <w:rsid w:val="16D70F66"/>
    <w:rsid w:val="17047DD8"/>
    <w:rsid w:val="170E0A5C"/>
    <w:rsid w:val="171D6CDD"/>
    <w:rsid w:val="17461D47"/>
    <w:rsid w:val="17831DAC"/>
    <w:rsid w:val="17D2330C"/>
    <w:rsid w:val="186C5334"/>
    <w:rsid w:val="187F1162"/>
    <w:rsid w:val="18D4797B"/>
    <w:rsid w:val="18ED431E"/>
    <w:rsid w:val="191533D1"/>
    <w:rsid w:val="19630549"/>
    <w:rsid w:val="19BF4FF7"/>
    <w:rsid w:val="1A1D777D"/>
    <w:rsid w:val="1A8060E9"/>
    <w:rsid w:val="1B6E63C8"/>
    <w:rsid w:val="1BC0155F"/>
    <w:rsid w:val="1C0C0F5F"/>
    <w:rsid w:val="1C2B49D8"/>
    <w:rsid w:val="1CBF0303"/>
    <w:rsid w:val="1CC61F19"/>
    <w:rsid w:val="1D3E6559"/>
    <w:rsid w:val="1D465475"/>
    <w:rsid w:val="1DCD4EF1"/>
    <w:rsid w:val="1DE5057D"/>
    <w:rsid w:val="1DF55E7A"/>
    <w:rsid w:val="1EC91F8E"/>
    <w:rsid w:val="1ED11F54"/>
    <w:rsid w:val="1F162724"/>
    <w:rsid w:val="1F4F69F4"/>
    <w:rsid w:val="1FCD6C57"/>
    <w:rsid w:val="1FF67981"/>
    <w:rsid w:val="201C7B31"/>
    <w:rsid w:val="20264618"/>
    <w:rsid w:val="20506F69"/>
    <w:rsid w:val="20AA0083"/>
    <w:rsid w:val="20ED3C16"/>
    <w:rsid w:val="21492AD8"/>
    <w:rsid w:val="21680D6A"/>
    <w:rsid w:val="224700DF"/>
    <w:rsid w:val="22662AEC"/>
    <w:rsid w:val="232C2DE8"/>
    <w:rsid w:val="23FA686C"/>
    <w:rsid w:val="247E2C16"/>
    <w:rsid w:val="254E083A"/>
    <w:rsid w:val="255B67E8"/>
    <w:rsid w:val="27BB78F3"/>
    <w:rsid w:val="28653289"/>
    <w:rsid w:val="287946BA"/>
    <w:rsid w:val="28C029FD"/>
    <w:rsid w:val="28C07331"/>
    <w:rsid w:val="28D80E9E"/>
    <w:rsid w:val="299A4677"/>
    <w:rsid w:val="29E63530"/>
    <w:rsid w:val="29F21359"/>
    <w:rsid w:val="2A2953D2"/>
    <w:rsid w:val="2A34690D"/>
    <w:rsid w:val="2C724C07"/>
    <w:rsid w:val="2C794E25"/>
    <w:rsid w:val="2C8A158E"/>
    <w:rsid w:val="2D4269C2"/>
    <w:rsid w:val="2D4C733E"/>
    <w:rsid w:val="2E2229F7"/>
    <w:rsid w:val="2F607C49"/>
    <w:rsid w:val="2F7B1BB4"/>
    <w:rsid w:val="2FCC2EC1"/>
    <w:rsid w:val="30150257"/>
    <w:rsid w:val="306830B9"/>
    <w:rsid w:val="309703E8"/>
    <w:rsid w:val="30B54309"/>
    <w:rsid w:val="30CF5D28"/>
    <w:rsid w:val="317B75B1"/>
    <w:rsid w:val="31813005"/>
    <w:rsid w:val="323740AF"/>
    <w:rsid w:val="32745651"/>
    <w:rsid w:val="328B6879"/>
    <w:rsid w:val="32D9171D"/>
    <w:rsid w:val="332F5751"/>
    <w:rsid w:val="33545332"/>
    <w:rsid w:val="338F3FCD"/>
    <w:rsid w:val="34772ADD"/>
    <w:rsid w:val="350262F0"/>
    <w:rsid w:val="35246EC1"/>
    <w:rsid w:val="352979DC"/>
    <w:rsid w:val="355E084E"/>
    <w:rsid w:val="360B1E2F"/>
    <w:rsid w:val="362A1767"/>
    <w:rsid w:val="363B1D6B"/>
    <w:rsid w:val="36411D61"/>
    <w:rsid w:val="36A60F32"/>
    <w:rsid w:val="36D706BD"/>
    <w:rsid w:val="36DB71B3"/>
    <w:rsid w:val="370B4954"/>
    <w:rsid w:val="37551CA3"/>
    <w:rsid w:val="378D23FD"/>
    <w:rsid w:val="3A0A7D51"/>
    <w:rsid w:val="3A316D41"/>
    <w:rsid w:val="3A672904"/>
    <w:rsid w:val="3A791AB3"/>
    <w:rsid w:val="3A7A6F1E"/>
    <w:rsid w:val="3B620744"/>
    <w:rsid w:val="3B692A8A"/>
    <w:rsid w:val="3B6B3A9C"/>
    <w:rsid w:val="3C1F2D54"/>
    <w:rsid w:val="3C203FE1"/>
    <w:rsid w:val="3D326006"/>
    <w:rsid w:val="3D843DB4"/>
    <w:rsid w:val="3D976EBB"/>
    <w:rsid w:val="3DAF1FA5"/>
    <w:rsid w:val="3DF950F9"/>
    <w:rsid w:val="3E491B7F"/>
    <w:rsid w:val="3E4E6F02"/>
    <w:rsid w:val="3F95513E"/>
    <w:rsid w:val="3FA323D6"/>
    <w:rsid w:val="40411C0D"/>
    <w:rsid w:val="40B63C2E"/>
    <w:rsid w:val="41580566"/>
    <w:rsid w:val="416D399E"/>
    <w:rsid w:val="416F0E3A"/>
    <w:rsid w:val="41C22451"/>
    <w:rsid w:val="4230278E"/>
    <w:rsid w:val="42505454"/>
    <w:rsid w:val="434626F9"/>
    <w:rsid w:val="4412111F"/>
    <w:rsid w:val="441B3B21"/>
    <w:rsid w:val="448F4DA9"/>
    <w:rsid w:val="45185FC7"/>
    <w:rsid w:val="45CE6E28"/>
    <w:rsid w:val="46CD5E17"/>
    <w:rsid w:val="470216C0"/>
    <w:rsid w:val="476449B7"/>
    <w:rsid w:val="47AE28FC"/>
    <w:rsid w:val="47C11F07"/>
    <w:rsid w:val="47E83667"/>
    <w:rsid w:val="49411A6B"/>
    <w:rsid w:val="494A187D"/>
    <w:rsid w:val="49D648FF"/>
    <w:rsid w:val="49DB1DED"/>
    <w:rsid w:val="4A007A95"/>
    <w:rsid w:val="4A3B6D2F"/>
    <w:rsid w:val="4A41352E"/>
    <w:rsid w:val="4A5B78B4"/>
    <w:rsid w:val="4A6A77A1"/>
    <w:rsid w:val="4A802F02"/>
    <w:rsid w:val="4A8A58C2"/>
    <w:rsid w:val="4AA541A9"/>
    <w:rsid w:val="4AF34F14"/>
    <w:rsid w:val="4B3043BA"/>
    <w:rsid w:val="4B366641"/>
    <w:rsid w:val="4B40772B"/>
    <w:rsid w:val="4B4C5C6D"/>
    <w:rsid w:val="4BDC2DA4"/>
    <w:rsid w:val="4C392F39"/>
    <w:rsid w:val="4C6F03D6"/>
    <w:rsid w:val="4CF72E0A"/>
    <w:rsid w:val="4D190A3D"/>
    <w:rsid w:val="4D8C1650"/>
    <w:rsid w:val="4E3623E0"/>
    <w:rsid w:val="4E541E27"/>
    <w:rsid w:val="4EBC68D0"/>
    <w:rsid w:val="4F4966DE"/>
    <w:rsid w:val="504F0E3F"/>
    <w:rsid w:val="50502E09"/>
    <w:rsid w:val="50964EB3"/>
    <w:rsid w:val="513371C0"/>
    <w:rsid w:val="51345314"/>
    <w:rsid w:val="51FE2459"/>
    <w:rsid w:val="524B29D2"/>
    <w:rsid w:val="52777B4B"/>
    <w:rsid w:val="53240DE2"/>
    <w:rsid w:val="53E31F32"/>
    <w:rsid w:val="54CF56D2"/>
    <w:rsid w:val="54E15B7B"/>
    <w:rsid w:val="54E9053C"/>
    <w:rsid w:val="554479B3"/>
    <w:rsid w:val="557A21AE"/>
    <w:rsid w:val="55FC25AC"/>
    <w:rsid w:val="56E53448"/>
    <w:rsid w:val="57977A16"/>
    <w:rsid w:val="584E4D01"/>
    <w:rsid w:val="593F68E5"/>
    <w:rsid w:val="596E3562"/>
    <w:rsid w:val="5A653FE4"/>
    <w:rsid w:val="5ACE03B2"/>
    <w:rsid w:val="5AFA0CD5"/>
    <w:rsid w:val="5BBC3082"/>
    <w:rsid w:val="5BC21978"/>
    <w:rsid w:val="5C542188"/>
    <w:rsid w:val="5C8A42C3"/>
    <w:rsid w:val="5D033C9D"/>
    <w:rsid w:val="5D2F1C8F"/>
    <w:rsid w:val="5D74328A"/>
    <w:rsid w:val="5DF31F87"/>
    <w:rsid w:val="5E8450BB"/>
    <w:rsid w:val="5E9C5841"/>
    <w:rsid w:val="5EE27322"/>
    <w:rsid w:val="5F0D2C6F"/>
    <w:rsid w:val="5F6C101F"/>
    <w:rsid w:val="5F874F96"/>
    <w:rsid w:val="5FB96FD7"/>
    <w:rsid w:val="60205697"/>
    <w:rsid w:val="60635BFA"/>
    <w:rsid w:val="60666010"/>
    <w:rsid w:val="60BD1FFE"/>
    <w:rsid w:val="61E30582"/>
    <w:rsid w:val="629B53E3"/>
    <w:rsid w:val="62AD7DA8"/>
    <w:rsid w:val="62EB12D7"/>
    <w:rsid w:val="646269CB"/>
    <w:rsid w:val="64EC39B6"/>
    <w:rsid w:val="65622F6B"/>
    <w:rsid w:val="65776951"/>
    <w:rsid w:val="659A6889"/>
    <w:rsid w:val="65AE61B0"/>
    <w:rsid w:val="66651023"/>
    <w:rsid w:val="668F5D43"/>
    <w:rsid w:val="66950943"/>
    <w:rsid w:val="66B53B59"/>
    <w:rsid w:val="66D11FEC"/>
    <w:rsid w:val="68036FA4"/>
    <w:rsid w:val="68877B1A"/>
    <w:rsid w:val="68B2407B"/>
    <w:rsid w:val="68C07FC3"/>
    <w:rsid w:val="68E819D9"/>
    <w:rsid w:val="696E11BA"/>
    <w:rsid w:val="6A035AFF"/>
    <w:rsid w:val="6A36621D"/>
    <w:rsid w:val="6A970C4A"/>
    <w:rsid w:val="6AAB5773"/>
    <w:rsid w:val="6AAE165A"/>
    <w:rsid w:val="6AEF2BD6"/>
    <w:rsid w:val="6B0242A5"/>
    <w:rsid w:val="6B753032"/>
    <w:rsid w:val="6C1D38BD"/>
    <w:rsid w:val="6C5F676B"/>
    <w:rsid w:val="6CEC2E98"/>
    <w:rsid w:val="6DA018A4"/>
    <w:rsid w:val="6DCE4E1E"/>
    <w:rsid w:val="6E136FED"/>
    <w:rsid w:val="6E6E1E0B"/>
    <w:rsid w:val="6F156B47"/>
    <w:rsid w:val="6F4126A8"/>
    <w:rsid w:val="6F52577A"/>
    <w:rsid w:val="70180CEA"/>
    <w:rsid w:val="706A014F"/>
    <w:rsid w:val="71020C28"/>
    <w:rsid w:val="716661C7"/>
    <w:rsid w:val="730D0933"/>
    <w:rsid w:val="73625312"/>
    <w:rsid w:val="74660813"/>
    <w:rsid w:val="748266FC"/>
    <w:rsid w:val="751F49D4"/>
    <w:rsid w:val="754526DD"/>
    <w:rsid w:val="75BB0C3B"/>
    <w:rsid w:val="75D56CB6"/>
    <w:rsid w:val="760A7432"/>
    <w:rsid w:val="7632681F"/>
    <w:rsid w:val="764D2959"/>
    <w:rsid w:val="767D593D"/>
    <w:rsid w:val="76D43F8B"/>
    <w:rsid w:val="770A7D21"/>
    <w:rsid w:val="775C6388"/>
    <w:rsid w:val="77B0242F"/>
    <w:rsid w:val="77CC6EA5"/>
    <w:rsid w:val="781624C8"/>
    <w:rsid w:val="78B67C13"/>
    <w:rsid w:val="78E41C51"/>
    <w:rsid w:val="78FA1692"/>
    <w:rsid w:val="792D6B6B"/>
    <w:rsid w:val="79767DB3"/>
    <w:rsid w:val="79AF3E98"/>
    <w:rsid w:val="79D02741"/>
    <w:rsid w:val="7A963BD8"/>
    <w:rsid w:val="7AE07CFD"/>
    <w:rsid w:val="7B376CA9"/>
    <w:rsid w:val="7C8D1673"/>
    <w:rsid w:val="7C902F57"/>
    <w:rsid w:val="7D567401"/>
    <w:rsid w:val="7D5817FB"/>
    <w:rsid w:val="7DAA5FB8"/>
    <w:rsid w:val="7DC93F96"/>
    <w:rsid w:val="7E291766"/>
    <w:rsid w:val="7E3A598E"/>
    <w:rsid w:val="7E486D4A"/>
    <w:rsid w:val="7E4E7602"/>
    <w:rsid w:val="7E723EF0"/>
    <w:rsid w:val="7E9D12F4"/>
    <w:rsid w:val="7ECE10A0"/>
    <w:rsid w:val="7F0B410B"/>
    <w:rsid w:val="7FAA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4">
    <w:name w:val="Default Paragraph Font"/>
    <w:autoRedefine/>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toc 2"/>
    <w:basedOn w:val="1"/>
    <w:next w:val="1"/>
    <w:autoRedefine/>
    <w:qFormat/>
    <w:uiPriority w:val="0"/>
    <w:pPr>
      <w:tabs>
        <w:tab w:val="right" w:leader="dot" w:pos="10070"/>
      </w:tabs>
      <w:spacing w:line="480" w:lineRule="auto"/>
      <w:ind w:left="200" w:leftChars="200"/>
    </w:pPr>
  </w:style>
  <w:style w:type="paragraph" w:styleId="7">
    <w:name w:val="annotation text"/>
    <w:basedOn w:val="1"/>
    <w:link w:val="60"/>
    <w:autoRedefine/>
    <w:qFormat/>
    <w:uiPriority w:val="0"/>
    <w:pPr>
      <w:jc w:val="left"/>
    </w:pPr>
  </w:style>
  <w:style w:type="paragraph" w:styleId="8">
    <w:name w:val="Body Text"/>
    <w:basedOn w:val="1"/>
    <w:next w:val="9"/>
    <w:link w:val="35"/>
    <w:autoRedefine/>
    <w:semiHidden/>
    <w:unhideWhenUsed/>
    <w:qFormat/>
    <w:uiPriority w:val="99"/>
    <w:pPr>
      <w:spacing w:after="120"/>
    </w:pPr>
  </w:style>
  <w:style w:type="paragraph" w:styleId="9">
    <w:name w:val="Body Text First Indent"/>
    <w:basedOn w:val="8"/>
    <w:next w:val="1"/>
    <w:autoRedefine/>
    <w:qFormat/>
    <w:uiPriority w:val="0"/>
    <w:pPr>
      <w:ind w:firstLine="420" w:firstLineChars="100"/>
    </w:pPr>
  </w:style>
  <w:style w:type="paragraph" w:styleId="10">
    <w:name w:val="Body Text Indent"/>
    <w:basedOn w:val="1"/>
    <w:next w:val="1"/>
    <w:link w:val="36"/>
    <w:autoRedefine/>
    <w:qFormat/>
    <w:uiPriority w:val="99"/>
    <w:pPr>
      <w:spacing w:after="120"/>
      <w:ind w:left="420" w:leftChars="200"/>
    </w:pPr>
  </w:style>
  <w:style w:type="paragraph" w:styleId="11">
    <w:name w:val="Plain Text"/>
    <w:basedOn w:val="1"/>
    <w:next w:val="12"/>
    <w:autoRedefine/>
    <w:qFormat/>
    <w:uiPriority w:val="0"/>
    <w:rPr>
      <w:rFonts w:ascii="宋体" w:hAnsi="Courier New" w:cstheme="minorBidi"/>
    </w:rPr>
  </w:style>
  <w:style w:type="paragraph" w:styleId="12">
    <w:name w:val="Date"/>
    <w:basedOn w:val="1"/>
    <w:next w:val="1"/>
    <w:autoRedefine/>
    <w:qFormat/>
    <w:uiPriority w:val="99"/>
    <w:pPr>
      <w:ind w:left="2500" w:leftChars="2500"/>
    </w:pPr>
    <w:rPr>
      <w:rFonts w:ascii="Calibri" w:hAnsi="Calibri" w:eastAsia="楷体_GB2312"/>
      <w:sz w:val="32"/>
      <w:szCs w:val="22"/>
    </w:rPr>
  </w:style>
  <w:style w:type="paragraph" w:styleId="13">
    <w:name w:val="Balloon Text"/>
    <w:basedOn w:val="1"/>
    <w:link w:val="37"/>
    <w:autoRedefine/>
    <w:semiHidden/>
    <w:unhideWhenUsed/>
    <w:qFormat/>
    <w:uiPriority w:val="99"/>
    <w:rPr>
      <w:sz w:val="18"/>
      <w:szCs w:val="18"/>
    </w:rPr>
  </w:style>
  <w:style w:type="paragraph" w:styleId="14">
    <w:name w:val="footer"/>
    <w:basedOn w:val="1"/>
    <w:link w:val="34"/>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footnote text"/>
    <w:basedOn w:val="1"/>
    <w:autoRedefine/>
    <w:qFormat/>
    <w:uiPriority w:val="0"/>
    <w:pPr>
      <w:snapToGrid w:val="0"/>
      <w:jc w:val="left"/>
    </w:pPr>
    <w:rPr>
      <w:rFonts w:eastAsia="仿宋_GB2312"/>
      <w:sz w:val="18"/>
      <w:szCs w:val="20"/>
    </w:rPr>
  </w:style>
  <w:style w:type="paragraph" w:styleId="1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9">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0">
    <w:name w:val="annotation subject"/>
    <w:basedOn w:val="7"/>
    <w:next w:val="7"/>
    <w:link w:val="61"/>
    <w:autoRedefine/>
    <w:semiHidden/>
    <w:unhideWhenUsed/>
    <w:qFormat/>
    <w:uiPriority w:val="99"/>
    <w:rPr>
      <w:b/>
      <w:bCs/>
    </w:rPr>
  </w:style>
  <w:style w:type="paragraph" w:styleId="21">
    <w:name w:val="Body Text First Indent 2"/>
    <w:basedOn w:val="10"/>
    <w:next w:val="1"/>
    <w:autoRedefine/>
    <w:unhideWhenUsed/>
    <w:qFormat/>
    <w:uiPriority w:val="99"/>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basedOn w:val="24"/>
    <w:autoRedefine/>
    <w:unhideWhenUsed/>
    <w:qFormat/>
    <w:uiPriority w:val="0"/>
    <w:rPr>
      <w:color w:val="0000FF"/>
      <w:u w:val="single"/>
    </w:rPr>
  </w:style>
  <w:style w:type="character" w:styleId="28">
    <w:name w:val="annotation reference"/>
    <w:basedOn w:val="24"/>
    <w:autoRedefine/>
    <w:qFormat/>
    <w:uiPriority w:val="0"/>
    <w:rPr>
      <w:sz w:val="21"/>
      <w:szCs w:val="21"/>
    </w:rPr>
  </w:style>
  <w:style w:type="character" w:styleId="29">
    <w:name w:val="footnote reference"/>
    <w:autoRedefine/>
    <w:qFormat/>
    <w:uiPriority w:val="0"/>
    <w:rPr>
      <w:vertAlign w:val="superscript"/>
    </w:rPr>
  </w:style>
  <w:style w:type="paragraph" w:customStyle="1" w:styleId="30">
    <w:name w:val="[Normal]"/>
    <w:autoRedefine/>
    <w:qFormat/>
    <w:uiPriority w:val="0"/>
    <w:rPr>
      <w:rFonts w:ascii="宋体" w:hAnsi="宋体" w:eastAsia="宋体" w:cs="Times New Roman"/>
      <w:sz w:val="24"/>
      <w:szCs w:val="22"/>
      <w:lang w:val="zh-CN" w:eastAsia="zh-CN" w:bidi="ar-SA"/>
    </w:rPr>
  </w:style>
  <w:style w:type="paragraph" w:customStyle="1" w:styleId="31">
    <w:name w:val="正文首行缩进1"/>
    <w:basedOn w:val="8"/>
    <w:autoRedefine/>
    <w:qFormat/>
    <w:uiPriority w:val="0"/>
    <w:pPr>
      <w:ind w:firstLine="420" w:firstLineChars="100"/>
    </w:pPr>
  </w:style>
  <w:style w:type="paragraph" w:customStyle="1" w:styleId="32">
    <w:name w:val="正文（首行缩进2字符）"/>
    <w:basedOn w:val="1"/>
    <w:autoRedefine/>
    <w:qFormat/>
    <w:uiPriority w:val="0"/>
    <w:pPr>
      <w:ind w:firstLine="480" w:firstLineChars="200"/>
    </w:pPr>
    <w:rPr>
      <w:sz w:val="24"/>
      <w:szCs w:val="20"/>
    </w:rPr>
  </w:style>
  <w:style w:type="character" w:customStyle="1" w:styleId="33">
    <w:name w:val="页眉 字符"/>
    <w:basedOn w:val="24"/>
    <w:link w:val="15"/>
    <w:autoRedefine/>
    <w:semiHidden/>
    <w:qFormat/>
    <w:uiPriority w:val="99"/>
    <w:rPr>
      <w:sz w:val="18"/>
      <w:szCs w:val="18"/>
    </w:rPr>
  </w:style>
  <w:style w:type="character" w:customStyle="1" w:styleId="34">
    <w:name w:val="页脚 字符"/>
    <w:basedOn w:val="24"/>
    <w:link w:val="14"/>
    <w:autoRedefine/>
    <w:semiHidden/>
    <w:qFormat/>
    <w:uiPriority w:val="99"/>
    <w:rPr>
      <w:sz w:val="18"/>
      <w:szCs w:val="18"/>
    </w:rPr>
  </w:style>
  <w:style w:type="character" w:customStyle="1" w:styleId="35">
    <w:name w:val="正文文本 字符"/>
    <w:basedOn w:val="24"/>
    <w:link w:val="8"/>
    <w:autoRedefine/>
    <w:semiHidden/>
    <w:qFormat/>
    <w:uiPriority w:val="99"/>
    <w:rPr>
      <w:rFonts w:ascii="Times New Roman" w:hAnsi="Times New Roman" w:eastAsia="宋体" w:cs="Times New Roman"/>
      <w:szCs w:val="24"/>
    </w:rPr>
  </w:style>
  <w:style w:type="character" w:customStyle="1" w:styleId="36">
    <w:name w:val="正文文本缩进 字符"/>
    <w:basedOn w:val="24"/>
    <w:link w:val="10"/>
    <w:autoRedefine/>
    <w:qFormat/>
    <w:uiPriority w:val="99"/>
    <w:rPr>
      <w:rFonts w:ascii="Times New Roman" w:hAnsi="Times New Roman" w:eastAsia="宋体" w:cs="Times New Roman"/>
      <w:szCs w:val="24"/>
    </w:rPr>
  </w:style>
  <w:style w:type="character" w:customStyle="1" w:styleId="37">
    <w:name w:val="批注框文本 字符"/>
    <w:basedOn w:val="24"/>
    <w:link w:val="13"/>
    <w:autoRedefine/>
    <w:semiHidden/>
    <w:qFormat/>
    <w:uiPriority w:val="99"/>
    <w:rPr>
      <w:rFonts w:ascii="Times New Roman" w:hAnsi="Times New Roman" w:eastAsia="宋体" w:cs="Times New Roman"/>
      <w:sz w:val="18"/>
      <w:szCs w:val="18"/>
    </w:rPr>
  </w:style>
  <w:style w:type="character" w:customStyle="1" w:styleId="38">
    <w:name w:val="无"/>
    <w:autoRedefine/>
    <w:qFormat/>
    <w:uiPriority w:val="99"/>
  </w:style>
  <w:style w:type="paragraph" w:customStyle="1" w:styleId="39">
    <w:name w:val="表格文字"/>
    <w:basedOn w:val="1"/>
    <w:next w:val="8"/>
    <w:autoRedefine/>
    <w:qFormat/>
    <w:uiPriority w:val="99"/>
    <w:pPr>
      <w:adjustRightInd w:val="0"/>
      <w:spacing w:line="420" w:lineRule="atLeast"/>
      <w:jc w:val="left"/>
      <w:textAlignment w:val="baseline"/>
    </w:pPr>
    <w:rPr>
      <w:kern w:val="0"/>
    </w:rPr>
  </w:style>
  <w:style w:type="paragraph" w:customStyle="1" w:styleId="40">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3">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4"/>
    <w:autoRedefine/>
    <w:qFormat/>
    <w:uiPriority w:val="99"/>
    <w:rPr>
      <w:rFonts w:ascii="Times New Roman" w:hAnsi="Times New Roman" w:eastAsia="宋体" w:cs="Times New Roman"/>
      <w:sz w:val="21"/>
      <w:szCs w:val="22"/>
      <w:lang w:val="en-US" w:eastAsia="zh-CN" w:bidi="ar-SA"/>
    </w:rPr>
  </w:style>
  <w:style w:type="paragraph" w:customStyle="1" w:styleId="45">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纯文本_3"/>
    <w:basedOn w:val="47"/>
    <w:autoRedefine/>
    <w:qFormat/>
    <w:uiPriority w:val="99"/>
    <w:pPr>
      <w:widowControl/>
      <w:jc w:val="left"/>
    </w:pPr>
    <w:rPr>
      <w:rFonts w:ascii="宋体" w:hAnsi="Courier New"/>
      <w:szCs w:val="21"/>
    </w:rPr>
  </w:style>
  <w:style w:type="paragraph" w:customStyle="1" w:styleId="49">
    <w:name w:val="纯文本_0_1"/>
    <w:basedOn w:val="1"/>
    <w:autoRedefine/>
    <w:qFormat/>
    <w:uiPriority w:val="99"/>
    <w:pPr>
      <w:widowControl/>
      <w:jc w:val="left"/>
    </w:pPr>
    <w:rPr>
      <w:rFonts w:ascii="宋体" w:hAnsi="Courier New"/>
      <w:szCs w:val="21"/>
    </w:rPr>
  </w:style>
  <w:style w:type="paragraph" w:customStyle="1" w:styleId="50">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4">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5">
    <w:name w:val="p0"/>
    <w:basedOn w:val="1"/>
    <w:autoRedefine/>
    <w:qFormat/>
    <w:uiPriority w:val="0"/>
    <w:pPr>
      <w:widowControl/>
    </w:pPr>
    <w:rPr>
      <w:rFonts w:ascii="Calibri" w:hAnsi="Calibri" w:cs="宋体"/>
      <w:kern w:val="0"/>
      <w:szCs w:val="21"/>
    </w:rPr>
  </w:style>
  <w:style w:type="paragraph" w:styleId="56">
    <w:name w:val="List Paragraph"/>
    <w:basedOn w:val="1"/>
    <w:autoRedefine/>
    <w:qFormat/>
    <w:uiPriority w:val="0"/>
    <w:pPr>
      <w:ind w:firstLine="420" w:firstLineChars="200"/>
    </w:pPr>
  </w:style>
  <w:style w:type="paragraph" w:customStyle="1" w:styleId="57">
    <w:name w:val="纯文本1"/>
    <w:basedOn w:val="54"/>
    <w:autoRedefine/>
    <w:qFormat/>
    <w:uiPriority w:val="0"/>
    <w:pPr>
      <w:widowControl/>
      <w:jc w:val="left"/>
    </w:pPr>
    <w:rPr>
      <w:rFonts w:hAnsi="Courier New"/>
    </w:rPr>
  </w:style>
  <w:style w:type="paragraph" w:customStyle="1" w:styleId="58">
    <w:name w:val="Table Paragraph"/>
    <w:basedOn w:val="1"/>
    <w:autoRedefine/>
    <w:qFormat/>
    <w:uiPriority w:val="1"/>
    <w:pPr>
      <w:jc w:val="left"/>
    </w:pPr>
    <w:rPr>
      <w:kern w:val="0"/>
      <w:sz w:val="22"/>
      <w:lang w:eastAsia="en-US"/>
    </w:rPr>
  </w:style>
  <w:style w:type="character" w:customStyle="1" w:styleId="59">
    <w:name w:val="NormalCharacter"/>
    <w:autoRedefine/>
    <w:semiHidden/>
    <w:qFormat/>
    <w:uiPriority w:val="0"/>
  </w:style>
  <w:style w:type="character" w:customStyle="1" w:styleId="60">
    <w:name w:val="批注文字 字符"/>
    <w:basedOn w:val="24"/>
    <w:link w:val="7"/>
    <w:autoRedefine/>
    <w:qFormat/>
    <w:uiPriority w:val="0"/>
    <w:rPr>
      <w:rFonts w:ascii="Times New Roman" w:hAnsi="Times New Roman"/>
      <w:kern w:val="2"/>
      <w:sz w:val="21"/>
      <w:szCs w:val="24"/>
    </w:rPr>
  </w:style>
  <w:style w:type="character" w:customStyle="1" w:styleId="61">
    <w:name w:val="批注主题 字符"/>
    <w:basedOn w:val="60"/>
    <w:link w:val="20"/>
    <w:autoRedefine/>
    <w:semiHidden/>
    <w:qFormat/>
    <w:uiPriority w:val="99"/>
    <w:rPr>
      <w:rFonts w:ascii="Times New Roman" w:hAnsi="Times New Roman"/>
      <w:b/>
      <w:bCs/>
      <w:kern w:val="2"/>
      <w:sz w:val="21"/>
      <w:szCs w:val="24"/>
    </w:rPr>
  </w:style>
  <w:style w:type="paragraph" w:customStyle="1" w:styleId="62">
    <w:name w:val="正文2"/>
    <w:basedOn w:val="1"/>
    <w:autoRedefine/>
    <w:qFormat/>
    <w:uiPriority w:val="0"/>
    <w:pPr>
      <w:spacing w:before="156" w:line="360" w:lineRule="auto"/>
      <w:ind w:firstLine="510" w:firstLineChars="200"/>
    </w:pPr>
    <w:rPr>
      <w:sz w:val="24"/>
      <w:szCs w:val="20"/>
    </w:rPr>
  </w:style>
  <w:style w:type="paragraph" w:customStyle="1" w:styleId="63">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64">
    <w:name w:val="签发人"/>
    <w:basedOn w:val="1"/>
    <w:autoRedefine/>
    <w:qFormat/>
    <w:uiPriority w:val="0"/>
    <w:rPr>
      <w:rFonts w:eastAsia="楷体"/>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56</Pages>
  <Words>16679</Words>
  <Characters>18172</Characters>
  <Lines>228</Lines>
  <Paragraphs>64</Paragraphs>
  <TotalTime>0</TotalTime>
  <ScaleCrop>false</ScaleCrop>
  <LinksUpToDate>false</LinksUpToDate>
  <CharactersWithSpaces>18273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崽崽</cp:lastModifiedBy>
  <dcterms:modified xsi:type="dcterms:W3CDTF">2024-12-24T02:10:00Z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453F5973381848AB82A281A4CD4EFA4E_13</vt:lpwstr>
  </property>
  <property fmtid="{D5CDD505-2E9C-101B-9397-08002B2CF9AE}" pid="4" name="commondata">
    <vt:lpwstr>eyJoZGlkIjoiNmNiNWQzMTIyZDkyNWQ5MzYxMmQ5MTE1ZmU3YjE0M2QifQ==</vt:lpwstr>
  </property>
</Properties>
</file>