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p>
    <w:p w14:paraId="37EDF207">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3" cstate="print"/>
                    <a:stretch>
                      <a:fillRect/>
                    </a:stretch>
                  </pic:blipFill>
                  <pic:spPr>
                    <a:xfrm>
                      <a:off x="0" y="0"/>
                      <a:ext cx="5488940" cy="2279015"/>
                    </a:xfrm>
                    <a:prstGeom prst="rect">
                      <a:avLst/>
                    </a:prstGeom>
                  </pic:spPr>
                </pic:pic>
              </a:graphicData>
            </a:graphic>
          </wp:anchor>
        </w:drawing>
      </w:r>
    </w:p>
    <w:p w14:paraId="3CDDC3A3">
      <w:pPr>
        <w:pStyle w:val="7"/>
        <w:jc w:val="center"/>
        <w:rPr>
          <w:rFonts w:hint="eastAsia" w:ascii="宋体" w:hAnsi="宋体" w:eastAsia="宋体" w:cs="宋体"/>
          <w:color w:val="auto"/>
          <w:highlight w:val="none"/>
        </w:rPr>
      </w:pPr>
    </w:p>
    <w:p w14:paraId="589055D1">
      <w:pPr>
        <w:pStyle w:val="7"/>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tzya2024-lq102</w:t>
      </w:r>
      <w:r>
        <w:rPr>
          <w:rFonts w:hint="eastAsia" w:ascii="宋体" w:hAnsi="宋体" w:eastAsia="宋体" w:cs="宋体"/>
          <w:color w:val="auto"/>
          <w:kern w:val="0"/>
          <w:sz w:val="28"/>
          <w:szCs w:val="28"/>
          <w:highlight w:val="none"/>
          <w:u w:val="single"/>
          <w:lang w:val="en-US" w:eastAsia="zh-CN"/>
        </w:rPr>
        <w:t xml:space="preserve"> </w:t>
      </w:r>
    </w:p>
    <w:p w14:paraId="73E885A2">
      <w:pPr>
        <w:pStyle w:val="7"/>
        <w:jc w:val="center"/>
        <w:rPr>
          <w:rFonts w:hint="eastAsia" w:ascii="宋体" w:hAnsi="宋体" w:eastAsia="宋体" w:cs="宋体"/>
          <w:color w:val="auto"/>
          <w:highlight w:val="none"/>
        </w:rPr>
      </w:pPr>
    </w:p>
    <w:p w14:paraId="1708585E">
      <w:pPr>
        <w:pStyle w:val="7"/>
        <w:jc w:val="both"/>
        <w:rPr>
          <w:rFonts w:hint="eastAsia" w:ascii="宋体" w:hAnsi="宋体" w:eastAsia="宋体" w:cs="宋体"/>
          <w:color w:val="auto"/>
          <w:highlight w:val="none"/>
        </w:rPr>
      </w:pPr>
    </w:p>
    <w:p w14:paraId="4C72AF17">
      <w:pPr>
        <w:pStyle w:val="7"/>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病死动物无害化处理项目</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台州市路桥区农业农村和水利局</w:t>
      </w:r>
    </w:p>
    <w:p w14:paraId="37A6AD10">
      <w:pPr>
        <w:pStyle w:val="7"/>
        <w:rPr>
          <w:rFonts w:hint="eastAsia" w:ascii="宋体" w:hAnsi="宋体" w:eastAsia="宋体" w:cs="宋体"/>
          <w:color w:val="auto"/>
          <w:highlight w:val="none"/>
        </w:rPr>
      </w:pPr>
    </w:p>
    <w:p w14:paraId="4A758623">
      <w:pPr>
        <w:pStyle w:val="7"/>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7"/>
        <w:rPr>
          <w:rFonts w:hint="eastAsia" w:ascii="宋体" w:hAnsi="宋体" w:eastAsia="宋体" w:cs="宋体"/>
          <w:color w:val="auto"/>
          <w:highlight w:val="none"/>
        </w:rPr>
      </w:pPr>
    </w:p>
    <w:p w14:paraId="31A6DFC7">
      <w:pPr>
        <w:pStyle w:val="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w:t>
      </w:r>
      <w:r>
        <w:rPr>
          <w:rFonts w:hint="eastAsia" w:ascii="宋体" w:hAnsi="宋体" w:cs="宋体"/>
          <w:color w:val="auto"/>
          <w:kern w:val="0"/>
          <w:sz w:val="28"/>
          <w:szCs w:val="28"/>
          <w:highlight w:val="none"/>
          <w:lang w:val="en-US" w:eastAsia="zh-CN" w:bidi="ar-SA"/>
        </w:rPr>
        <w:t>二四年十一月</w:t>
      </w:r>
    </w:p>
    <w:p w14:paraId="14E71F3D">
      <w:pPr>
        <w:pStyle w:val="7"/>
        <w:jc w:val="center"/>
        <w:rPr>
          <w:rFonts w:hint="eastAsia" w:ascii="宋体" w:hAnsi="宋体" w:eastAsia="宋体" w:cs="宋体"/>
          <w:color w:val="auto"/>
          <w:kern w:val="0"/>
          <w:szCs w:val="21"/>
          <w:highlight w:val="none"/>
        </w:rPr>
      </w:pPr>
    </w:p>
    <w:p w14:paraId="293D9607">
      <w:pPr>
        <w:pStyle w:val="7"/>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7"/>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7"/>
        <w:jc w:val="center"/>
        <w:rPr>
          <w:rFonts w:hint="eastAsia" w:ascii="宋体" w:hAnsi="宋体" w:eastAsia="宋体" w:cs="宋体"/>
          <w:color w:val="auto"/>
          <w:highlight w:val="none"/>
        </w:rPr>
      </w:pPr>
    </w:p>
    <w:p w14:paraId="50BA5BA5">
      <w:pPr>
        <w:pStyle w:val="7"/>
        <w:jc w:val="center"/>
        <w:rPr>
          <w:rFonts w:hint="eastAsia" w:ascii="宋体" w:hAnsi="宋体" w:eastAsia="宋体" w:cs="宋体"/>
          <w:color w:val="auto"/>
          <w:highlight w:val="none"/>
        </w:rPr>
      </w:pPr>
    </w:p>
    <w:p w14:paraId="1E1C4765">
      <w:pPr>
        <w:pStyle w:val="7"/>
        <w:jc w:val="center"/>
        <w:rPr>
          <w:rFonts w:hint="eastAsia" w:ascii="宋体" w:hAnsi="宋体" w:eastAsia="宋体" w:cs="宋体"/>
          <w:color w:val="auto"/>
          <w:highlight w:val="none"/>
        </w:rPr>
      </w:pPr>
    </w:p>
    <w:p w14:paraId="6222552D">
      <w:pPr>
        <w:pStyle w:val="7"/>
        <w:jc w:val="center"/>
        <w:rPr>
          <w:rFonts w:hint="eastAsia" w:ascii="宋体" w:hAnsi="宋体" w:eastAsia="宋体" w:cs="宋体"/>
          <w:color w:val="auto"/>
          <w:highlight w:val="none"/>
        </w:rPr>
      </w:pPr>
    </w:p>
    <w:p w14:paraId="331CADB1">
      <w:pPr>
        <w:pStyle w:val="7"/>
        <w:jc w:val="center"/>
        <w:rPr>
          <w:rFonts w:hint="eastAsia" w:ascii="宋体" w:hAnsi="宋体" w:eastAsia="宋体" w:cs="宋体"/>
          <w:color w:val="auto"/>
          <w:highlight w:val="none"/>
        </w:rPr>
      </w:pPr>
    </w:p>
    <w:p w14:paraId="7DA842D4">
      <w:pPr>
        <w:pStyle w:val="7"/>
        <w:jc w:val="center"/>
        <w:rPr>
          <w:rFonts w:hint="eastAsia" w:ascii="宋体" w:hAnsi="宋体" w:eastAsia="宋体" w:cs="宋体"/>
          <w:color w:val="auto"/>
          <w:highlight w:val="none"/>
        </w:rPr>
      </w:pPr>
    </w:p>
    <w:p w14:paraId="2D68CF0D">
      <w:pPr>
        <w:pStyle w:val="7"/>
        <w:jc w:val="center"/>
        <w:rPr>
          <w:rFonts w:hint="eastAsia" w:ascii="宋体" w:hAnsi="宋体" w:eastAsia="宋体" w:cs="宋体"/>
          <w:color w:val="auto"/>
          <w:highlight w:val="none"/>
        </w:rPr>
      </w:pPr>
    </w:p>
    <w:p w14:paraId="35BB7733">
      <w:pPr>
        <w:pStyle w:val="7"/>
        <w:jc w:val="center"/>
        <w:rPr>
          <w:rFonts w:hint="eastAsia" w:ascii="宋体" w:hAnsi="宋体" w:eastAsia="宋体" w:cs="宋体"/>
          <w:color w:val="auto"/>
          <w:highlight w:val="none"/>
        </w:rPr>
      </w:pPr>
    </w:p>
    <w:p w14:paraId="02B431F4">
      <w:pPr>
        <w:pStyle w:val="7"/>
        <w:jc w:val="center"/>
        <w:rPr>
          <w:rFonts w:hint="eastAsia" w:ascii="宋体" w:hAnsi="宋体" w:eastAsia="宋体" w:cs="宋体"/>
          <w:color w:val="auto"/>
          <w:highlight w:val="none"/>
        </w:rPr>
      </w:pPr>
    </w:p>
    <w:p w14:paraId="4F419DB2">
      <w:pPr>
        <w:pStyle w:val="7"/>
        <w:jc w:val="center"/>
        <w:rPr>
          <w:rFonts w:hint="eastAsia" w:ascii="宋体" w:hAnsi="宋体" w:eastAsia="宋体" w:cs="宋体"/>
          <w:color w:val="auto"/>
          <w:highlight w:val="none"/>
        </w:rPr>
      </w:pPr>
    </w:p>
    <w:p w14:paraId="1CFACB3E">
      <w:pPr>
        <w:pStyle w:val="7"/>
        <w:jc w:val="center"/>
        <w:rPr>
          <w:rFonts w:hint="eastAsia" w:ascii="宋体" w:hAnsi="宋体" w:eastAsia="宋体" w:cs="宋体"/>
          <w:color w:val="auto"/>
          <w:highlight w:val="none"/>
        </w:rPr>
      </w:pPr>
    </w:p>
    <w:p w14:paraId="6EA18690">
      <w:pPr>
        <w:pStyle w:val="7"/>
        <w:jc w:val="center"/>
        <w:rPr>
          <w:rFonts w:hint="eastAsia" w:ascii="宋体" w:hAnsi="宋体" w:eastAsia="宋体" w:cs="宋体"/>
          <w:color w:val="auto"/>
          <w:highlight w:val="none"/>
        </w:rPr>
      </w:pPr>
    </w:p>
    <w:p w14:paraId="429902BF">
      <w:pPr>
        <w:pStyle w:val="19"/>
        <w:rPr>
          <w:rFonts w:hint="eastAsia" w:ascii="宋体" w:hAnsi="宋体" w:eastAsia="宋体" w:cs="宋体"/>
          <w:color w:val="auto"/>
          <w:highlight w:val="none"/>
        </w:rPr>
      </w:pPr>
    </w:p>
    <w:p w14:paraId="0BAAC219">
      <w:pPr>
        <w:pStyle w:val="19"/>
        <w:rPr>
          <w:rFonts w:hint="eastAsia" w:ascii="宋体" w:hAnsi="宋体" w:eastAsia="宋体" w:cs="宋体"/>
          <w:color w:val="auto"/>
          <w:highlight w:val="none"/>
        </w:rPr>
      </w:pPr>
    </w:p>
    <w:p w14:paraId="1190BB94">
      <w:pPr>
        <w:pStyle w:val="7"/>
        <w:jc w:val="center"/>
        <w:rPr>
          <w:rFonts w:hint="eastAsia" w:ascii="宋体" w:hAnsi="宋体" w:eastAsia="宋体" w:cs="宋体"/>
          <w:color w:val="auto"/>
          <w:highlight w:val="none"/>
        </w:rPr>
      </w:pPr>
    </w:p>
    <w:p w14:paraId="077DDCED">
      <w:pPr>
        <w:pStyle w:val="19"/>
        <w:rPr>
          <w:rFonts w:hint="eastAsia" w:ascii="宋体" w:hAnsi="宋体" w:eastAsia="宋体" w:cs="宋体"/>
          <w:color w:val="auto"/>
          <w:highlight w:val="none"/>
        </w:rPr>
      </w:pPr>
    </w:p>
    <w:p w14:paraId="45DE0236">
      <w:pPr>
        <w:pStyle w:val="7"/>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等有关规定,受</w:t>
      </w:r>
      <w:r>
        <w:rPr>
          <w:rFonts w:hint="eastAsia" w:ascii="宋体" w:hAnsi="宋体" w:cs="宋体"/>
          <w:b/>
          <w:bCs/>
          <w:color w:val="auto"/>
          <w:sz w:val="21"/>
          <w:szCs w:val="21"/>
          <w:highlight w:val="none"/>
          <w:lang w:eastAsia="zh-CN"/>
        </w:rPr>
        <w:t>台州市路桥区农业农村和水利局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病死动物无害化处理项目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1B3D3778">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lang w:val="en-US" w:eastAsia="zh-CN" w:bidi="ar-SA"/>
        </w:rPr>
        <w:t>根据《政府向社会力量购买服务指导性目录（202</w:t>
      </w:r>
      <w:r>
        <w:rPr>
          <w:rFonts w:hint="eastAsia" w:ascii="宋体" w:hAnsi="宋体" w:cs="宋体"/>
          <w:b/>
          <w:color w:val="auto"/>
          <w:kern w:val="2"/>
          <w:sz w:val="21"/>
          <w:szCs w:val="21"/>
          <w:highlight w:val="none"/>
          <w:lang w:val="en-US" w:eastAsia="zh-CN" w:bidi="ar-SA"/>
        </w:rPr>
        <w:t>4</w:t>
      </w:r>
      <w:r>
        <w:rPr>
          <w:rFonts w:hint="eastAsia" w:ascii="宋体" w:hAnsi="宋体" w:eastAsia="宋体" w:cs="宋体"/>
          <w:b/>
          <w:color w:val="auto"/>
          <w:kern w:val="2"/>
          <w:sz w:val="21"/>
          <w:szCs w:val="21"/>
          <w:highlight w:val="none"/>
          <w:lang w:val="en-US" w:eastAsia="zh-CN" w:bidi="ar-SA"/>
        </w:rPr>
        <w:t>年）》中A1208内容以及《政府采购竞争性磋商采购方式管理暂行办法》第一章第三条：“符合下列情形的项目，可以采用竞争性磋商方式开展采购：政府购买服务项目”，</w:t>
      </w:r>
      <w:r>
        <w:rPr>
          <w:rFonts w:hint="eastAsia" w:ascii="宋体" w:hAnsi="宋体" w:cs="宋体"/>
          <w:b/>
          <w:color w:val="auto"/>
          <w:kern w:val="2"/>
          <w:sz w:val="21"/>
          <w:szCs w:val="21"/>
          <w:highlight w:val="none"/>
          <w:lang w:val="en-US" w:eastAsia="zh-CN" w:bidi="ar-SA"/>
        </w:rPr>
        <w:t>病死动物无害化处理项目</w:t>
      </w:r>
      <w:r>
        <w:rPr>
          <w:rFonts w:hint="eastAsia" w:ascii="宋体" w:hAnsi="宋体" w:eastAsia="宋体" w:cs="宋体"/>
          <w:b/>
          <w:color w:val="auto"/>
          <w:kern w:val="2"/>
          <w:sz w:val="21"/>
          <w:szCs w:val="21"/>
          <w:highlight w:val="none"/>
          <w:lang w:val="en-US" w:eastAsia="zh-CN" w:bidi="ar-SA"/>
        </w:rPr>
        <w:t>符合此条款要求，可采用竞争性磋商采购。</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tzya2024-lq102</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105"/>
        <w:gridCol w:w="695"/>
        <w:gridCol w:w="777"/>
        <w:gridCol w:w="982"/>
        <w:gridCol w:w="2072"/>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624D7C2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05" w:type="dxa"/>
            <w:noWrap w:val="0"/>
            <w:vAlign w:val="center"/>
          </w:tcPr>
          <w:p w14:paraId="0B5EF8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95" w:type="dxa"/>
            <w:noWrap w:val="0"/>
            <w:vAlign w:val="center"/>
          </w:tcPr>
          <w:p w14:paraId="39A4494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77" w:type="dxa"/>
            <w:noWrap w:val="0"/>
            <w:vAlign w:val="center"/>
          </w:tcPr>
          <w:p w14:paraId="36BA36B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982" w:type="dxa"/>
            <w:noWrap w:val="0"/>
            <w:vAlign w:val="center"/>
          </w:tcPr>
          <w:p w14:paraId="7321CD4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072" w:type="dxa"/>
            <w:noWrap w:val="0"/>
            <w:vAlign w:val="center"/>
          </w:tcPr>
          <w:p w14:paraId="13560F6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7F5F3E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病死动物无害化处理项目</w:t>
            </w:r>
          </w:p>
        </w:tc>
        <w:tc>
          <w:tcPr>
            <w:tcW w:w="1105" w:type="dxa"/>
            <w:noWrap w:val="0"/>
            <w:vAlign w:val="center"/>
          </w:tcPr>
          <w:p w14:paraId="7271AE3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695" w:type="dxa"/>
            <w:noWrap w:val="0"/>
            <w:vAlign w:val="center"/>
          </w:tcPr>
          <w:p w14:paraId="5B9DE8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7" w:type="dxa"/>
            <w:noWrap w:val="0"/>
            <w:vAlign w:val="center"/>
          </w:tcPr>
          <w:p w14:paraId="6B6670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982" w:type="dxa"/>
            <w:noWrap w:val="0"/>
            <w:vAlign w:val="center"/>
          </w:tcPr>
          <w:p w14:paraId="4F002EE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80</w:t>
            </w:r>
          </w:p>
        </w:tc>
        <w:tc>
          <w:tcPr>
            <w:tcW w:w="2072" w:type="dxa"/>
            <w:noWrap w:val="0"/>
            <w:vAlign w:val="center"/>
          </w:tcPr>
          <w:p w14:paraId="3E6B06A9">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tbl>
    <w:p w14:paraId="386FEC96">
      <w:pPr>
        <w:pStyle w:val="9"/>
        <w:adjustRightInd w:val="0"/>
        <w:snapToGrid w:val="0"/>
        <w:spacing w:line="360" w:lineRule="auto"/>
        <w:rPr>
          <w:rFonts w:hint="eastAsia" w:ascii="宋体" w:hAnsi="宋体" w:eastAsia="宋体" w:cs="宋体"/>
          <w:b/>
          <w:bCs/>
          <w:color w:val="auto"/>
          <w:szCs w:val="21"/>
          <w:highlight w:val="none"/>
        </w:rPr>
      </w:pPr>
    </w:p>
    <w:bookmarkEnd w:id="0"/>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5F92ADFD">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4"/>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4"/>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4"/>
          <w:rFonts w:hint="eastAsia" w:ascii="宋体" w:hAnsi="宋体" w:eastAsia="宋体" w:cs="宋体"/>
          <w:i w:val="0"/>
          <w:caps w:val="0"/>
          <w:color w:val="auto"/>
          <w:spacing w:val="0"/>
          <w:sz w:val="21"/>
          <w:szCs w:val="21"/>
          <w:highlight w:val="none"/>
        </w:rPr>
        <w:t>方式：潜在供应商登陆</w:t>
      </w:r>
      <w:r>
        <w:rPr>
          <w:rStyle w:val="24"/>
          <w:rFonts w:hint="eastAsia" w:ascii="宋体" w:hAnsi="宋体" w:eastAsia="宋体" w:cs="宋体"/>
          <w:i w:val="0"/>
          <w:caps w:val="0"/>
          <w:color w:val="auto"/>
          <w:spacing w:val="0"/>
          <w:sz w:val="21"/>
          <w:szCs w:val="21"/>
          <w:highlight w:val="none"/>
          <w:lang w:val="en-US" w:eastAsia="zh-CN"/>
        </w:rPr>
        <w:t>政府采购</w:t>
      </w:r>
      <w:r>
        <w:rPr>
          <w:rStyle w:val="24"/>
          <w:rFonts w:hint="eastAsia" w:ascii="宋体" w:hAnsi="宋体" w:eastAsia="宋体" w:cs="宋体"/>
          <w:i w:val="0"/>
          <w:caps w:val="0"/>
          <w:color w:val="auto"/>
          <w:spacing w:val="0"/>
          <w:sz w:val="21"/>
          <w:szCs w:val="21"/>
          <w:highlight w:val="none"/>
        </w:rPr>
        <w:t>云平台，在线申请获取</w:t>
      </w:r>
      <w:r>
        <w:rPr>
          <w:rStyle w:val="24"/>
          <w:rFonts w:hint="eastAsia" w:ascii="宋体" w:hAnsi="宋体" w:cs="宋体"/>
          <w:i w:val="0"/>
          <w:caps w:val="0"/>
          <w:color w:val="auto"/>
          <w:spacing w:val="0"/>
          <w:sz w:val="21"/>
          <w:szCs w:val="21"/>
          <w:highlight w:val="none"/>
          <w:lang w:eastAsia="zh-CN"/>
        </w:rPr>
        <w:t>采购文件</w:t>
      </w:r>
      <w:r>
        <w:rPr>
          <w:rStyle w:val="24"/>
          <w:rFonts w:hint="eastAsia" w:ascii="宋体" w:hAnsi="宋体" w:eastAsia="宋体" w:cs="宋体"/>
          <w:b w:val="0"/>
          <w:bCs/>
          <w:i w:val="0"/>
          <w:caps w:val="0"/>
          <w:color w:val="auto"/>
          <w:spacing w:val="0"/>
          <w:sz w:val="21"/>
          <w:szCs w:val="21"/>
          <w:highlight w:val="none"/>
        </w:rPr>
        <w:t>（进入“项目采购”应用，在获取</w:t>
      </w:r>
      <w:r>
        <w:rPr>
          <w:rStyle w:val="24"/>
          <w:rFonts w:hint="eastAsia" w:ascii="宋体" w:hAnsi="宋体" w:cs="宋体"/>
          <w:b w:val="0"/>
          <w:bCs/>
          <w:i w:val="0"/>
          <w:caps w:val="0"/>
          <w:color w:val="auto"/>
          <w:spacing w:val="0"/>
          <w:sz w:val="21"/>
          <w:szCs w:val="21"/>
          <w:highlight w:val="none"/>
          <w:lang w:eastAsia="zh-CN"/>
        </w:rPr>
        <w:t>采购文件</w:t>
      </w:r>
      <w:r>
        <w:rPr>
          <w:rStyle w:val="24"/>
          <w:rFonts w:hint="eastAsia" w:ascii="宋体" w:hAnsi="宋体" w:eastAsia="宋体" w:cs="宋体"/>
          <w:b w:val="0"/>
          <w:bCs/>
          <w:i w:val="0"/>
          <w:caps w:val="0"/>
          <w:color w:val="auto"/>
          <w:spacing w:val="0"/>
          <w:sz w:val="21"/>
          <w:szCs w:val="21"/>
          <w:highlight w:val="none"/>
        </w:rPr>
        <w:t>菜单中选择项目，申请获取</w:t>
      </w:r>
      <w:r>
        <w:rPr>
          <w:rStyle w:val="24"/>
          <w:rFonts w:hint="eastAsia" w:ascii="宋体" w:hAnsi="宋体" w:cs="宋体"/>
          <w:b w:val="0"/>
          <w:bCs/>
          <w:i w:val="0"/>
          <w:caps w:val="0"/>
          <w:color w:val="auto"/>
          <w:spacing w:val="0"/>
          <w:sz w:val="21"/>
          <w:szCs w:val="21"/>
          <w:highlight w:val="none"/>
          <w:lang w:eastAsia="zh-CN"/>
        </w:rPr>
        <w:t>采购文件</w:t>
      </w:r>
      <w:r>
        <w:rPr>
          <w:rStyle w:val="24"/>
          <w:rFonts w:hint="eastAsia" w:ascii="宋体" w:hAnsi="宋体" w:eastAsia="宋体" w:cs="宋体"/>
          <w:b w:val="0"/>
          <w:bCs/>
          <w:i w:val="0"/>
          <w:caps w:val="0"/>
          <w:color w:val="auto"/>
          <w:spacing w:val="0"/>
          <w:sz w:val="21"/>
          <w:szCs w:val="21"/>
          <w:highlight w:val="none"/>
        </w:rPr>
        <w:t>，本项目</w:t>
      </w:r>
      <w:r>
        <w:rPr>
          <w:rStyle w:val="24"/>
          <w:rFonts w:hint="eastAsia" w:ascii="宋体" w:hAnsi="宋体" w:cs="宋体"/>
          <w:b w:val="0"/>
          <w:bCs/>
          <w:i w:val="0"/>
          <w:caps w:val="0"/>
          <w:color w:val="auto"/>
          <w:spacing w:val="0"/>
          <w:sz w:val="21"/>
          <w:szCs w:val="21"/>
          <w:highlight w:val="none"/>
          <w:lang w:eastAsia="zh-CN"/>
        </w:rPr>
        <w:t>采购文件</w:t>
      </w:r>
      <w:r>
        <w:rPr>
          <w:rStyle w:val="24"/>
          <w:rFonts w:hint="eastAsia" w:ascii="宋体" w:hAnsi="宋体" w:eastAsia="宋体" w:cs="宋体"/>
          <w:b w:val="0"/>
          <w:bCs/>
          <w:i w:val="0"/>
          <w:caps w:val="0"/>
          <w:color w:val="auto"/>
          <w:spacing w:val="0"/>
          <w:sz w:val="21"/>
          <w:szCs w:val="21"/>
          <w:highlight w:val="none"/>
        </w:rPr>
        <w:t>不收取工本费；</w:t>
      </w:r>
      <w:r>
        <w:rPr>
          <w:rStyle w:val="24"/>
          <w:rFonts w:hint="eastAsia" w:ascii="宋体" w:hAnsi="宋体" w:eastAsia="宋体" w:cs="宋体"/>
          <w:b w:val="0"/>
          <w:bCs/>
          <w:i w:val="0"/>
          <w:caps w:val="0"/>
          <w:color w:val="auto"/>
          <w:spacing w:val="0"/>
          <w:sz w:val="21"/>
          <w:szCs w:val="21"/>
          <w:highlight w:val="none"/>
          <w:u w:val="single"/>
        </w:rPr>
        <w:t>仅需浏览</w:t>
      </w:r>
      <w:r>
        <w:rPr>
          <w:rStyle w:val="24"/>
          <w:rFonts w:hint="eastAsia" w:ascii="宋体" w:hAnsi="宋体" w:cs="宋体"/>
          <w:b w:val="0"/>
          <w:bCs/>
          <w:i w:val="0"/>
          <w:caps w:val="0"/>
          <w:color w:val="auto"/>
          <w:spacing w:val="0"/>
          <w:sz w:val="21"/>
          <w:szCs w:val="21"/>
          <w:highlight w:val="none"/>
          <w:u w:val="single"/>
          <w:lang w:eastAsia="zh-CN"/>
        </w:rPr>
        <w:t>采购文件</w:t>
      </w:r>
      <w:r>
        <w:rPr>
          <w:rStyle w:val="24"/>
          <w:rFonts w:hint="eastAsia" w:ascii="宋体" w:hAnsi="宋体" w:eastAsia="宋体" w:cs="宋体"/>
          <w:b w:val="0"/>
          <w:bCs/>
          <w:i w:val="0"/>
          <w:caps w:val="0"/>
          <w:color w:val="auto"/>
          <w:spacing w:val="0"/>
          <w:sz w:val="21"/>
          <w:szCs w:val="21"/>
          <w:highlight w:val="none"/>
          <w:u w:val="single"/>
        </w:rPr>
        <w:t>的供应商可点击“游客，浏览</w:t>
      </w:r>
      <w:r>
        <w:rPr>
          <w:rStyle w:val="24"/>
          <w:rFonts w:hint="eastAsia" w:ascii="宋体" w:hAnsi="宋体" w:cs="宋体"/>
          <w:b w:val="0"/>
          <w:bCs/>
          <w:i w:val="0"/>
          <w:caps w:val="0"/>
          <w:color w:val="auto"/>
          <w:spacing w:val="0"/>
          <w:sz w:val="21"/>
          <w:szCs w:val="21"/>
          <w:highlight w:val="none"/>
          <w:u w:val="single"/>
          <w:lang w:eastAsia="zh-CN"/>
        </w:rPr>
        <w:t>采购文件</w:t>
      </w:r>
      <w:r>
        <w:rPr>
          <w:rStyle w:val="24"/>
          <w:rFonts w:hint="eastAsia" w:ascii="宋体" w:hAnsi="宋体" w:eastAsia="宋体" w:cs="宋体"/>
          <w:b w:val="0"/>
          <w:bCs/>
          <w:i w:val="0"/>
          <w:caps w:val="0"/>
          <w:color w:val="auto"/>
          <w:spacing w:val="0"/>
          <w:sz w:val="21"/>
          <w:szCs w:val="21"/>
          <w:highlight w:val="none"/>
          <w:u w:val="single"/>
        </w:rPr>
        <w:t>”直接下载</w:t>
      </w:r>
      <w:r>
        <w:rPr>
          <w:rStyle w:val="24"/>
          <w:rFonts w:hint="eastAsia" w:ascii="宋体" w:hAnsi="宋体" w:cs="宋体"/>
          <w:b w:val="0"/>
          <w:bCs/>
          <w:i w:val="0"/>
          <w:caps w:val="0"/>
          <w:color w:val="auto"/>
          <w:spacing w:val="0"/>
          <w:sz w:val="21"/>
          <w:szCs w:val="21"/>
          <w:highlight w:val="none"/>
          <w:u w:val="single"/>
          <w:lang w:eastAsia="zh-CN"/>
        </w:rPr>
        <w:t>采购文件</w:t>
      </w:r>
      <w:r>
        <w:rPr>
          <w:rStyle w:val="24"/>
          <w:rFonts w:hint="eastAsia" w:ascii="宋体" w:hAnsi="宋体" w:eastAsia="宋体" w:cs="宋体"/>
          <w:b w:val="0"/>
          <w:bCs/>
          <w:i w:val="0"/>
          <w:caps w:val="0"/>
          <w:color w:val="auto"/>
          <w:spacing w:val="0"/>
          <w:sz w:val="21"/>
          <w:szCs w:val="21"/>
          <w:highlight w:val="none"/>
          <w:u w:val="single"/>
        </w:rPr>
        <w:t>浏览</w:t>
      </w:r>
      <w:r>
        <w:rPr>
          <w:rStyle w:val="24"/>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4"/>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4"/>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4"/>
          <w:rFonts w:hint="eastAsia" w:ascii="宋体" w:hAnsi="宋体" w:eastAsia="宋体" w:cs="宋体"/>
          <w:b w:val="0"/>
          <w:bCs w:val="0"/>
          <w:i w:val="0"/>
          <w:caps w:val="0"/>
          <w:color w:val="auto"/>
          <w:spacing w:val="0"/>
          <w:sz w:val="21"/>
          <w:szCs w:val="21"/>
          <w:highlight w:val="none"/>
          <w:lang w:val="en-US" w:eastAsia="zh-CN"/>
        </w:rPr>
        <w:t>5</w:t>
      </w:r>
      <w:r>
        <w:rPr>
          <w:rStyle w:val="24"/>
          <w:rFonts w:hint="eastAsia" w:ascii="宋体" w:hAnsi="宋体" w:eastAsia="宋体" w:cs="宋体"/>
          <w:b w:val="0"/>
          <w:bCs w:val="0"/>
          <w:i w:val="0"/>
          <w:caps w:val="0"/>
          <w:color w:val="auto"/>
          <w:spacing w:val="0"/>
          <w:sz w:val="21"/>
          <w:szCs w:val="21"/>
          <w:highlight w:val="none"/>
        </w:rPr>
        <w:t>、供应商获取</w:t>
      </w:r>
      <w:r>
        <w:rPr>
          <w:rStyle w:val="24"/>
          <w:rFonts w:hint="eastAsia" w:cs="宋体"/>
          <w:b w:val="0"/>
          <w:bCs w:val="0"/>
          <w:i w:val="0"/>
          <w:caps w:val="0"/>
          <w:color w:val="auto"/>
          <w:spacing w:val="0"/>
          <w:sz w:val="21"/>
          <w:szCs w:val="21"/>
          <w:highlight w:val="none"/>
          <w:lang w:eastAsia="zh-CN"/>
        </w:rPr>
        <w:t>采购文件</w:t>
      </w:r>
      <w:r>
        <w:rPr>
          <w:rStyle w:val="24"/>
          <w:rFonts w:hint="eastAsia" w:ascii="宋体" w:hAnsi="宋体" w:eastAsia="宋体" w:cs="宋体"/>
          <w:b w:val="0"/>
          <w:bCs w:val="0"/>
          <w:i w:val="0"/>
          <w:caps w:val="0"/>
          <w:color w:val="auto"/>
          <w:spacing w:val="0"/>
          <w:sz w:val="21"/>
          <w:szCs w:val="21"/>
          <w:highlight w:val="none"/>
        </w:rPr>
        <w:t>时须提交的文件资料：无；</w:t>
      </w:r>
    </w:p>
    <w:p w14:paraId="66F88930">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lang w:val="en-US" w:eastAsia="zh-CN"/>
        </w:rPr>
        <w:t>6</w:t>
      </w:r>
      <w:r>
        <w:rPr>
          <w:rStyle w:val="24"/>
          <w:rFonts w:hint="eastAsia" w:ascii="宋体" w:hAnsi="宋体" w:eastAsia="宋体" w:cs="宋体"/>
          <w:i w:val="0"/>
          <w:caps w:val="0"/>
          <w:color w:val="auto"/>
          <w:spacing w:val="0"/>
          <w:sz w:val="21"/>
          <w:szCs w:val="21"/>
          <w:highlight w:val="none"/>
        </w:rPr>
        <w:t>、提示：</w:t>
      </w:r>
      <w:r>
        <w:rPr>
          <w:rStyle w:val="24"/>
          <w:rFonts w:hint="eastAsia" w:ascii="宋体" w:hAnsi="宋体" w:eastAsia="宋体" w:cs="宋体"/>
          <w:i w:val="0"/>
          <w:caps w:val="0"/>
          <w:color w:val="auto"/>
          <w:spacing w:val="0"/>
          <w:sz w:val="21"/>
          <w:szCs w:val="21"/>
          <w:highlight w:val="none"/>
          <w:lang w:eastAsia="zh-CN"/>
        </w:rPr>
        <w:t>竞争性磋商公告</w:t>
      </w:r>
      <w:r>
        <w:rPr>
          <w:rStyle w:val="24"/>
          <w:rFonts w:hint="eastAsia" w:ascii="宋体" w:hAnsi="宋体" w:eastAsia="宋体" w:cs="宋体"/>
          <w:i w:val="0"/>
          <w:caps w:val="0"/>
          <w:color w:val="auto"/>
          <w:spacing w:val="0"/>
          <w:sz w:val="21"/>
          <w:szCs w:val="21"/>
          <w:highlight w:val="none"/>
        </w:rPr>
        <w:t>附件内的</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申请并下载了</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后才视作依法获取</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（法律法规所指的供应商获取</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时间以供应商完成获取</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申请后下载</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的时间为准）。</w:t>
      </w:r>
    </w:p>
    <w:p w14:paraId="5B02E41E">
      <w:pPr>
        <w:pStyle w:val="17"/>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4"/>
          <w:rFonts w:hint="eastAsia" w:ascii="宋体" w:hAnsi="宋体" w:eastAsia="宋体" w:cs="宋体"/>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rPr>
        <w:t>注：请供应商按上述要求获取</w:t>
      </w:r>
      <w:r>
        <w:rPr>
          <w:rStyle w:val="24"/>
          <w:rFonts w:hint="eastAsia" w:cs="宋体"/>
          <w:i w:val="0"/>
          <w:caps w:val="0"/>
          <w:color w:val="auto"/>
          <w:spacing w:val="0"/>
          <w:sz w:val="21"/>
          <w:szCs w:val="21"/>
          <w:highlight w:val="none"/>
          <w:lang w:eastAsia="zh-CN"/>
        </w:rPr>
        <w:t>采购文件</w:t>
      </w:r>
      <w:r>
        <w:rPr>
          <w:rStyle w:val="24"/>
          <w:rFonts w:hint="eastAsia" w:ascii="宋体" w:hAnsi="宋体" w:eastAsia="宋体" w:cs="宋体"/>
          <w:i w:val="0"/>
          <w:caps w:val="0"/>
          <w:color w:val="auto"/>
          <w:spacing w:val="0"/>
          <w:sz w:val="21"/>
          <w:szCs w:val="21"/>
          <w:highlight w:val="none"/>
        </w:rPr>
        <w:t>，如未在“</w:t>
      </w:r>
      <w:r>
        <w:rPr>
          <w:rStyle w:val="24"/>
          <w:rFonts w:hint="eastAsia" w:ascii="宋体" w:hAnsi="宋体" w:eastAsia="宋体" w:cs="宋体"/>
          <w:i w:val="0"/>
          <w:caps w:val="0"/>
          <w:color w:val="auto"/>
          <w:spacing w:val="0"/>
          <w:sz w:val="21"/>
          <w:szCs w:val="21"/>
          <w:highlight w:val="none"/>
          <w:lang w:val="en-US" w:eastAsia="zh-CN"/>
        </w:rPr>
        <w:t>政府采购云平台</w:t>
      </w:r>
      <w:r>
        <w:rPr>
          <w:rStyle w:val="24"/>
          <w:rFonts w:hint="eastAsia" w:ascii="宋体" w:hAnsi="宋体" w:eastAsia="宋体" w:cs="宋体"/>
          <w:i w:val="0"/>
          <w:caps w:val="0"/>
          <w:color w:val="auto"/>
          <w:spacing w:val="0"/>
          <w:sz w:val="21"/>
          <w:szCs w:val="21"/>
          <w:highlight w:val="none"/>
        </w:rPr>
        <w:t>”系统内完成相关流程，引起的</w:t>
      </w:r>
      <w:r>
        <w:rPr>
          <w:rStyle w:val="24"/>
          <w:rFonts w:hint="eastAsia" w:ascii="宋体" w:hAnsi="宋体" w:eastAsia="宋体" w:cs="宋体"/>
          <w:i w:val="0"/>
          <w:caps w:val="0"/>
          <w:color w:val="auto"/>
          <w:spacing w:val="0"/>
          <w:sz w:val="21"/>
          <w:szCs w:val="21"/>
          <w:highlight w:val="none"/>
          <w:lang w:val="en-US" w:eastAsia="zh-CN"/>
        </w:rPr>
        <w:t>投标</w:t>
      </w:r>
      <w:r>
        <w:rPr>
          <w:rStyle w:val="24"/>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3"/>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2024年11月11日上午09:30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553A1F1">
      <w:pPr>
        <w:pStyle w:val="53"/>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2024年11月11日上午09:30</w:t>
      </w:r>
      <w:r>
        <w:rPr>
          <w:rFonts w:hint="eastAsia" w:ascii="宋体" w:hAnsi="宋体" w:eastAsia="宋体" w:cs="宋体"/>
          <w:color w:val="auto"/>
          <w:sz w:val="21"/>
          <w:szCs w:val="21"/>
          <w:highlight w:val="none"/>
          <w:lang w:eastAsia="zh-CN"/>
        </w:rPr>
        <w:t>整，地点：通过“政府采购云平台（www.zcygov.cn）”实行在线投标响应</w:t>
      </w:r>
    </w:p>
    <w:p w14:paraId="2D514735">
      <w:pPr>
        <w:pStyle w:val="53"/>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2024年11月11日</w:t>
      </w:r>
      <w:r>
        <w:rPr>
          <w:rFonts w:hint="eastAsia" w:ascii="宋体" w:hAnsi="宋体" w:cs="宋体"/>
          <w:color w:val="auto"/>
          <w:sz w:val="21"/>
          <w:szCs w:val="21"/>
          <w:highlight w:val="none"/>
          <w:lang w:val="en-US" w:eastAsia="zh-CN"/>
        </w:rPr>
        <w:t>上午</w:t>
      </w:r>
      <w:r>
        <w:rPr>
          <w:rFonts w:hint="eastAsia" w:ascii="宋体" w:hAnsi="宋体" w:cs="宋体"/>
          <w:color w:val="auto"/>
          <w:sz w:val="21"/>
          <w:szCs w:val="21"/>
          <w:highlight w:val="none"/>
          <w:lang w:eastAsia="zh-CN"/>
        </w:rPr>
        <w:t>10:00</w:t>
      </w:r>
      <w:r>
        <w:rPr>
          <w:rFonts w:hint="eastAsia" w:ascii="宋体" w:hAnsi="宋体" w:eastAsia="宋体" w:cs="宋体"/>
          <w:color w:val="auto"/>
          <w:sz w:val="21"/>
          <w:szCs w:val="21"/>
          <w:highlight w:val="none"/>
          <w:lang w:eastAsia="zh-CN"/>
        </w:rPr>
        <w:t>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9"/>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9"/>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3"/>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9"/>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6BD55DD">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18FA41E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6D99498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台州市路桥区农业农村和水利局</w:t>
      </w:r>
    </w:p>
    <w:p w14:paraId="0BA15A5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Theme="minorEastAsia" w:hAnsiTheme="minorEastAsia" w:eastAsiaTheme="minorEastAsia" w:cstheme="minorEastAsia"/>
          <w:color w:val="auto"/>
          <w:sz w:val="21"/>
          <w:szCs w:val="21"/>
          <w:highlight w:val="none"/>
          <w:lang w:eastAsia="zh-CN"/>
        </w:rPr>
        <w:t>潘女士</w:t>
      </w:r>
      <w:r>
        <w:rPr>
          <w:rFonts w:hint="eastAsia" w:ascii="宋体" w:hAnsi="宋体" w:eastAsia="宋体" w:cs="宋体"/>
          <w:color w:val="auto"/>
          <w:szCs w:val="21"/>
          <w:highlight w:val="none"/>
        </w:rPr>
        <w:t xml:space="preserve">      询问联系电话：</w:t>
      </w:r>
      <w:r>
        <w:rPr>
          <w:rFonts w:hint="eastAsia" w:asciiTheme="minorEastAsia" w:hAnsiTheme="minorEastAsia" w:eastAsiaTheme="minorEastAsia" w:cstheme="minorEastAsia"/>
          <w:color w:val="auto"/>
          <w:sz w:val="21"/>
          <w:szCs w:val="21"/>
          <w:highlight w:val="none"/>
          <w:lang w:eastAsia="zh-CN"/>
        </w:rPr>
        <w:t>0576-82520187</w:t>
      </w:r>
    </w:p>
    <w:p w14:paraId="6A19BC92">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应先生</w:t>
      </w:r>
      <w:r>
        <w:rPr>
          <w:rFonts w:hint="eastAsia" w:ascii="宋体" w:hAnsi="宋体" w:eastAsia="宋体" w:cs="宋体"/>
          <w:color w:val="auto"/>
          <w:szCs w:val="21"/>
          <w:highlight w:val="none"/>
        </w:rPr>
        <w:t xml:space="preserve">      质疑联系电话：0576-82439457</w:t>
      </w:r>
    </w:p>
    <w:p w14:paraId="0BAC38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Theme="minorEastAsia" w:hAnsiTheme="minorEastAsia" w:eastAsiaTheme="minorEastAsia" w:cstheme="minorEastAsia"/>
          <w:color w:val="auto"/>
          <w:sz w:val="21"/>
          <w:szCs w:val="21"/>
          <w:highlight w:val="none"/>
          <w:lang w:val="en-US" w:eastAsia="zh-CN"/>
        </w:rPr>
        <w:t>台州市路桥区</w:t>
      </w:r>
      <w:r>
        <w:rPr>
          <w:rFonts w:hint="eastAsia" w:asciiTheme="minorEastAsia" w:hAnsiTheme="minorEastAsia" w:eastAsiaTheme="minorEastAsia" w:cstheme="minorEastAsia"/>
          <w:color w:val="auto"/>
          <w:sz w:val="21"/>
          <w:szCs w:val="21"/>
          <w:highlight w:val="none"/>
        </w:rPr>
        <w:t>西路桥大道539号</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B756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1B1E61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联系人：吴女士</w:t>
      </w:r>
    </w:p>
    <w:p w14:paraId="464A8C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1FD0D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2"/>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2"/>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49CE411">
      <w:pPr>
        <w:pStyle w:val="29"/>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5B9E88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1"/>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4997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D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A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4120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6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E4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D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2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9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63B2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6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56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F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A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3BCC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5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C0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CC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AF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5CEE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4C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EF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AA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6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B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47F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5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7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7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2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B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3716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07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8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9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3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D46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8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52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5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63DF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7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17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A1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E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33BF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01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70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6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6584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F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2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5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9E0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2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32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30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5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5825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D3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38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A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6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0123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A5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F7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7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14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0CFE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5B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8E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B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53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6D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6B1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7B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1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AA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3E039606">
      <w:pPr>
        <w:pStyle w:val="28"/>
        <w:rPr>
          <w:rFonts w:hint="eastAsia" w:ascii="宋体" w:hAnsi="宋体" w:eastAsia="宋体" w:cs="宋体"/>
          <w:color w:val="auto"/>
          <w:highlight w:val="none"/>
        </w:rPr>
      </w:pPr>
    </w:p>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szCs w:val="21"/>
          <w:highlight w:val="none"/>
        </w:rPr>
        <w:t>http://zfcg.czt.zj.gov.cn</w:t>
      </w:r>
      <w:r>
        <w:rPr>
          <w:rStyle w:val="2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7"/>
        <w:jc w:val="right"/>
        <w:rPr>
          <w:rFonts w:hint="eastAsia" w:ascii="宋体" w:hAnsi="宋体" w:eastAsia="宋体" w:cs="宋体"/>
          <w:b/>
          <w:color w:val="auto"/>
          <w:sz w:val="36"/>
          <w:szCs w:val="36"/>
          <w:highlight w:val="none"/>
          <w:lang w:val="en-US" w:eastAsia="zh-CN"/>
        </w:rPr>
      </w:pPr>
      <w:r>
        <w:rPr>
          <w:rFonts w:hint="eastAsia" w:ascii="宋体" w:hAnsi="宋体" w:eastAsia="宋体" w:cs="宋体"/>
          <w:color w:val="auto"/>
          <w:sz w:val="21"/>
          <w:szCs w:val="21"/>
          <w:highlight w:val="none"/>
          <w:lang w:eastAsia="zh-CN"/>
        </w:rPr>
        <w:t>二○</w:t>
      </w:r>
      <w:r>
        <w:rPr>
          <w:rFonts w:hint="eastAsia" w:ascii="宋体" w:hAnsi="宋体" w:cs="宋体"/>
          <w:color w:val="auto"/>
          <w:sz w:val="21"/>
          <w:szCs w:val="21"/>
          <w:highlight w:val="none"/>
          <w:lang w:eastAsia="zh-CN"/>
        </w:rPr>
        <w:t>二四年十一月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1"/>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7"/>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2024年11月11日上午09:30</w:t>
            </w:r>
            <w:r>
              <w:rPr>
                <w:rFonts w:hint="eastAsia" w:ascii="宋体" w:hAnsi="宋体" w:eastAsia="宋体" w:cs="宋体"/>
                <w:b/>
                <w:bCs/>
                <w:color w:val="auto"/>
                <w:kern w:val="2"/>
                <w:sz w:val="21"/>
                <w:szCs w:val="21"/>
                <w:highlight w:val="none"/>
                <w:u w:val="single"/>
                <w:lang w:val="en-US" w:eastAsia="zh-CN" w:bidi="ar-SA"/>
              </w:rPr>
              <w:t>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3"/>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2024年11月11日上午09:30</w:t>
            </w:r>
            <w:r>
              <w:rPr>
                <w:rFonts w:hint="eastAsia" w:ascii="宋体" w:hAnsi="宋体" w:eastAsia="宋体" w:cs="宋体"/>
                <w:b/>
                <w:bCs/>
                <w:color w:val="auto"/>
                <w:kern w:val="2"/>
                <w:sz w:val="21"/>
                <w:szCs w:val="21"/>
                <w:highlight w:val="none"/>
                <w:u w:val="single"/>
                <w:lang w:val="en-US" w:eastAsia="zh-CN" w:bidi="ar-SA"/>
              </w:rPr>
              <w:t>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17"/>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2024年11月11日上午09:30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10:00</w:t>
            </w:r>
            <w:r>
              <w:rPr>
                <w:rFonts w:hint="eastAsia" w:ascii="宋体" w:hAnsi="宋体" w:eastAsia="宋体" w:cs="宋体"/>
                <w:color w:val="auto"/>
                <w:sz w:val="21"/>
                <w:szCs w:val="21"/>
                <w:highlight w:val="none"/>
              </w:rPr>
              <w:t>（北京时间）</w:t>
            </w:r>
          </w:p>
          <w:p w14:paraId="636F6A39">
            <w:pPr>
              <w:pStyle w:val="52"/>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763BA04C">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5、本项目无需提供履约保证金</w:t>
            </w:r>
            <w:r>
              <w:rPr>
                <w:rFonts w:hint="eastAsia" w:ascii="宋体" w:hAnsi="宋体" w:eastAsia="宋体" w:cs="宋体"/>
                <w:color w:val="auto"/>
                <w:szCs w:val="21"/>
                <w:highlight w:val="none"/>
              </w:rPr>
              <w:t>。</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2"/>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2"/>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13</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B355ADF">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9"/>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4"/>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4"/>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4"/>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4"/>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21B5E28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0479082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Theme="minorEastAsia" w:hAnsiTheme="minorEastAsia" w:eastAsiaTheme="minorEastAsia" w:cstheme="minorEastAsia"/>
          <w:color w:val="auto"/>
          <w:szCs w:val="21"/>
          <w:highlight w:val="none"/>
        </w:rPr>
        <w:t>投标</w:t>
      </w:r>
      <w:r>
        <w:rPr>
          <w:rFonts w:hint="eastAsia" w:asciiTheme="minorEastAsia" w:hAnsiTheme="minorEastAsia" w:eastAsiaTheme="minorEastAsia" w:cstheme="minorEastAsia"/>
          <w:color w:val="auto"/>
          <w:szCs w:val="21"/>
          <w:highlight w:val="none"/>
          <w:lang w:val="en-US" w:eastAsia="zh-CN"/>
        </w:rPr>
        <w:t>总</w:t>
      </w:r>
      <w:r>
        <w:rPr>
          <w:rFonts w:hint="eastAsia" w:asciiTheme="minorEastAsia" w:hAnsiTheme="minorEastAsia" w:eastAsiaTheme="minorEastAsia" w:cstheme="minorEastAsia"/>
          <w:color w:val="auto"/>
          <w:szCs w:val="21"/>
          <w:highlight w:val="none"/>
        </w:rPr>
        <w:t>报价为完成本项目的所有费用，包含所有人员的人工费、交通费、住宿费、伙食费、办公设施费、管理费、利润、税金等一切费用，全部费用已包含在投标</w:t>
      </w:r>
      <w:r>
        <w:rPr>
          <w:rFonts w:hint="eastAsia" w:asciiTheme="minorEastAsia" w:hAnsiTheme="minorEastAsia" w:eastAsiaTheme="minorEastAsia" w:cstheme="minorEastAsia"/>
          <w:color w:val="auto"/>
          <w:szCs w:val="21"/>
          <w:highlight w:val="none"/>
          <w:lang w:val="en-US" w:eastAsia="zh-CN"/>
        </w:rPr>
        <w:t>总</w:t>
      </w:r>
      <w:r>
        <w:rPr>
          <w:rFonts w:hint="eastAsia" w:asciiTheme="minorEastAsia" w:hAnsiTheme="minorEastAsia" w:eastAsiaTheme="minorEastAsia" w:cstheme="minorEastAsia"/>
          <w:color w:val="auto"/>
          <w:szCs w:val="21"/>
          <w:highlight w:val="none"/>
        </w:rPr>
        <w:t>报价中</w:t>
      </w:r>
      <w:r>
        <w:rPr>
          <w:rFonts w:hint="eastAsia" w:ascii="宋体" w:hAnsi="宋体" w:eastAsia="宋体" w:cs="宋体"/>
          <w:color w:val="auto"/>
          <w:sz w:val="21"/>
          <w:szCs w:val="21"/>
          <w:highlight w:val="none"/>
          <w:lang w:val="en-US" w:eastAsia="zh-CN"/>
        </w:rPr>
        <w:t>。</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57"/>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57"/>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57"/>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2"/>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9"/>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7"/>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1F6CD6E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、磋商文件能够详细列明采购标的的技术、服务要求的，磋商分二轮进行，首次报价在响应文件中体现；最终报价在磋商结束后由所有参加磋商的竞标人在规定的时间内书面提供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EB409E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 xml:space="preserve">报价、报价得分及总得分），磋商采购会议结束。   </w:t>
      </w:r>
      <w:r>
        <w:rPr>
          <w:rFonts w:hint="eastAsia" w:ascii="宋体" w:hAnsi="宋体" w:eastAsia="宋体" w:cs="宋体"/>
          <w:color w:val="auto"/>
          <w:sz w:val="21"/>
          <w:szCs w:val="21"/>
          <w:highlight w:val="none"/>
          <w:lang w:val="en-US" w:eastAsia="zh-CN"/>
        </w:rPr>
        <w:t xml:space="preserve"> </w:t>
      </w:r>
    </w:p>
    <w:p w14:paraId="76BF63F8">
      <w:pPr>
        <w:pStyle w:val="9"/>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17"/>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17"/>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17"/>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17"/>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17"/>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17"/>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17"/>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17"/>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17"/>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17"/>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17"/>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17"/>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17"/>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17"/>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17"/>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17"/>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17"/>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2530C12D">
      <w:pPr>
        <w:pStyle w:val="7"/>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17"/>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17"/>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17"/>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17"/>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9"/>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9"/>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9"/>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17"/>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E28BBA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8"/>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1A82A6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7"/>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7"/>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C5D59E1">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0424C37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1"/>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68"/>
        <w:gridCol w:w="5522"/>
        <w:gridCol w:w="803"/>
      </w:tblGrid>
      <w:tr w14:paraId="1895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3" w:type="dxa"/>
            <w:gridSpan w:val="2"/>
            <w:noWrap w:val="0"/>
            <w:vAlign w:val="center"/>
          </w:tcPr>
          <w:p w14:paraId="47CACB45">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评标因素</w:t>
            </w:r>
          </w:p>
        </w:tc>
        <w:tc>
          <w:tcPr>
            <w:tcW w:w="5522" w:type="dxa"/>
            <w:noWrap w:val="0"/>
            <w:vAlign w:val="center"/>
          </w:tcPr>
          <w:p w14:paraId="5B2790B5">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评分标准</w:t>
            </w:r>
          </w:p>
        </w:tc>
        <w:tc>
          <w:tcPr>
            <w:tcW w:w="803" w:type="dxa"/>
            <w:noWrap w:val="0"/>
            <w:vAlign w:val="center"/>
          </w:tcPr>
          <w:p w14:paraId="519320A9">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r>
      <w:tr w14:paraId="75D2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265" w:type="dxa"/>
            <w:vMerge w:val="restart"/>
            <w:noWrap w:val="0"/>
            <w:vAlign w:val="center"/>
          </w:tcPr>
          <w:p w14:paraId="4456A287">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商务分</w:t>
            </w:r>
          </w:p>
          <w:p w14:paraId="5A30D870">
            <w:pPr>
              <w:pStyle w:val="9"/>
              <w:adjustRightInd w:val="0"/>
              <w:snapToGrid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分）</w:t>
            </w:r>
          </w:p>
        </w:tc>
        <w:tc>
          <w:tcPr>
            <w:tcW w:w="1168" w:type="dxa"/>
            <w:noWrap w:val="0"/>
            <w:vAlign w:val="center"/>
          </w:tcPr>
          <w:p w14:paraId="034C46CE">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企业认证</w:t>
            </w:r>
          </w:p>
        </w:tc>
        <w:tc>
          <w:tcPr>
            <w:tcW w:w="5522" w:type="dxa"/>
            <w:noWrap w:val="0"/>
            <w:vAlign w:val="center"/>
          </w:tcPr>
          <w:p w14:paraId="2E1E4AC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投标人具备有效期内的环保排污许可证的得3分。</w:t>
            </w:r>
          </w:p>
          <w:p w14:paraId="777D7499">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hAnsi="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803" w:type="dxa"/>
            <w:noWrap w:val="0"/>
            <w:vAlign w:val="center"/>
          </w:tcPr>
          <w:p w14:paraId="2CEBBC08">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r>
      <w:tr w14:paraId="407A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65" w:type="dxa"/>
            <w:vMerge w:val="continue"/>
            <w:noWrap w:val="0"/>
            <w:vAlign w:val="center"/>
          </w:tcPr>
          <w:p w14:paraId="5D6C28A0">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34CEBFA8">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承接经验</w:t>
            </w:r>
          </w:p>
        </w:tc>
        <w:tc>
          <w:tcPr>
            <w:tcW w:w="5522" w:type="dxa"/>
            <w:noWrap w:val="0"/>
            <w:vAlign w:val="center"/>
          </w:tcPr>
          <w:p w14:paraId="47F3F67F">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自2018年1月1日以来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承接过类似项目的。每提供1个合同得1分，最高得2分。</w:t>
            </w:r>
          </w:p>
          <w:p w14:paraId="2B2E99E9">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03" w:type="dxa"/>
            <w:noWrap w:val="0"/>
            <w:vAlign w:val="center"/>
          </w:tcPr>
          <w:p w14:paraId="337D0C3A">
            <w:pPr>
              <w:pStyle w:val="9"/>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035C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65" w:type="dxa"/>
            <w:vMerge w:val="continue"/>
            <w:noWrap w:val="0"/>
            <w:vAlign w:val="center"/>
          </w:tcPr>
          <w:p w14:paraId="7CC32D57">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092E826B">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服务团队</w:t>
            </w:r>
          </w:p>
        </w:tc>
        <w:tc>
          <w:tcPr>
            <w:tcW w:w="5522" w:type="dxa"/>
            <w:shd w:val="clear" w:color="auto" w:fill="auto"/>
            <w:noWrap w:val="0"/>
            <w:vAlign w:val="center"/>
          </w:tcPr>
          <w:p w14:paraId="73FFDC38">
            <w:pPr>
              <w:pStyle w:val="9"/>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投标人拟派的服务团队人员(除项目负责人外)中，</w:t>
            </w:r>
            <w:r>
              <w:rPr>
                <w:rFonts w:hint="eastAsia" w:ascii="宋体" w:hAnsi="宋体" w:eastAsia="宋体" w:cs="宋体"/>
                <w:color w:val="auto"/>
                <w:kern w:val="2"/>
                <w:sz w:val="21"/>
                <w:szCs w:val="21"/>
                <w:highlight w:val="none"/>
                <w:lang w:val="en-US" w:eastAsia="zh-CN" w:bidi="ar-SA"/>
              </w:rPr>
              <w:t>具有动物疫病防治</w:t>
            </w:r>
            <w:r>
              <w:rPr>
                <w:rFonts w:hint="eastAsia" w:hAnsi="宋体" w:cs="宋体"/>
                <w:color w:val="auto"/>
                <w:kern w:val="2"/>
                <w:sz w:val="21"/>
                <w:szCs w:val="21"/>
                <w:highlight w:val="none"/>
                <w:lang w:val="en-US" w:eastAsia="zh-CN" w:bidi="ar-SA"/>
              </w:rPr>
              <w:t>专业证书、畜牧</w:t>
            </w:r>
            <w:r>
              <w:rPr>
                <w:rFonts w:hint="eastAsia" w:ascii="宋体" w:hAnsi="宋体" w:eastAsia="宋体" w:cs="宋体"/>
                <w:color w:val="auto"/>
                <w:kern w:val="2"/>
                <w:sz w:val="21"/>
                <w:szCs w:val="21"/>
                <w:highlight w:val="none"/>
                <w:lang w:val="en-US" w:eastAsia="zh-CN" w:bidi="ar-SA"/>
              </w:rPr>
              <w:t>兽医</w:t>
            </w:r>
            <w:r>
              <w:rPr>
                <w:rFonts w:hint="eastAsia" w:hAnsi="宋体" w:cs="宋体"/>
                <w:color w:val="auto"/>
                <w:kern w:val="2"/>
                <w:sz w:val="21"/>
                <w:szCs w:val="21"/>
                <w:highlight w:val="none"/>
                <w:lang w:val="en-US" w:eastAsia="zh-CN" w:bidi="ar-SA"/>
              </w:rPr>
              <w:t>专业证书、</w:t>
            </w:r>
            <w:r>
              <w:rPr>
                <w:rFonts w:hint="eastAsia" w:ascii="宋体" w:hAnsi="宋体" w:eastAsia="宋体" w:cs="宋体"/>
                <w:color w:val="auto"/>
                <w:kern w:val="2"/>
                <w:sz w:val="21"/>
                <w:szCs w:val="21"/>
                <w:highlight w:val="none"/>
                <w:lang w:val="en-US" w:eastAsia="zh-CN" w:bidi="ar-SA"/>
              </w:rPr>
              <w:t>电工证、锅炉证的，以上证书每具备一项得2</w:t>
            </w:r>
            <w:r>
              <w:rPr>
                <w:rFonts w:hint="eastAsia"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，最高得10分。</w:t>
            </w:r>
          </w:p>
          <w:p w14:paraId="2EB85340">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证书扫描件及投标截止时间前的社保缴费证明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803" w:type="dxa"/>
            <w:shd w:val="clear" w:color="auto" w:fill="auto"/>
            <w:noWrap w:val="0"/>
            <w:vAlign w:val="center"/>
          </w:tcPr>
          <w:p w14:paraId="78596933">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r>
      <w:tr w14:paraId="7006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65" w:type="dxa"/>
            <w:vMerge w:val="continue"/>
            <w:noWrap w:val="0"/>
            <w:vAlign w:val="center"/>
          </w:tcPr>
          <w:p w14:paraId="037FD4CD">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4963FBEF">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企业荣誉</w:t>
            </w:r>
          </w:p>
        </w:tc>
        <w:tc>
          <w:tcPr>
            <w:tcW w:w="5522" w:type="dxa"/>
            <w:shd w:val="clear" w:color="auto" w:fill="auto"/>
            <w:noWrap w:val="0"/>
            <w:vAlign w:val="center"/>
          </w:tcPr>
          <w:p w14:paraId="720A25EA">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投标人自2021年</w:t>
            </w:r>
            <w:r>
              <w:rPr>
                <w:rFonts w:hint="eastAsia" w:hAnsi="宋体" w:cs="宋体"/>
                <w:color w:val="auto"/>
                <w:kern w:val="2"/>
                <w:sz w:val="21"/>
                <w:szCs w:val="21"/>
                <w:highlight w:val="none"/>
                <w:lang w:val="en-US" w:eastAsia="zh-CN" w:bidi="ar-SA"/>
              </w:rPr>
              <w:t>1月1日</w:t>
            </w:r>
            <w:r>
              <w:rPr>
                <w:rFonts w:hint="eastAsia" w:ascii="宋体" w:hAnsi="宋体" w:eastAsia="宋体" w:cs="宋体"/>
                <w:color w:val="auto"/>
                <w:kern w:val="2"/>
                <w:sz w:val="21"/>
                <w:szCs w:val="21"/>
                <w:highlight w:val="none"/>
                <w:lang w:val="en-US" w:eastAsia="zh-CN" w:bidi="ar-SA"/>
              </w:rPr>
              <w:t>以来获得过政府主管部门颁发的企业荣誉的得2分。</w:t>
            </w:r>
          </w:p>
          <w:p w14:paraId="7BF5B5A9">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（须提供有效的证书扫描件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w:t>
            </w:r>
            <w:r>
              <w:rPr>
                <w:rFonts w:hint="eastAsia" w:ascii="宋体" w:hAnsi="宋体" w:eastAsia="宋体" w:cs="宋体"/>
                <w:b/>
                <w:bCs/>
                <w:color w:val="auto"/>
                <w:kern w:val="2"/>
                <w:sz w:val="21"/>
                <w:szCs w:val="21"/>
                <w:highlight w:val="none"/>
                <w:lang w:val="en-US" w:eastAsia="zh-CN" w:bidi="ar-SA"/>
              </w:rPr>
              <w:t>编入投标文件中，未提供的不得分）</w:t>
            </w:r>
          </w:p>
        </w:tc>
        <w:tc>
          <w:tcPr>
            <w:tcW w:w="803" w:type="dxa"/>
            <w:shd w:val="clear" w:color="auto" w:fill="auto"/>
            <w:noWrap w:val="0"/>
            <w:vAlign w:val="center"/>
          </w:tcPr>
          <w:p w14:paraId="337A6911">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r>
      <w:tr w14:paraId="7EAE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restart"/>
            <w:noWrap w:val="0"/>
            <w:vAlign w:val="center"/>
          </w:tcPr>
          <w:p w14:paraId="40EFE49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技术分</w:t>
            </w:r>
          </w:p>
          <w:p w14:paraId="112C091D">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63</w:t>
            </w:r>
            <w:r>
              <w:rPr>
                <w:rFonts w:hint="eastAsia" w:ascii="宋体" w:hAnsi="宋体" w:eastAsia="宋体" w:cs="宋体"/>
                <w:color w:val="auto"/>
                <w:kern w:val="2"/>
                <w:sz w:val="21"/>
                <w:szCs w:val="21"/>
                <w:highlight w:val="none"/>
                <w:lang w:val="en-US" w:eastAsia="zh-CN" w:bidi="ar-SA"/>
              </w:rPr>
              <w:t>分）</w:t>
            </w:r>
          </w:p>
        </w:tc>
        <w:tc>
          <w:tcPr>
            <w:tcW w:w="1168" w:type="dxa"/>
            <w:shd w:val="clear" w:color="auto" w:fill="auto"/>
            <w:noWrap w:val="0"/>
            <w:vAlign w:val="center"/>
          </w:tcPr>
          <w:p w14:paraId="671EF7C7">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w:t>
            </w:r>
          </w:p>
        </w:tc>
        <w:tc>
          <w:tcPr>
            <w:tcW w:w="5522" w:type="dxa"/>
            <w:shd w:val="clear" w:color="auto" w:fill="auto"/>
            <w:noWrap w:val="0"/>
            <w:vAlign w:val="center"/>
          </w:tcPr>
          <w:p w14:paraId="35E9B72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根据投标人提供的实施方案、处理厂产出物处理方案的科学性、合理性、运输距离等进行打分。</w:t>
            </w:r>
          </w:p>
          <w:p w14:paraId="55D1804E">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方案完整到位，内容丰富，措施得力的得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.0分；</w:t>
            </w:r>
          </w:p>
          <w:p w14:paraId="7EDD1AB7">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.9分；</w:t>
            </w:r>
          </w:p>
          <w:p w14:paraId="04556345">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.9分；</w:t>
            </w:r>
          </w:p>
          <w:p w14:paraId="5B2B429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61FD844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r>
      <w:tr w14:paraId="1AC8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0AF0CEBF">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69B5CF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运营方案</w:t>
            </w:r>
          </w:p>
        </w:tc>
        <w:tc>
          <w:tcPr>
            <w:tcW w:w="5522" w:type="dxa"/>
            <w:shd w:val="clear" w:color="auto" w:fill="auto"/>
            <w:noWrap w:val="0"/>
            <w:vAlign w:val="center"/>
          </w:tcPr>
          <w:p w14:paraId="0602D06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根据投标人提供的运营机构设置、运营管理方案、卫生方案等进行打分。</w:t>
            </w:r>
          </w:p>
          <w:p w14:paraId="21A03D65">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方案全面科学、合理可行的得4.0-6.0分；</w:t>
            </w:r>
          </w:p>
          <w:p w14:paraId="4AC7D87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7D801DE2">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49505C53">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1AE884C6">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5E24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33739698">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14D3A1D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收运方案</w:t>
            </w:r>
          </w:p>
        </w:tc>
        <w:tc>
          <w:tcPr>
            <w:tcW w:w="5522" w:type="dxa"/>
            <w:shd w:val="clear" w:color="auto" w:fill="auto"/>
            <w:noWrap w:val="0"/>
            <w:vAlign w:val="center"/>
          </w:tcPr>
          <w:p w14:paraId="7BCC7A7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根据投标人提供的收运方案，包括但不限于收运车辆选型配置、收运模式、及时收运措施等进行打分。</w:t>
            </w:r>
          </w:p>
          <w:p w14:paraId="226928E2">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方案全面科学、合理可行的得4.0-6.0分；</w:t>
            </w:r>
          </w:p>
          <w:p w14:paraId="086544CD">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147DC29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137929E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447908D7">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5BEC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488BAC4B">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4EE89B0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防疫安全管理方案</w:t>
            </w:r>
          </w:p>
        </w:tc>
        <w:tc>
          <w:tcPr>
            <w:tcW w:w="5522" w:type="dxa"/>
            <w:noWrap w:val="0"/>
            <w:vAlign w:val="center"/>
          </w:tcPr>
          <w:p w14:paraId="221A0F51">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根据投标人提供的生产场区防疫安全管理方案等进行打分。 </w:t>
            </w:r>
          </w:p>
          <w:p w14:paraId="0019ED6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方案完善，针对性、操作性强，合理有效的得6.0-8.0分；</w:t>
            </w:r>
          </w:p>
          <w:p w14:paraId="40384275">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方案较完整，能较好满足招标内容的得3.0-5.9分；</w:t>
            </w:r>
          </w:p>
          <w:p w14:paraId="7BAC4D79">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方案片面，仅基本满足采购人需求的得0.1-2.9分；</w:t>
            </w:r>
          </w:p>
          <w:p w14:paraId="5835A0E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6D11776D">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r>
      <w:tr w14:paraId="78E2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5" w:type="dxa"/>
            <w:vMerge w:val="continue"/>
            <w:noWrap w:val="0"/>
            <w:vAlign w:val="center"/>
          </w:tcPr>
          <w:p w14:paraId="75FF6B28">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6FCCE63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设备检修维护方案</w:t>
            </w:r>
          </w:p>
        </w:tc>
        <w:tc>
          <w:tcPr>
            <w:tcW w:w="5522" w:type="dxa"/>
            <w:noWrap w:val="0"/>
            <w:vAlign w:val="center"/>
          </w:tcPr>
          <w:p w14:paraId="1CA150B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根据投标人制定的设备检修方案、设备维护管理方案、日常点检方案、定期检查方案等进行打分。</w:t>
            </w:r>
          </w:p>
          <w:p w14:paraId="5EFE408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方案全面科学、合理可行的得6.0-8.0分；</w:t>
            </w:r>
          </w:p>
          <w:p w14:paraId="19B41525">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方案较完整，能较好满足招标内容的得3.0-5.9分；</w:t>
            </w:r>
          </w:p>
          <w:p w14:paraId="2CE890F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方案片面，仅基本满足采购人需求的得0.1-2.9分；</w:t>
            </w:r>
          </w:p>
          <w:p w14:paraId="3A235A7A">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3676C46E">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r>
      <w:tr w14:paraId="61B0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607609AA">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02F8417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紧急方案措施</w:t>
            </w:r>
          </w:p>
        </w:tc>
        <w:tc>
          <w:tcPr>
            <w:tcW w:w="5522" w:type="dxa"/>
            <w:noWrap w:val="0"/>
            <w:vAlign w:val="center"/>
          </w:tcPr>
          <w:p w14:paraId="3C8C071A">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根据投标人提供的应急预案，从大面积大量病害动物、传播性强的病害动物应急处理方案、处理厂设备故障应急处理方案等进行打分。 </w:t>
            </w:r>
          </w:p>
          <w:p w14:paraId="33EA03C7">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提供的应急预案全面，提出的各项措施科学合理的得6.0-8.0分；</w:t>
            </w:r>
          </w:p>
          <w:p w14:paraId="42F26F1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提供的应急预案较完整，提出的各项措施较完善、合理的得3.0-5.9分；</w:t>
            </w:r>
          </w:p>
          <w:p w14:paraId="45FE81C1">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提供的应急预案片面，提出的各项措施较不合理的得0.1-2.9分；</w:t>
            </w:r>
          </w:p>
          <w:p w14:paraId="4C7CD61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68A5289A">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r>
      <w:tr w14:paraId="3A27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7E042B94">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09CA165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环境保护方案</w:t>
            </w:r>
          </w:p>
        </w:tc>
        <w:tc>
          <w:tcPr>
            <w:tcW w:w="5522" w:type="dxa"/>
            <w:noWrap w:val="0"/>
            <w:vAlign w:val="center"/>
          </w:tcPr>
          <w:p w14:paraId="5A8643AA">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根据投标人提供的废气、废水处理方案等进行打分。</w:t>
            </w:r>
          </w:p>
          <w:p w14:paraId="6EE503A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提出的各项处理措施科学合理的得6.0-8.0分；</w:t>
            </w:r>
          </w:p>
          <w:p w14:paraId="2EC3AE6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提出的各项处理措施较完善、合理的得3.0-5.9分；</w:t>
            </w:r>
          </w:p>
          <w:p w14:paraId="2F0091C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提出的各项处理措施较不合理的得0.1-2.9分；</w:t>
            </w:r>
          </w:p>
          <w:p w14:paraId="31AB49C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1CD66084">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r>
      <w:tr w14:paraId="6277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1313C3C0">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37DE289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环保、再利用方案</w:t>
            </w:r>
          </w:p>
        </w:tc>
        <w:tc>
          <w:tcPr>
            <w:tcW w:w="5522" w:type="dxa"/>
            <w:shd w:val="clear" w:color="auto" w:fill="auto"/>
            <w:noWrap w:val="0"/>
            <w:vAlign w:val="center"/>
          </w:tcPr>
          <w:p w14:paraId="7B62F75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根据投标人提供的处理后产出物的资源化利用方案进行打分。</w:t>
            </w:r>
          </w:p>
          <w:p w14:paraId="1C2BD66E">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方案全面科学、合理可行的得4.0-5.0分；</w:t>
            </w:r>
          </w:p>
          <w:p w14:paraId="2CC99963">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2CF79AA9">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4BF3ACFD">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57DFFC6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14:paraId="7152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65" w:type="dxa"/>
            <w:vMerge w:val="continue"/>
            <w:noWrap w:val="0"/>
            <w:vAlign w:val="center"/>
          </w:tcPr>
          <w:p w14:paraId="4CB0A0B5">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7DDDAA2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监控管理方案</w:t>
            </w:r>
          </w:p>
        </w:tc>
        <w:tc>
          <w:tcPr>
            <w:tcW w:w="5522" w:type="dxa"/>
            <w:noWrap w:val="0"/>
            <w:vAlign w:val="center"/>
          </w:tcPr>
          <w:p w14:paraId="21C8875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根据投标人提供的病死动物处理监控管理方案进行打分。</w:t>
            </w:r>
          </w:p>
          <w:p w14:paraId="7F19554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方案全面科学、合理可行的得4.0-6.0分；</w:t>
            </w:r>
          </w:p>
          <w:p w14:paraId="03A4A99D">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2265928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7A7D2093">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3E23B92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5757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433" w:type="dxa"/>
            <w:gridSpan w:val="2"/>
            <w:noWrap w:val="0"/>
            <w:vAlign w:val="center"/>
          </w:tcPr>
          <w:p w14:paraId="7D1999CF">
            <w:pPr>
              <w:keepLines w:val="0"/>
              <w:pageBreakBefore w:val="0"/>
              <w:kinsoku/>
              <w:wordWrap/>
              <w:overflowPunct/>
              <w:topLinePunct w:val="0"/>
              <w:bidi w:val="0"/>
              <w:spacing w:beforeAutospacing="0" w:afterAutospacing="0" w:line="240" w:lineRule="auto"/>
              <w:ind w:left="0"/>
              <w:jc w:val="center"/>
              <w:textAlignment w:val="auto"/>
              <w:rPr>
                <w:rStyle w:val="56"/>
                <w:rFonts w:hint="eastAsia" w:ascii="宋体" w:hAnsi="宋体" w:eastAsia="宋体" w:cs="宋体"/>
                <w:color w:val="auto"/>
                <w:kern w:val="0"/>
                <w:sz w:val="21"/>
                <w:szCs w:val="21"/>
                <w:highlight w:val="none"/>
              </w:rPr>
            </w:pPr>
            <w:r>
              <w:rPr>
                <w:rStyle w:val="56"/>
                <w:rFonts w:hint="eastAsia" w:ascii="宋体" w:hAnsi="宋体" w:eastAsia="宋体" w:cs="宋体"/>
                <w:color w:val="auto"/>
                <w:kern w:val="0"/>
                <w:sz w:val="21"/>
                <w:szCs w:val="21"/>
                <w:highlight w:val="none"/>
              </w:rPr>
              <w:t>价格</w:t>
            </w:r>
          </w:p>
          <w:p w14:paraId="131BAD48">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Style w:val="56"/>
                <w:rFonts w:hint="eastAsia" w:ascii="宋体" w:hAnsi="宋体" w:eastAsia="宋体" w:cs="宋体"/>
                <w:color w:val="auto"/>
                <w:kern w:val="0"/>
                <w:sz w:val="21"/>
                <w:szCs w:val="21"/>
                <w:highlight w:val="none"/>
              </w:rPr>
              <w:t>（20分）</w:t>
            </w:r>
          </w:p>
        </w:tc>
        <w:tc>
          <w:tcPr>
            <w:tcW w:w="5522" w:type="dxa"/>
            <w:noWrap w:val="0"/>
            <w:vAlign w:val="center"/>
          </w:tcPr>
          <w:p w14:paraId="6B2D626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取投标合格供应商的投标最终报价最低价为评标基准价，基准价为20分。</w:t>
            </w:r>
          </w:p>
          <w:p w14:paraId="1B6481DE">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投标报价得分=(评标基准价／投标报价)×20%×100 。（小数点后保留2位</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803" w:type="dxa"/>
            <w:noWrap w:val="0"/>
            <w:vAlign w:val="center"/>
          </w:tcPr>
          <w:p w14:paraId="2CEFC112">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p>
        </w:tc>
      </w:tr>
    </w:tbl>
    <w:p w14:paraId="4F203862">
      <w:pPr>
        <w:pStyle w:val="19"/>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7B6F4B1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招标项目一览表</w:t>
      </w:r>
    </w:p>
    <w:tbl>
      <w:tblPr>
        <w:tblStyle w:val="21"/>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967"/>
        <w:gridCol w:w="1360"/>
        <w:gridCol w:w="710"/>
        <w:gridCol w:w="1376"/>
        <w:gridCol w:w="2745"/>
      </w:tblGrid>
      <w:tr w14:paraId="5317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8" w:type="dxa"/>
            <w:vAlign w:val="center"/>
          </w:tcPr>
          <w:p w14:paraId="07E19053">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lang w:val="en-US"/>
              </w:rPr>
            </w:pPr>
            <w:r>
              <w:rPr>
                <w:rFonts w:hint="eastAsia" w:asciiTheme="minorEastAsia" w:hAnsiTheme="minorEastAsia" w:eastAsiaTheme="minorEastAsia" w:cstheme="minorEastAsia"/>
                <w:b/>
                <w:color w:val="auto"/>
                <w:sz w:val="21"/>
                <w:szCs w:val="21"/>
                <w:highlight w:val="none"/>
                <w:lang w:val="en-US" w:eastAsia="zh-CN"/>
              </w:rPr>
              <w:t>序号</w:t>
            </w:r>
          </w:p>
        </w:tc>
        <w:tc>
          <w:tcPr>
            <w:tcW w:w="1967" w:type="dxa"/>
            <w:vAlign w:val="center"/>
          </w:tcPr>
          <w:p w14:paraId="3680954A">
            <w:pPr>
              <w:tabs>
                <w:tab w:val="left" w:pos="8280"/>
              </w:tabs>
              <w:autoSpaceDE w:val="0"/>
              <w:autoSpaceDN w:val="0"/>
              <w:adjustRightInd w:val="0"/>
              <w:spacing w:line="240" w:lineRule="auto"/>
              <w:ind w:right="25" w:firstLine="105" w:firstLineChars="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360" w:type="dxa"/>
            <w:vAlign w:val="center"/>
          </w:tcPr>
          <w:p w14:paraId="12F87D0C">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数量</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暂定</w:t>
            </w:r>
            <w:r>
              <w:rPr>
                <w:rFonts w:hint="eastAsia" w:asciiTheme="minorEastAsia" w:hAnsiTheme="minorEastAsia" w:eastAsiaTheme="minorEastAsia" w:cstheme="minorEastAsia"/>
                <w:b/>
                <w:color w:val="auto"/>
                <w:sz w:val="21"/>
                <w:szCs w:val="21"/>
                <w:highlight w:val="none"/>
                <w:lang w:eastAsia="zh-CN"/>
              </w:rPr>
              <w:t>）</w:t>
            </w:r>
          </w:p>
        </w:tc>
        <w:tc>
          <w:tcPr>
            <w:tcW w:w="710" w:type="dxa"/>
            <w:vAlign w:val="center"/>
          </w:tcPr>
          <w:p w14:paraId="2577A57F">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376" w:type="dxa"/>
            <w:vAlign w:val="center"/>
          </w:tcPr>
          <w:p w14:paraId="51DCA66B">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预算（万元）</w:t>
            </w:r>
          </w:p>
        </w:tc>
        <w:tc>
          <w:tcPr>
            <w:tcW w:w="2745" w:type="dxa"/>
            <w:vAlign w:val="center"/>
          </w:tcPr>
          <w:p w14:paraId="69510049">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b/>
                <w:color w:val="auto"/>
                <w:sz w:val="21"/>
                <w:szCs w:val="21"/>
                <w:highlight w:val="none"/>
              </w:rPr>
            </w:pPr>
            <w:r>
              <w:rPr>
                <w:rFonts w:hint="eastAsia" w:ascii="宋体" w:hAnsi="宋体"/>
                <w:b/>
                <w:color w:val="auto"/>
                <w:sz w:val="21"/>
                <w:szCs w:val="21"/>
                <w:highlight w:val="none"/>
                <w:lang w:val="en-US" w:eastAsia="zh-CN"/>
              </w:rPr>
              <w:t>服务期</w:t>
            </w:r>
          </w:p>
        </w:tc>
      </w:tr>
      <w:tr w14:paraId="207A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818" w:type="dxa"/>
            <w:vAlign w:val="center"/>
          </w:tcPr>
          <w:p w14:paraId="4C0D594C">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p>
        </w:tc>
        <w:tc>
          <w:tcPr>
            <w:tcW w:w="1967" w:type="dxa"/>
            <w:vAlign w:val="center"/>
          </w:tcPr>
          <w:p w14:paraId="1C82C3B9">
            <w:pPr>
              <w:widowControl/>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病死动物无害化处理项目</w:t>
            </w:r>
          </w:p>
        </w:tc>
        <w:tc>
          <w:tcPr>
            <w:tcW w:w="1360" w:type="dxa"/>
            <w:vAlign w:val="center"/>
          </w:tcPr>
          <w:p w14:paraId="6126BB8B">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183</w:t>
            </w:r>
          </w:p>
        </w:tc>
        <w:tc>
          <w:tcPr>
            <w:tcW w:w="710" w:type="dxa"/>
            <w:vAlign w:val="center"/>
          </w:tcPr>
          <w:p w14:paraId="5CBE6ACE">
            <w:pPr>
              <w:tabs>
                <w:tab w:val="left" w:pos="8280"/>
              </w:tabs>
              <w:autoSpaceDE w:val="0"/>
              <w:autoSpaceDN w:val="0"/>
              <w:adjustRightInd w:val="0"/>
              <w:spacing w:line="240" w:lineRule="auto"/>
              <w:ind w:right="25" w:right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吨</w:t>
            </w:r>
          </w:p>
        </w:tc>
        <w:tc>
          <w:tcPr>
            <w:tcW w:w="1376" w:type="dxa"/>
            <w:vAlign w:val="center"/>
          </w:tcPr>
          <w:p w14:paraId="27B61E8A">
            <w:pPr>
              <w:tabs>
                <w:tab w:val="left" w:pos="8280"/>
              </w:tabs>
              <w:autoSpaceDE w:val="0"/>
              <w:autoSpaceDN w:val="0"/>
              <w:adjustRightInd w:val="0"/>
              <w:spacing w:line="240" w:lineRule="auto"/>
              <w:ind w:right="25"/>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80</w:t>
            </w:r>
          </w:p>
        </w:tc>
        <w:tc>
          <w:tcPr>
            <w:tcW w:w="2745" w:type="dxa"/>
            <w:vAlign w:val="center"/>
          </w:tcPr>
          <w:p w14:paraId="50B2ED5A">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b/>
                <w:bCs/>
                <w:color w:val="auto"/>
                <w:sz w:val="21"/>
                <w:szCs w:val="21"/>
                <w:highlight w:val="none"/>
                <w:lang w:val="zh-CN"/>
              </w:rPr>
              <w:t>一年，自202</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lang w:val="zh-CN"/>
              </w:rPr>
              <w:t>年12月1日至202</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lang w:val="zh-CN"/>
              </w:rPr>
              <w:t>年11月30日止。</w:t>
            </w:r>
          </w:p>
        </w:tc>
      </w:tr>
    </w:tbl>
    <w:p w14:paraId="37B4835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cs="宋体"/>
          <w:b/>
          <w:bCs/>
          <w:color w:val="auto"/>
          <w:sz w:val="21"/>
          <w:szCs w:val="21"/>
          <w:highlight w:val="none"/>
          <w:lang w:val="en-US" w:eastAsia="zh-CN"/>
        </w:rPr>
      </w:pPr>
    </w:p>
    <w:p w14:paraId="30EA34D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采购数量：</w:t>
      </w:r>
    </w:p>
    <w:p w14:paraId="06159DE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台州市路桥区农业农村和水利局病死动物无害化处理项目，</w:t>
      </w:r>
      <w:r>
        <w:rPr>
          <w:rFonts w:hint="eastAsia" w:ascii="宋体" w:hAnsi="宋体" w:eastAsia="宋体" w:cs="宋体"/>
          <w:color w:val="auto"/>
          <w:sz w:val="21"/>
          <w:szCs w:val="21"/>
          <w:highlight w:val="none"/>
          <w:lang w:val="zh-CN"/>
        </w:rPr>
        <w:t>数量暂定</w:t>
      </w:r>
      <w:r>
        <w:rPr>
          <w:rFonts w:hint="eastAsia" w:ascii="宋体" w:hAnsi="宋体" w:eastAsia="宋体" w:cs="宋体"/>
          <w:color w:val="auto"/>
          <w:sz w:val="21"/>
          <w:szCs w:val="21"/>
          <w:highlight w:val="none"/>
          <w:lang w:val="en-US" w:eastAsia="zh-CN"/>
        </w:rPr>
        <w:t>183</w:t>
      </w:r>
      <w:r>
        <w:rPr>
          <w:rFonts w:hint="eastAsia" w:ascii="宋体" w:hAnsi="宋体" w:eastAsia="宋体" w:cs="宋体"/>
          <w:color w:val="auto"/>
          <w:sz w:val="21"/>
          <w:szCs w:val="21"/>
          <w:highlight w:val="none"/>
          <w:lang w:val="zh-CN"/>
        </w:rPr>
        <w:t>吨，最高限</w:t>
      </w:r>
      <w:r>
        <w:rPr>
          <w:rFonts w:hint="eastAsia" w:ascii="宋体" w:hAnsi="宋体" w:eastAsia="宋体" w:cs="宋体"/>
          <w:color w:val="auto"/>
          <w:sz w:val="21"/>
          <w:szCs w:val="21"/>
          <w:highlight w:val="none"/>
          <w:lang w:val="zh-CN" w:eastAsia="zh-CN"/>
        </w:rPr>
        <w:t>单</w:t>
      </w:r>
      <w:r>
        <w:rPr>
          <w:rFonts w:hint="eastAsia" w:ascii="宋体" w:hAnsi="宋体" w:eastAsia="宋体" w:cs="宋体"/>
          <w:color w:val="auto"/>
          <w:sz w:val="21"/>
          <w:szCs w:val="21"/>
          <w:highlight w:val="none"/>
          <w:lang w:val="zh-CN"/>
        </w:rPr>
        <w:t>价</w:t>
      </w:r>
      <w:r>
        <w:rPr>
          <w:rFonts w:hint="eastAsia" w:ascii="宋体" w:hAnsi="宋体" w:eastAsia="宋体" w:cs="宋体"/>
          <w:color w:val="auto"/>
          <w:sz w:val="21"/>
          <w:szCs w:val="21"/>
          <w:highlight w:val="none"/>
          <w:lang w:val="en-US" w:eastAsia="zh-CN"/>
        </w:rPr>
        <w:t>4350元</w:t>
      </w:r>
      <w:r>
        <w:rPr>
          <w:rFonts w:hint="eastAsia" w:ascii="宋体" w:hAnsi="宋体" w:eastAsia="宋体" w:cs="宋体"/>
          <w:color w:val="auto"/>
          <w:sz w:val="21"/>
          <w:szCs w:val="21"/>
          <w:highlight w:val="none"/>
          <w:lang w:val="zh-CN"/>
        </w:rPr>
        <w:t>/吨，预算合计</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0000.00元，具体按实结算。接收并处理路桥区境内产生的死亡动物和路桥屠宰场中需要无害化处理的动物产品，因发生重大动物疫情及因此而死亡或扑杀的动物，不纳入接受</w:t>
      </w:r>
      <w:r>
        <w:rPr>
          <w:rFonts w:hint="eastAsia" w:ascii="宋体" w:hAnsi="宋体" w:eastAsia="宋体" w:cs="宋体"/>
          <w:color w:val="auto"/>
          <w:sz w:val="21"/>
          <w:szCs w:val="21"/>
          <w:highlight w:val="none"/>
          <w:lang w:val="zh-CN" w:eastAsia="zh-CN"/>
        </w:rPr>
        <w:t>范围。</w:t>
      </w:r>
    </w:p>
    <w:p w14:paraId="391D2C8E">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cs="宋体"/>
          <w:b/>
          <w:bCs/>
          <w:color w:val="auto"/>
          <w:sz w:val="21"/>
          <w:szCs w:val="21"/>
          <w:highlight w:val="none"/>
          <w:lang w:val="en-US" w:eastAsia="zh-CN"/>
        </w:rPr>
      </w:pPr>
    </w:p>
    <w:p w14:paraId="155890BD">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zh-CN"/>
        </w:rPr>
        <w:t>、质量保证和标准：</w:t>
      </w:r>
    </w:p>
    <w:p w14:paraId="4BB1A43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质量要求：符合国家最新颁布的有关标准和规范要求（如无国家规定和要求的，按承诺和其他有关规定）。</w:t>
      </w:r>
    </w:p>
    <w:p w14:paraId="5F0416AD">
      <w:pPr>
        <w:keepNext w:val="0"/>
        <w:keepLines w:val="0"/>
        <w:pageBreakBefore w:val="0"/>
        <w:widowControl w:val="0"/>
        <w:numPr>
          <w:ilvl w:val="0"/>
          <w:numId w:val="0"/>
        </w:numPr>
        <w:kinsoku/>
        <w:wordWrap/>
        <w:overflowPunct/>
        <w:topLinePunct w:val="0"/>
        <w:bidi w:val="0"/>
        <w:snapToGrid/>
        <w:spacing w:line="360" w:lineRule="auto"/>
        <w:ind w:leftChars="0" w:firstLine="422" w:firstLineChars="200"/>
        <w:jc w:val="left"/>
        <w:textAlignment w:val="auto"/>
        <w:rPr>
          <w:rFonts w:hint="eastAsia" w:ascii="宋体" w:hAnsi="宋体" w:cs="宋体"/>
          <w:b/>
          <w:bCs/>
          <w:color w:val="auto"/>
          <w:sz w:val="21"/>
          <w:szCs w:val="21"/>
          <w:highlight w:val="none"/>
          <w:lang w:val="en-US" w:eastAsia="zh-CN"/>
        </w:rPr>
      </w:pPr>
    </w:p>
    <w:p w14:paraId="278BED24">
      <w:pPr>
        <w:keepNext w:val="0"/>
        <w:keepLines w:val="0"/>
        <w:pageBreakBefore w:val="0"/>
        <w:widowControl w:val="0"/>
        <w:numPr>
          <w:ilvl w:val="0"/>
          <w:numId w:val="0"/>
        </w:numPr>
        <w:kinsoku/>
        <w:wordWrap/>
        <w:overflowPunct/>
        <w:topLinePunct w:val="0"/>
        <w:bidi w:val="0"/>
        <w:snapToGrid/>
        <w:spacing w:line="360" w:lineRule="auto"/>
        <w:ind w:leftChars="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zh-CN"/>
        </w:rPr>
        <w:t>、</w:t>
      </w:r>
      <w:r>
        <w:rPr>
          <w:rFonts w:hint="eastAsia" w:ascii="宋体" w:hAnsi="宋体" w:cs="宋体"/>
          <w:b/>
          <w:bCs/>
          <w:color w:val="auto"/>
          <w:sz w:val="21"/>
          <w:szCs w:val="21"/>
          <w:highlight w:val="none"/>
          <w:lang w:val="en-US" w:eastAsia="zh-CN"/>
        </w:rPr>
        <w:t>具体要求</w:t>
      </w:r>
    </w:p>
    <w:p w14:paraId="7E5D5CE4">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color w:val="auto"/>
          <w:sz w:val="21"/>
          <w:szCs w:val="21"/>
          <w:highlight w:val="none"/>
          <w:u w:val="single"/>
          <w:lang w:val="zh-CN"/>
        </w:rPr>
      </w:pPr>
      <w:r>
        <w:rPr>
          <w:rFonts w:hint="eastAsia" w:ascii="宋体" w:hAnsi="宋体" w:eastAsia="宋体" w:cs="宋体"/>
          <w:b/>
          <w:bCs/>
          <w:color w:val="auto"/>
          <w:sz w:val="21"/>
          <w:szCs w:val="21"/>
          <w:highlight w:val="none"/>
          <w:u w:val="single"/>
          <w:lang w:val="zh-CN"/>
        </w:rPr>
        <w:t>▲1、投标人中标后7天内，须取得</w:t>
      </w:r>
      <w:r>
        <w:rPr>
          <w:rFonts w:hint="eastAsia" w:ascii="宋体" w:hAnsi="宋体" w:cs="宋体"/>
          <w:b/>
          <w:bCs/>
          <w:color w:val="auto"/>
          <w:sz w:val="21"/>
          <w:szCs w:val="21"/>
          <w:highlight w:val="none"/>
          <w:u w:val="single"/>
          <w:lang w:val="en-US" w:eastAsia="zh-CN"/>
        </w:rPr>
        <w:t>中标</w:t>
      </w:r>
      <w:r>
        <w:rPr>
          <w:rFonts w:hint="eastAsia" w:ascii="宋体" w:hAnsi="宋体" w:eastAsia="宋体" w:cs="宋体"/>
          <w:b/>
          <w:bCs/>
          <w:color w:val="auto"/>
          <w:sz w:val="21"/>
          <w:szCs w:val="21"/>
          <w:highlight w:val="none"/>
          <w:u w:val="single"/>
          <w:lang w:val="zh-CN"/>
        </w:rPr>
        <w:t>单位</w:t>
      </w:r>
      <w:r>
        <w:rPr>
          <w:rFonts w:hint="eastAsia" w:ascii="宋体" w:hAnsi="宋体" w:eastAsia="宋体" w:cs="宋体"/>
          <w:b/>
          <w:bCs/>
          <w:color w:val="auto"/>
          <w:sz w:val="21"/>
          <w:szCs w:val="21"/>
          <w:highlight w:val="none"/>
          <w:u w:val="single"/>
          <w:lang w:val="zh-CN"/>
        </w:rPr>
        <w:t>所在地农业农村主管部门同意跨区域无害化处置</w:t>
      </w:r>
      <w:r>
        <w:rPr>
          <w:rFonts w:hint="eastAsia" w:ascii="宋体" w:hAnsi="宋体" w:cs="宋体"/>
          <w:b/>
          <w:bCs/>
          <w:color w:val="auto"/>
          <w:sz w:val="21"/>
          <w:szCs w:val="21"/>
          <w:highlight w:val="none"/>
          <w:u w:val="single"/>
          <w:lang w:val="en-US" w:eastAsia="zh-CN"/>
        </w:rPr>
        <w:t>路桥区</w:t>
      </w:r>
      <w:r>
        <w:rPr>
          <w:rFonts w:hint="eastAsia" w:ascii="宋体" w:hAnsi="宋体" w:eastAsia="宋体" w:cs="宋体"/>
          <w:b/>
          <w:bCs/>
          <w:color w:val="auto"/>
          <w:sz w:val="21"/>
          <w:szCs w:val="21"/>
          <w:highlight w:val="none"/>
          <w:u w:val="single"/>
          <w:lang w:val="zh-CN"/>
        </w:rPr>
        <w:t>病死动物的意见书；</w:t>
      </w:r>
      <w:r>
        <w:rPr>
          <w:rFonts w:hint="eastAsia" w:ascii="宋体" w:hAnsi="宋体" w:eastAsia="宋体" w:cs="宋体"/>
          <w:b/>
          <w:bCs/>
          <w:color w:val="auto"/>
          <w:sz w:val="21"/>
          <w:szCs w:val="21"/>
          <w:highlight w:val="none"/>
          <w:u w:val="single"/>
          <w:lang w:val="zh-CN"/>
        </w:rPr>
        <w:t>如中标单位不能取得</w:t>
      </w:r>
      <w:r>
        <w:rPr>
          <w:rFonts w:hint="eastAsia" w:ascii="宋体" w:hAnsi="宋体" w:cs="宋体"/>
          <w:b/>
          <w:bCs/>
          <w:color w:val="auto"/>
          <w:sz w:val="21"/>
          <w:szCs w:val="21"/>
          <w:highlight w:val="none"/>
          <w:u w:val="single"/>
          <w:lang w:val="en-US" w:eastAsia="zh-CN"/>
        </w:rPr>
        <w:t>中标</w:t>
      </w:r>
      <w:r>
        <w:rPr>
          <w:rFonts w:hint="eastAsia" w:ascii="宋体" w:hAnsi="宋体" w:eastAsia="宋体" w:cs="宋体"/>
          <w:b/>
          <w:bCs/>
          <w:color w:val="auto"/>
          <w:sz w:val="21"/>
          <w:szCs w:val="21"/>
          <w:highlight w:val="none"/>
          <w:u w:val="single"/>
          <w:lang w:val="zh-CN"/>
        </w:rPr>
        <w:t>单位所在地农业农村主管部门同意，</w:t>
      </w:r>
      <w:r>
        <w:rPr>
          <w:rFonts w:hint="eastAsia" w:ascii="宋体" w:hAnsi="宋体" w:eastAsia="宋体" w:cs="宋体"/>
          <w:b/>
          <w:bCs/>
          <w:color w:val="auto"/>
          <w:sz w:val="21"/>
          <w:szCs w:val="21"/>
          <w:highlight w:val="none"/>
          <w:u w:val="single"/>
          <w:lang w:val="zh-CN"/>
        </w:rPr>
        <w:t>采购人可按照评标报告推荐的中标候选人名单排序，确定下一候选人为中标人；中标供应商需配备相应人员确保项目顺利运行，配备数字信息化网络系统，全程监控病死动物的处理等，符合浙江省农业农村厅对无害化处理的要求。</w:t>
      </w:r>
    </w:p>
    <w:p w14:paraId="68D7C42F">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color w:val="auto"/>
          <w:sz w:val="21"/>
          <w:szCs w:val="21"/>
          <w:highlight w:val="none"/>
          <w:u w:val="single"/>
          <w:lang w:val="zh-CN"/>
        </w:rPr>
      </w:pPr>
      <w:r>
        <w:rPr>
          <w:rFonts w:hint="eastAsia" w:ascii="宋体" w:hAnsi="宋体" w:eastAsia="宋体" w:cs="宋体"/>
          <w:b/>
          <w:bCs/>
          <w:color w:val="auto"/>
          <w:sz w:val="21"/>
          <w:szCs w:val="21"/>
          <w:highlight w:val="none"/>
          <w:u w:val="single"/>
          <w:lang w:val="zh-CN"/>
        </w:rPr>
        <w:t>▲</w:t>
      </w:r>
      <w:r>
        <w:rPr>
          <w:rFonts w:hint="eastAsia" w:ascii="宋体"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val="zh-CN"/>
        </w:rPr>
        <w:t>、关于病死动物运输费的特别说明</w:t>
      </w:r>
      <w:r>
        <w:rPr>
          <w:rFonts w:hint="eastAsia" w:ascii="宋体" w:hAnsi="宋体" w:cs="宋体"/>
          <w:b/>
          <w:bCs/>
          <w:color w:val="auto"/>
          <w:sz w:val="21"/>
          <w:szCs w:val="21"/>
          <w:highlight w:val="none"/>
          <w:u w:val="single"/>
          <w:lang w:val="zh-CN"/>
        </w:rPr>
        <w:t>：</w:t>
      </w:r>
      <w:r>
        <w:rPr>
          <w:rFonts w:hint="eastAsia" w:ascii="宋体" w:hAnsi="宋体" w:cs="宋体"/>
          <w:b/>
          <w:bCs/>
          <w:color w:val="auto"/>
          <w:sz w:val="21"/>
          <w:szCs w:val="21"/>
          <w:highlight w:val="none"/>
          <w:u w:val="single"/>
          <w:lang w:val="en-US" w:eastAsia="zh-CN"/>
        </w:rPr>
        <w:t>中标单位须每天定点接收路桥区境内产生的死亡动物和路桥屠宰场中需要无害化处理的动物产品，</w:t>
      </w:r>
      <w:r>
        <w:rPr>
          <w:rFonts w:hint="eastAsia" w:ascii="宋体" w:hAnsi="宋体" w:eastAsia="宋体" w:cs="宋体"/>
          <w:b/>
          <w:bCs/>
          <w:color w:val="auto"/>
          <w:sz w:val="21"/>
          <w:szCs w:val="21"/>
          <w:highlight w:val="none"/>
          <w:u w:val="single"/>
          <w:lang w:val="zh-CN"/>
        </w:rPr>
        <w:t>采购人仅负责</w:t>
      </w: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lang w:val="zh-CN"/>
        </w:rPr>
        <w:t>0公里以内的运输费用，超出距离部分由中标单位自行解决。</w:t>
      </w:r>
    </w:p>
    <w:p w14:paraId="29CFD206">
      <w:pPr>
        <w:keepNext w:val="0"/>
        <w:keepLines w:val="0"/>
        <w:pageBreakBefore w:val="0"/>
        <w:widowControl w:val="0"/>
        <w:numPr>
          <w:ilvl w:val="0"/>
          <w:numId w:val="0"/>
        </w:numPr>
        <w:kinsoku/>
        <w:wordWrap/>
        <w:overflowPunct/>
        <w:topLinePunct w:val="0"/>
        <w:bidi w:val="0"/>
        <w:snapToGrid/>
        <w:spacing w:line="360" w:lineRule="auto"/>
        <w:ind w:leftChars="0" w:firstLine="422" w:firstLineChars="200"/>
        <w:jc w:val="left"/>
        <w:textAlignment w:val="auto"/>
        <w:rPr>
          <w:rFonts w:hint="eastAsia" w:ascii="宋体" w:hAnsi="宋体" w:cs="宋体"/>
          <w:b/>
          <w:bCs/>
          <w:color w:val="auto"/>
          <w:sz w:val="21"/>
          <w:szCs w:val="21"/>
          <w:highlight w:val="none"/>
          <w:lang w:val="en-US" w:eastAsia="zh-CN"/>
        </w:rPr>
      </w:pPr>
    </w:p>
    <w:p w14:paraId="4C6BB716">
      <w:pPr>
        <w:keepNext w:val="0"/>
        <w:keepLines w:val="0"/>
        <w:pageBreakBefore w:val="0"/>
        <w:widowControl w:val="0"/>
        <w:numPr>
          <w:ilvl w:val="0"/>
          <w:numId w:val="0"/>
        </w:numPr>
        <w:kinsoku/>
        <w:wordWrap/>
        <w:overflowPunct/>
        <w:topLinePunct w:val="0"/>
        <w:bidi w:val="0"/>
        <w:snapToGrid/>
        <w:spacing w:line="360" w:lineRule="auto"/>
        <w:ind w:leftChars="0" w:firstLine="422" w:firstLineChars="200"/>
        <w:jc w:val="left"/>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zh-CN"/>
        </w:rPr>
        <w:t>服务期限：</w:t>
      </w:r>
      <w:r>
        <w:rPr>
          <w:rFonts w:hint="eastAsia" w:ascii="宋体" w:hAnsi="宋体" w:cs="宋体"/>
          <w:b/>
          <w:bCs/>
          <w:color w:val="auto"/>
          <w:sz w:val="21"/>
          <w:szCs w:val="21"/>
          <w:highlight w:val="none"/>
          <w:lang w:val="zh-CN"/>
        </w:rPr>
        <w:t>一年，自202</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lang w:val="zh-CN"/>
        </w:rPr>
        <w:t>年12月1日至202</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lang w:val="zh-CN"/>
        </w:rPr>
        <w:t>年11月30日止。</w:t>
      </w:r>
    </w:p>
    <w:p w14:paraId="7DF5188F">
      <w:pPr>
        <w:keepNext w:val="0"/>
        <w:keepLines w:val="0"/>
        <w:pageBreakBefore w:val="0"/>
        <w:widowControl w:val="0"/>
        <w:numPr>
          <w:ilvl w:val="0"/>
          <w:numId w:val="0"/>
        </w:numPr>
        <w:kinsoku/>
        <w:wordWrap/>
        <w:overflowPunct/>
        <w:topLinePunct w:val="0"/>
        <w:bidi w:val="0"/>
        <w:snapToGrid/>
        <w:spacing w:line="360" w:lineRule="auto"/>
        <w:ind w:leftChars="0" w:firstLine="422" w:firstLineChars="200"/>
        <w:jc w:val="left"/>
        <w:textAlignment w:val="auto"/>
        <w:rPr>
          <w:rFonts w:hint="eastAsia" w:ascii="宋体" w:hAnsi="宋体" w:cs="宋体"/>
          <w:b/>
          <w:bCs/>
          <w:color w:val="auto"/>
          <w:sz w:val="21"/>
          <w:szCs w:val="21"/>
          <w:highlight w:val="none"/>
          <w:lang w:val="en-US" w:eastAsia="zh-CN"/>
        </w:rPr>
      </w:pPr>
    </w:p>
    <w:p w14:paraId="679C63EF">
      <w:pPr>
        <w:keepNext w:val="0"/>
        <w:keepLines w:val="0"/>
        <w:pageBreakBefore w:val="0"/>
        <w:widowControl w:val="0"/>
        <w:numPr>
          <w:ilvl w:val="0"/>
          <w:numId w:val="0"/>
        </w:numPr>
        <w:kinsoku/>
        <w:wordWrap/>
        <w:overflowPunct/>
        <w:topLinePunct w:val="0"/>
        <w:bidi w:val="0"/>
        <w:snapToGrid/>
        <w:spacing w:line="360" w:lineRule="auto"/>
        <w:ind w:leftChars="0"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eastAsia="zh-CN"/>
        </w:rPr>
        <w:t>、费用结算</w:t>
      </w:r>
    </w:p>
    <w:p w14:paraId="0308989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具体</w:t>
      </w:r>
      <w:r>
        <w:rPr>
          <w:rFonts w:hint="eastAsia" w:ascii="宋体" w:hAnsi="宋体" w:eastAsia="宋体" w:cs="宋体"/>
          <w:color w:val="auto"/>
          <w:sz w:val="21"/>
          <w:szCs w:val="21"/>
          <w:highlight w:val="none"/>
          <w:lang w:val="en-US" w:eastAsia="zh-CN"/>
        </w:rPr>
        <w:t>按实结算，</w:t>
      </w:r>
      <w:r>
        <w:rPr>
          <w:rFonts w:hint="eastAsia" w:ascii="宋体" w:hAnsi="宋体" w:cs="宋体"/>
          <w:b/>
          <w:bCs/>
          <w:color w:val="auto"/>
          <w:sz w:val="21"/>
          <w:szCs w:val="21"/>
          <w:highlight w:val="none"/>
          <w:lang w:val="en-US" w:eastAsia="zh-CN"/>
        </w:rPr>
        <w:t>结算价</w:t>
      </w:r>
      <w:r>
        <w:rPr>
          <w:rFonts w:hint="eastAsia" w:ascii="宋体" w:hAnsi="宋体" w:eastAsia="宋体" w:cs="宋体"/>
          <w:b/>
          <w:bCs/>
          <w:color w:val="auto"/>
          <w:sz w:val="21"/>
          <w:szCs w:val="21"/>
          <w:highlight w:val="none"/>
          <w:lang w:val="en-US" w:eastAsia="zh-CN"/>
        </w:rPr>
        <w:t>=中标单价*实际死亡动物及动物产品处理结算量</w:t>
      </w:r>
      <w:r>
        <w:rPr>
          <w:rFonts w:hint="eastAsia" w:ascii="宋体" w:hAnsi="宋体" w:eastAsia="宋体" w:cs="宋体"/>
          <w:color w:val="auto"/>
          <w:sz w:val="21"/>
          <w:szCs w:val="21"/>
          <w:highlight w:val="none"/>
          <w:lang w:val="en-US" w:eastAsia="zh-CN"/>
        </w:rPr>
        <w:t>。</w:t>
      </w:r>
    </w:p>
    <w:p w14:paraId="75A77EB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付款方式</w:t>
      </w:r>
      <w:r>
        <w:rPr>
          <w:rFonts w:hint="eastAsia" w:ascii="宋体" w:hAnsi="宋体" w:eastAsia="宋体" w:cs="宋体"/>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bidi="ar"/>
        </w:rPr>
        <w:t>签订合同后，在合同生效以及具备实施条件后7个工作日内支付合同金额的40%作为预付款，</w:t>
      </w:r>
      <w:r>
        <w:rPr>
          <w:rFonts w:hint="eastAsia" w:ascii="宋体" w:hAnsi="宋体" w:cs="Times New Roman"/>
          <w:b w:val="0"/>
          <w:bCs w:val="0"/>
          <w:color w:val="auto"/>
          <w:szCs w:val="21"/>
          <w:highlight w:val="none"/>
          <w:lang w:val="en-US" w:eastAsia="zh-CN"/>
        </w:rPr>
        <w:t>后续款项</w:t>
      </w:r>
      <w:r>
        <w:rPr>
          <w:rFonts w:hint="eastAsia" w:ascii="宋体" w:hAnsi="宋体" w:eastAsia="宋体" w:cs="Times New Roman"/>
          <w:color w:val="auto"/>
          <w:szCs w:val="21"/>
          <w:highlight w:val="none"/>
        </w:rPr>
        <w:t>定期</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按</w:t>
      </w:r>
      <w:r>
        <w:rPr>
          <w:rFonts w:hint="eastAsia" w:ascii="宋体" w:hAnsi="宋体" w:cs="Times New Roman"/>
          <w:color w:val="auto"/>
          <w:szCs w:val="21"/>
          <w:highlight w:val="none"/>
          <w:lang w:val="en-US" w:eastAsia="zh-CN"/>
        </w:rPr>
        <w:t>季</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按实</w:t>
      </w:r>
      <w:r>
        <w:rPr>
          <w:rFonts w:hint="eastAsia" w:ascii="宋体" w:hAnsi="宋体" w:eastAsia="宋体" w:cs="Times New Roman"/>
          <w:color w:val="auto"/>
          <w:szCs w:val="21"/>
          <w:highlight w:val="none"/>
        </w:rPr>
        <w:t>结算</w:t>
      </w:r>
      <w:r>
        <w:rPr>
          <w:rFonts w:hint="eastAsia" w:ascii="宋体" w:hAnsi="宋体" w:cs="Times New Roman"/>
          <w:color w:val="auto"/>
          <w:szCs w:val="21"/>
          <w:highlight w:val="none"/>
          <w:lang w:eastAsia="zh-CN"/>
        </w:rPr>
        <w:t>，</w:t>
      </w:r>
      <w:r>
        <w:rPr>
          <w:rFonts w:hint="eastAsia" w:ascii="宋体" w:hAnsi="宋体" w:eastAsia="宋体" w:cs="宋体"/>
          <w:color w:val="auto"/>
          <w:sz w:val="21"/>
          <w:szCs w:val="21"/>
          <w:highlight w:val="none"/>
          <w:lang w:val="en-US" w:eastAsia="zh-CN"/>
        </w:rPr>
        <w:t>中标单位应向采购单位提交实际处理量清单，采购单位在收到中标单位清单后</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个工作日内支付到中标单位。</w:t>
      </w:r>
    </w:p>
    <w:p w14:paraId="3C58A491">
      <w:pPr>
        <w:keepNext w:val="0"/>
        <w:keepLines w:val="0"/>
        <w:pageBreakBefore w:val="0"/>
        <w:widowControl w:val="0"/>
        <w:kinsoku/>
        <w:wordWrap/>
        <w:overflowPunct/>
        <w:topLinePunct w:val="0"/>
        <w:autoSpaceDE/>
        <w:autoSpaceDN w:val="0"/>
        <w:bidi w:val="0"/>
        <w:adjustRightInd/>
        <w:snapToGrid/>
        <w:spacing w:line="360" w:lineRule="auto"/>
        <w:ind w:firstLine="422" w:firstLineChars="200"/>
        <w:jc w:val="left"/>
        <w:textAlignment w:val="auto"/>
        <w:outlineLvl w:val="9"/>
        <w:rPr>
          <w:rFonts w:hint="eastAsia" w:asciiTheme="minorEastAsia" w:hAnsiTheme="minorEastAsia" w:eastAsiaTheme="minorEastAsia" w:cstheme="minorEastAsia"/>
          <w:b/>
          <w:bCs w:val="0"/>
          <w:color w:val="auto"/>
          <w:sz w:val="21"/>
          <w:szCs w:val="21"/>
          <w:highlight w:val="none"/>
          <w:lang w:val="en-US" w:eastAsia="zh-CN"/>
        </w:rPr>
      </w:pPr>
    </w:p>
    <w:p w14:paraId="2FD8EDAA">
      <w:pPr>
        <w:keepNext w:val="0"/>
        <w:keepLines w:val="0"/>
        <w:pageBreakBefore w:val="0"/>
        <w:widowControl w:val="0"/>
        <w:kinsoku/>
        <w:wordWrap/>
        <w:overflowPunct/>
        <w:topLinePunct w:val="0"/>
        <w:autoSpaceDE/>
        <w:autoSpaceDN w:val="0"/>
        <w:bidi w:val="0"/>
        <w:adjustRightInd/>
        <w:snapToGrid/>
        <w:spacing w:line="360" w:lineRule="auto"/>
        <w:ind w:firstLine="422" w:firstLineChars="200"/>
        <w:jc w:val="left"/>
        <w:textAlignment w:val="auto"/>
        <w:outlineLvl w:val="9"/>
        <w:rPr>
          <w:rFonts w:hint="eastAsia" w:ascii="宋体" w:hAnsi="宋体"/>
          <w:b/>
          <w:color w:val="auto"/>
          <w:sz w:val="36"/>
          <w:szCs w:val="36"/>
          <w:highlight w:val="none"/>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
          <w:bCs w:val="0"/>
          <w:color w:val="auto"/>
          <w:sz w:val="21"/>
          <w:szCs w:val="21"/>
          <w:highlight w:val="none"/>
          <w:lang w:val="en-US" w:eastAsia="zh-CN"/>
        </w:rPr>
        <w:t>七</w:t>
      </w:r>
      <w:r>
        <w:rPr>
          <w:rFonts w:hint="eastAsia" w:asciiTheme="minorEastAsia" w:hAnsiTheme="minorEastAsia" w:eastAsiaTheme="minorEastAsia" w:cstheme="minorEastAsia"/>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r>
        <w:rPr>
          <w:rFonts w:hint="eastAsia" w:ascii="宋体" w:hAnsi="宋体" w:eastAsia="宋体" w:cs="宋体"/>
          <w:b/>
          <w:color w:val="auto"/>
          <w:szCs w:val="21"/>
          <w:highlight w:val="none"/>
        </w:rPr>
        <w:t>。</w:t>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2"/>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台州市路桥区农业农村和水利局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9"/>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9"/>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台州市路桥区农业农村和水利局</w:t>
      </w:r>
    </w:p>
    <w:p w14:paraId="7AB10109">
      <w:pPr>
        <w:pStyle w:val="9"/>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6356164">
      <w:pPr>
        <w:pStyle w:val="9"/>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台州市路桥区农业农村和水利局病死动物无害化处理项目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25EA4DDE">
      <w:pPr>
        <w:pStyle w:val="9"/>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第一条：</w:t>
      </w:r>
      <w:r>
        <w:rPr>
          <w:rFonts w:hint="eastAsia" w:ascii="宋体" w:hAnsi="宋体" w:eastAsia="宋体" w:cs="宋体"/>
          <w:b/>
          <w:color w:val="auto"/>
          <w:sz w:val="21"/>
          <w:szCs w:val="21"/>
          <w:highlight w:val="none"/>
        </w:rPr>
        <w:t>服务内容</w:t>
      </w:r>
    </w:p>
    <w:p w14:paraId="6B3871FE">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w:t>
      </w:r>
      <w:r>
        <w:rPr>
          <w:rFonts w:hint="eastAsia" w:ascii="宋体" w:hAnsi="宋体" w:eastAsia="宋体" w:cs="宋体"/>
          <w:color w:val="auto"/>
          <w:sz w:val="21"/>
          <w:szCs w:val="21"/>
          <w:highlight w:val="none"/>
          <w:lang w:eastAsia="zh-CN"/>
        </w:rPr>
        <w:t>采购文件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ascii="宋体" w:hAnsi="宋体" w:eastAsia="宋体" w:cs="宋体"/>
          <w:bCs/>
          <w:color w:val="auto"/>
          <w:sz w:val="21"/>
          <w:szCs w:val="21"/>
          <w:highlight w:val="none"/>
          <w:lang w:val="en-US" w:eastAsia="zh-CN"/>
        </w:rPr>
        <w:t>项目需求</w:t>
      </w:r>
      <w:r>
        <w:rPr>
          <w:rFonts w:hint="eastAsia" w:ascii="宋体" w:hAnsi="宋体" w:eastAsia="宋体" w:cs="宋体"/>
          <w:color w:val="auto"/>
          <w:sz w:val="21"/>
          <w:szCs w:val="21"/>
          <w:highlight w:val="none"/>
        </w:rPr>
        <w:t>》。</w:t>
      </w:r>
    </w:p>
    <w:p w14:paraId="0EB74BC2">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第二条：合同金额</w:t>
      </w:r>
    </w:p>
    <w:p w14:paraId="5C07430B">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人民币。</w:t>
      </w:r>
    </w:p>
    <w:p w14:paraId="07AB6070">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乙双方商定的</w:t>
      </w:r>
      <w:r>
        <w:rPr>
          <w:rFonts w:hint="eastAsia" w:ascii="宋体" w:hAnsi="宋体" w:eastAsia="宋体" w:cs="宋体"/>
          <w:color w:val="auto"/>
          <w:sz w:val="21"/>
          <w:szCs w:val="21"/>
          <w:highlight w:val="none"/>
          <w:lang w:eastAsia="zh-CN"/>
        </w:rPr>
        <w:t>死亡动物</w:t>
      </w:r>
      <w:r>
        <w:rPr>
          <w:rFonts w:hint="eastAsia" w:ascii="宋体" w:hAnsi="宋体" w:eastAsia="宋体" w:cs="宋体"/>
          <w:color w:val="auto"/>
          <w:sz w:val="21"/>
          <w:szCs w:val="21"/>
          <w:highlight w:val="none"/>
        </w:rPr>
        <w:t>数量及处置价格（含税）如下：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2603"/>
        <w:gridCol w:w="2586"/>
      </w:tblGrid>
      <w:tr w14:paraId="0D1E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71" w:type="dxa"/>
            <w:noWrap w:val="0"/>
            <w:vAlign w:val="center"/>
          </w:tcPr>
          <w:p w14:paraId="02740C5F">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名称</w:t>
            </w:r>
          </w:p>
        </w:tc>
        <w:tc>
          <w:tcPr>
            <w:tcW w:w="2603" w:type="dxa"/>
            <w:noWrap w:val="0"/>
            <w:vAlign w:val="center"/>
          </w:tcPr>
          <w:p w14:paraId="11B9B13E">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数量（吨）</w:t>
            </w:r>
          </w:p>
        </w:tc>
        <w:tc>
          <w:tcPr>
            <w:tcW w:w="2586" w:type="dxa"/>
            <w:noWrap w:val="0"/>
            <w:vAlign w:val="center"/>
          </w:tcPr>
          <w:p w14:paraId="7E24C8B2">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价格（元/吨）</w:t>
            </w:r>
          </w:p>
        </w:tc>
      </w:tr>
      <w:tr w14:paraId="611D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571" w:type="dxa"/>
            <w:noWrap w:val="0"/>
            <w:vAlign w:val="center"/>
          </w:tcPr>
          <w:p w14:paraId="7D0192F1">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死亡动物</w:t>
            </w:r>
          </w:p>
        </w:tc>
        <w:tc>
          <w:tcPr>
            <w:tcW w:w="2603" w:type="dxa"/>
            <w:noWrap w:val="0"/>
            <w:vAlign w:val="center"/>
          </w:tcPr>
          <w:p w14:paraId="12F7448E">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183（暂定）</w:t>
            </w:r>
          </w:p>
        </w:tc>
        <w:tc>
          <w:tcPr>
            <w:tcW w:w="2586" w:type="dxa"/>
            <w:noWrap w:val="0"/>
            <w:vAlign w:val="center"/>
          </w:tcPr>
          <w:p w14:paraId="67B17B1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tc>
      </w:tr>
    </w:tbl>
    <w:p w14:paraId="5048585F">
      <w:pPr>
        <w:pStyle w:val="9"/>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第三条：技术资料</w:t>
      </w:r>
    </w:p>
    <w:p w14:paraId="2B74FF74">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规定的时间向甲方提供有关技术资料。</w:t>
      </w:r>
    </w:p>
    <w:p w14:paraId="6D8B6492">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2A7A12">
      <w:pPr>
        <w:pStyle w:val="9"/>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第四条：知识产权</w:t>
      </w:r>
    </w:p>
    <w:p w14:paraId="0F35AB9F">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1、乙方应保证提供服务过程中不会侵犯任何第三方的知识产权和其他权利</w:t>
      </w:r>
      <w:r>
        <w:rPr>
          <w:rFonts w:hint="eastAsia" w:ascii="宋体" w:hAnsi="宋体" w:eastAsia="宋体" w:cs="宋体"/>
          <w:bCs/>
          <w:color w:val="auto"/>
          <w:sz w:val="21"/>
          <w:szCs w:val="21"/>
          <w:highlight w:val="none"/>
        </w:rPr>
        <w:t>。</w:t>
      </w:r>
    </w:p>
    <w:p w14:paraId="4D678CC4">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ED17944">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42402C0C">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4、若侵犯,除承担本协议中的违约责任外，还应由乙方赔偿甲方因此遭受的损失（包括但不限于应对及追偿过程中所支付的律师费、差旅费、诉讼费、保全费、鉴定费、评估费等）。</w:t>
      </w:r>
    </w:p>
    <w:p w14:paraId="0BC33613">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条：转包或分包</w:t>
      </w:r>
    </w:p>
    <w:p w14:paraId="50F4E9C5">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本合同范围的服务，应由乙方直接供应，不得转让他人供应；</w:t>
      </w:r>
    </w:p>
    <w:p w14:paraId="7BF4F106">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乙方不得将本合同范围的服务全部或部分分包给他人供应；</w:t>
      </w:r>
    </w:p>
    <w:p w14:paraId="22103A08">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如有转让和分包行为，甲方有权解除合同并追究乙方的违约责任。</w:t>
      </w:r>
    </w:p>
    <w:p w14:paraId="450110F0">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服务内容</w:t>
      </w:r>
    </w:p>
    <w:p w14:paraId="5DB3E751">
      <w:pPr>
        <w:keepNext w:val="0"/>
        <w:keepLines w:val="0"/>
        <w:pageBreakBefore w:val="0"/>
        <w:widowControl w:val="0"/>
        <w:kinsoku/>
        <w:wordWrap/>
        <w:overflowPunct/>
        <w:topLinePunct w:val="0"/>
        <w:autoSpaceDE/>
        <w:autoSpaceDN/>
        <w:bidi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en-US"/>
        </w:rPr>
        <w:t>—</w:t>
      </w:r>
      <w:r>
        <w:rPr>
          <w:rFonts w:hint="eastAsia" w:ascii="宋体" w:hAnsi="宋体" w:eastAsia="宋体" w:cs="宋体"/>
          <w:b/>
          <w:bCs/>
          <w:color w:val="auto"/>
          <w:sz w:val="21"/>
          <w:szCs w:val="21"/>
          <w:highlight w:val="none"/>
          <w:lang w:val="en-US" w:eastAsia="zh-CN"/>
        </w:rPr>
        <w:t>、乙方的接收</w:t>
      </w:r>
    </w:p>
    <w:p w14:paraId="43A44D75">
      <w:pPr>
        <w:keepNext w:val="0"/>
        <w:keepLines w:val="0"/>
        <w:pageBreakBefore w:val="0"/>
        <w:widowControl w:val="0"/>
        <w:kinsoku/>
        <w:wordWrap/>
        <w:overflowPunct/>
        <w:topLinePunct w:val="0"/>
        <w:autoSpaceDE/>
        <w:autoSpaceDN/>
        <w:bidi w:val="0"/>
        <w:spacing w:line="360" w:lineRule="auto"/>
        <w:ind w:firstLine="420" w:firstLineChars="200"/>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乙方在确保接收并处理路桥区境内产生的死亡动物和路桥屠宰场中需要无害化处理的动物产品。因发生重大动物疫情及因此而死亡或扑杀的动物，不纳入接受范围。   </w:t>
      </w:r>
    </w:p>
    <w:p w14:paraId="60FFB7AA">
      <w:pPr>
        <w:keepNext w:val="0"/>
        <w:keepLines w:val="0"/>
        <w:pageBreakBefore w:val="0"/>
        <w:widowControl w:val="0"/>
        <w:kinsoku/>
        <w:wordWrap/>
        <w:overflowPunct/>
        <w:topLinePunct w:val="0"/>
        <w:autoSpaceDE/>
        <w:autoSpaceDN/>
        <w:bidi w:val="0"/>
        <w:spacing w:line="360" w:lineRule="auto"/>
        <w:ind w:firstLine="422" w:firstLineChars="200"/>
        <w:jc w:val="left"/>
        <w:textAlignment w:val="baseline"/>
        <w:outlineLvl w:val="9"/>
        <w:rPr>
          <w:rFonts w:hint="eastAsia" w:ascii="宋体" w:hAnsi="宋体" w:eastAsia="宋体" w:cs="宋体"/>
          <w:b/>
          <w:bCs/>
          <w:color w:val="auto"/>
          <w:sz w:val="21"/>
          <w:szCs w:val="21"/>
          <w:highlight w:val="none"/>
          <w:lang w:val="en-US" w:eastAsia="zh-CN"/>
        </w:rPr>
      </w:pPr>
      <w:bookmarkStart w:id="2" w:name="bookmark0"/>
      <w:r>
        <w:rPr>
          <w:rFonts w:hint="eastAsia" w:ascii="宋体" w:hAnsi="宋体" w:eastAsia="宋体" w:cs="宋体"/>
          <w:b/>
          <w:bCs/>
          <w:color w:val="auto"/>
          <w:sz w:val="21"/>
          <w:szCs w:val="21"/>
          <w:highlight w:val="none"/>
          <w:lang w:val="en-US" w:eastAsia="zh-CN"/>
        </w:rPr>
        <w:t>二</w:t>
      </w:r>
      <w:bookmarkEnd w:id="2"/>
      <w:r>
        <w:rPr>
          <w:rFonts w:hint="eastAsia" w:ascii="宋体" w:hAnsi="宋体" w:eastAsia="宋体" w:cs="宋体"/>
          <w:b/>
          <w:bCs/>
          <w:color w:val="auto"/>
          <w:sz w:val="21"/>
          <w:szCs w:val="21"/>
          <w:highlight w:val="none"/>
          <w:lang w:val="en-US" w:eastAsia="zh-CN"/>
        </w:rPr>
        <w:t>、协议期限</w:t>
      </w:r>
    </w:p>
    <w:p w14:paraId="2A508CED">
      <w:pPr>
        <w:keepNext w:val="0"/>
        <w:keepLines w:val="0"/>
        <w:pageBreakBefore w:val="0"/>
        <w:widowControl w:val="0"/>
        <w:kinsoku/>
        <w:wordWrap/>
        <w:overflowPunct/>
        <w:topLinePunct w:val="0"/>
        <w:autoSpaceDE/>
        <w:autoSpaceDN/>
        <w:bidi w:val="0"/>
        <w:spacing w:line="360" w:lineRule="auto"/>
        <w:ind w:firstLine="420" w:firstLineChars="200"/>
        <w:jc w:val="left"/>
        <w:textAlignment w:val="baseline"/>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一年，自</w:t>
      </w:r>
      <w:r>
        <w:rPr>
          <w:rFonts w:hint="eastAsia" w:ascii="宋体" w:hAnsi="宋体" w:cs="宋体"/>
          <w:color w:val="auto"/>
          <w:sz w:val="21"/>
          <w:szCs w:val="21"/>
          <w:highlight w:val="none"/>
          <w:u w:val="single"/>
          <w:lang w:val="en-US" w:eastAsia="zh-CN"/>
        </w:rPr>
        <w:t xml:space="preserve">    年  月    日至    年  月    日</w:t>
      </w:r>
      <w:r>
        <w:rPr>
          <w:rFonts w:hint="eastAsia" w:ascii="宋体" w:hAnsi="宋体" w:eastAsia="宋体" w:cs="宋体"/>
          <w:color w:val="auto"/>
          <w:sz w:val="21"/>
          <w:szCs w:val="21"/>
          <w:highlight w:val="none"/>
          <w:u w:val="single"/>
          <w:lang w:val="en-US" w:eastAsia="zh-CN"/>
        </w:rPr>
        <w:t>止。</w:t>
      </w:r>
    </w:p>
    <w:p w14:paraId="06BF878A">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zh-CN"/>
        </w:rPr>
        <w:t>、质量保证和标准：</w:t>
      </w:r>
    </w:p>
    <w:p w14:paraId="33C7188C">
      <w:pPr>
        <w:pStyle w:val="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b/>
          <w:bCs w:val="0"/>
          <w:color w:val="auto"/>
          <w:sz w:val="21"/>
          <w:szCs w:val="21"/>
          <w:highlight w:val="none"/>
        </w:rPr>
      </w:pPr>
      <w:r>
        <w:rPr>
          <w:rFonts w:hint="eastAsia" w:ascii="宋体" w:hAnsi="宋体" w:eastAsia="宋体" w:cs="宋体"/>
          <w:color w:val="auto"/>
          <w:sz w:val="21"/>
          <w:szCs w:val="21"/>
          <w:highlight w:val="none"/>
          <w:lang w:val="zh-CN"/>
        </w:rPr>
        <w:t>质量要求：符合国家最新颁布的有关标准和规范要求（如无国家规定和要求的，按承诺和其他有关规定）。</w:t>
      </w:r>
    </w:p>
    <w:p w14:paraId="54FA4E9F">
      <w:pPr>
        <w:keepNext w:val="0"/>
        <w:keepLines w:val="0"/>
        <w:pageBreakBefore w:val="0"/>
        <w:widowControl w:val="0"/>
        <w:numPr>
          <w:ilvl w:val="0"/>
          <w:numId w:val="0"/>
        </w:numPr>
        <w:kinsoku/>
        <w:wordWrap/>
        <w:overflowPunct/>
        <w:topLinePunct w:val="0"/>
        <w:bidi w:val="0"/>
        <w:snapToGrid/>
        <w:spacing w:line="360" w:lineRule="auto"/>
        <w:ind w:leftChars="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zh-CN"/>
        </w:rPr>
        <w:t>、</w:t>
      </w:r>
      <w:r>
        <w:rPr>
          <w:rFonts w:hint="eastAsia" w:ascii="宋体" w:hAnsi="宋体" w:cs="宋体"/>
          <w:b/>
          <w:bCs/>
          <w:color w:val="auto"/>
          <w:sz w:val="21"/>
          <w:szCs w:val="21"/>
          <w:highlight w:val="none"/>
          <w:lang w:val="en-US" w:eastAsia="zh-CN"/>
        </w:rPr>
        <w:t>具体要求</w:t>
      </w:r>
    </w:p>
    <w:p w14:paraId="095743DA">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u w:val="single"/>
          <w:lang w:val="zh-CN"/>
        </w:rPr>
      </w:pPr>
      <w:r>
        <w:rPr>
          <w:rFonts w:hint="eastAsia" w:ascii="宋体" w:hAnsi="宋体" w:eastAsia="宋体" w:cs="宋体"/>
          <w:b/>
          <w:bCs/>
          <w:color w:val="auto"/>
          <w:sz w:val="21"/>
          <w:szCs w:val="21"/>
          <w:highlight w:val="none"/>
          <w:u w:val="single"/>
          <w:lang w:val="zh-CN"/>
        </w:rPr>
        <w:t>1、</w:t>
      </w:r>
      <w:r>
        <w:rPr>
          <w:rFonts w:hint="eastAsia" w:ascii="宋体" w:hAnsi="宋体" w:cs="宋体"/>
          <w:b/>
          <w:bCs/>
          <w:color w:val="auto"/>
          <w:sz w:val="21"/>
          <w:szCs w:val="21"/>
          <w:highlight w:val="none"/>
          <w:u w:val="single"/>
          <w:lang w:val="en-US" w:eastAsia="zh-CN"/>
        </w:rPr>
        <w:t>乙方</w:t>
      </w:r>
      <w:r>
        <w:rPr>
          <w:rFonts w:hint="eastAsia" w:ascii="宋体" w:hAnsi="宋体" w:eastAsia="宋体" w:cs="宋体"/>
          <w:b/>
          <w:bCs/>
          <w:color w:val="auto"/>
          <w:sz w:val="21"/>
          <w:szCs w:val="21"/>
          <w:highlight w:val="none"/>
          <w:u w:val="single"/>
          <w:lang w:val="zh-CN"/>
        </w:rPr>
        <w:t>需配备相应人员确保项目顺利运行，配备数字信息化网络系统，全程监控病死动物的处理等，符合浙江省农业农村厅对无害化处理的要求。</w:t>
      </w:r>
    </w:p>
    <w:p w14:paraId="0DB82484">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bCs w:val="0"/>
          <w:color w:val="auto"/>
          <w:sz w:val="21"/>
          <w:szCs w:val="21"/>
          <w:highlight w:val="none"/>
        </w:rPr>
      </w:pPr>
      <w:r>
        <w:rPr>
          <w:rFonts w:hint="eastAsia" w:ascii="宋体"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val="zh-CN"/>
        </w:rPr>
        <w:t>、关于病死动物运输费的特别说明</w:t>
      </w:r>
      <w:r>
        <w:rPr>
          <w:rFonts w:hint="eastAsia" w:ascii="宋体" w:hAnsi="宋体" w:cs="宋体"/>
          <w:b/>
          <w:bCs/>
          <w:color w:val="auto"/>
          <w:sz w:val="21"/>
          <w:szCs w:val="21"/>
          <w:highlight w:val="none"/>
          <w:u w:val="single"/>
          <w:lang w:val="zh-CN"/>
        </w:rPr>
        <w:t>：</w:t>
      </w:r>
      <w:r>
        <w:rPr>
          <w:rFonts w:hint="eastAsia" w:ascii="宋体" w:hAnsi="宋体" w:cs="宋体"/>
          <w:b/>
          <w:bCs/>
          <w:color w:val="auto"/>
          <w:sz w:val="21"/>
          <w:szCs w:val="21"/>
          <w:highlight w:val="none"/>
          <w:u w:val="single"/>
          <w:lang w:val="en-US" w:eastAsia="zh-CN"/>
        </w:rPr>
        <w:t>乙方</w:t>
      </w:r>
      <w:r>
        <w:rPr>
          <w:rFonts w:hint="eastAsia" w:ascii="宋体" w:hAnsi="宋体" w:cs="宋体"/>
          <w:b/>
          <w:bCs/>
          <w:color w:val="auto"/>
          <w:sz w:val="21"/>
          <w:szCs w:val="21"/>
          <w:highlight w:val="none"/>
          <w:u w:val="single"/>
          <w:lang w:val="en-US" w:eastAsia="zh-CN"/>
        </w:rPr>
        <w:t>须每天定点接收路桥区境内产生的死亡动物和路桥屠宰场中需要无害化处理的动物产品，甲方</w:t>
      </w:r>
      <w:r>
        <w:rPr>
          <w:rFonts w:hint="eastAsia" w:ascii="宋体" w:hAnsi="宋体" w:eastAsia="宋体" w:cs="宋体"/>
          <w:b/>
          <w:bCs/>
          <w:color w:val="auto"/>
          <w:sz w:val="21"/>
          <w:szCs w:val="21"/>
          <w:highlight w:val="none"/>
          <w:u w:val="single"/>
          <w:lang w:val="zh-CN"/>
        </w:rPr>
        <w:t>仅负责</w:t>
      </w: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lang w:val="zh-CN"/>
        </w:rPr>
        <w:t>0公里以内的运输费用，超出距离部分由</w:t>
      </w:r>
      <w:r>
        <w:rPr>
          <w:rFonts w:hint="eastAsia" w:ascii="宋体" w:hAnsi="宋体" w:cs="宋体"/>
          <w:b/>
          <w:bCs/>
          <w:color w:val="auto"/>
          <w:sz w:val="21"/>
          <w:szCs w:val="21"/>
          <w:highlight w:val="none"/>
          <w:u w:val="single"/>
          <w:lang w:val="en-US" w:eastAsia="zh-CN"/>
        </w:rPr>
        <w:t>乙方</w:t>
      </w:r>
      <w:r>
        <w:rPr>
          <w:rFonts w:hint="eastAsia" w:ascii="宋体" w:hAnsi="宋体" w:eastAsia="宋体" w:cs="宋体"/>
          <w:b/>
          <w:bCs/>
          <w:color w:val="auto"/>
          <w:sz w:val="21"/>
          <w:szCs w:val="21"/>
          <w:highlight w:val="none"/>
          <w:u w:val="single"/>
          <w:lang w:val="zh-CN"/>
        </w:rPr>
        <w:t>自行解决。</w:t>
      </w:r>
    </w:p>
    <w:p w14:paraId="3398122D">
      <w:pPr>
        <w:pStyle w:val="9"/>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val="en-US" w:eastAsia="zh-CN"/>
        </w:rPr>
        <w:t>七</w:t>
      </w:r>
      <w:r>
        <w:rPr>
          <w:rFonts w:hint="eastAsia" w:ascii="宋体" w:hAnsi="宋体" w:eastAsia="宋体" w:cs="宋体"/>
          <w:b/>
          <w:bCs w:val="0"/>
          <w:color w:val="auto"/>
          <w:sz w:val="21"/>
          <w:szCs w:val="21"/>
          <w:highlight w:val="none"/>
        </w:rPr>
        <w:t>条：甲、乙双方权利和义务</w:t>
      </w:r>
    </w:p>
    <w:p w14:paraId="6E942087">
      <w:pPr>
        <w:keepNext w:val="0"/>
        <w:keepLines w:val="0"/>
        <w:pageBreakBefore w:val="0"/>
        <w:widowControl w:val="0"/>
        <w:kinsoku/>
        <w:wordWrap/>
        <w:overflowPunct/>
        <w:topLinePunct w:val="0"/>
        <w:autoSpaceDE/>
        <w:autoSpaceDN/>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（一）甲方的权利和义务</w:t>
      </w:r>
    </w:p>
    <w:p w14:paraId="2342C5A2">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1、有按本协议规定从乙方获得死亡动物无害化处理服务的权利；</w:t>
      </w:r>
    </w:p>
    <w:p w14:paraId="573DC0AE">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2、具有按本协议规定在</w:t>
      </w:r>
      <w:r>
        <w:rPr>
          <w:rFonts w:hint="eastAsia" w:ascii="宋体" w:hAnsi="宋体" w:cs="宋体"/>
          <w:color w:val="auto"/>
          <w:sz w:val="21"/>
          <w:szCs w:val="21"/>
          <w:highlight w:val="none"/>
          <w:lang w:val="en-US" w:eastAsia="zh-CN"/>
        </w:rPr>
        <w:t>路桥区</w:t>
      </w:r>
      <w:r>
        <w:rPr>
          <w:rFonts w:hint="eastAsia" w:ascii="宋体" w:hAnsi="宋体" w:eastAsia="宋体" w:cs="宋体"/>
          <w:color w:val="auto"/>
          <w:sz w:val="21"/>
          <w:szCs w:val="21"/>
          <w:highlight w:val="none"/>
        </w:rPr>
        <w:t>境内运输死亡动物的权利；</w:t>
      </w:r>
    </w:p>
    <w:p w14:paraId="3AC0EEE8">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3、具有对乙方无害化处理过程全程监督的权利，有向乙方获取其死亡动物交接记录、计量、处理等数据和交接单据的权利。甲方及路桥区相关政府部门和保险公司到乙方厂内开展工作，要求乙方配合的</w:t>
      </w:r>
      <w:r>
        <w:rPr>
          <w:rFonts w:hint="eastAsia" w:ascii="宋体" w:hAnsi="宋体" w:cs="宋体"/>
          <w:color w:val="auto"/>
          <w:sz w:val="21"/>
          <w:szCs w:val="21"/>
          <w:highlight w:val="none"/>
          <w:lang w:val="en-US" w:eastAsia="zh-CN"/>
        </w:rPr>
        <w:t>权利；</w:t>
      </w:r>
    </w:p>
    <w:p w14:paraId="1D2EB9B2">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4、根据本协议的规定向乙方支付死亡动物无害化处理服务费；</w:t>
      </w:r>
    </w:p>
    <w:p w14:paraId="5CD6F990">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5、对死亡动物在</w:t>
      </w:r>
      <w:r>
        <w:rPr>
          <w:rFonts w:hint="eastAsia" w:ascii="宋体" w:hAnsi="宋体" w:cs="宋体"/>
          <w:color w:val="auto"/>
          <w:sz w:val="21"/>
          <w:szCs w:val="21"/>
          <w:highlight w:val="none"/>
          <w:lang w:eastAsia="zh-CN"/>
        </w:rPr>
        <w:t>路桥</w:t>
      </w:r>
      <w:r>
        <w:rPr>
          <w:rFonts w:hint="eastAsia" w:ascii="宋体" w:hAnsi="宋体" w:eastAsia="宋体" w:cs="宋体"/>
          <w:color w:val="auto"/>
          <w:sz w:val="21"/>
          <w:szCs w:val="21"/>
          <w:highlight w:val="none"/>
        </w:rPr>
        <w:t>境内运输的安全负责，确保不发生疫病</w:t>
      </w:r>
      <w:r>
        <w:rPr>
          <w:rFonts w:hint="eastAsia" w:ascii="宋体" w:hAnsi="宋体" w:cs="宋体"/>
          <w:color w:val="auto"/>
          <w:sz w:val="21"/>
          <w:szCs w:val="21"/>
          <w:highlight w:val="none"/>
          <w:lang w:val="en-US" w:eastAsia="zh-CN"/>
        </w:rPr>
        <w:t>扩散、</w:t>
      </w:r>
      <w:r>
        <w:rPr>
          <w:rFonts w:hint="eastAsia" w:ascii="宋体" w:hAnsi="宋体" w:eastAsia="宋体" w:cs="宋体"/>
          <w:color w:val="auto"/>
          <w:sz w:val="21"/>
          <w:szCs w:val="21"/>
          <w:highlight w:val="none"/>
        </w:rPr>
        <w:t>环境污染等事故。</w:t>
      </w:r>
    </w:p>
    <w:p w14:paraId="5384D832">
      <w:pPr>
        <w:keepNext w:val="0"/>
        <w:keepLines w:val="0"/>
        <w:pageBreakBefore w:val="0"/>
        <w:kinsoku/>
        <w:wordWrap/>
        <w:overflowPunct/>
        <w:topLinePunct w:val="0"/>
        <w:autoSpaceDE/>
        <w:autoSpaceDN/>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（二）乙方的权利和义务</w:t>
      </w:r>
    </w:p>
    <w:p w14:paraId="5338B781">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1、对已经接收死亡动物的安全负责，并对甲方供应的可以接受的死亡动物全部进行无害化处理；</w:t>
      </w:r>
    </w:p>
    <w:p w14:paraId="2E345F14">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按规定与甲方共同办理好相关交接单据并向甲方和路桥区相关保险公司提供，应甲方和路桥区相关保险公司要求提供相关数据。配合甲方及路桥区相关政府部门和保险公司到乙方厂内开展工作；</w:t>
      </w:r>
    </w:p>
    <w:p w14:paraId="155A0FF5">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3、有权拒绝接收甲方的非可接收死亡动物；</w:t>
      </w:r>
    </w:p>
    <w:p w14:paraId="5426CC55">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4、如果甲方供应的死亡动物超出乙方的实际处理能力，对超出部分乙方有权拒绝接纳，并不应视为乙方违约；</w:t>
      </w:r>
    </w:p>
    <w:p w14:paraId="258F9876">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5、正常情况下不能拒绝接收约定的、甲方的死亡动物。设备检修时，提前2天告知甲方,可暂停接收死亡动物。</w:t>
      </w:r>
    </w:p>
    <w:p w14:paraId="5077D5B9">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6、按照本协议约定的时间和方式取得甲方支付的死亡动物无害化处理服务费；</w:t>
      </w:r>
    </w:p>
    <w:p w14:paraId="60625A37">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7、有要求甲方运输车辆遵守乙方相关规章制度的权利。</w:t>
      </w:r>
    </w:p>
    <w:p w14:paraId="78F8889F">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outlineLvl w:val="9"/>
        <w:rPr>
          <w:rFonts w:hint="eastAsia" w:asciiTheme="minorEastAsia" w:hAnsiTheme="minorEastAsia" w:eastAsiaTheme="minorEastAsia" w:cstheme="minorEastAsia"/>
          <w:b/>
          <w:bCs/>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条：</w:t>
      </w:r>
      <w:r>
        <w:rPr>
          <w:rFonts w:hint="eastAsia" w:asciiTheme="minorEastAsia" w:hAnsiTheme="minorEastAsia" w:eastAsiaTheme="minorEastAsia" w:cstheme="minorEastAsia"/>
          <w:b/>
          <w:bCs/>
          <w:color w:val="auto"/>
          <w:sz w:val="21"/>
          <w:szCs w:val="21"/>
          <w:highlight w:val="none"/>
          <w:lang w:val="en-US" w:eastAsia="zh-CN"/>
        </w:rPr>
        <w:t>费用</w:t>
      </w:r>
      <w:r>
        <w:rPr>
          <w:rFonts w:hint="eastAsia" w:asciiTheme="minorEastAsia" w:hAnsiTheme="minorEastAsia" w:eastAsiaTheme="minorEastAsia" w:cstheme="minorEastAsia"/>
          <w:b/>
          <w:bCs/>
          <w:color w:val="auto"/>
          <w:sz w:val="21"/>
          <w:szCs w:val="21"/>
          <w:highlight w:val="none"/>
          <w:lang w:eastAsia="zh-CN"/>
        </w:rPr>
        <w:t>结算</w:t>
      </w:r>
    </w:p>
    <w:p w14:paraId="7CCCDB77">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具体</w:t>
      </w:r>
      <w:r>
        <w:rPr>
          <w:rFonts w:hint="eastAsia" w:ascii="宋体" w:hAnsi="宋体" w:eastAsia="宋体" w:cs="宋体"/>
          <w:color w:val="auto"/>
          <w:sz w:val="21"/>
          <w:szCs w:val="21"/>
          <w:highlight w:val="none"/>
          <w:lang w:val="en-US" w:eastAsia="zh-CN"/>
        </w:rPr>
        <w:t>按实结算，</w:t>
      </w:r>
      <w:r>
        <w:rPr>
          <w:rFonts w:hint="eastAsia" w:ascii="宋体" w:hAnsi="宋体" w:cs="宋体"/>
          <w:b/>
          <w:bCs/>
          <w:color w:val="auto"/>
          <w:sz w:val="21"/>
          <w:szCs w:val="21"/>
          <w:highlight w:val="none"/>
          <w:lang w:val="en-US" w:eastAsia="zh-CN"/>
        </w:rPr>
        <w:t>结算价</w:t>
      </w:r>
      <w:r>
        <w:rPr>
          <w:rFonts w:hint="eastAsia" w:ascii="宋体" w:hAnsi="宋体" w:eastAsia="宋体" w:cs="宋体"/>
          <w:b/>
          <w:bCs/>
          <w:color w:val="auto"/>
          <w:sz w:val="21"/>
          <w:szCs w:val="21"/>
          <w:highlight w:val="none"/>
          <w:lang w:val="en-US" w:eastAsia="zh-CN"/>
        </w:rPr>
        <w:t>=中标单价*实际死亡动物及动物产品处理结算量</w:t>
      </w:r>
      <w:r>
        <w:rPr>
          <w:rFonts w:hint="eastAsia" w:ascii="宋体" w:hAnsi="宋体" w:eastAsia="宋体" w:cs="宋体"/>
          <w:color w:val="auto"/>
          <w:sz w:val="21"/>
          <w:szCs w:val="21"/>
          <w:highlight w:val="none"/>
          <w:lang w:val="en-US" w:eastAsia="zh-CN"/>
        </w:rPr>
        <w:t>。</w:t>
      </w:r>
    </w:p>
    <w:p w14:paraId="77B2B681">
      <w:pPr>
        <w:autoSpaceDE w:val="0"/>
        <w:autoSpaceDN w:val="0"/>
        <w:adjustRightInd w:val="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付款方式</w:t>
      </w:r>
      <w:r>
        <w:rPr>
          <w:rFonts w:hint="eastAsia" w:ascii="宋体" w:hAnsi="宋体" w:eastAsia="宋体" w:cs="宋体"/>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bidi="ar"/>
        </w:rPr>
        <w:t>签订合同后，在合同生效以及具备实施条件后7个工作日内支付合同金额的40%作为预付款，</w:t>
      </w:r>
      <w:r>
        <w:rPr>
          <w:rFonts w:hint="eastAsia" w:ascii="宋体" w:hAnsi="宋体" w:cs="Times New Roman"/>
          <w:b w:val="0"/>
          <w:bCs w:val="0"/>
          <w:color w:val="auto"/>
          <w:szCs w:val="21"/>
          <w:highlight w:val="none"/>
          <w:lang w:val="en-US" w:eastAsia="zh-CN"/>
        </w:rPr>
        <w:t>后续款项</w:t>
      </w:r>
      <w:r>
        <w:rPr>
          <w:rFonts w:hint="eastAsia" w:ascii="宋体" w:hAnsi="宋体" w:eastAsia="宋体" w:cs="Times New Roman"/>
          <w:color w:val="auto"/>
          <w:szCs w:val="21"/>
          <w:highlight w:val="none"/>
        </w:rPr>
        <w:t>定期</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按</w:t>
      </w:r>
      <w:r>
        <w:rPr>
          <w:rFonts w:hint="eastAsia" w:ascii="宋体" w:hAnsi="宋体" w:cs="Times New Roman"/>
          <w:color w:val="auto"/>
          <w:szCs w:val="21"/>
          <w:highlight w:val="none"/>
          <w:lang w:val="en-US" w:eastAsia="zh-CN"/>
        </w:rPr>
        <w:t>季</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按实</w:t>
      </w:r>
      <w:r>
        <w:rPr>
          <w:rFonts w:hint="eastAsia" w:ascii="宋体" w:hAnsi="宋体" w:eastAsia="宋体" w:cs="Times New Roman"/>
          <w:color w:val="auto"/>
          <w:szCs w:val="21"/>
          <w:highlight w:val="none"/>
        </w:rPr>
        <w:t>结算</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乙方</w:t>
      </w:r>
      <w:r>
        <w:rPr>
          <w:rFonts w:hint="eastAsia" w:ascii="宋体" w:hAnsi="宋体" w:eastAsia="宋体" w:cs="宋体"/>
          <w:color w:val="auto"/>
          <w:sz w:val="21"/>
          <w:szCs w:val="21"/>
          <w:highlight w:val="none"/>
          <w:lang w:val="en-US" w:eastAsia="zh-CN"/>
        </w:rPr>
        <w:t>应向</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提交实际处理量清单，</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在收到</w:t>
      </w:r>
      <w:r>
        <w:rPr>
          <w:rFonts w:hint="eastAsia" w:ascii="宋体" w:hAnsi="宋体" w:cs="Times New Roman"/>
          <w:color w:val="auto"/>
          <w:szCs w:val="21"/>
          <w:highlight w:val="none"/>
          <w:lang w:val="en-US" w:eastAsia="zh-CN"/>
        </w:rPr>
        <w:t>乙方</w:t>
      </w:r>
      <w:r>
        <w:rPr>
          <w:rFonts w:hint="eastAsia" w:ascii="宋体" w:hAnsi="宋体" w:eastAsia="宋体" w:cs="宋体"/>
          <w:color w:val="auto"/>
          <w:sz w:val="21"/>
          <w:szCs w:val="21"/>
          <w:highlight w:val="none"/>
          <w:lang w:val="en-US" w:eastAsia="zh-CN"/>
        </w:rPr>
        <w:t>清单后</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个工作日内支付到</w:t>
      </w:r>
      <w:r>
        <w:rPr>
          <w:rFonts w:hint="eastAsia" w:ascii="宋体" w:hAnsi="宋体" w:cs="Times New Roman"/>
          <w:color w:val="auto"/>
          <w:szCs w:val="21"/>
          <w:highlight w:val="none"/>
          <w:lang w:val="en-US" w:eastAsia="zh-CN"/>
        </w:rPr>
        <w:t>乙方</w:t>
      </w:r>
      <w:r>
        <w:rPr>
          <w:rFonts w:hint="eastAsia" w:ascii="宋体" w:hAnsi="宋体" w:eastAsia="宋体" w:cs="宋体"/>
          <w:color w:val="auto"/>
          <w:sz w:val="21"/>
          <w:szCs w:val="21"/>
          <w:highlight w:val="none"/>
          <w:lang w:val="en-US" w:eastAsia="zh-CN"/>
        </w:rPr>
        <w:t>。</w:t>
      </w:r>
    </w:p>
    <w:p w14:paraId="0CEDFF53">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bCs/>
          <w:snapToGrid w:val="0"/>
          <w:color w:val="auto"/>
          <w:sz w:val="21"/>
          <w:szCs w:val="21"/>
          <w:highlight w:val="none"/>
        </w:rPr>
        <w:t>第</w:t>
      </w:r>
      <w:r>
        <w:rPr>
          <w:rFonts w:hint="eastAsia" w:ascii="宋体" w:hAnsi="宋体" w:eastAsia="宋体" w:cs="宋体"/>
          <w:b/>
          <w:bCs/>
          <w:snapToGrid w:val="0"/>
          <w:color w:val="auto"/>
          <w:sz w:val="21"/>
          <w:szCs w:val="21"/>
          <w:highlight w:val="none"/>
          <w:lang w:val="en-US" w:eastAsia="zh-CN"/>
        </w:rPr>
        <w:t>九</w:t>
      </w:r>
      <w:r>
        <w:rPr>
          <w:rFonts w:hint="eastAsia" w:ascii="宋体" w:hAnsi="宋体" w:eastAsia="宋体" w:cs="宋体"/>
          <w:b/>
          <w:bCs/>
          <w:snapToGrid w:val="0"/>
          <w:color w:val="auto"/>
          <w:sz w:val="21"/>
          <w:szCs w:val="21"/>
          <w:highlight w:val="none"/>
        </w:rPr>
        <w:t>条：</w:t>
      </w:r>
      <w:r>
        <w:rPr>
          <w:rFonts w:hint="eastAsia" w:ascii="宋体" w:hAnsi="宋体" w:eastAsia="宋体" w:cs="宋体"/>
          <w:b/>
          <w:color w:val="auto"/>
          <w:sz w:val="21"/>
          <w:szCs w:val="21"/>
          <w:highlight w:val="none"/>
        </w:rPr>
        <w:t>违约责任</w:t>
      </w:r>
    </w:p>
    <w:p w14:paraId="3663FBF9">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1、甲方无正当理由拒收接受服务的，甲方向乙方支付合同款项百分之五作为违约金。</w:t>
      </w:r>
    </w:p>
    <w:p w14:paraId="015227B2">
      <w:pPr>
        <w:pStyle w:val="8"/>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2、甲方无故逾期验收和办理款项支付手续的，甲方应按逾期付款总额向乙方支付每日万分之五违约金。</w:t>
      </w:r>
    </w:p>
    <w:p w14:paraId="1DDF438E">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5890BFAF">
      <w:pPr>
        <w:pStyle w:val="9"/>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4、若发生纠纷，由违约方赔偿守约方因纠纷所支付的费用（包括但不限于律师费、差旅费、诉讼费、保全费、鉴定费、评估费等）。</w:t>
      </w:r>
    </w:p>
    <w:p w14:paraId="22AE5A16">
      <w:pPr>
        <w:pStyle w:val="9"/>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第</w:t>
      </w:r>
      <w:r>
        <w:rPr>
          <w:rFonts w:hint="eastAsia" w:ascii="宋体" w:hAnsi="宋体" w:eastAsia="宋体" w:cs="宋体"/>
          <w:b/>
          <w:bCs/>
          <w:snapToGrid w:val="0"/>
          <w:color w:val="auto"/>
          <w:sz w:val="21"/>
          <w:szCs w:val="21"/>
          <w:highlight w:val="none"/>
          <w:lang w:val="en-US" w:eastAsia="zh-CN"/>
        </w:rPr>
        <w:t>十</w:t>
      </w:r>
      <w:r>
        <w:rPr>
          <w:rFonts w:hint="eastAsia" w:ascii="宋体" w:hAnsi="宋体" w:eastAsia="宋体" w:cs="宋体"/>
          <w:b/>
          <w:bCs/>
          <w:snapToGrid w:val="0"/>
          <w:color w:val="auto"/>
          <w:sz w:val="21"/>
          <w:szCs w:val="21"/>
          <w:highlight w:val="none"/>
        </w:rPr>
        <w:t>条：不可抗力事件处理</w:t>
      </w:r>
    </w:p>
    <w:p w14:paraId="2A2DF861">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18F0F880">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0F2BAA1B">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651C2E88">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4、如合同履行时间内，因疫情原因需要延迟相关活动或解除合同的，由双方进行协商；合同解除后，双方根据乙方的实际履行支付情况及凭证（发票）进行结算。</w:t>
      </w:r>
    </w:p>
    <w:p w14:paraId="7F38D433">
      <w:pPr>
        <w:pStyle w:val="9"/>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第十</w:t>
      </w:r>
      <w:r>
        <w:rPr>
          <w:rFonts w:hint="eastAsia" w:ascii="宋体" w:hAnsi="宋体" w:eastAsia="宋体" w:cs="宋体"/>
          <w:b/>
          <w:bCs/>
          <w:snapToGrid w:val="0"/>
          <w:color w:val="auto"/>
          <w:sz w:val="21"/>
          <w:szCs w:val="21"/>
          <w:highlight w:val="none"/>
          <w:lang w:val="en-US" w:eastAsia="zh-CN"/>
        </w:rPr>
        <w:t>一</w:t>
      </w:r>
      <w:r>
        <w:rPr>
          <w:rFonts w:hint="eastAsia" w:ascii="宋体" w:hAnsi="宋体" w:eastAsia="宋体" w:cs="宋体"/>
          <w:b/>
          <w:bCs/>
          <w:snapToGrid w:val="0"/>
          <w:color w:val="auto"/>
          <w:sz w:val="21"/>
          <w:szCs w:val="21"/>
          <w:highlight w:val="none"/>
        </w:rPr>
        <w:t>条：诉讼</w:t>
      </w:r>
    </w:p>
    <w:p w14:paraId="14DE4855">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250421E3">
      <w:pPr>
        <w:pStyle w:val="9"/>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第十</w:t>
      </w:r>
      <w:r>
        <w:rPr>
          <w:rFonts w:hint="eastAsia" w:ascii="宋体" w:hAnsi="宋体" w:eastAsia="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rPr>
        <w:t>条：合同生效及其它</w:t>
      </w:r>
    </w:p>
    <w:p w14:paraId="36C8DD51">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3B136BC2">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7D97D266">
      <w:pPr>
        <w:pStyle w:val="9"/>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3F11E769">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w:t>
      </w:r>
      <w:r>
        <w:rPr>
          <w:rFonts w:hint="eastAsia" w:ascii="宋体" w:hAnsi="宋体" w:eastAsia="宋体" w:cs="宋体"/>
          <w:color w:val="auto"/>
          <w:spacing w:val="-6"/>
          <w:kern w:val="0"/>
          <w:sz w:val="21"/>
          <w:szCs w:val="21"/>
          <w:highlight w:val="none"/>
          <w:lang w:eastAsia="zh-CN"/>
        </w:rPr>
        <w:t>采购文件</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spacing w:val="-6"/>
          <w:kern w:val="0"/>
          <w:sz w:val="21"/>
          <w:szCs w:val="21"/>
          <w:highlight w:val="none"/>
          <w:lang w:val="en-US" w:eastAsia="zh-CN"/>
        </w:rPr>
        <w:t>磋商响应</w:t>
      </w:r>
      <w:r>
        <w:rPr>
          <w:rFonts w:hint="eastAsia" w:ascii="宋体" w:hAnsi="宋体" w:eastAsia="宋体" w:cs="宋体"/>
          <w:color w:val="auto"/>
          <w:spacing w:val="-6"/>
          <w:kern w:val="0"/>
          <w:sz w:val="21"/>
          <w:szCs w:val="21"/>
          <w:highlight w:val="none"/>
        </w:rPr>
        <w:t>文件及澄清文件等为准。</w:t>
      </w:r>
    </w:p>
    <w:p w14:paraId="445687F5">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696301EA">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p>
    <w:p w14:paraId="708B03CE">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p>
    <w:p w14:paraId="46C818E5">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6F4B9475">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p>
    <w:p w14:paraId="1F295D1B">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3E6EE778">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p>
    <w:p w14:paraId="4B832764">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3839AC07">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p>
    <w:p w14:paraId="0EA6B2CF">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067FC40E">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p>
    <w:p w14:paraId="0C2187F6">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779D2308">
      <w:pPr>
        <w:keepNext w:val="0"/>
        <w:keepLines w:val="0"/>
        <w:pageBreakBefore w:val="0"/>
        <w:kinsoku/>
        <w:wordWrap/>
        <w:overflowPunct/>
        <w:topLinePunct w:val="0"/>
        <w:autoSpaceDE/>
        <w:autoSpaceDN/>
        <w:bidi w:val="0"/>
        <w:spacing w:line="360" w:lineRule="auto"/>
        <w:ind w:firstLine="420" w:firstLineChars="200"/>
        <w:jc w:val="left"/>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合同</w:t>
      </w:r>
      <w:r>
        <w:rPr>
          <w:rFonts w:hint="eastAsia" w:ascii="宋体" w:hAnsi="宋体" w:eastAsia="宋体" w:cs="宋体"/>
          <w:snapToGrid w:val="0"/>
          <w:color w:val="auto"/>
          <w:sz w:val="21"/>
          <w:szCs w:val="21"/>
          <w:highlight w:val="none"/>
          <w:lang w:val="en-US" w:eastAsia="zh-CN"/>
        </w:rPr>
        <w:t>见</w:t>
      </w:r>
      <w:r>
        <w:rPr>
          <w:rFonts w:hint="eastAsia" w:ascii="宋体" w:hAnsi="宋体" w:eastAsia="宋体" w:cs="宋体"/>
          <w:snapToGrid w:val="0"/>
          <w:color w:val="auto"/>
          <w:sz w:val="21"/>
          <w:szCs w:val="21"/>
          <w:highlight w:val="none"/>
        </w:rPr>
        <w:t>证方：</w:t>
      </w:r>
    </w:p>
    <w:p w14:paraId="6C34F338">
      <w:pPr>
        <w:keepNext w:val="0"/>
        <w:keepLines w:val="0"/>
        <w:pageBreakBefore w:val="0"/>
        <w:kinsoku/>
        <w:wordWrap/>
        <w:overflowPunct/>
        <w:topLinePunct w:val="0"/>
        <w:autoSpaceDE/>
        <w:autoSpaceDN/>
        <w:bidi w:val="0"/>
        <w:spacing w:line="360" w:lineRule="auto"/>
        <w:ind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 xml:space="preserve">                                         </w:t>
      </w:r>
      <w:r>
        <w:rPr>
          <w:rFonts w:hint="eastAsia" w:ascii="宋体" w:hAnsi="宋体" w:eastAsia="宋体" w:cs="宋体"/>
          <w:color w:val="auto"/>
          <w:kern w:val="0"/>
          <w:sz w:val="21"/>
          <w:szCs w:val="21"/>
          <w:highlight w:val="none"/>
        </w:rPr>
        <w:t>签订日期：       年     月     日</w:t>
      </w:r>
    </w:p>
    <w:p w14:paraId="156B9960">
      <w:pPr>
        <w:keepNext w:val="0"/>
        <w:keepLines w:val="0"/>
        <w:pageBreakBefore w:val="0"/>
        <w:kinsoku/>
        <w:wordWrap/>
        <w:overflowPunct/>
        <w:topLinePunct w:val="0"/>
        <w:autoSpaceDE/>
        <w:autoSpaceDN/>
        <w:bidi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18"/>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876EB37">
      <w:pPr>
        <w:pStyle w:val="7"/>
        <w:rPr>
          <w:rFonts w:hint="eastAsia" w:ascii="宋体" w:hAnsi="宋体" w:eastAsia="宋体" w:cs="宋体"/>
          <w:b/>
          <w:color w:val="auto"/>
          <w:sz w:val="28"/>
          <w:highlight w:val="none"/>
        </w:rPr>
      </w:pPr>
    </w:p>
    <w:p w14:paraId="558C9223">
      <w:pPr>
        <w:rPr>
          <w:rFonts w:hint="eastAsia" w:ascii="宋体" w:hAnsi="宋体" w:eastAsia="宋体" w:cs="宋体"/>
          <w:color w:val="auto"/>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6"/>
          <w:rFonts w:hint="eastAsia" w:ascii="宋体" w:hAnsi="宋体" w:eastAsia="宋体" w:cs="宋体"/>
          <w:b/>
          <w:color w:val="auto"/>
          <w:sz w:val="32"/>
          <w:szCs w:val="32"/>
          <w:highlight w:val="none"/>
          <w:u w:val="none"/>
        </w:rPr>
      </w:pPr>
      <w:r>
        <w:rPr>
          <w:rStyle w:val="26"/>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台州市路桥区农业农村和水利局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病死动物无害化处理项目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tzya2024-lq102</w:t>
      </w:r>
      <w:r>
        <w:rPr>
          <w:rFonts w:hint="eastAsia" w:ascii="宋体" w:hAnsi="宋体" w:eastAsia="宋体" w:cs="宋体"/>
          <w:color w:val="auto"/>
          <w:kern w:val="0"/>
          <w:sz w:val="21"/>
          <w:szCs w:val="21"/>
          <w:highlight w:val="none"/>
        </w:rPr>
        <w:t>）的磋商，为此，我公司就本次磋商有关事项郑重声明如下：</w:t>
      </w:r>
    </w:p>
    <w:p w14:paraId="640B4BF3">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4557EE0D">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8928C1D">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4C84B141">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97F7D35">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我公司严格履行采购合同，不降低合同约定的产品质量和服务，不擅自变更、中止、终止合同，或拒绝履行合同义务；</w:t>
      </w:r>
    </w:p>
    <w:p w14:paraId="2AE4D644">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72D3A8CD">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9"/>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台州市路桥区农业农村和水利局</w:t>
      </w:r>
      <w:r>
        <w:rPr>
          <w:rFonts w:hint="eastAsia" w:ascii="宋体" w:hAnsi="宋体" w:eastAsia="宋体" w:cs="宋体"/>
          <w:b w:val="0"/>
          <w:bCs/>
          <w:color w:val="auto"/>
          <w:sz w:val="21"/>
          <w:szCs w:val="21"/>
          <w:highlight w:val="none"/>
          <w:u w:val="single"/>
        </w:rPr>
        <w:t>、台州永安工程咨询有限公司：</w:t>
      </w:r>
    </w:p>
    <w:p w14:paraId="57237C55">
      <w:pPr>
        <w:pStyle w:val="9"/>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病死动物无害化处理项目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tzya2024-lq102</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9"/>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9"/>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法定代表身份证复印件粘帖处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7"/>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7"/>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7"/>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7"/>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7"/>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9"/>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0"/>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0DA6EAC">
      <w:pPr>
        <w:pStyle w:val="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36452525">
      <w:pPr>
        <w:pStyle w:val="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D66CF7E">
      <w:pPr>
        <w:pStyle w:val="9"/>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19"/>
        <w:ind w:left="0" w:leftChars="0" w:firstLine="0" w:firstLineChars="0"/>
        <w:rPr>
          <w:rFonts w:hint="eastAsia" w:ascii="宋体" w:hAnsi="宋体" w:eastAsia="宋体" w:cs="宋体"/>
          <w:color w:val="auto"/>
          <w:highlight w:val="none"/>
        </w:rPr>
      </w:pPr>
    </w:p>
    <w:p w14:paraId="390B0361">
      <w:pPr>
        <w:pStyle w:val="55"/>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NumType w:fmt="decimal"/>
          <w:cols w:space="425" w:num="1"/>
          <w:docGrid w:type="lines" w:linePitch="312" w:charSpace="0"/>
        </w:sectPr>
      </w:pPr>
    </w:p>
    <w:p w14:paraId="70A42995">
      <w:pPr>
        <w:pStyle w:val="55"/>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5"/>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5"/>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病死动物无害化处理项目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tzya2024-lq102</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2"/>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2"/>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5"/>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5"/>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5"/>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5"/>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5"/>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2"/>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5"/>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18"/>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FD4A7BD">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1"/>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68"/>
        <w:gridCol w:w="5522"/>
        <w:gridCol w:w="803"/>
        <w:gridCol w:w="803"/>
        <w:gridCol w:w="803"/>
      </w:tblGrid>
      <w:tr w14:paraId="6292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33" w:type="dxa"/>
            <w:gridSpan w:val="2"/>
            <w:noWrap w:val="0"/>
            <w:vAlign w:val="center"/>
          </w:tcPr>
          <w:p w14:paraId="77C34BE0">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评标因素</w:t>
            </w:r>
          </w:p>
        </w:tc>
        <w:tc>
          <w:tcPr>
            <w:tcW w:w="5522" w:type="dxa"/>
            <w:noWrap w:val="0"/>
            <w:vAlign w:val="center"/>
          </w:tcPr>
          <w:p w14:paraId="0F634071">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评分标准</w:t>
            </w:r>
          </w:p>
        </w:tc>
        <w:tc>
          <w:tcPr>
            <w:tcW w:w="803" w:type="dxa"/>
            <w:noWrap w:val="0"/>
            <w:vAlign w:val="center"/>
          </w:tcPr>
          <w:p w14:paraId="686C3239">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c>
          <w:tcPr>
            <w:tcW w:w="803" w:type="dxa"/>
            <w:noWrap w:val="0"/>
            <w:vAlign w:val="center"/>
          </w:tcPr>
          <w:p w14:paraId="2AC35951">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803" w:type="dxa"/>
            <w:noWrap w:val="0"/>
            <w:vAlign w:val="center"/>
          </w:tcPr>
          <w:p w14:paraId="5F0E63A6">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bookmarkStart w:id="3" w:name="_GoBack"/>
            <w:bookmarkEnd w:id="3"/>
          </w:p>
        </w:tc>
      </w:tr>
      <w:tr w14:paraId="362A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265" w:type="dxa"/>
            <w:vMerge w:val="restart"/>
            <w:noWrap w:val="0"/>
            <w:vAlign w:val="center"/>
          </w:tcPr>
          <w:p w14:paraId="29404FF4">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商务分</w:t>
            </w:r>
          </w:p>
          <w:p w14:paraId="23CC281A">
            <w:pPr>
              <w:pStyle w:val="9"/>
              <w:adjustRightInd w:val="0"/>
              <w:snapToGrid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分）</w:t>
            </w:r>
          </w:p>
        </w:tc>
        <w:tc>
          <w:tcPr>
            <w:tcW w:w="1168" w:type="dxa"/>
            <w:noWrap w:val="0"/>
            <w:vAlign w:val="center"/>
          </w:tcPr>
          <w:p w14:paraId="13DF6E43">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企业认证</w:t>
            </w:r>
          </w:p>
        </w:tc>
        <w:tc>
          <w:tcPr>
            <w:tcW w:w="5522" w:type="dxa"/>
            <w:noWrap w:val="0"/>
            <w:vAlign w:val="center"/>
          </w:tcPr>
          <w:p w14:paraId="0E531D6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投标人具备有效期内的环保排污许可证的得3分。</w:t>
            </w:r>
          </w:p>
          <w:p w14:paraId="07E3FC23">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w:t>
            </w:r>
            <w:r>
              <w:rPr>
                <w:rFonts w:hint="eastAsia" w:hAnsi="宋体" w:cs="宋体"/>
                <w:b/>
                <w:bCs/>
                <w:color w:val="auto"/>
                <w:kern w:val="0"/>
                <w:sz w:val="21"/>
                <w:szCs w:val="21"/>
                <w:highlight w:val="none"/>
                <w:u w:val="none"/>
                <w:lang w:val="en-US" w:eastAsia="zh-CN"/>
              </w:rPr>
              <w:t>有效的</w:t>
            </w:r>
            <w:r>
              <w:rPr>
                <w:rFonts w:hint="eastAsia" w:ascii="宋体" w:hAnsi="宋体" w:eastAsia="宋体" w:cs="宋体"/>
                <w:b/>
                <w:bCs/>
                <w:color w:val="auto"/>
                <w:kern w:val="0"/>
                <w:sz w:val="21"/>
                <w:szCs w:val="21"/>
                <w:highlight w:val="none"/>
                <w:u w:val="none"/>
                <w:lang w:val="zh-CN"/>
              </w:rPr>
              <w:t>证书扫描件加盖投标人公章编入投标文件中，未提供的不得分）</w:t>
            </w:r>
          </w:p>
        </w:tc>
        <w:tc>
          <w:tcPr>
            <w:tcW w:w="803" w:type="dxa"/>
            <w:noWrap w:val="0"/>
            <w:vAlign w:val="center"/>
          </w:tcPr>
          <w:p w14:paraId="03627362">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803" w:type="dxa"/>
            <w:noWrap w:val="0"/>
            <w:vAlign w:val="center"/>
          </w:tcPr>
          <w:p w14:paraId="39469579">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noWrap w:val="0"/>
            <w:vAlign w:val="center"/>
          </w:tcPr>
          <w:p w14:paraId="78BE2015">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r>
      <w:tr w14:paraId="5AC6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65" w:type="dxa"/>
            <w:vMerge w:val="continue"/>
            <w:noWrap w:val="0"/>
            <w:vAlign w:val="center"/>
          </w:tcPr>
          <w:p w14:paraId="66A14993">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74000FC6">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承接经验</w:t>
            </w:r>
          </w:p>
        </w:tc>
        <w:tc>
          <w:tcPr>
            <w:tcW w:w="5522" w:type="dxa"/>
            <w:noWrap w:val="0"/>
            <w:vAlign w:val="center"/>
          </w:tcPr>
          <w:p w14:paraId="4965D663">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自2018年1月1日以来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承接过类似项目的。每提供1个合同得1分，最高得2分。</w:t>
            </w:r>
          </w:p>
          <w:p w14:paraId="5551B60C">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03" w:type="dxa"/>
            <w:noWrap w:val="0"/>
            <w:vAlign w:val="center"/>
          </w:tcPr>
          <w:p w14:paraId="12E9D0D0">
            <w:pPr>
              <w:pStyle w:val="9"/>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803" w:type="dxa"/>
            <w:noWrap w:val="0"/>
            <w:vAlign w:val="center"/>
          </w:tcPr>
          <w:p w14:paraId="0B177CA3">
            <w:pPr>
              <w:pStyle w:val="9"/>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803" w:type="dxa"/>
            <w:noWrap w:val="0"/>
            <w:vAlign w:val="center"/>
          </w:tcPr>
          <w:p w14:paraId="176E7A06">
            <w:pPr>
              <w:pStyle w:val="9"/>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2767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65" w:type="dxa"/>
            <w:vMerge w:val="continue"/>
            <w:noWrap w:val="0"/>
            <w:vAlign w:val="center"/>
          </w:tcPr>
          <w:p w14:paraId="1B57AF55">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032B2F80">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服务团队</w:t>
            </w:r>
          </w:p>
        </w:tc>
        <w:tc>
          <w:tcPr>
            <w:tcW w:w="5522" w:type="dxa"/>
            <w:shd w:val="clear" w:color="auto" w:fill="auto"/>
            <w:noWrap w:val="0"/>
            <w:vAlign w:val="center"/>
          </w:tcPr>
          <w:p w14:paraId="0BE40ADD">
            <w:pPr>
              <w:pStyle w:val="9"/>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投标人拟派的服务团队人员(除项目负责人外)中，具有动物疫病防治</w:t>
            </w:r>
            <w:r>
              <w:rPr>
                <w:rFonts w:hint="eastAsia" w:hAnsi="宋体" w:cs="宋体"/>
                <w:color w:val="auto"/>
                <w:kern w:val="2"/>
                <w:sz w:val="21"/>
                <w:szCs w:val="21"/>
                <w:highlight w:val="none"/>
                <w:lang w:val="en-US" w:eastAsia="zh-CN" w:bidi="ar-SA"/>
              </w:rPr>
              <w:t>专业证书、畜牧</w:t>
            </w:r>
            <w:r>
              <w:rPr>
                <w:rFonts w:hint="eastAsia" w:ascii="宋体" w:hAnsi="宋体" w:eastAsia="宋体" w:cs="宋体"/>
                <w:color w:val="auto"/>
                <w:kern w:val="2"/>
                <w:sz w:val="21"/>
                <w:szCs w:val="21"/>
                <w:highlight w:val="none"/>
                <w:lang w:val="en-US" w:eastAsia="zh-CN" w:bidi="ar-SA"/>
              </w:rPr>
              <w:t>兽医</w:t>
            </w:r>
            <w:r>
              <w:rPr>
                <w:rFonts w:hint="eastAsia" w:hAnsi="宋体" w:cs="宋体"/>
                <w:color w:val="auto"/>
                <w:kern w:val="2"/>
                <w:sz w:val="21"/>
                <w:szCs w:val="21"/>
                <w:highlight w:val="none"/>
                <w:lang w:val="en-US" w:eastAsia="zh-CN" w:bidi="ar-SA"/>
              </w:rPr>
              <w:t>专业证书、</w:t>
            </w:r>
            <w:r>
              <w:rPr>
                <w:rFonts w:hint="eastAsia" w:ascii="宋体" w:hAnsi="宋体" w:eastAsia="宋体" w:cs="宋体"/>
                <w:color w:val="auto"/>
                <w:kern w:val="2"/>
                <w:sz w:val="21"/>
                <w:szCs w:val="21"/>
                <w:highlight w:val="none"/>
                <w:lang w:val="en-US" w:eastAsia="zh-CN" w:bidi="ar-SA"/>
              </w:rPr>
              <w:t>电工证、锅炉证的，以上证书每具备一项得2</w:t>
            </w:r>
            <w:r>
              <w:rPr>
                <w:rFonts w:hint="eastAsia"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分，最高得10分。</w:t>
            </w:r>
          </w:p>
          <w:p w14:paraId="4E67D199">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证书扫描件及投标截止时间前的社保缴费证明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803" w:type="dxa"/>
            <w:shd w:val="clear" w:color="auto" w:fill="auto"/>
            <w:noWrap w:val="0"/>
            <w:vAlign w:val="center"/>
          </w:tcPr>
          <w:p w14:paraId="4F5C1696">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803" w:type="dxa"/>
            <w:shd w:val="clear" w:color="auto" w:fill="auto"/>
            <w:noWrap w:val="0"/>
            <w:vAlign w:val="center"/>
          </w:tcPr>
          <w:p w14:paraId="0F7FC3DD">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shd w:val="clear" w:color="auto" w:fill="auto"/>
            <w:noWrap w:val="0"/>
            <w:vAlign w:val="center"/>
          </w:tcPr>
          <w:p w14:paraId="795CF92F">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r>
      <w:tr w14:paraId="59D5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65" w:type="dxa"/>
            <w:vMerge w:val="continue"/>
            <w:noWrap w:val="0"/>
            <w:vAlign w:val="center"/>
          </w:tcPr>
          <w:p w14:paraId="318D371B">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2E2E042C">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企业荣誉</w:t>
            </w:r>
          </w:p>
        </w:tc>
        <w:tc>
          <w:tcPr>
            <w:tcW w:w="5522" w:type="dxa"/>
            <w:shd w:val="clear" w:color="auto" w:fill="auto"/>
            <w:noWrap w:val="0"/>
            <w:vAlign w:val="center"/>
          </w:tcPr>
          <w:p w14:paraId="60481ACE">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投标人自2021年</w:t>
            </w:r>
            <w:r>
              <w:rPr>
                <w:rFonts w:hint="eastAsia" w:hAnsi="宋体" w:cs="宋体"/>
                <w:color w:val="auto"/>
                <w:kern w:val="2"/>
                <w:sz w:val="21"/>
                <w:szCs w:val="21"/>
                <w:highlight w:val="none"/>
                <w:lang w:val="en-US" w:eastAsia="zh-CN" w:bidi="ar-SA"/>
              </w:rPr>
              <w:t>1月1日</w:t>
            </w:r>
            <w:r>
              <w:rPr>
                <w:rFonts w:hint="eastAsia" w:ascii="宋体" w:hAnsi="宋体" w:eastAsia="宋体" w:cs="宋体"/>
                <w:color w:val="auto"/>
                <w:kern w:val="2"/>
                <w:sz w:val="21"/>
                <w:szCs w:val="21"/>
                <w:highlight w:val="none"/>
                <w:lang w:val="en-US" w:eastAsia="zh-CN" w:bidi="ar-SA"/>
              </w:rPr>
              <w:t>以来获得过政府主管部门颁发的企业荣誉的得2分。</w:t>
            </w:r>
          </w:p>
          <w:p w14:paraId="3237C3C6">
            <w:pPr>
              <w:pStyle w:val="9"/>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（须提供有效的证书扫描件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w:t>
            </w:r>
            <w:r>
              <w:rPr>
                <w:rFonts w:hint="eastAsia" w:ascii="宋体" w:hAnsi="宋体" w:eastAsia="宋体" w:cs="宋体"/>
                <w:b/>
                <w:bCs/>
                <w:color w:val="auto"/>
                <w:kern w:val="2"/>
                <w:sz w:val="21"/>
                <w:szCs w:val="21"/>
                <w:highlight w:val="none"/>
                <w:lang w:val="en-US" w:eastAsia="zh-CN" w:bidi="ar-SA"/>
              </w:rPr>
              <w:t>编入投标文件中，未提供的不得分）</w:t>
            </w:r>
          </w:p>
        </w:tc>
        <w:tc>
          <w:tcPr>
            <w:tcW w:w="803" w:type="dxa"/>
            <w:shd w:val="clear" w:color="auto" w:fill="auto"/>
            <w:noWrap w:val="0"/>
            <w:vAlign w:val="center"/>
          </w:tcPr>
          <w:p w14:paraId="7560E458">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803" w:type="dxa"/>
            <w:shd w:val="clear" w:color="auto" w:fill="auto"/>
            <w:noWrap w:val="0"/>
            <w:vAlign w:val="center"/>
          </w:tcPr>
          <w:p w14:paraId="0C20C1D3">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shd w:val="clear" w:color="auto" w:fill="auto"/>
            <w:noWrap w:val="0"/>
            <w:vAlign w:val="center"/>
          </w:tcPr>
          <w:p w14:paraId="0BAD1FB9">
            <w:pPr>
              <w:pStyle w:val="9"/>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r>
      <w:tr w14:paraId="292B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restart"/>
            <w:noWrap w:val="0"/>
            <w:vAlign w:val="center"/>
          </w:tcPr>
          <w:p w14:paraId="51114C3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技术分</w:t>
            </w:r>
          </w:p>
          <w:p w14:paraId="5A260EF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63</w:t>
            </w:r>
            <w:r>
              <w:rPr>
                <w:rFonts w:hint="eastAsia" w:ascii="宋体" w:hAnsi="宋体" w:eastAsia="宋体" w:cs="宋体"/>
                <w:color w:val="auto"/>
                <w:kern w:val="2"/>
                <w:sz w:val="21"/>
                <w:szCs w:val="21"/>
                <w:highlight w:val="none"/>
                <w:lang w:val="en-US" w:eastAsia="zh-CN" w:bidi="ar-SA"/>
              </w:rPr>
              <w:t>分）</w:t>
            </w:r>
          </w:p>
        </w:tc>
        <w:tc>
          <w:tcPr>
            <w:tcW w:w="1168" w:type="dxa"/>
            <w:shd w:val="clear" w:color="auto" w:fill="auto"/>
            <w:noWrap w:val="0"/>
            <w:vAlign w:val="center"/>
          </w:tcPr>
          <w:p w14:paraId="7E4E2DC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w:t>
            </w:r>
          </w:p>
        </w:tc>
        <w:tc>
          <w:tcPr>
            <w:tcW w:w="5522" w:type="dxa"/>
            <w:shd w:val="clear" w:color="auto" w:fill="auto"/>
            <w:noWrap w:val="0"/>
            <w:vAlign w:val="center"/>
          </w:tcPr>
          <w:p w14:paraId="13CDB44F">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根据投标人提供的实施方案、处理厂产出物处理方案的科学性、合理性、运输距离等进行打分。</w:t>
            </w:r>
          </w:p>
          <w:p w14:paraId="4B063E33">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方案完整到位，内容丰富，措施得力的得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.0分；</w:t>
            </w:r>
          </w:p>
          <w:p w14:paraId="6086CB73">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.9分；</w:t>
            </w:r>
          </w:p>
          <w:p w14:paraId="5671EE3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.9分；</w:t>
            </w:r>
          </w:p>
          <w:p w14:paraId="1585723F">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157D7BB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803" w:type="dxa"/>
            <w:shd w:val="clear" w:color="auto" w:fill="auto"/>
            <w:noWrap w:val="0"/>
            <w:vAlign w:val="center"/>
          </w:tcPr>
          <w:p w14:paraId="6562C768">
            <w:pPr>
              <w:spacing w:line="240" w:lineRule="auto"/>
              <w:jc w:val="center"/>
              <w:rPr>
                <w:rFonts w:hint="eastAsia" w:ascii="宋体" w:hAnsi="宋体" w:cs="宋体"/>
                <w:color w:val="auto"/>
                <w:kern w:val="2"/>
                <w:sz w:val="21"/>
                <w:szCs w:val="21"/>
                <w:highlight w:val="none"/>
                <w:lang w:val="en-US" w:eastAsia="zh-CN" w:bidi="ar-SA"/>
              </w:rPr>
            </w:pPr>
          </w:p>
        </w:tc>
        <w:tc>
          <w:tcPr>
            <w:tcW w:w="803" w:type="dxa"/>
            <w:shd w:val="clear" w:color="auto" w:fill="auto"/>
            <w:noWrap w:val="0"/>
            <w:vAlign w:val="center"/>
          </w:tcPr>
          <w:p w14:paraId="2BD40FC1">
            <w:pPr>
              <w:spacing w:line="240" w:lineRule="auto"/>
              <w:jc w:val="center"/>
              <w:rPr>
                <w:rFonts w:hint="eastAsia" w:ascii="宋体" w:hAnsi="宋体" w:cs="宋体"/>
                <w:color w:val="auto"/>
                <w:kern w:val="2"/>
                <w:sz w:val="21"/>
                <w:szCs w:val="21"/>
                <w:highlight w:val="none"/>
                <w:lang w:val="en-US" w:eastAsia="zh-CN" w:bidi="ar-SA"/>
              </w:rPr>
            </w:pPr>
          </w:p>
        </w:tc>
      </w:tr>
      <w:tr w14:paraId="6DCA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242D12A6">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744202B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运营方案</w:t>
            </w:r>
          </w:p>
        </w:tc>
        <w:tc>
          <w:tcPr>
            <w:tcW w:w="5522" w:type="dxa"/>
            <w:shd w:val="clear" w:color="auto" w:fill="auto"/>
            <w:noWrap w:val="0"/>
            <w:vAlign w:val="center"/>
          </w:tcPr>
          <w:p w14:paraId="21A60C67">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根据投标人提供的运营机构设置、运营管理方案、卫生方案等进行打分。</w:t>
            </w:r>
          </w:p>
          <w:p w14:paraId="0EC0B5C8">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方案全面科学、合理可行的得4.0-6.0分；</w:t>
            </w:r>
          </w:p>
          <w:p w14:paraId="0291DC1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49A7F27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216F07DF">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3B385D6F">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803" w:type="dxa"/>
            <w:shd w:val="clear" w:color="auto" w:fill="auto"/>
            <w:noWrap w:val="0"/>
            <w:vAlign w:val="center"/>
          </w:tcPr>
          <w:p w14:paraId="3212133C">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shd w:val="clear" w:color="auto" w:fill="auto"/>
            <w:noWrap w:val="0"/>
            <w:vAlign w:val="center"/>
          </w:tcPr>
          <w:p w14:paraId="5E9B5FB2">
            <w:pPr>
              <w:spacing w:line="240" w:lineRule="auto"/>
              <w:jc w:val="center"/>
              <w:rPr>
                <w:rFonts w:hint="eastAsia" w:ascii="宋体" w:hAnsi="宋体" w:eastAsia="宋体" w:cs="宋体"/>
                <w:color w:val="auto"/>
                <w:kern w:val="2"/>
                <w:sz w:val="21"/>
                <w:szCs w:val="21"/>
                <w:highlight w:val="none"/>
                <w:lang w:val="en-US" w:eastAsia="zh-CN" w:bidi="ar-SA"/>
              </w:rPr>
            </w:pPr>
          </w:p>
        </w:tc>
      </w:tr>
      <w:tr w14:paraId="6D9C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0CC0860E">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7B6A40F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收运方案</w:t>
            </w:r>
          </w:p>
        </w:tc>
        <w:tc>
          <w:tcPr>
            <w:tcW w:w="5522" w:type="dxa"/>
            <w:shd w:val="clear" w:color="auto" w:fill="auto"/>
            <w:noWrap w:val="0"/>
            <w:vAlign w:val="center"/>
          </w:tcPr>
          <w:p w14:paraId="3BDABE8D">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根据投标人提供的收运方案，包括但不限于收运车辆选型配置、收运模式、及时收运措施等进行打分。</w:t>
            </w:r>
          </w:p>
          <w:p w14:paraId="7572DA1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方案全面科学、合理可行的得4.0-6.0分；</w:t>
            </w:r>
          </w:p>
          <w:p w14:paraId="757CA2D7">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0FF80965">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6BC1221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437D1F2D">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803" w:type="dxa"/>
            <w:shd w:val="clear" w:color="auto" w:fill="auto"/>
            <w:noWrap w:val="0"/>
            <w:vAlign w:val="center"/>
          </w:tcPr>
          <w:p w14:paraId="44EDCC55">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shd w:val="clear" w:color="auto" w:fill="auto"/>
            <w:noWrap w:val="0"/>
            <w:vAlign w:val="center"/>
          </w:tcPr>
          <w:p w14:paraId="128F91A6">
            <w:pPr>
              <w:spacing w:line="240" w:lineRule="auto"/>
              <w:jc w:val="center"/>
              <w:rPr>
                <w:rFonts w:hint="eastAsia" w:ascii="宋体" w:hAnsi="宋体" w:eastAsia="宋体" w:cs="宋体"/>
                <w:color w:val="auto"/>
                <w:kern w:val="2"/>
                <w:sz w:val="21"/>
                <w:szCs w:val="21"/>
                <w:highlight w:val="none"/>
                <w:lang w:val="en-US" w:eastAsia="zh-CN" w:bidi="ar-SA"/>
              </w:rPr>
            </w:pPr>
          </w:p>
        </w:tc>
      </w:tr>
      <w:tr w14:paraId="668B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08122E07">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20BFAE9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防疫安全管理方案</w:t>
            </w:r>
          </w:p>
        </w:tc>
        <w:tc>
          <w:tcPr>
            <w:tcW w:w="5522" w:type="dxa"/>
            <w:noWrap w:val="0"/>
            <w:vAlign w:val="center"/>
          </w:tcPr>
          <w:p w14:paraId="757E685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根据投标人提供的生产场区防疫安全管理方案等进行打分。 </w:t>
            </w:r>
          </w:p>
          <w:p w14:paraId="20578FD8">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方案完善，针对性、操作性强，合理有效的得6.0-8.0分；</w:t>
            </w:r>
          </w:p>
          <w:p w14:paraId="235A13B1">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方案较完整，能较好满足招标内容的得3.0-5.9分；</w:t>
            </w:r>
          </w:p>
          <w:p w14:paraId="6E86BA01">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方案片面，仅基本满足采购人需求的得0.1-2.9分；</w:t>
            </w:r>
          </w:p>
          <w:p w14:paraId="5D9D768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6ED6ACEC">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803" w:type="dxa"/>
            <w:noWrap w:val="0"/>
            <w:vAlign w:val="center"/>
          </w:tcPr>
          <w:p w14:paraId="58115E47">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noWrap w:val="0"/>
            <w:vAlign w:val="center"/>
          </w:tcPr>
          <w:p w14:paraId="2FD0433D">
            <w:pPr>
              <w:spacing w:line="240" w:lineRule="auto"/>
              <w:jc w:val="center"/>
              <w:rPr>
                <w:rFonts w:hint="eastAsia" w:ascii="宋体" w:hAnsi="宋体" w:eastAsia="宋体" w:cs="宋体"/>
                <w:color w:val="auto"/>
                <w:kern w:val="2"/>
                <w:sz w:val="21"/>
                <w:szCs w:val="21"/>
                <w:highlight w:val="none"/>
                <w:lang w:val="en-US" w:eastAsia="zh-CN" w:bidi="ar-SA"/>
              </w:rPr>
            </w:pPr>
          </w:p>
        </w:tc>
      </w:tr>
      <w:tr w14:paraId="7E9F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5" w:type="dxa"/>
            <w:vMerge w:val="continue"/>
            <w:noWrap w:val="0"/>
            <w:vAlign w:val="center"/>
          </w:tcPr>
          <w:p w14:paraId="69DC1238">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564031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设备检修维护方案</w:t>
            </w:r>
          </w:p>
        </w:tc>
        <w:tc>
          <w:tcPr>
            <w:tcW w:w="5522" w:type="dxa"/>
            <w:noWrap w:val="0"/>
            <w:vAlign w:val="center"/>
          </w:tcPr>
          <w:p w14:paraId="74881F61">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根据投标人制定的设备检修方案、设备维护管理方案、日常点检方案、定期检查方案等进行打分。</w:t>
            </w:r>
          </w:p>
          <w:p w14:paraId="242263EB">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方案全面科学、合理可行的得6.0-8.0分；</w:t>
            </w:r>
          </w:p>
          <w:p w14:paraId="2DFA275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方案较完整，能较好满足招标内容的得3.0-5.9分；</w:t>
            </w:r>
          </w:p>
          <w:p w14:paraId="0E8E207F">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方案片面，仅基本满足采购人需求的得0.1-2.9分；</w:t>
            </w:r>
          </w:p>
          <w:p w14:paraId="47F9595F">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6E0C4EF3">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803" w:type="dxa"/>
            <w:noWrap w:val="0"/>
            <w:vAlign w:val="center"/>
          </w:tcPr>
          <w:p w14:paraId="49977E60">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noWrap w:val="0"/>
            <w:vAlign w:val="center"/>
          </w:tcPr>
          <w:p w14:paraId="2BB289D7">
            <w:pPr>
              <w:spacing w:line="240" w:lineRule="auto"/>
              <w:jc w:val="center"/>
              <w:rPr>
                <w:rFonts w:hint="eastAsia" w:ascii="宋体" w:hAnsi="宋体" w:eastAsia="宋体" w:cs="宋体"/>
                <w:color w:val="auto"/>
                <w:kern w:val="2"/>
                <w:sz w:val="21"/>
                <w:szCs w:val="21"/>
                <w:highlight w:val="none"/>
                <w:lang w:val="en-US" w:eastAsia="zh-CN" w:bidi="ar-SA"/>
              </w:rPr>
            </w:pPr>
          </w:p>
        </w:tc>
      </w:tr>
      <w:tr w14:paraId="018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27D9B287">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2D1396A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紧急方案措施</w:t>
            </w:r>
          </w:p>
        </w:tc>
        <w:tc>
          <w:tcPr>
            <w:tcW w:w="5522" w:type="dxa"/>
            <w:noWrap w:val="0"/>
            <w:vAlign w:val="center"/>
          </w:tcPr>
          <w:p w14:paraId="3D0E234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根据投标人提供的应急预案，从大面积大量病害动物、传播性强的病害动物应急处理方案、处理厂设备故障应急处理方案等进行打分。 </w:t>
            </w:r>
          </w:p>
          <w:p w14:paraId="1CAE35BE">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提供的应急预案全面，提出的各项措施科学合理的得6.0-8.0分；</w:t>
            </w:r>
          </w:p>
          <w:p w14:paraId="16DD3F8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提供的应急预案较完整，提出的各项措施较完善、合理的得3.0-5.9分；</w:t>
            </w:r>
          </w:p>
          <w:p w14:paraId="2DC6698D">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提供的应急预案片面，提出的各项措施较不合理的得0.1-2.9分；</w:t>
            </w:r>
          </w:p>
          <w:p w14:paraId="43EC8A91">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5B223503">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803" w:type="dxa"/>
            <w:noWrap w:val="0"/>
            <w:vAlign w:val="center"/>
          </w:tcPr>
          <w:p w14:paraId="434DCE8E">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noWrap w:val="0"/>
            <w:vAlign w:val="center"/>
          </w:tcPr>
          <w:p w14:paraId="5829F08C">
            <w:pPr>
              <w:spacing w:line="240" w:lineRule="auto"/>
              <w:jc w:val="center"/>
              <w:rPr>
                <w:rFonts w:hint="eastAsia" w:ascii="宋体" w:hAnsi="宋体" w:eastAsia="宋体" w:cs="宋体"/>
                <w:color w:val="auto"/>
                <w:kern w:val="2"/>
                <w:sz w:val="21"/>
                <w:szCs w:val="21"/>
                <w:highlight w:val="none"/>
                <w:lang w:val="en-US" w:eastAsia="zh-CN" w:bidi="ar-SA"/>
              </w:rPr>
            </w:pPr>
          </w:p>
        </w:tc>
      </w:tr>
      <w:tr w14:paraId="1674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389921E7">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6A76635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环境保护方案</w:t>
            </w:r>
          </w:p>
        </w:tc>
        <w:tc>
          <w:tcPr>
            <w:tcW w:w="5522" w:type="dxa"/>
            <w:noWrap w:val="0"/>
            <w:vAlign w:val="center"/>
          </w:tcPr>
          <w:p w14:paraId="15390515">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根据投标人提供的废气、废水处理方案等进行打分。</w:t>
            </w:r>
          </w:p>
          <w:p w14:paraId="70325C56">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提出的各项处理措施科学合理的得6.0-8.0分；</w:t>
            </w:r>
          </w:p>
          <w:p w14:paraId="429D5D2A">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提出的各项处理措施较完善、合理的得3.0-5.9分；</w:t>
            </w:r>
          </w:p>
          <w:p w14:paraId="18E96E0A">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提出的各项处理措施较不合理的得0.1-2.9分；</w:t>
            </w:r>
          </w:p>
          <w:p w14:paraId="70908C0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689334B3">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803" w:type="dxa"/>
            <w:noWrap w:val="0"/>
            <w:vAlign w:val="center"/>
          </w:tcPr>
          <w:p w14:paraId="1A55EFD9">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noWrap w:val="0"/>
            <w:vAlign w:val="center"/>
          </w:tcPr>
          <w:p w14:paraId="02399A80">
            <w:pPr>
              <w:spacing w:line="240" w:lineRule="auto"/>
              <w:jc w:val="center"/>
              <w:rPr>
                <w:rFonts w:hint="eastAsia" w:ascii="宋体" w:hAnsi="宋体" w:eastAsia="宋体" w:cs="宋体"/>
                <w:color w:val="auto"/>
                <w:kern w:val="2"/>
                <w:sz w:val="21"/>
                <w:szCs w:val="21"/>
                <w:highlight w:val="none"/>
                <w:lang w:val="en-US" w:eastAsia="zh-CN" w:bidi="ar-SA"/>
              </w:rPr>
            </w:pPr>
          </w:p>
        </w:tc>
      </w:tr>
      <w:tr w14:paraId="21FE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265" w:type="dxa"/>
            <w:vMerge w:val="continue"/>
            <w:noWrap w:val="0"/>
            <w:vAlign w:val="center"/>
          </w:tcPr>
          <w:p w14:paraId="16D8DADD">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shd w:val="clear" w:color="auto" w:fill="auto"/>
            <w:noWrap w:val="0"/>
            <w:vAlign w:val="center"/>
          </w:tcPr>
          <w:p w14:paraId="2D01611A">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环保、再利用方案</w:t>
            </w:r>
          </w:p>
        </w:tc>
        <w:tc>
          <w:tcPr>
            <w:tcW w:w="5522" w:type="dxa"/>
            <w:shd w:val="clear" w:color="auto" w:fill="auto"/>
            <w:noWrap w:val="0"/>
            <w:vAlign w:val="center"/>
          </w:tcPr>
          <w:p w14:paraId="58245D70">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根据投标人提供的处理后产出物的资源化利用方案进行打分。</w:t>
            </w:r>
          </w:p>
          <w:p w14:paraId="695761E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方案全面科学、合理可行的得4.0-5.0分；</w:t>
            </w:r>
          </w:p>
          <w:p w14:paraId="5E84D794">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1BBE7043">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4BABC51F">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803" w:type="dxa"/>
            <w:shd w:val="clear" w:color="auto" w:fill="auto"/>
            <w:noWrap w:val="0"/>
            <w:vAlign w:val="center"/>
          </w:tcPr>
          <w:p w14:paraId="6CCBA8A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803" w:type="dxa"/>
            <w:shd w:val="clear" w:color="auto" w:fill="auto"/>
            <w:noWrap w:val="0"/>
            <w:vAlign w:val="center"/>
          </w:tcPr>
          <w:p w14:paraId="7A1199A1">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shd w:val="clear" w:color="auto" w:fill="auto"/>
            <w:noWrap w:val="0"/>
            <w:vAlign w:val="center"/>
          </w:tcPr>
          <w:p w14:paraId="1546ABC7">
            <w:pPr>
              <w:spacing w:line="240" w:lineRule="auto"/>
              <w:jc w:val="center"/>
              <w:rPr>
                <w:rFonts w:hint="eastAsia" w:ascii="宋体" w:hAnsi="宋体" w:eastAsia="宋体" w:cs="宋体"/>
                <w:color w:val="auto"/>
                <w:kern w:val="2"/>
                <w:sz w:val="21"/>
                <w:szCs w:val="21"/>
                <w:highlight w:val="none"/>
                <w:lang w:val="en-US" w:eastAsia="zh-CN" w:bidi="ar-SA"/>
              </w:rPr>
            </w:pPr>
          </w:p>
        </w:tc>
      </w:tr>
      <w:tr w14:paraId="557A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65" w:type="dxa"/>
            <w:vMerge w:val="continue"/>
            <w:noWrap w:val="0"/>
            <w:vAlign w:val="center"/>
          </w:tcPr>
          <w:p w14:paraId="45CCF071">
            <w:pPr>
              <w:spacing w:line="240" w:lineRule="auto"/>
              <w:jc w:val="center"/>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3359B9A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监控管理方案</w:t>
            </w:r>
          </w:p>
        </w:tc>
        <w:tc>
          <w:tcPr>
            <w:tcW w:w="5522" w:type="dxa"/>
            <w:noWrap w:val="0"/>
            <w:vAlign w:val="center"/>
          </w:tcPr>
          <w:p w14:paraId="2398D092">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根据投标人提供的病死动物处理监控管理方案进行打分。</w:t>
            </w:r>
          </w:p>
          <w:p w14:paraId="2261318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方案全面科学、合理可行的得4.0-6.0分；</w:t>
            </w:r>
          </w:p>
          <w:p w14:paraId="248211DD">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方案较完整，能较好满足招标内容的得2.0-3.9分；</w:t>
            </w:r>
          </w:p>
          <w:p w14:paraId="563049F7">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方案片面，仅基本满足采购人需求的得0.1-1.9分；</w:t>
            </w:r>
          </w:p>
          <w:p w14:paraId="2691551E">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03" w:type="dxa"/>
            <w:noWrap w:val="0"/>
            <w:vAlign w:val="center"/>
          </w:tcPr>
          <w:p w14:paraId="71655EB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803" w:type="dxa"/>
            <w:noWrap w:val="0"/>
            <w:vAlign w:val="center"/>
          </w:tcPr>
          <w:p w14:paraId="554202A8">
            <w:pPr>
              <w:spacing w:line="240" w:lineRule="auto"/>
              <w:jc w:val="center"/>
              <w:rPr>
                <w:rFonts w:hint="eastAsia" w:ascii="宋体" w:hAnsi="宋体" w:eastAsia="宋体" w:cs="宋体"/>
                <w:color w:val="auto"/>
                <w:kern w:val="2"/>
                <w:sz w:val="21"/>
                <w:szCs w:val="21"/>
                <w:highlight w:val="none"/>
                <w:lang w:val="en-US" w:eastAsia="zh-CN" w:bidi="ar-SA"/>
              </w:rPr>
            </w:pPr>
          </w:p>
        </w:tc>
        <w:tc>
          <w:tcPr>
            <w:tcW w:w="803" w:type="dxa"/>
            <w:noWrap w:val="0"/>
            <w:vAlign w:val="center"/>
          </w:tcPr>
          <w:p w14:paraId="6A05D75D">
            <w:pPr>
              <w:spacing w:line="240" w:lineRule="auto"/>
              <w:jc w:val="center"/>
              <w:rPr>
                <w:rFonts w:hint="eastAsia" w:ascii="宋体" w:hAnsi="宋体" w:eastAsia="宋体" w:cs="宋体"/>
                <w:color w:val="auto"/>
                <w:kern w:val="2"/>
                <w:sz w:val="21"/>
                <w:szCs w:val="21"/>
                <w:highlight w:val="none"/>
                <w:lang w:val="en-US" w:eastAsia="zh-CN" w:bidi="ar-SA"/>
              </w:rPr>
            </w:pPr>
          </w:p>
        </w:tc>
      </w:tr>
    </w:tbl>
    <w:p w14:paraId="1C334F85">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1"/>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0"/>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0"/>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0"/>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0"/>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7"/>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19"/>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6893A699">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1"/>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0"/>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0"/>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0"/>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1"/>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1"/>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6EB9224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9"/>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1"/>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lang w:val="en-US" w:eastAsia="zh-CN"/>
              </w:rPr>
              <w:t>服务期限</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spacing w:line="360" w:lineRule="auto"/>
              <w:jc w:val="center"/>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9"/>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750BB32">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7A52CF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0"/>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ECB36D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1"/>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797B2607">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noWrap w:val="0"/>
            <w:vAlign w:val="center"/>
          </w:tcPr>
          <w:p w14:paraId="6518F39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5"/>
              <w:widowControl/>
              <w:spacing w:line="360" w:lineRule="auto"/>
              <w:jc w:val="left"/>
              <w:rPr>
                <w:rFonts w:hint="eastAsia" w:ascii="宋体" w:hAnsi="宋体" w:eastAsia="宋体" w:cs="宋体"/>
                <w:bCs/>
                <w:color w:val="auto"/>
                <w:sz w:val="21"/>
                <w:szCs w:val="21"/>
                <w:highlight w:val="none"/>
              </w:rPr>
            </w:pPr>
            <w:r>
              <w:rPr>
                <w:rFonts w:hint="eastAsia" w:ascii="宋体" w:hAnsi="宋体" w:cs="Arial"/>
                <w:bCs/>
                <w:color w:val="auto"/>
                <w:sz w:val="21"/>
                <w:szCs w:val="21"/>
                <w:highlight w:val="none"/>
                <w:lang w:val="en-US" w:eastAsia="zh-CN"/>
              </w:rPr>
              <w:t>服务期</w:t>
            </w:r>
            <w:r>
              <w:rPr>
                <w:rFonts w:hint="eastAsia" w:ascii="宋体" w:hAnsi="宋体" w:cs="Arial"/>
                <w:bCs/>
                <w:color w:val="auto"/>
                <w:sz w:val="21"/>
                <w:szCs w:val="21"/>
                <w:highlight w:val="none"/>
              </w:rPr>
              <w:t>内售后服务情况(</w:t>
            </w:r>
            <w:r>
              <w:rPr>
                <w:rFonts w:ascii="宋体" w:hAnsi="宋体" w:cs="Arial"/>
                <w:bCs/>
                <w:color w:val="auto"/>
                <w:sz w:val="21"/>
                <w:szCs w:val="21"/>
                <w:highlight w:val="none"/>
              </w:rPr>
              <w:t>服务</w:t>
            </w:r>
            <w:r>
              <w:rPr>
                <w:rFonts w:hint="eastAsia" w:ascii="宋体" w:hAnsi="宋体" w:cs="Arial"/>
                <w:bCs/>
                <w:color w:val="auto"/>
                <w:sz w:val="21"/>
                <w:szCs w:val="21"/>
                <w:highlight w:val="none"/>
              </w:rPr>
              <w:t>方式、服务网点</w:t>
            </w:r>
            <w:r>
              <w:rPr>
                <w:rFonts w:ascii="宋体" w:hAnsi="宋体" w:cs="Arial"/>
                <w:bCs/>
                <w:color w:val="auto"/>
                <w:sz w:val="21"/>
                <w:szCs w:val="21"/>
                <w:highlight w:val="none"/>
              </w:rPr>
              <w:t>、售后服务的内容和措施</w:t>
            </w:r>
            <w:r>
              <w:rPr>
                <w:rFonts w:hint="eastAsia" w:ascii="宋体" w:hAnsi="宋体" w:cs="Arial"/>
                <w:bCs/>
                <w:color w:val="auto"/>
                <w:sz w:val="21"/>
                <w:szCs w:val="21"/>
                <w:highlight w:val="none"/>
              </w:rPr>
              <w:t>等等，可用附页和宣传材料)</w:t>
            </w:r>
          </w:p>
        </w:tc>
        <w:tc>
          <w:tcPr>
            <w:tcW w:w="4061" w:type="dxa"/>
            <w:noWrap w:val="0"/>
            <w:vAlign w:val="top"/>
          </w:tcPr>
          <w:p w14:paraId="7AA49D39">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0368E6DC">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5"/>
              <w:spacing w:line="360" w:lineRule="auto"/>
              <w:rPr>
                <w:rFonts w:hint="eastAsia" w:ascii="宋体" w:hAnsi="宋体" w:eastAsia="宋体" w:cs="宋体"/>
                <w:bCs/>
                <w:color w:val="auto"/>
                <w:sz w:val="21"/>
                <w:szCs w:val="21"/>
                <w:highlight w:val="none"/>
              </w:rPr>
            </w:pPr>
            <w:r>
              <w:rPr>
                <w:rFonts w:hint="eastAsia" w:ascii="宋体" w:hAnsi="宋体" w:cs="Arial"/>
                <w:bCs/>
                <w:color w:val="auto"/>
                <w:sz w:val="21"/>
                <w:szCs w:val="21"/>
                <w:highlight w:val="none"/>
                <w:lang w:val="en-US" w:eastAsia="zh-CN"/>
              </w:rPr>
              <w:t>服务期满</w:t>
            </w:r>
            <w:r>
              <w:rPr>
                <w:rFonts w:hint="eastAsia" w:ascii="宋体" w:hAnsi="宋体" w:cs="Arial"/>
                <w:bCs/>
                <w:color w:val="auto"/>
                <w:sz w:val="21"/>
                <w:szCs w:val="21"/>
                <w:highlight w:val="none"/>
              </w:rPr>
              <w:t>后售后服务</w:t>
            </w:r>
          </w:p>
        </w:tc>
        <w:tc>
          <w:tcPr>
            <w:tcW w:w="4061" w:type="dxa"/>
            <w:noWrap w:val="0"/>
            <w:vAlign w:val="top"/>
          </w:tcPr>
          <w:p w14:paraId="2E1B0833">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6A0369C4">
            <w:pPr>
              <w:pStyle w:val="45"/>
              <w:widowControl/>
              <w:spacing w:line="360" w:lineRule="auto"/>
              <w:jc w:val="left"/>
              <w:rPr>
                <w:rFonts w:hint="eastAsia" w:ascii="宋体" w:hAnsi="宋体" w:eastAsia="宋体" w:cs="宋体"/>
                <w:bCs/>
                <w:color w:val="auto"/>
                <w:sz w:val="21"/>
                <w:szCs w:val="21"/>
                <w:highlight w:val="none"/>
              </w:rPr>
            </w:pPr>
            <w:r>
              <w:rPr>
                <w:rFonts w:hint="eastAsia" w:ascii="宋体" w:hAnsi="宋体" w:cs="Arial"/>
                <w:bCs/>
                <w:color w:val="auto"/>
                <w:sz w:val="21"/>
                <w:szCs w:val="21"/>
                <w:highlight w:val="none"/>
              </w:rPr>
              <w:t>培训方案（可用附页）</w:t>
            </w:r>
          </w:p>
        </w:tc>
        <w:tc>
          <w:tcPr>
            <w:tcW w:w="4061" w:type="dxa"/>
            <w:noWrap w:val="0"/>
            <w:vAlign w:val="top"/>
          </w:tcPr>
          <w:p w14:paraId="789443C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227EC1B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FD6EE0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18"/>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37597EC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660C82CD">
      <w:pPr>
        <w:pStyle w:val="9"/>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9"/>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49"/>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1"/>
        <w:tblW w:w="91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844"/>
        <w:gridCol w:w="1423"/>
        <w:gridCol w:w="4892"/>
      </w:tblGrid>
      <w:tr w14:paraId="4B771F1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81" w:hRule="atLeast"/>
          <w:jc w:val="center"/>
        </w:trPr>
        <w:tc>
          <w:tcPr>
            <w:tcW w:w="2844" w:type="dxa"/>
            <w:tcBorders>
              <w:top w:val="single" w:color="auto" w:sz="4" w:space="0"/>
              <w:left w:val="single" w:color="auto" w:sz="12" w:space="0"/>
              <w:bottom w:val="single" w:color="auto" w:sz="4" w:space="0"/>
              <w:right w:val="single" w:color="auto" w:sz="4" w:space="0"/>
            </w:tcBorders>
            <w:noWrap w:val="0"/>
            <w:vAlign w:val="center"/>
          </w:tcPr>
          <w:p w14:paraId="5E1C2660">
            <w:pPr>
              <w:autoSpaceDE w:val="0"/>
              <w:autoSpaceDN w:val="0"/>
              <w:spacing w:line="450" w:lineRule="exact"/>
              <w:jc w:val="center"/>
              <w:textAlignment w:val="bottom"/>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rPr>
              <w:t>数量</w:t>
            </w:r>
          </w:p>
        </w:tc>
        <w:tc>
          <w:tcPr>
            <w:tcW w:w="6315" w:type="dxa"/>
            <w:gridSpan w:val="2"/>
            <w:tcBorders>
              <w:top w:val="single" w:color="auto" w:sz="4" w:space="0"/>
              <w:left w:val="single" w:color="auto" w:sz="4" w:space="0"/>
              <w:bottom w:val="single" w:color="auto" w:sz="4" w:space="0"/>
              <w:right w:val="single" w:color="auto" w:sz="12" w:space="0"/>
            </w:tcBorders>
            <w:noWrap w:val="0"/>
            <w:vAlign w:val="center"/>
          </w:tcPr>
          <w:p w14:paraId="7C62C047">
            <w:pPr>
              <w:autoSpaceDE w:val="0"/>
              <w:autoSpaceDN w:val="0"/>
              <w:spacing w:line="450" w:lineRule="exact"/>
              <w:jc w:val="center"/>
              <w:textAlignment w:val="bottom"/>
              <w:rPr>
                <w:rFonts w:ascii="宋体" w:hAnsi="宋体"/>
                <w:b/>
                <w:bCs/>
                <w:color w:val="auto"/>
                <w:sz w:val="21"/>
                <w:szCs w:val="21"/>
                <w:highlight w:val="none"/>
              </w:rPr>
            </w:pPr>
            <w:r>
              <w:rPr>
                <w:rFonts w:hint="eastAsia" w:ascii="宋体" w:hAnsi="宋体"/>
                <w:b/>
                <w:bCs/>
                <w:color w:val="auto"/>
                <w:sz w:val="21"/>
                <w:szCs w:val="21"/>
                <w:highlight w:val="none"/>
                <w:lang w:val="en-US" w:eastAsia="zh-CN"/>
              </w:rPr>
              <w:t>183</w:t>
            </w:r>
            <w:r>
              <w:rPr>
                <w:rFonts w:hint="eastAsia" w:ascii="宋体" w:hAnsi="宋体"/>
                <w:b/>
                <w:bCs/>
                <w:color w:val="auto"/>
                <w:sz w:val="21"/>
                <w:szCs w:val="21"/>
                <w:highlight w:val="none"/>
              </w:rPr>
              <w:t>吨（暂定）</w:t>
            </w:r>
          </w:p>
        </w:tc>
      </w:tr>
      <w:tr w14:paraId="5931FAD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81" w:hRule="atLeast"/>
          <w:jc w:val="center"/>
        </w:trPr>
        <w:tc>
          <w:tcPr>
            <w:tcW w:w="2844" w:type="dxa"/>
            <w:tcBorders>
              <w:top w:val="single" w:color="auto" w:sz="4" w:space="0"/>
              <w:left w:val="single" w:color="auto" w:sz="12" w:space="0"/>
              <w:bottom w:val="single" w:color="auto" w:sz="4" w:space="0"/>
              <w:right w:val="single" w:color="auto" w:sz="4" w:space="0"/>
            </w:tcBorders>
            <w:noWrap w:val="0"/>
            <w:vAlign w:val="center"/>
          </w:tcPr>
          <w:p w14:paraId="046C7AAB">
            <w:pPr>
              <w:autoSpaceDE w:val="0"/>
              <w:autoSpaceDN w:val="0"/>
              <w:spacing w:line="450" w:lineRule="exact"/>
              <w:jc w:val="center"/>
              <w:textAlignment w:val="bottom"/>
              <w:rPr>
                <w:rFonts w:hint="eastAsia" w:ascii="宋体" w:hAnsi="宋体"/>
                <w:b/>
                <w:bCs/>
                <w:color w:val="auto"/>
                <w:sz w:val="21"/>
                <w:szCs w:val="21"/>
                <w:highlight w:val="none"/>
              </w:rPr>
            </w:pPr>
            <w:r>
              <w:rPr>
                <w:rFonts w:hint="eastAsia" w:ascii="宋体" w:hAnsi="宋体"/>
                <w:b/>
                <w:bCs/>
                <w:color w:val="auto"/>
                <w:sz w:val="21"/>
                <w:szCs w:val="21"/>
                <w:highlight w:val="none"/>
              </w:rPr>
              <w:t>最高限</w:t>
            </w:r>
            <w:r>
              <w:rPr>
                <w:rFonts w:hint="eastAsia" w:ascii="宋体" w:hAnsi="宋体"/>
                <w:b/>
                <w:bCs/>
                <w:color w:val="auto"/>
                <w:sz w:val="21"/>
                <w:szCs w:val="21"/>
                <w:highlight w:val="none"/>
                <w:lang w:eastAsia="zh-CN"/>
              </w:rPr>
              <w:t>单</w:t>
            </w:r>
            <w:r>
              <w:rPr>
                <w:rFonts w:hint="eastAsia" w:ascii="宋体" w:hAnsi="宋体"/>
                <w:b/>
                <w:bCs/>
                <w:color w:val="auto"/>
                <w:sz w:val="21"/>
                <w:szCs w:val="21"/>
                <w:highlight w:val="none"/>
              </w:rPr>
              <w:t>价</w:t>
            </w:r>
          </w:p>
        </w:tc>
        <w:tc>
          <w:tcPr>
            <w:tcW w:w="6315" w:type="dxa"/>
            <w:gridSpan w:val="2"/>
            <w:tcBorders>
              <w:top w:val="single" w:color="auto" w:sz="4" w:space="0"/>
              <w:left w:val="single" w:color="auto" w:sz="4" w:space="0"/>
              <w:bottom w:val="single" w:color="auto" w:sz="4" w:space="0"/>
              <w:right w:val="single" w:color="auto" w:sz="12" w:space="0"/>
            </w:tcBorders>
            <w:noWrap w:val="0"/>
            <w:vAlign w:val="center"/>
          </w:tcPr>
          <w:p w14:paraId="1F74B1EB">
            <w:pPr>
              <w:autoSpaceDE w:val="0"/>
              <w:autoSpaceDN w:val="0"/>
              <w:spacing w:line="450" w:lineRule="exact"/>
              <w:jc w:val="center"/>
              <w:textAlignment w:val="bottom"/>
              <w:rPr>
                <w:rFonts w:hint="eastAsia" w:ascii="宋体" w:hAnsi="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350</w:t>
            </w:r>
            <w:r>
              <w:rPr>
                <w:rFonts w:hint="eastAsia" w:ascii="宋体" w:hAnsi="宋体" w:eastAsia="宋体" w:cs="宋体"/>
                <w:b/>
                <w:bCs/>
                <w:color w:val="auto"/>
                <w:sz w:val="21"/>
                <w:szCs w:val="21"/>
                <w:highlight w:val="none"/>
                <w:lang w:val="en-US" w:eastAsia="zh-CN"/>
              </w:rPr>
              <w:t>元</w:t>
            </w:r>
            <w:r>
              <w:rPr>
                <w:rFonts w:hint="eastAsia" w:ascii="宋体" w:hAnsi="宋体" w:eastAsia="宋体" w:cs="宋体"/>
                <w:b/>
                <w:bCs/>
                <w:color w:val="auto"/>
                <w:sz w:val="21"/>
                <w:szCs w:val="21"/>
                <w:highlight w:val="none"/>
              </w:rPr>
              <w:t>/吨</w:t>
            </w:r>
          </w:p>
        </w:tc>
      </w:tr>
      <w:tr w14:paraId="063EDB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60" w:hRule="atLeast"/>
          <w:jc w:val="center"/>
        </w:trPr>
        <w:tc>
          <w:tcPr>
            <w:tcW w:w="2844" w:type="dxa"/>
            <w:vMerge w:val="restart"/>
            <w:tcBorders>
              <w:top w:val="single" w:color="auto" w:sz="4" w:space="0"/>
              <w:left w:val="single" w:color="auto" w:sz="12" w:space="0"/>
              <w:bottom w:val="single" w:color="auto" w:sz="4" w:space="0"/>
              <w:right w:val="single" w:color="auto" w:sz="4" w:space="0"/>
            </w:tcBorders>
            <w:noWrap w:val="0"/>
            <w:vAlign w:val="center"/>
          </w:tcPr>
          <w:p w14:paraId="32D37096">
            <w:pPr>
              <w:autoSpaceDE w:val="0"/>
              <w:autoSpaceDN w:val="0"/>
              <w:spacing w:line="450" w:lineRule="exact"/>
              <w:jc w:val="center"/>
              <w:textAlignment w:val="bottom"/>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投标单价（</w:t>
            </w:r>
            <w:r>
              <w:rPr>
                <w:rFonts w:hint="eastAsia" w:ascii="宋体" w:hAnsi="宋体" w:eastAsia="宋体" w:cs="宋体"/>
                <w:b/>
                <w:bCs/>
                <w:color w:val="auto"/>
                <w:sz w:val="21"/>
                <w:szCs w:val="21"/>
                <w:highlight w:val="none"/>
                <w:lang w:val="en-US" w:eastAsia="zh-CN"/>
              </w:rPr>
              <w:t>元</w:t>
            </w:r>
            <w:r>
              <w:rPr>
                <w:rFonts w:hint="eastAsia" w:ascii="宋体" w:hAnsi="宋体" w:eastAsia="宋体" w:cs="宋体"/>
                <w:b/>
                <w:bCs/>
                <w:color w:val="auto"/>
                <w:sz w:val="21"/>
                <w:szCs w:val="21"/>
                <w:highlight w:val="none"/>
              </w:rPr>
              <w:t>/吨</w:t>
            </w:r>
            <w:r>
              <w:rPr>
                <w:rFonts w:hint="eastAsia" w:ascii="宋体" w:hAnsi="宋体"/>
                <w:b/>
                <w:bCs/>
                <w:color w:val="auto"/>
                <w:sz w:val="21"/>
                <w:szCs w:val="21"/>
                <w:highlight w:val="none"/>
                <w:lang w:val="en-US" w:eastAsia="zh-CN"/>
              </w:rPr>
              <w:t>）</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E079D98">
            <w:pPr>
              <w:autoSpaceDE w:val="0"/>
              <w:autoSpaceDN w:val="0"/>
              <w:spacing w:line="450" w:lineRule="exact"/>
              <w:jc w:val="center"/>
              <w:textAlignment w:val="bottom"/>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大写</w:t>
            </w:r>
          </w:p>
        </w:tc>
        <w:tc>
          <w:tcPr>
            <w:tcW w:w="4892" w:type="dxa"/>
            <w:tcBorders>
              <w:top w:val="single" w:color="auto" w:sz="4" w:space="0"/>
              <w:left w:val="single" w:color="auto" w:sz="4" w:space="0"/>
              <w:bottom w:val="single" w:color="auto" w:sz="4" w:space="0"/>
              <w:right w:val="single" w:color="auto" w:sz="12" w:space="0"/>
            </w:tcBorders>
            <w:noWrap w:val="0"/>
            <w:vAlign w:val="center"/>
          </w:tcPr>
          <w:p w14:paraId="29A1DE3B">
            <w:pPr>
              <w:snapToGrid w:val="0"/>
              <w:spacing w:line="36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元/吨</w:t>
            </w:r>
          </w:p>
        </w:tc>
      </w:tr>
      <w:tr w14:paraId="3EFA3A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32" w:hRule="atLeast"/>
          <w:jc w:val="center"/>
        </w:trPr>
        <w:tc>
          <w:tcPr>
            <w:tcW w:w="2844" w:type="dxa"/>
            <w:vMerge w:val="continue"/>
            <w:tcBorders>
              <w:top w:val="single" w:color="auto" w:sz="4" w:space="0"/>
              <w:left w:val="single" w:color="auto" w:sz="12" w:space="0"/>
              <w:bottom w:val="single" w:color="auto" w:sz="4" w:space="0"/>
              <w:right w:val="single" w:color="auto" w:sz="4" w:space="0"/>
            </w:tcBorders>
            <w:noWrap w:val="0"/>
            <w:vAlign w:val="center"/>
          </w:tcPr>
          <w:p w14:paraId="26F0CE2A">
            <w:pPr>
              <w:jc w:val="center"/>
              <w:rPr>
                <w:rFonts w:hint="eastAsia" w:ascii="宋体" w:hAnsi="宋体"/>
                <w:color w:val="auto"/>
                <w:sz w:val="21"/>
                <w:szCs w:val="21"/>
                <w:highlight w:val="none"/>
                <w:lang w:val="en-US" w:eastAsia="zh-CN"/>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6408B7A5">
            <w:pPr>
              <w:autoSpaceDE w:val="0"/>
              <w:autoSpaceDN w:val="0"/>
              <w:spacing w:line="450" w:lineRule="exact"/>
              <w:jc w:val="center"/>
              <w:textAlignment w:val="bottom"/>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小写</w:t>
            </w:r>
          </w:p>
        </w:tc>
        <w:tc>
          <w:tcPr>
            <w:tcW w:w="4892" w:type="dxa"/>
            <w:tcBorders>
              <w:top w:val="single" w:color="auto" w:sz="4" w:space="0"/>
              <w:left w:val="single" w:color="auto" w:sz="4" w:space="0"/>
              <w:bottom w:val="single" w:color="auto" w:sz="4" w:space="0"/>
              <w:right w:val="single" w:color="auto" w:sz="12" w:space="0"/>
            </w:tcBorders>
            <w:noWrap w:val="0"/>
            <w:vAlign w:val="center"/>
          </w:tcPr>
          <w:p w14:paraId="10907EDB">
            <w:pPr>
              <w:snapToGrid w:val="0"/>
              <w:spacing w:line="36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元/吨</w:t>
            </w:r>
          </w:p>
        </w:tc>
      </w:tr>
      <w:tr w14:paraId="30F270A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32" w:hRule="atLeast"/>
          <w:jc w:val="center"/>
        </w:trPr>
        <w:tc>
          <w:tcPr>
            <w:tcW w:w="2844" w:type="dxa"/>
            <w:vMerge w:val="restart"/>
            <w:tcBorders>
              <w:top w:val="single" w:color="auto" w:sz="4" w:space="0"/>
              <w:left w:val="single" w:color="auto" w:sz="12" w:space="0"/>
              <w:right w:val="single" w:color="auto" w:sz="4" w:space="0"/>
            </w:tcBorders>
            <w:noWrap w:val="0"/>
            <w:vAlign w:val="center"/>
          </w:tcPr>
          <w:p w14:paraId="3D2D319E">
            <w:pPr>
              <w:autoSpaceDE w:val="0"/>
              <w:autoSpaceDN w:val="0"/>
              <w:spacing w:line="450" w:lineRule="exact"/>
              <w:jc w:val="center"/>
              <w:textAlignment w:val="bottom"/>
              <w:rPr>
                <w:rFonts w:hint="eastAsia" w:ascii="宋体" w:hAnsi="宋体"/>
                <w:color w:val="auto"/>
                <w:sz w:val="21"/>
                <w:szCs w:val="21"/>
                <w:highlight w:val="none"/>
                <w:lang w:val="en-US" w:eastAsia="zh-CN"/>
              </w:rPr>
            </w:pPr>
            <w:r>
              <w:rPr>
                <w:rFonts w:hint="eastAsia" w:ascii="宋体" w:hAnsi="宋体"/>
                <w:b/>
                <w:bCs/>
                <w:color w:val="auto"/>
                <w:sz w:val="21"/>
                <w:szCs w:val="21"/>
                <w:highlight w:val="none"/>
                <w:lang w:val="en-US" w:eastAsia="zh-CN"/>
              </w:rPr>
              <w:t>投标总</w:t>
            </w:r>
            <w:r>
              <w:rPr>
                <w:rFonts w:hint="eastAsia" w:ascii="宋体" w:hAnsi="宋体"/>
                <w:b/>
                <w:bCs/>
                <w:color w:val="auto"/>
                <w:sz w:val="21"/>
                <w:szCs w:val="21"/>
                <w:highlight w:val="none"/>
              </w:rPr>
              <w:t>报价(元)</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74FD544B">
            <w:pPr>
              <w:autoSpaceDE w:val="0"/>
              <w:autoSpaceDN w:val="0"/>
              <w:spacing w:line="450" w:lineRule="exact"/>
              <w:jc w:val="center"/>
              <w:textAlignment w:val="bottom"/>
              <w:rPr>
                <w:rFonts w:hint="eastAsia" w:ascii="宋体" w:hAnsi="宋体"/>
                <w:color w:val="auto"/>
                <w:sz w:val="21"/>
                <w:szCs w:val="21"/>
                <w:highlight w:val="none"/>
                <w:lang w:val="en-US" w:eastAsia="zh-CN"/>
              </w:rPr>
            </w:pPr>
            <w:r>
              <w:rPr>
                <w:rFonts w:hint="eastAsia" w:ascii="宋体" w:hAnsi="宋体"/>
                <w:color w:val="auto"/>
                <w:sz w:val="21"/>
                <w:szCs w:val="21"/>
                <w:highlight w:val="none"/>
              </w:rPr>
              <w:t>大写</w:t>
            </w:r>
          </w:p>
        </w:tc>
        <w:tc>
          <w:tcPr>
            <w:tcW w:w="4892" w:type="dxa"/>
            <w:tcBorders>
              <w:top w:val="single" w:color="auto" w:sz="4" w:space="0"/>
              <w:left w:val="single" w:color="auto" w:sz="4" w:space="0"/>
              <w:bottom w:val="single" w:color="auto" w:sz="4" w:space="0"/>
              <w:right w:val="single" w:color="auto" w:sz="12" w:space="0"/>
            </w:tcBorders>
            <w:noWrap w:val="0"/>
            <w:vAlign w:val="center"/>
          </w:tcPr>
          <w:p w14:paraId="73DC9246">
            <w:pPr>
              <w:snapToGrid w:val="0"/>
              <w:spacing w:line="360" w:lineRule="auto"/>
              <w:ind w:firstLine="210" w:firstLineChars="100"/>
              <w:rPr>
                <w:rFonts w:hint="eastAsia"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tc>
      </w:tr>
      <w:tr w14:paraId="6C3511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60" w:hRule="atLeast"/>
          <w:jc w:val="center"/>
        </w:trPr>
        <w:tc>
          <w:tcPr>
            <w:tcW w:w="2844" w:type="dxa"/>
            <w:vMerge w:val="continue"/>
            <w:tcBorders>
              <w:left w:val="single" w:color="auto" w:sz="12" w:space="0"/>
              <w:bottom w:val="single" w:color="auto" w:sz="4" w:space="0"/>
              <w:right w:val="single" w:color="auto" w:sz="4" w:space="0"/>
            </w:tcBorders>
            <w:noWrap w:val="0"/>
            <w:vAlign w:val="center"/>
          </w:tcPr>
          <w:p w14:paraId="0FE97C99">
            <w:pPr>
              <w:autoSpaceDE w:val="0"/>
              <w:autoSpaceDN w:val="0"/>
              <w:spacing w:line="450" w:lineRule="exact"/>
              <w:jc w:val="center"/>
              <w:textAlignment w:val="bottom"/>
              <w:rPr>
                <w:rFonts w:hint="eastAsia" w:ascii="宋体" w:hAnsi="宋体"/>
                <w:color w:val="auto"/>
                <w:sz w:val="21"/>
                <w:szCs w:val="21"/>
                <w:highlight w:val="none"/>
                <w:lang w:val="en-US" w:eastAsia="zh-CN"/>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E8299A4">
            <w:pPr>
              <w:autoSpaceDE w:val="0"/>
              <w:autoSpaceDN w:val="0"/>
              <w:spacing w:line="450" w:lineRule="exact"/>
              <w:jc w:val="center"/>
              <w:textAlignment w:val="bottom"/>
              <w:rPr>
                <w:rFonts w:hint="eastAsia" w:ascii="宋体" w:hAnsi="宋体"/>
                <w:color w:val="auto"/>
                <w:sz w:val="21"/>
                <w:szCs w:val="21"/>
                <w:highlight w:val="none"/>
                <w:lang w:val="en-US" w:eastAsia="zh-CN"/>
              </w:rPr>
            </w:pPr>
            <w:r>
              <w:rPr>
                <w:rFonts w:hint="eastAsia" w:ascii="宋体" w:hAnsi="宋体"/>
                <w:color w:val="auto"/>
                <w:sz w:val="21"/>
                <w:szCs w:val="21"/>
                <w:highlight w:val="none"/>
              </w:rPr>
              <w:t>小写</w:t>
            </w:r>
          </w:p>
        </w:tc>
        <w:tc>
          <w:tcPr>
            <w:tcW w:w="4892" w:type="dxa"/>
            <w:tcBorders>
              <w:top w:val="single" w:color="auto" w:sz="4" w:space="0"/>
              <w:left w:val="single" w:color="auto" w:sz="4" w:space="0"/>
              <w:bottom w:val="single" w:color="auto" w:sz="4" w:space="0"/>
              <w:right w:val="single" w:color="auto" w:sz="12" w:space="0"/>
            </w:tcBorders>
            <w:noWrap w:val="0"/>
            <w:vAlign w:val="center"/>
          </w:tcPr>
          <w:p w14:paraId="2E920A13">
            <w:pPr>
              <w:snapToGrid w:val="0"/>
              <w:spacing w:line="360" w:lineRule="auto"/>
              <w:ind w:firstLine="210" w:firstLineChars="100"/>
              <w:rPr>
                <w:rFonts w:hint="eastAsia"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tc>
      </w:tr>
    </w:tbl>
    <w:p w14:paraId="46E1ED71">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75E1670">
      <w:pPr>
        <w:keepNext w:val="0"/>
        <w:keepLines w:val="0"/>
        <w:pageBreakBefore w:val="0"/>
        <w:kinsoku/>
        <w:wordWrap/>
        <w:topLinePunct w:val="0"/>
        <w:bidi w:val="0"/>
        <w:spacing w:line="360" w:lineRule="auto"/>
        <w:ind w:firstLine="422" w:firstLineChars="200"/>
        <w:outlineLvl w:val="9"/>
        <w:rPr>
          <w:rFonts w:hint="eastAsia" w:ascii="宋体" w:hAnsi="宋体"/>
          <w:b/>
          <w:bCs/>
          <w:color w:val="auto"/>
          <w:kern w:val="0"/>
          <w:szCs w:val="21"/>
          <w:highlight w:val="none"/>
          <w:lang w:eastAsia="zh-CN"/>
        </w:rPr>
      </w:pPr>
      <w:r>
        <w:rPr>
          <w:rFonts w:hint="eastAsia" w:ascii="宋体" w:hAnsi="宋体"/>
          <w:b/>
          <w:bCs/>
          <w:color w:val="auto"/>
          <w:kern w:val="0"/>
          <w:szCs w:val="21"/>
          <w:highlight w:val="none"/>
        </w:rPr>
        <w:t>1</w:t>
      </w:r>
      <w:r>
        <w:rPr>
          <w:rFonts w:hint="eastAsia" w:ascii="宋体" w:hAnsi="宋体"/>
          <w:b/>
          <w:bCs/>
          <w:color w:val="auto"/>
          <w:kern w:val="0"/>
          <w:szCs w:val="21"/>
          <w:highlight w:val="none"/>
          <w:lang w:eastAsia="zh-CN"/>
        </w:rPr>
        <w:t>、</w:t>
      </w:r>
      <w:r>
        <w:rPr>
          <w:rFonts w:hint="eastAsia" w:ascii="宋体" w:hAnsi="宋体" w:cs="宋体"/>
          <w:b/>
          <w:bCs/>
          <w:color w:val="auto"/>
          <w:sz w:val="21"/>
          <w:szCs w:val="21"/>
          <w:highlight w:val="none"/>
          <w:lang w:val="en-US" w:eastAsia="zh-CN"/>
        </w:rPr>
        <w:t>具体</w:t>
      </w:r>
      <w:r>
        <w:rPr>
          <w:rFonts w:hint="eastAsia" w:ascii="宋体" w:hAnsi="宋体" w:eastAsia="宋体" w:cs="宋体"/>
          <w:b/>
          <w:bCs/>
          <w:color w:val="auto"/>
          <w:sz w:val="21"/>
          <w:szCs w:val="21"/>
          <w:highlight w:val="none"/>
          <w:lang w:val="en-US" w:eastAsia="zh-CN"/>
        </w:rPr>
        <w:t>按实结算，</w:t>
      </w:r>
      <w:r>
        <w:rPr>
          <w:rFonts w:hint="eastAsia" w:ascii="宋体" w:hAnsi="宋体" w:cs="宋体"/>
          <w:b/>
          <w:bCs/>
          <w:color w:val="auto"/>
          <w:sz w:val="21"/>
          <w:szCs w:val="21"/>
          <w:highlight w:val="none"/>
          <w:lang w:val="en-US" w:eastAsia="zh-CN"/>
        </w:rPr>
        <w:t>结算价</w:t>
      </w:r>
      <w:r>
        <w:rPr>
          <w:rFonts w:hint="eastAsia" w:ascii="宋体" w:hAnsi="宋体" w:eastAsia="宋体" w:cs="宋体"/>
          <w:b/>
          <w:bCs/>
          <w:color w:val="auto"/>
          <w:sz w:val="21"/>
          <w:szCs w:val="21"/>
          <w:highlight w:val="none"/>
          <w:lang w:val="en-US" w:eastAsia="zh-CN"/>
        </w:rPr>
        <w:t>=中标单价*实际死亡动物及动物产品处理结算量。</w:t>
      </w:r>
    </w:p>
    <w:p w14:paraId="6A89C862">
      <w:pPr>
        <w:keepNext w:val="0"/>
        <w:keepLines w:val="0"/>
        <w:pageBreakBefore w:val="0"/>
        <w:kinsoku/>
        <w:wordWrap/>
        <w:topLinePunct w:val="0"/>
        <w:bidi w:val="0"/>
        <w:spacing w:line="360" w:lineRule="auto"/>
        <w:ind w:firstLine="420" w:firstLineChars="200"/>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投标</w:t>
      </w:r>
      <w:r>
        <w:rPr>
          <w:rFonts w:hint="eastAsia" w:asciiTheme="minorEastAsia" w:hAnsiTheme="minorEastAsia" w:eastAsiaTheme="minorEastAsia" w:cstheme="minorEastAsia"/>
          <w:color w:val="auto"/>
          <w:szCs w:val="21"/>
          <w:highlight w:val="none"/>
          <w:lang w:val="en-US" w:eastAsia="zh-CN"/>
        </w:rPr>
        <w:t>总</w:t>
      </w:r>
      <w:r>
        <w:rPr>
          <w:rFonts w:hint="eastAsia" w:asciiTheme="minorEastAsia" w:hAnsiTheme="minorEastAsia" w:eastAsiaTheme="minorEastAsia" w:cstheme="minorEastAsia"/>
          <w:color w:val="auto"/>
          <w:szCs w:val="21"/>
          <w:highlight w:val="none"/>
        </w:rPr>
        <w:t>报价为完成本项目的所有费用，包含所有人员的人工费、交通费、住宿费、伙食费、办公设施费、管理费、利润、税金等一切费用，全部费用已包含在投标</w:t>
      </w:r>
      <w:r>
        <w:rPr>
          <w:rFonts w:hint="eastAsia" w:asciiTheme="minorEastAsia" w:hAnsiTheme="minorEastAsia" w:eastAsiaTheme="minorEastAsia" w:cstheme="minorEastAsia"/>
          <w:color w:val="auto"/>
          <w:szCs w:val="21"/>
          <w:highlight w:val="none"/>
          <w:lang w:val="en-US" w:eastAsia="zh-CN"/>
        </w:rPr>
        <w:t>总</w:t>
      </w:r>
      <w:r>
        <w:rPr>
          <w:rFonts w:hint="eastAsia" w:asciiTheme="minorEastAsia" w:hAnsiTheme="minorEastAsia" w:eastAsiaTheme="minorEastAsia" w:cstheme="minorEastAsia"/>
          <w:color w:val="auto"/>
          <w:szCs w:val="21"/>
          <w:highlight w:val="none"/>
        </w:rPr>
        <w:t>报价中</w:t>
      </w:r>
      <w:r>
        <w:rPr>
          <w:rFonts w:hint="eastAsia" w:asciiTheme="minorEastAsia" w:hAnsiTheme="minorEastAsia" w:eastAsiaTheme="minorEastAsia" w:cstheme="minorEastAsia"/>
          <w:color w:val="auto"/>
          <w:sz w:val="21"/>
          <w:szCs w:val="21"/>
          <w:highlight w:val="none"/>
          <w:lang w:val="en-US" w:eastAsia="zh-CN"/>
        </w:rPr>
        <w:t>。</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43646A6A">
      <w:pPr>
        <w:keepNext w:val="0"/>
        <w:keepLines w:val="0"/>
        <w:pageBreakBefore w:val="0"/>
        <w:kinsoku/>
        <w:overflowPunct/>
        <w:topLinePunct w:val="0"/>
        <w:bidi w:val="0"/>
        <w:spacing w:line="320" w:lineRule="exact"/>
        <w:ind w:firstLine="435"/>
        <w:outlineLvl w:val="9"/>
        <w:rPr>
          <w:rFonts w:hint="default" w:ascii="宋体" w:hAnsi="宋体" w:eastAsia="宋体" w:cs="宋体"/>
          <w:b/>
          <w:color w:val="auto"/>
          <w:sz w:val="28"/>
          <w:highlight w:val="none"/>
          <w:lang w:val="en-US" w:eastAsia="zh-CN"/>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99762">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02583">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DA02583">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病死动物无害化处理项目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770A450F"/>
    <w:multiLevelType w:val="singleLevel"/>
    <w:tmpl w:val="770A450F"/>
    <w:lvl w:ilvl="0" w:tentative="0">
      <w:start w:val="2"/>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7A6A7C"/>
    <w:rsid w:val="017C4E3A"/>
    <w:rsid w:val="01D70B06"/>
    <w:rsid w:val="02380D19"/>
    <w:rsid w:val="02393535"/>
    <w:rsid w:val="024017F0"/>
    <w:rsid w:val="02F97313"/>
    <w:rsid w:val="03320476"/>
    <w:rsid w:val="034A5312"/>
    <w:rsid w:val="036C1E9F"/>
    <w:rsid w:val="03793528"/>
    <w:rsid w:val="03883137"/>
    <w:rsid w:val="03F84D6E"/>
    <w:rsid w:val="041861BA"/>
    <w:rsid w:val="043F7FC4"/>
    <w:rsid w:val="04466BB8"/>
    <w:rsid w:val="04E65DCF"/>
    <w:rsid w:val="052341BD"/>
    <w:rsid w:val="05283431"/>
    <w:rsid w:val="053C3F02"/>
    <w:rsid w:val="056E3453"/>
    <w:rsid w:val="05D83480"/>
    <w:rsid w:val="0601391E"/>
    <w:rsid w:val="067363FE"/>
    <w:rsid w:val="073967B1"/>
    <w:rsid w:val="07685A63"/>
    <w:rsid w:val="076A5AA3"/>
    <w:rsid w:val="07AC6BCF"/>
    <w:rsid w:val="07D22E0A"/>
    <w:rsid w:val="0836339B"/>
    <w:rsid w:val="08390248"/>
    <w:rsid w:val="08995B03"/>
    <w:rsid w:val="08AC4158"/>
    <w:rsid w:val="09001A02"/>
    <w:rsid w:val="09492528"/>
    <w:rsid w:val="09846D45"/>
    <w:rsid w:val="099F2E34"/>
    <w:rsid w:val="09CF47C3"/>
    <w:rsid w:val="09E03F7D"/>
    <w:rsid w:val="09F33DD0"/>
    <w:rsid w:val="0A071FFD"/>
    <w:rsid w:val="0A2C1FBC"/>
    <w:rsid w:val="0AF142C5"/>
    <w:rsid w:val="0AF64F0D"/>
    <w:rsid w:val="0B8001A4"/>
    <w:rsid w:val="0C030754"/>
    <w:rsid w:val="0C181AC6"/>
    <w:rsid w:val="0CCA1272"/>
    <w:rsid w:val="0CD8063C"/>
    <w:rsid w:val="0CFA4EFD"/>
    <w:rsid w:val="0D1F4CD0"/>
    <w:rsid w:val="0D305579"/>
    <w:rsid w:val="0D88328D"/>
    <w:rsid w:val="0DD91C25"/>
    <w:rsid w:val="0E0F138C"/>
    <w:rsid w:val="0EC6046D"/>
    <w:rsid w:val="0ED2632B"/>
    <w:rsid w:val="0F122F26"/>
    <w:rsid w:val="0F7E6199"/>
    <w:rsid w:val="0FBE7878"/>
    <w:rsid w:val="0FE74D1C"/>
    <w:rsid w:val="0FF94B3D"/>
    <w:rsid w:val="100C6301"/>
    <w:rsid w:val="10452B67"/>
    <w:rsid w:val="109F080C"/>
    <w:rsid w:val="118B5473"/>
    <w:rsid w:val="11E77423"/>
    <w:rsid w:val="121665CB"/>
    <w:rsid w:val="121F1572"/>
    <w:rsid w:val="12704EB7"/>
    <w:rsid w:val="12AA1929"/>
    <w:rsid w:val="12E52961"/>
    <w:rsid w:val="12EC03CE"/>
    <w:rsid w:val="12FA02EB"/>
    <w:rsid w:val="13BF45A5"/>
    <w:rsid w:val="14127A7E"/>
    <w:rsid w:val="149451F4"/>
    <w:rsid w:val="15115B44"/>
    <w:rsid w:val="153636E4"/>
    <w:rsid w:val="153703F4"/>
    <w:rsid w:val="159E68EB"/>
    <w:rsid w:val="159E71A7"/>
    <w:rsid w:val="165C24F7"/>
    <w:rsid w:val="168339D9"/>
    <w:rsid w:val="16CC3CB9"/>
    <w:rsid w:val="16D70F66"/>
    <w:rsid w:val="16DD5993"/>
    <w:rsid w:val="16F44F9C"/>
    <w:rsid w:val="17047DD8"/>
    <w:rsid w:val="171D6CDD"/>
    <w:rsid w:val="17461D47"/>
    <w:rsid w:val="17B10D95"/>
    <w:rsid w:val="17B23AF1"/>
    <w:rsid w:val="17D14D06"/>
    <w:rsid w:val="17D2330C"/>
    <w:rsid w:val="191533D1"/>
    <w:rsid w:val="192A2781"/>
    <w:rsid w:val="1937455F"/>
    <w:rsid w:val="19474367"/>
    <w:rsid w:val="1A165B5E"/>
    <w:rsid w:val="1AA22976"/>
    <w:rsid w:val="1B1120A4"/>
    <w:rsid w:val="1B697EA8"/>
    <w:rsid w:val="1BC0155F"/>
    <w:rsid w:val="1C442703"/>
    <w:rsid w:val="1CBF0303"/>
    <w:rsid w:val="1CC61F19"/>
    <w:rsid w:val="1CD001DE"/>
    <w:rsid w:val="1D465475"/>
    <w:rsid w:val="1DFB572F"/>
    <w:rsid w:val="1E1F7201"/>
    <w:rsid w:val="1E8252A5"/>
    <w:rsid w:val="1EF1268E"/>
    <w:rsid w:val="1EF43673"/>
    <w:rsid w:val="1F162724"/>
    <w:rsid w:val="1F4F69F4"/>
    <w:rsid w:val="1F845AC6"/>
    <w:rsid w:val="2012057A"/>
    <w:rsid w:val="201C7B31"/>
    <w:rsid w:val="203F2146"/>
    <w:rsid w:val="20AA0083"/>
    <w:rsid w:val="20ED3C16"/>
    <w:rsid w:val="21466CC1"/>
    <w:rsid w:val="21492AD8"/>
    <w:rsid w:val="217E3C1D"/>
    <w:rsid w:val="223A2AB8"/>
    <w:rsid w:val="224700DF"/>
    <w:rsid w:val="234C750E"/>
    <w:rsid w:val="235C5246"/>
    <w:rsid w:val="239A1BA6"/>
    <w:rsid w:val="23E40A13"/>
    <w:rsid w:val="23FA686C"/>
    <w:rsid w:val="246062EC"/>
    <w:rsid w:val="24AA5BCC"/>
    <w:rsid w:val="24C70583"/>
    <w:rsid w:val="255B67E8"/>
    <w:rsid w:val="25D20519"/>
    <w:rsid w:val="25D774E6"/>
    <w:rsid w:val="26B8513F"/>
    <w:rsid w:val="277E06D7"/>
    <w:rsid w:val="27AC425F"/>
    <w:rsid w:val="28032FE3"/>
    <w:rsid w:val="285D5E3E"/>
    <w:rsid w:val="287B6958"/>
    <w:rsid w:val="28AF41A0"/>
    <w:rsid w:val="28D80E9E"/>
    <w:rsid w:val="29320DF3"/>
    <w:rsid w:val="294F692F"/>
    <w:rsid w:val="29571568"/>
    <w:rsid w:val="29E20D6F"/>
    <w:rsid w:val="29E63530"/>
    <w:rsid w:val="2A8138F9"/>
    <w:rsid w:val="2ABA427C"/>
    <w:rsid w:val="2AFA5254"/>
    <w:rsid w:val="2B2C7B14"/>
    <w:rsid w:val="2B792697"/>
    <w:rsid w:val="2C654A37"/>
    <w:rsid w:val="2CD94E8D"/>
    <w:rsid w:val="2D384E8E"/>
    <w:rsid w:val="2E96604C"/>
    <w:rsid w:val="2EA209AC"/>
    <w:rsid w:val="2EA23D0C"/>
    <w:rsid w:val="2EB30204"/>
    <w:rsid w:val="2EBE2906"/>
    <w:rsid w:val="2EEF2FD0"/>
    <w:rsid w:val="2F607C49"/>
    <w:rsid w:val="2F7B1BB4"/>
    <w:rsid w:val="2FAF0F3B"/>
    <w:rsid w:val="2FCC2EC1"/>
    <w:rsid w:val="2FD75A57"/>
    <w:rsid w:val="30150257"/>
    <w:rsid w:val="305A68F0"/>
    <w:rsid w:val="309703E8"/>
    <w:rsid w:val="30A9101A"/>
    <w:rsid w:val="30CF5D28"/>
    <w:rsid w:val="30EA52B7"/>
    <w:rsid w:val="30F24A05"/>
    <w:rsid w:val="31233BA5"/>
    <w:rsid w:val="3126017B"/>
    <w:rsid w:val="31813005"/>
    <w:rsid w:val="31B43A06"/>
    <w:rsid w:val="323740AF"/>
    <w:rsid w:val="328B6879"/>
    <w:rsid w:val="333330BE"/>
    <w:rsid w:val="33F7221B"/>
    <w:rsid w:val="345D6FC2"/>
    <w:rsid w:val="34772ADD"/>
    <w:rsid w:val="351836BE"/>
    <w:rsid w:val="35590177"/>
    <w:rsid w:val="35B65126"/>
    <w:rsid w:val="362A1767"/>
    <w:rsid w:val="36533F02"/>
    <w:rsid w:val="368B0847"/>
    <w:rsid w:val="36D706BD"/>
    <w:rsid w:val="36DB71B3"/>
    <w:rsid w:val="36DF4838"/>
    <w:rsid w:val="38357FC3"/>
    <w:rsid w:val="38C435DA"/>
    <w:rsid w:val="38C612A4"/>
    <w:rsid w:val="38D90FB1"/>
    <w:rsid w:val="397114CB"/>
    <w:rsid w:val="399F745E"/>
    <w:rsid w:val="3A286983"/>
    <w:rsid w:val="3A316D41"/>
    <w:rsid w:val="3A791AB3"/>
    <w:rsid w:val="3A7A6F1E"/>
    <w:rsid w:val="3AE12ADB"/>
    <w:rsid w:val="3B35363C"/>
    <w:rsid w:val="3B7E607B"/>
    <w:rsid w:val="3BD804EA"/>
    <w:rsid w:val="3C016C71"/>
    <w:rsid w:val="3C1B181E"/>
    <w:rsid w:val="3C203FE1"/>
    <w:rsid w:val="3D326006"/>
    <w:rsid w:val="3D843DB4"/>
    <w:rsid w:val="3DB3569D"/>
    <w:rsid w:val="3E2B5399"/>
    <w:rsid w:val="3E4D7BD4"/>
    <w:rsid w:val="3E4E6F02"/>
    <w:rsid w:val="3E5D59EE"/>
    <w:rsid w:val="3E9D4299"/>
    <w:rsid w:val="3EA305F2"/>
    <w:rsid w:val="3EDC080D"/>
    <w:rsid w:val="3F0B192B"/>
    <w:rsid w:val="3F3349E1"/>
    <w:rsid w:val="3F95513E"/>
    <w:rsid w:val="3FA61844"/>
    <w:rsid w:val="407F5D91"/>
    <w:rsid w:val="40FE6422"/>
    <w:rsid w:val="416F0E3A"/>
    <w:rsid w:val="41B04BB9"/>
    <w:rsid w:val="42394175"/>
    <w:rsid w:val="423E1A86"/>
    <w:rsid w:val="42772D26"/>
    <w:rsid w:val="427A6373"/>
    <w:rsid w:val="42910824"/>
    <w:rsid w:val="42962B21"/>
    <w:rsid w:val="43C81F3E"/>
    <w:rsid w:val="4412111F"/>
    <w:rsid w:val="4420460F"/>
    <w:rsid w:val="44E8268C"/>
    <w:rsid w:val="45185FC7"/>
    <w:rsid w:val="46144F18"/>
    <w:rsid w:val="466D7A8A"/>
    <w:rsid w:val="466E4440"/>
    <w:rsid w:val="470216C0"/>
    <w:rsid w:val="470D5A07"/>
    <w:rsid w:val="47C11F07"/>
    <w:rsid w:val="47E83667"/>
    <w:rsid w:val="49C11520"/>
    <w:rsid w:val="4A007A95"/>
    <w:rsid w:val="4A56355D"/>
    <w:rsid w:val="4A6A77A1"/>
    <w:rsid w:val="4A802F02"/>
    <w:rsid w:val="4B137686"/>
    <w:rsid w:val="4B1E62D9"/>
    <w:rsid w:val="4B4D6D1A"/>
    <w:rsid w:val="4C392F39"/>
    <w:rsid w:val="4CD57DA3"/>
    <w:rsid w:val="4CE23492"/>
    <w:rsid w:val="4CF72E0A"/>
    <w:rsid w:val="4CFC26F0"/>
    <w:rsid w:val="4D096C71"/>
    <w:rsid w:val="4D190A3D"/>
    <w:rsid w:val="4D996193"/>
    <w:rsid w:val="4D9B5E2B"/>
    <w:rsid w:val="4DA62A71"/>
    <w:rsid w:val="4DDB0115"/>
    <w:rsid w:val="4E2813A3"/>
    <w:rsid w:val="4E3623E0"/>
    <w:rsid w:val="4E590CD0"/>
    <w:rsid w:val="4E874BF9"/>
    <w:rsid w:val="4F4966DE"/>
    <w:rsid w:val="4F703A02"/>
    <w:rsid w:val="4FB2172F"/>
    <w:rsid w:val="4FF81F3E"/>
    <w:rsid w:val="500F5F58"/>
    <w:rsid w:val="50393C2D"/>
    <w:rsid w:val="504870C6"/>
    <w:rsid w:val="50972888"/>
    <w:rsid w:val="50AD4BC1"/>
    <w:rsid w:val="510756CC"/>
    <w:rsid w:val="513371C0"/>
    <w:rsid w:val="518E7928"/>
    <w:rsid w:val="521D4F6D"/>
    <w:rsid w:val="524B29D2"/>
    <w:rsid w:val="527354B0"/>
    <w:rsid w:val="52A56262"/>
    <w:rsid w:val="53240DE2"/>
    <w:rsid w:val="536015B5"/>
    <w:rsid w:val="536B714E"/>
    <w:rsid w:val="53D43282"/>
    <w:rsid w:val="53EB5322"/>
    <w:rsid w:val="54C13BDA"/>
    <w:rsid w:val="54CF56D2"/>
    <w:rsid w:val="551410ED"/>
    <w:rsid w:val="554479B3"/>
    <w:rsid w:val="557309A7"/>
    <w:rsid w:val="55B12017"/>
    <w:rsid w:val="55FC25AC"/>
    <w:rsid w:val="5622038C"/>
    <w:rsid w:val="56397F2C"/>
    <w:rsid w:val="56464A92"/>
    <w:rsid w:val="569575E9"/>
    <w:rsid w:val="56E04EE6"/>
    <w:rsid w:val="578F4550"/>
    <w:rsid w:val="57977A16"/>
    <w:rsid w:val="58032CCB"/>
    <w:rsid w:val="580F411A"/>
    <w:rsid w:val="582232DD"/>
    <w:rsid w:val="58A27480"/>
    <w:rsid w:val="5A5A375F"/>
    <w:rsid w:val="5A8457CD"/>
    <w:rsid w:val="5ACE03B2"/>
    <w:rsid w:val="5AFA0CD5"/>
    <w:rsid w:val="5AFD7104"/>
    <w:rsid w:val="5BBC3082"/>
    <w:rsid w:val="5BF04E33"/>
    <w:rsid w:val="5C0842BE"/>
    <w:rsid w:val="5C8A42C3"/>
    <w:rsid w:val="5D0631CD"/>
    <w:rsid w:val="5E2814C4"/>
    <w:rsid w:val="5E2C75D3"/>
    <w:rsid w:val="5E5C1146"/>
    <w:rsid w:val="5E9C5841"/>
    <w:rsid w:val="5EA54320"/>
    <w:rsid w:val="5ECC6D02"/>
    <w:rsid w:val="5F0D2C6F"/>
    <w:rsid w:val="5F127964"/>
    <w:rsid w:val="5FB6167A"/>
    <w:rsid w:val="607D6651"/>
    <w:rsid w:val="60BD1FFE"/>
    <w:rsid w:val="61170B58"/>
    <w:rsid w:val="611A0EA3"/>
    <w:rsid w:val="61E17D65"/>
    <w:rsid w:val="61E70C8F"/>
    <w:rsid w:val="62233ED9"/>
    <w:rsid w:val="627C6782"/>
    <w:rsid w:val="62B62B73"/>
    <w:rsid w:val="62C66F9D"/>
    <w:rsid w:val="62EA0127"/>
    <w:rsid w:val="63012C54"/>
    <w:rsid w:val="63C273F5"/>
    <w:rsid w:val="63E112D8"/>
    <w:rsid w:val="66417DDC"/>
    <w:rsid w:val="6646288C"/>
    <w:rsid w:val="66950943"/>
    <w:rsid w:val="66FC41BD"/>
    <w:rsid w:val="672E1E7F"/>
    <w:rsid w:val="67401C19"/>
    <w:rsid w:val="682B261F"/>
    <w:rsid w:val="68877B1A"/>
    <w:rsid w:val="68F476CB"/>
    <w:rsid w:val="6960198A"/>
    <w:rsid w:val="69F16334"/>
    <w:rsid w:val="6A035AFF"/>
    <w:rsid w:val="6A0C7949"/>
    <w:rsid w:val="6A2D7FEB"/>
    <w:rsid w:val="6A914A15"/>
    <w:rsid w:val="6AAB5773"/>
    <w:rsid w:val="6AD81AFC"/>
    <w:rsid w:val="6B0242A5"/>
    <w:rsid w:val="6B252A70"/>
    <w:rsid w:val="6B2A27B7"/>
    <w:rsid w:val="6C360A8B"/>
    <w:rsid w:val="6C670989"/>
    <w:rsid w:val="6C830331"/>
    <w:rsid w:val="6CB57DDF"/>
    <w:rsid w:val="6D776592"/>
    <w:rsid w:val="6D82064E"/>
    <w:rsid w:val="6D946B00"/>
    <w:rsid w:val="6DA018A4"/>
    <w:rsid w:val="6DBF1822"/>
    <w:rsid w:val="6E1D39B2"/>
    <w:rsid w:val="6F156B47"/>
    <w:rsid w:val="6F4126A8"/>
    <w:rsid w:val="6F52577A"/>
    <w:rsid w:val="6F5C678A"/>
    <w:rsid w:val="6F7C731F"/>
    <w:rsid w:val="6F833530"/>
    <w:rsid w:val="6F8E2B60"/>
    <w:rsid w:val="6F95389D"/>
    <w:rsid w:val="701C6432"/>
    <w:rsid w:val="7195640E"/>
    <w:rsid w:val="71BB1561"/>
    <w:rsid w:val="7253624D"/>
    <w:rsid w:val="72671307"/>
    <w:rsid w:val="72C548FE"/>
    <w:rsid w:val="72C94904"/>
    <w:rsid w:val="72CD7AEB"/>
    <w:rsid w:val="72CE7DF1"/>
    <w:rsid w:val="738C49D4"/>
    <w:rsid w:val="744E387C"/>
    <w:rsid w:val="7469576C"/>
    <w:rsid w:val="748266FC"/>
    <w:rsid w:val="74B23165"/>
    <w:rsid w:val="75145452"/>
    <w:rsid w:val="75BB0C3B"/>
    <w:rsid w:val="75F40A2B"/>
    <w:rsid w:val="767D593D"/>
    <w:rsid w:val="76A136BE"/>
    <w:rsid w:val="76D04887"/>
    <w:rsid w:val="76D43F8B"/>
    <w:rsid w:val="770A7D21"/>
    <w:rsid w:val="772265F9"/>
    <w:rsid w:val="774A751F"/>
    <w:rsid w:val="77B0242F"/>
    <w:rsid w:val="781A71E7"/>
    <w:rsid w:val="78BC2207"/>
    <w:rsid w:val="78C31106"/>
    <w:rsid w:val="78E41C51"/>
    <w:rsid w:val="78FA1692"/>
    <w:rsid w:val="792D6B6B"/>
    <w:rsid w:val="7935503F"/>
    <w:rsid w:val="79737C17"/>
    <w:rsid w:val="797572B9"/>
    <w:rsid w:val="7A0B68C7"/>
    <w:rsid w:val="7A232871"/>
    <w:rsid w:val="7A2E539A"/>
    <w:rsid w:val="7A392143"/>
    <w:rsid w:val="7A3945A5"/>
    <w:rsid w:val="7A447B8D"/>
    <w:rsid w:val="7A893FB8"/>
    <w:rsid w:val="7A940E65"/>
    <w:rsid w:val="7AC04563"/>
    <w:rsid w:val="7AC51531"/>
    <w:rsid w:val="7AE07CFD"/>
    <w:rsid w:val="7B0E0BB9"/>
    <w:rsid w:val="7B376CA9"/>
    <w:rsid w:val="7B6715B3"/>
    <w:rsid w:val="7B7503BA"/>
    <w:rsid w:val="7C3E24DF"/>
    <w:rsid w:val="7C7D1BE7"/>
    <w:rsid w:val="7D8F6DE4"/>
    <w:rsid w:val="7DAA5FB8"/>
    <w:rsid w:val="7DFB0316"/>
    <w:rsid w:val="7E4E7602"/>
    <w:rsid w:val="7E723EF0"/>
    <w:rsid w:val="7EA831A1"/>
    <w:rsid w:val="7ECE10A0"/>
    <w:rsid w:val="7F1D5AFB"/>
    <w:rsid w:val="7F54786E"/>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Body Text"/>
    <w:basedOn w:val="1"/>
    <w:link w:val="33"/>
    <w:autoRedefine/>
    <w:semiHidden/>
    <w:unhideWhenUsed/>
    <w:qFormat/>
    <w:uiPriority w:val="99"/>
    <w:pPr>
      <w:spacing w:after="120"/>
    </w:pPr>
  </w:style>
  <w:style w:type="paragraph" w:styleId="8">
    <w:name w:val="Body Text Indent"/>
    <w:basedOn w:val="1"/>
    <w:next w:val="1"/>
    <w:link w:val="34"/>
    <w:autoRedefine/>
    <w:qFormat/>
    <w:uiPriority w:val="99"/>
    <w:pPr>
      <w:spacing w:after="120"/>
      <w:ind w:left="420" w:leftChars="200"/>
    </w:pPr>
  </w:style>
  <w:style w:type="paragraph" w:styleId="9">
    <w:name w:val="Plain Text"/>
    <w:basedOn w:val="1"/>
    <w:next w:val="10"/>
    <w:autoRedefine/>
    <w:qFormat/>
    <w:uiPriority w:val="0"/>
    <w:rPr>
      <w:rFonts w:ascii="宋体" w:hAnsi="Courier New" w:cstheme="minorBidi"/>
    </w:rPr>
  </w:style>
  <w:style w:type="paragraph" w:styleId="10">
    <w:name w:val="Date"/>
    <w:basedOn w:val="1"/>
    <w:next w:val="1"/>
    <w:autoRedefine/>
    <w:qFormat/>
    <w:uiPriority w:val="99"/>
    <w:pPr>
      <w:ind w:left="2500" w:leftChars="2500"/>
    </w:pPr>
    <w:rPr>
      <w:rFonts w:ascii="Calibri" w:hAnsi="Calibri" w:eastAsia="楷体_GB2312"/>
      <w:sz w:val="32"/>
      <w:szCs w:val="22"/>
    </w:rPr>
  </w:style>
  <w:style w:type="paragraph" w:styleId="11">
    <w:name w:val="Balloon Text"/>
    <w:basedOn w:val="1"/>
    <w:link w:val="35"/>
    <w:autoRedefine/>
    <w:semiHidden/>
    <w:unhideWhenUsed/>
    <w:qFormat/>
    <w:uiPriority w:val="99"/>
    <w:rPr>
      <w:sz w:val="18"/>
      <w:szCs w:val="18"/>
    </w:rPr>
  </w:style>
  <w:style w:type="paragraph" w:styleId="12">
    <w:name w:val="footer"/>
    <w:basedOn w:val="1"/>
    <w:link w:val="32"/>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5">
    <w:name w:val="footnote text"/>
    <w:basedOn w:val="1"/>
    <w:autoRedefine/>
    <w:qFormat/>
    <w:uiPriority w:val="0"/>
    <w:pPr>
      <w:snapToGrid w:val="0"/>
      <w:jc w:val="left"/>
    </w:pPr>
    <w:rPr>
      <w:rFonts w:eastAsia="仿宋_GB2312"/>
      <w:sz w:val="18"/>
      <w:szCs w:val="20"/>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Body Text First Indent"/>
    <w:basedOn w:val="7"/>
    <w:next w:val="1"/>
    <w:autoRedefine/>
    <w:qFormat/>
    <w:uiPriority w:val="0"/>
    <w:pPr>
      <w:ind w:firstLine="420" w:firstLineChars="100"/>
    </w:pPr>
  </w:style>
  <w:style w:type="paragraph" w:styleId="20">
    <w:name w:val="Body Text First Indent 2"/>
    <w:basedOn w:val="8"/>
    <w:autoRedefine/>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rFonts w:ascii="Tahoma" w:hAnsi="Tahoma" w:cs="Tahoma"/>
      <w:b/>
      <w:sz w:val="24"/>
    </w:rPr>
  </w:style>
  <w:style w:type="character" w:styleId="25">
    <w:name w:val="page number"/>
    <w:basedOn w:val="23"/>
    <w:autoRedefine/>
    <w:qFormat/>
    <w:uiPriority w:val="0"/>
  </w:style>
  <w:style w:type="character" w:styleId="26">
    <w:name w:val="Hyperlink"/>
    <w:basedOn w:val="23"/>
    <w:autoRedefine/>
    <w:unhideWhenUsed/>
    <w:qFormat/>
    <w:uiPriority w:val="0"/>
    <w:rPr>
      <w:color w:val="0000FF"/>
      <w:u w:val="single"/>
    </w:rPr>
  </w:style>
  <w:style w:type="character" w:styleId="27">
    <w:name w:val="footnote reference"/>
    <w:autoRedefine/>
    <w:qFormat/>
    <w:uiPriority w:val="0"/>
    <w:rPr>
      <w:vertAlign w:val="superscript"/>
    </w:rPr>
  </w:style>
  <w:style w:type="paragraph" w:customStyle="1" w:styleId="28">
    <w:name w:val="[Normal]"/>
    <w:autoRedefine/>
    <w:qFormat/>
    <w:uiPriority w:val="0"/>
    <w:rPr>
      <w:rFonts w:ascii="宋体" w:hAnsi="宋体" w:eastAsia="宋体" w:cs="Times New Roman"/>
      <w:sz w:val="24"/>
      <w:szCs w:val="22"/>
      <w:lang w:val="zh-CN" w:eastAsia="zh-CN" w:bidi="ar-SA"/>
    </w:rPr>
  </w:style>
  <w:style w:type="paragraph" w:customStyle="1" w:styleId="29">
    <w:name w:val="正文首行缩进1"/>
    <w:basedOn w:val="7"/>
    <w:autoRedefine/>
    <w:qFormat/>
    <w:uiPriority w:val="0"/>
    <w:pPr>
      <w:ind w:firstLine="420" w:firstLineChars="100"/>
    </w:pPr>
  </w:style>
  <w:style w:type="paragraph" w:customStyle="1" w:styleId="30">
    <w:name w:val="正文（首行缩进2字符）"/>
    <w:basedOn w:val="1"/>
    <w:autoRedefine/>
    <w:qFormat/>
    <w:uiPriority w:val="0"/>
    <w:pPr>
      <w:ind w:firstLine="480" w:firstLineChars="200"/>
    </w:pPr>
    <w:rPr>
      <w:sz w:val="24"/>
      <w:szCs w:val="20"/>
    </w:rPr>
  </w:style>
  <w:style w:type="character" w:customStyle="1" w:styleId="31">
    <w:name w:val="页眉 Char"/>
    <w:basedOn w:val="23"/>
    <w:link w:val="13"/>
    <w:autoRedefine/>
    <w:semiHidden/>
    <w:qFormat/>
    <w:uiPriority w:val="99"/>
    <w:rPr>
      <w:sz w:val="18"/>
      <w:szCs w:val="18"/>
    </w:rPr>
  </w:style>
  <w:style w:type="character" w:customStyle="1" w:styleId="32">
    <w:name w:val="页脚 Char"/>
    <w:basedOn w:val="23"/>
    <w:link w:val="12"/>
    <w:autoRedefine/>
    <w:semiHidden/>
    <w:qFormat/>
    <w:uiPriority w:val="99"/>
    <w:rPr>
      <w:sz w:val="18"/>
      <w:szCs w:val="18"/>
    </w:rPr>
  </w:style>
  <w:style w:type="character" w:customStyle="1" w:styleId="33">
    <w:name w:val="正文文本 Char"/>
    <w:basedOn w:val="23"/>
    <w:link w:val="7"/>
    <w:autoRedefine/>
    <w:semiHidden/>
    <w:qFormat/>
    <w:uiPriority w:val="99"/>
    <w:rPr>
      <w:rFonts w:ascii="Times New Roman" w:hAnsi="Times New Roman" w:eastAsia="宋体" w:cs="Times New Roman"/>
      <w:szCs w:val="24"/>
    </w:rPr>
  </w:style>
  <w:style w:type="character" w:customStyle="1" w:styleId="34">
    <w:name w:val="正文文本缩进 Char"/>
    <w:basedOn w:val="23"/>
    <w:link w:val="8"/>
    <w:autoRedefine/>
    <w:qFormat/>
    <w:uiPriority w:val="99"/>
    <w:rPr>
      <w:rFonts w:ascii="Times New Roman" w:hAnsi="Times New Roman" w:eastAsia="宋体" w:cs="Times New Roman"/>
      <w:szCs w:val="24"/>
    </w:rPr>
  </w:style>
  <w:style w:type="character" w:customStyle="1" w:styleId="35">
    <w:name w:val="批注框文本 Char"/>
    <w:basedOn w:val="23"/>
    <w:link w:val="11"/>
    <w:autoRedefine/>
    <w:semiHidden/>
    <w:qFormat/>
    <w:uiPriority w:val="99"/>
    <w:rPr>
      <w:rFonts w:ascii="Times New Roman" w:hAnsi="Times New Roman" w:eastAsia="宋体" w:cs="Times New Roman"/>
      <w:sz w:val="18"/>
      <w:szCs w:val="18"/>
    </w:rPr>
  </w:style>
  <w:style w:type="character" w:customStyle="1" w:styleId="36">
    <w:name w:val="无"/>
    <w:autoRedefine/>
    <w:qFormat/>
    <w:uiPriority w:val="99"/>
  </w:style>
  <w:style w:type="paragraph" w:customStyle="1" w:styleId="37">
    <w:name w:val="表格文字"/>
    <w:basedOn w:val="1"/>
    <w:next w:val="7"/>
    <w:autoRedefine/>
    <w:qFormat/>
    <w:uiPriority w:val="99"/>
    <w:pPr>
      <w:adjustRightInd w:val="0"/>
      <w:spacing w:line="420" w:lineRule="atLeast"/>
      <w:jc w:val="left"/>
      <w:textAlignment w:val="baseline"/>
    </w:pPr>
    <w:rPr>
      <w:kern w:val="0"/>
    </w:rPr>
  </w:style>
  <w:style w:type="paragraph" w:customStyle="1" w:styleId="38">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99"/>
    <w:rPr>
      <w:rFonts w:ascii="Times New Roman" w:hAnsi="Times New Roman" w:eastAsia="宋体" w:cs="Times New Roman"/>
      <w:sz w:val="21"/>
      <w:szCs w:val="22"/>
      <w:lang w:val="en-US" w:eastAsia="zh-CN" w:bidi="ar-SA"/>
    </w:rPr>
  </w:style>
  <w:style w:type="paragraph" w:customStyle="1" w:styleId="4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99"/>
    <w:pPr>
      <w:widowControl/>
      <w:jc w:val="left"/>
    </w:pPr>
    <w:rPr>
      <w:rFonts w:ascii="宋体" w:hAnsi="Courier New"/>
      <w:szCs w:val="21"/>
    </w:rPr>
  </w:style>
  <w:style w:type="paragraph" w:customStyle="1" w:styleId="47">
    <w:name w:val="纯文本_0_1"/>
    <w:basedOn w:val="1"/>
    <w:autoRedefine/>
    <w:qFormat/>
    <w:uiPriority w:val="99"/>
    <w:pPr>
      <w:widowControl/>
      <w:jc w:val="left"/>
    </w:pPr>
    <w:rPr>
      <w:rFonts w:ascii="宋体" w:hAnsi="Courier New"/>
      <w:szCs w:val="21"/>
    </w:rPr>
  </w:style>
  <w:style w:type="paragraph" w:customStyle="1" w:styleId="4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autoRedefine/>
    <w:qFormat/>
    <w:uiPriority w:val="0"/>
    <w:pPr>
      <w:widowControl/>
    </w:pPr>
    <w:rPr>
      <w:rFonts w:ascii="Calibri" w:hAnsi="Calibri" w:cs="宋体"/>
      <w:kern w:val="0"/>
      <w:szCs w:val="21"/>
    </w:rPr>
  </w:style>
  <w:style w:type="paragraph" w:styleId="54">
    <w:name w:val="List Paragraph"/>
    <w:basedOn w:val="1"/>
    <w:autoRedefine/>
    <w:qFormat/>
    <w:uiPriority w:val="0"/>
    <w:pPr>
      <w:ind w:firstLine="420" w:firstLineChars="200"/>
    </w:pPr>
    <w:rPr>
      <w:szCs w:val="24"/>
    </w:rPr>
  </w:style>
  <w:style w:type="paragraph" w:customStyle="1" w:styleId="55">
    <w:name w:val="纯文本1"/>
    <w:basedOn w:val="52"/>
    <w:autoRedefine/>
    <w:qFormat/>
    <w:uiPriority w:val="0"/>
    <w:pPr>
      <w:widowControl/>
      <w:jc w:val="left"/>
    </w:pPr>
    <w:rPr>
      <w:rFonts w:ascii="宋体" w:hAnsi="Courier New"/>
      <w:szCs w:val="20"/>
    </w:rPr>
  </w:style>
  <w:style w:type="character" w:customStyle="1" w:styleId="56">
    <w:name w:val="NormalCharacter"/>
    <w:autoRedefine/>
    <w:semiHidden/>
    <w:qFormat/>
    <w:uiPriority w:val="0"/>
  </w:style>
  <w:style w:type="paragraph" w:customStyle="1" w:styleId="57">
    <w:name w:val="正文2"/>
    <w:basedOn w:val="1"/>
    <w:autoRedefine/>
    <w:qFormat/>
    <w:uiPriority w:val="0"/>
    <w:pPr>
      <w:spacing w:before="156" w:line="360" w:lineRule="auto"/>
      <w:ind w:firstLine="510" w:firstLineChars="200"/>
    </w:pPr>
    <w:rPr>
      <w:sz w:val="24"/>
      <w:szCs w:val="20"/>
    </w:rPr>
  </w:style>
  <w:style w:type="paragraph" w:customStyle="1" w:styleId="58">
    <w:name w:val="Body text|1"/>
    <w:basedOn w:val="1"/>
    <w:qFormat/>
    <w:uiPriority w:val="0"/>
    <w:pPr>
      <w:widowControl w:val="0"/>
      <w:shd w:val="clear" w:color="auto" w:fill="auto"/>
      <w:spacing w:line="403" w:lineRule="auto"/>
      <w:ind w:firstLine="20"/>
    </w:pPr>
    <w:rPr>
      <w:rFonts w:ascii="MingLiU" w:hAnsi="MingLiU" w:eastAsia="MingLiU" w:cs="MingLiU"/>
      <w:sz w:val="20"/>
      <w:szCs w:val="20"/>
      <w:u w:val="none"/>
      <w:shd w:val="clear" w:color="auto" w:fill="FFFFFF"/>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22390</Words>
  <Characters>24029</Characters>
  <Lines>1</Lines>
  <Paragraphs>1</Paragraphs>
  <TotalTime>0</TotalTime>
  <ScaleCrop>false</ScaleCrop>
  <LinksUpToDate>false</LinksUpToDate>
  <CharactersWithSpaces>24297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2024-11-01T07:25:44Z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BBF5E19292A94CF4A9DB85A8D6A9A723_13</vt:lpwstr>
  </property>
  <property fmtid="{D5CDD505-2E9C-101B-9397-08002B2CF9AE}" pid="4" name="commondata">
    <vt:lpwstr>eyJoZGlkIjoiNmNiNWQzMTIyZDkyNWQ5MzYxMmQ5MTE1ZmU3YjE0M2QifQ==</vt:lpwstr>
  </property>
</Properties>
</file>