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14:paraId="69DDE911">
      <w:pPr>
        <w:pStyle w:val="2"/>
        <w:jc w:val="center"/>
        <w:rPr>
          <w:rFonts w:hint="eastAsia" w:ascii="宋体" w:hAnsi="宋体" w:eastAsia="宋体" w:cs="宋体"/>
          <w:color w:val="auto"/>
          <w:highlight w:val="none"/>
        </w:rPr>
      </w:pPr>
    </w:p>
    <w:p w14:paraId="68BBD509">
      <w:pPr>
        <w:pStyle w:val="2"/>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tzya2024-lq96</w:t>
      </w:r>
      <w:r>
        <w:rPr>
          <w:rFonts w:hint="eastAsia" w:ascii="宋体" w:hAnsi="宋体" w:eastAsia="宋体" w:cs="宋体"/>
          <w:color w:val="auto"/>
          <w:kern w:val="0"/>
          <w:sz w:val="28"/>
          <w:szCs w:val="28"/>
          <w:highlight w:val="none"/>
          <w:u w:val="single"/>
          <w:lang w:val="en-US" w:eastAsia="zh-CN"/>
        </w:rPr>
        <w:t xml:space="preserve"> </w:t>
      </w:r>
    </w:p>
    <w:p w14:paraId="5E66ADEA">
      <w:pPr>
        <w:pStyle w:val="2"/>
        <w:jc w:val="center"/>
        <w:rPr>
          <w:rFonts w:hint="eastAsia" w:ascii="宋体" w:hAnsi="宋体" w:eastAsia="宋体" w:cs="宋体"/>
          <w:color w:val="auto"/>
          <w:highlight w:val="none"/>
        </w:rPr>
      </w:pPr>
    </w:p>
    <w:p w14:paraId="7BDBAFF3">
      <w:pPr>
        <w:pStyle w:val="2"/>
        <w:jc w:val="both"/>
        <w:rPr>
          <w:rFonts w:hint="eastAsia" w:ascii="宋体" w:hAnsi="宋体" w:eastAsia="宋体" w:cs="宋体"/>
          <w:color w:val="auto"/>
          <w:highlight w:val="none"/>
        </w:rPr>
      </w:pPr>
    </w:p>
    <w:p w14:paraId="2A19EF38">
      <w:pPr>
        <w:pStyle w:val="2"/>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数字化项目运维项目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2"/>
        <w:rPr>
          <w:rFonts w:hint="eastAsia" w:ascii="宋体" w:hAnsi="宋体" w:eastAsia="宋体" w:cs="宋体"/>
          <w:color w:val="auto"/>
          <w:highlight w:val="none"/>
        </w:rPr>
      </w:pPr>
    </w:p>
    <w:p w14:paraId="3DB07839">
      <w:pPr>
        <w:pStyle w:val="2"/>
        <w:rPr>
          <w:rFonts w:hint="eastAsia" w:ascii="宋体" w:hAnsi="宋体" w:eastAsia="宋体" w:cs="宋体"/>
          <w:color w:val="auto"/>
          <w:highlight w:val="none"/>
        </w:rPr>
      </w:pPr>
    </w:p>
    <w:p w14:paraId="1CFE532B">
      <w:pPr>
        <w:pStyle w:val="2"/>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2"/>
        <w:rPr>
          <w:rFonts w:hint="eastAsia" w:ascii="宋体" w:hAnsi="宋体" w:eastAsia="宋体" w:cs="宋体"/>
          <w:color w:val="auto"/>
          <w:highlight w:val="none"/>
        </w:rPr>
      </w:pPr>
    </w:p>
    <w:p w14:paraId="2D24640F">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二四年十月</w:t>
      </w:r>
    </w:p>
    <w:p w14:paraId="185725BE">
      <w:pPr>
        <w:pStyle w:val="2"/>
        <w:jc w:val="center"/>
        <w:rPr>
          <w:rFonts w:hint="eastAsia" w:ascii="宋体" w:hAnsi="宋体" w:eastAsia="宋体" w:cs="宋体"/>
          <w:color w:val="auto"/>
          <w:kern w:val="0"/>
          <w:szCs w:val="21"/>
          <w:highlight w:val="none"/>
        </w:rPr>
      </w:pPr>
    </w:p>
    <w:p w14:paraId="5C064B3B">
      <w:pPr>
        <w:pStyle w:val="2"/>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2"/>
        <w:jc w:val="center"/>
        <w:rPr>
          <w:rFonts w:hint="eastAsia" w:ascii="宋体" w:hAnsi="宋体" w:eastAsia="宋体" w:cs="宋体"/>
          <w:color w:val="auto"/>
          <w:highlight w:val="none"/>
        </w:rPr>
      </w:pPr>
    </w:p>
    <w:p w14:paraId="042E56A3">
      <w:pPr>
        <w:pStyle w:val="2"/>
        <w:jc w:val="center"/>
        <w:rPr>
          <w:rFonts w:hint="eastAsia" w:ascii="宋体" w:hAnsi="宋体" w:eastAsia="宋体" w:cs="宋体"/>
          <w:color w:val="auto"/>
          <w:highlight w:val="none"/>
        </w:rPr>
      </w:pPr>
    </w:p>
    <w:p w14:paraId="2C8288CA">
      <w:pPr>
        <w:pStyle w:val="2"/>
        <w:jc w:val="center"/>
        <w:rPr>
          <w:rFonts w:hint="eastAsia" w:ascii="宋体" w:hAnsi="宋体" w:eastAsia="宋体" w:cs="宋体"/>
          <w:color w:val="auto"/>
          <w:highlight w:val="none"/>
        </w:rPr>
      </w:pPr>
    </w:p>
    <w:p w14:paraId="65800D02">
      <w:pPr>
        <w:pStyle w:val="2"/>
        <w:jc w:val="center"/>
        <w:rPr>
          <w:rFonts w:hint="eastAsia" w:ascii="宋体" w:hAnsi="宋体" w:eastAsia="宋体" w:cs="宋体"/>
          <w:color w:val="auto"/>
          <w:highlight w:val="none"/>
        </w:rPr>
      </w:pPr>
    </w:p>
    <w:p w14:paraId="692109DE">
      <w:pPr>
        <w:pStyle w:val="2"/>
        <w:jc w:val="center"/>
        <w:rPr>
          <w:rFonts w:hint="eastAsia" w:ascii="宋体" w:hAnsi="宋体" w:eastAsia="宋体" w:cs="宋体"/>
          <w:color w:val="auto"/>
          <w:highlight w:val="none"/>
        </w:rPr>
      </w:pPr>
    </w:p>
    <w:p w14:paraId="3ACEE434">
      <w:pPr>
        <w:pStyle w:val="2"/>
        <w:jc w:val="center"/>
        <w:rPr>
          <w:rFonts w:hint="eastAsia" w:ascii="宋体" w:hAnsi="宋体" w:eastAsia="宋体" w:cs="宋体"/>
          <w:color w:val="auto"/>
          <w:highlight w:val="none"/>
        </w:rPr>
      </w:pPr>
    </w:p>
    <w:p w14:paraId="61A06842">
      <w:pPr>
        <w:pStyle w:val="2"/>
        <w:jc w:val="center"/>
        <w:rPr>
          <w:rFonts w:hint="eastAsia" w:ascii="宋体" w:hAnsi="宋体" w:eastAsia="宋体" w:cs="宋体"/>
          <w:color w:val="auto"/>
          <w:highlight w:val="none"/>
        </w:rPr>
      </w:pPr>
    </w:p>
    <w:p w14:paraId="4D3B55B3">
      <w:pPr>
        <w:pStyle w:val="2"/>
        <w:jc w:val="center"/>
        <w:rPr>
          <w:rFonts w:hint="eastAsia" w:ascii="宋体" w:hAnsi="宋体" w:eastAsia="宋体" w:cs="宋体"/>
          <w:color w:val="auto"/>
          <w:highlight w:val="none"/>
        </w:rPr>
      </w:pPr>
    </w:p>
    <w:p w14:paraId="1B7890E4">
      <w:pPr>
        <w:pStyle w:val="2"/>
        <w:jc w:val="center"/>
        <w:rPr>
          <w:rFonts w:hint="eastAsia" w:ascii="宋体" w:hAnsi="宋体" w:eastAsia="宋体" w:cs="宋体"/>
          <w:color w:val="auto"/>
          <w:highlight w:val="none"/>
        </w:rPr>
      </w:pPr>
    </w:p>
    <w:p w14:paraId="1127D630">
      <w:pPr>
        <w:pStyle w:val="2"/>
        <w:jc w:val="center"/>
        <w:rPr>
          <w:rFonts w:hint="eastAsia" w:ascii="宋体" w:hAnsi="宋体" w:eastAsia="宋体" w:cs="宋体"/>
          <w:color w:val="auto"/>
          <w:highlight w:val="none"/>
        </w:rPr>
      </w:pPr>
    </w:p>
    <w:p w14:paraId="5F880009">
      <w:pPr>
        <w:pStyle w:val="2"/>
        <w:jc w:val="center"/>
        <w:rPr>
          <w:rFonts w:hint="eastAsia" w:ascii="宋体" w:hAnsi="宋体" w:eastAsia="宋体" w:cs="宋体"/>
          <w:color w:val="auto"/>
          <w:highlight w:val="none"/>
        </w:rPr>
      </w:pPr>
    </w:p>
    <w:p w14:paraId="1A643C10">
      <w:pPr>
        <w:pStyle w:val="2"/>
        <w:jc w:val="center"/>
        <w:rPr>
          <w:rFonts w:hint="eastAsia" w:ascii="宋体" w:hAnsi="宋体" w:eastAsia="宋体" w:cs="宋体"/>
          <w:color w:val="auto"/>
          <w:highlight w:val="none"/>
        </w:rPr>
      </w:pPr>
    </w:p>
    <w:p w14:paraId="72E7C426">
      <w:pPr>
        <w:pStyle w:val="2"/>
        <w:jc w:val="center"/>
        <w:rPr>
          <w:rFonts w:hint="eastAsia" w:ascii="宋体" w:hAnsi="宋体" w:eastAsia="宋体" w:cs="宋体"/>
          <w:color w:val="auto"/>
          <w:highlight w:val="none"/>
        </w:rPr>
      </w:pPr>
    </w:p>
    <w:p w14:paraId="304BE940">
      <w:pPr>
        <w:pStyle w:val="2"/>
        <w:jc w:val="center"/>
        <w:rPr>
          <w:rFonts w:hint="eastAsia" w:ascii="宋体" w:hAnsi="宋体" w:eastAsia="宋体" w:cs="宋体"/>
          <w:color w:val="auto"/>
          <w:highlight w:val="none"/>
        </w:rPr>
      </w:pPr>
    </w:p>
    <w:p w14:paraId="1D8907FB">
      <w:pPr>
        <w:pStyle w:val="2"/>
        <w:jc w:val="center"/>
        <w:rPr>
          <w:rFonts w:hint="eastAsia" w:ascii="宋体" w:hAnsi="宋体" w:eastAsia="宋体" w:cs="宋体"/>
          <w:color w:val="auto"/>
          <w:highlight w:val="none"/>
        </w:rPr>
      </w:pPr>
    </w:p>
    <w:p w14:paraId="44AFD141">
      <w:pPr>
        <w:pStyle w:val="2"/>
        <w:jc w:val="center"/>
        <w:rPr>
          <w:rFonts w:hint="eastAsia" w:ascii="宋体" w:hAnsi="宋体" w:eastAsia="宋体" w:cs="宋体"/>
          <w:color w:val="auto"/>
          <w:highlight w:val="none"/>
        </w:rPr>
      </w:pPr>
    </w:p>
    <w:p w14:paraId="573C318E">
      <w:pPr>
        <w:pStyle w:val="2"/>
        <w:jc w:val="center"/>
        <w:rPr>
          <w:rFonts w:hint="eastAsia" w:ascii="宋体" w:hAnsi="宋体" w:eastAsia="宋体" w:cs="宋体"/>
          <w:color w:val="auto"/>
          <w:highlight w:val="none"/>
        </w:rPr>
      </w:pPr>
    </w:p>
    <w:p w14:paraId="79E54CA4">
      <w:pPr>
        <w:pStyle w:val="2"/>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数字化项目运维项目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tzya2024-lq96</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4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33F30E5E">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数字化项目运维项目</w:t>
            </w:r>
          </w:p>
        </w:tc>
        <w:tc>
          <w:tcPr>
            <w:tcW w:w="153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42.8</w:t>
            </w:r>
          </w:p>
        </w:tc>
        <w:tc>
          <w:tcPr>
            <w:tcW w:w="1395" w:type="dxa"/>
            <w:vAlign w:val="center"/>
          </w:tcPr>
          <w:p w14:paraId="2F8DA0F8">
            <w:pPr>
              <w:tabs>
                <w:tab w:val="left" w:pos="8280"/>
              </w:tabs>
              <w:autoSpaceDE w:val="0"/>
              <w:autoSpaceDN w:val="0"/>
              <w:adjustRightInd w:val="0"/>
              <w:ind w:right="25"/>
              <w:jc w:val="both"/>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2024年10月31日14:00</w:t>
      </w:r>
      <w:r>
        <w:rPr>
          <w:rFonts w:hint="eastAsia" w:ascii="宋体" w:hAnsi="宋体" w:eastAsia="宋体" w:cs="宋体"/>
          <w:color w:val="auto"/>
          <w:sz w:val="21"/>
          <w:szCs w:val="21"/>
          <w:highlight w:val="none"/>
          <w:lang w:eastAsia="zh-CN"/>
        </w:rPr>
        <w:t>整，地点：通过“政府采购云平台（www.zcygov.cn）”实行在线投</w:t>
      </w:r>
      <w:bookmarkStart w:id="2" w:name="_GoBack"/>
      <w:bookmarkEnd w:id="2"/>
      <w:r>
        <w:rPr>
          <w:rFonts w:hint="eastAsia" w:ascii="宋体" w:hAnsi="宋体" w:eastAsia="宋体" w:cs="宋体"/>
          <w:color w:val="auto"/>
          <w:sz w:val="21"/>
          <w:szCs w:val="21"/>
          <w:highlight w:val="none"/>
          <w:lang w:eastAsia="zh-CN"/>
        </w:rPr>
        <w:t xml:space="preserve">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2024年10月31日14:00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2024年10月31日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1"/>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Cs w:val="21"/>
          <w:highlight w:val="none"/>
          <w:lang w:eastAsia="zh-CN"/>
        </w:rPr>
        <w:t>，以供应商</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lang w:eastAsia="zh-CN"/>
        </w:rPr>
        <w:t>提供质疑函的时间为提起质疑的时间</w:t>
      </w:r>
      <w:r>
        <w:rPr>
          <w:rFonts w:hint="eastAsia" w:ascii="宋体" w:hAnsi="宋体" w:eastAsia="宋体" w:cs="宋体"/>
          <w:color w:val="auto"/>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sz w:val="21"/>
          <w:szCs w:val="21"/>
          <w:highlight w:val="none"/>
        </w:rPr>
        <w:t>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6954AE9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CB875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13F681F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0BA15A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询问联系人：</w:t>
      </w:r>
      <w:r>
        <w:rPr>
          <w:rFonts w:hint="eastAsia" w:ascii="宋体" w:hAnsi="宋体" w:cs="宋体"/>
          <w:color w:val="auto"/>
          <w:sz w:val="21"/>
          <w:szCs w:val="21"/>
          <w:highlight w:val="none"/>
          <w:lang w:val="en-US" w:eastAsia="zh-CN"/>
        </w:rPr>
        <w:t>郑先生</w:t>
      </w:r>
      <w:r>
        <w:rPr>
          <w:rFonts w:hint="eastAsia" w:ascii="宋体" w:hAnsi="宋体" w:eastAsia="宋体" w:cs="宋体"/>
          <w:color w:val="auto"/>
          <w:sz w:val="21"/>
          <w:szCs w:val="21"/>
          <w:highlight w:val="none"/>
          <w:lang w:eastAsia="zh-CN"/>
        </w:rPr>
        <w:t xml:space="preserve">     询问联系电话</w:t>
      </w:r>
      <w:r>
        <w:rPr>
          <w:rFonts w:hint="eastAsia" w:ascii="宋体" w:hAnsi="宋体" w:cs="宋体"/>
          <w:color w:val="auto"/>
          <w:sz w:val="21"/>
          <w:szCs w:val="21"/>
          <w:highlight w:val="none"/>
          <w:lang w:eastAsia="zh-CN"/>
        </w:rPr>
        <w:t>：0576-82928178</w:t>
      </w:r>
    </w:p>
    <w:p w14:paraId="6A19BC9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4266DBA7">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采购人地址：</w:t>
      </w:r>
      <w:r>
        <w:rPr>
          <w:rFonts w:hint="eastAsia" w:ascii="宋体" w:hAnsi="宋体" w:cs="宋体"/>
          <w:color w:val="auto"/>
          <w:sz w:val="21"/>
          <w:szCs w:val="21"/>
          <w:highlight w:val="none"/>
          <w:lang w:val="en-US" w:eastAsia="zh-CN"/>
        </w:rPr>
        <w:t>路桥区</w:t>
      </w:r>
      <w:r>
        <w:rPr>
          <w:rFonts w:hint="eastAsia" w:ascii="宋体" w:hAnsi="宋体" w:cs="宋体"/>
          <w:color w:val="auto"/>
          <w:sz w:val="21"/>
          <w:szCs w:val="21"/>
          <w:highlight w:val="none"/>
          <w:lang w:eastAsia="zh-CN"/>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同级政府采购监督管理部门名称：台州市路桥区财政局</w:t>
      </w:r>
    </w:p>
    <w:p w14:paraId="7DB3ABB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联系人：吴女士</w:t>
      </w:r>
    </w:p>
    <w:p w14:paraId="16AA3D68">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监督投诉电话：0576-82517851</w:t>
      </w:r>
    </w:p>
    <w:p w14:paraId="4DA2E9F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地址：台州市路桥区西路桥大道58号</w:t>
      </w:r>
    </w:p>
    <w:p w14:paraId="64522158">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6AF63703">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二四年十月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29"/>
        <w:gridCol w:w="7409"/>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1"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9"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409"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1"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9"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409"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9"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409"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9"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409"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61"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9"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409"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9"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409"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1"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9" w:type="dxa"/>
            <w:vAlign w:val="center"/>
          </w:tcPr>
          <w:p w14:paraId="63057E79">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409"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2024年10月31日14:00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61"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9"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409"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2024年10月31日14:00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1"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9"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409" w:type="dxa"/>
            <w:vAlign w:val="center"/>
          </w:tcPr>
          <w:p w14:paraId="094FC67E">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61"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9"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409"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2024年10月31日14:00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1"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9"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409"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61"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9"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409"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9"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409"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61" w:type="dxa"/>
            <w:vAlign w:val="center"/>
          </w:tcPr>
          <w:p w14:paraId="78A33A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29"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409"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05FC46CB">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150C6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3911C7B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5F3A4A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157C53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23821C6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6AA75E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14CC26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728E12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0BE49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01BD8F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F021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4AD00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A553B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3804C5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46F9C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0FC92CD">
      <w:pPr>
        <w:spacing w:line="360" w:lineRule="auto"/>
        <w:ind w:firstLine="4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jc w:val="left"/>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14:paraId="5EE2637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autoSpaceDE w:val="0"/>
        <w:autoSpaceDN w:val="0"/>
        <w:adjustRightInd w:val="0"/>
        <w:spacing w:line="360" w:lineRule="auto"/>
        <w:ind w:right="85"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autoSpaceDE w:val="0"/>
        <w:autoSpaceDN w:val="0"/>
        <w:adjustRightInd w:val="0"/>
        <w:spacing w:line="360" w:lineRule="auto"/>
        <w:ind w:right="85" w:firstLine="420" w:firstLineChars="200"/>
        <w:jc w:val="left"/>
        <w:rPr>
          <w:rFonts w:hint="eastAsia" w:ascii="宋体" w:hAnsi="宋体" w:eastAsia="宋体" w:cs="宋体"/>
          <w:color w:val="auto"/>
          <w:spacing w:val="10"/>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w:t>
      </w:r>
      <w:r>
        <w:rPr>
          <w:rFonts w:hint="eastAsia" w:ascii="宋体" w:hAnsi="宋体" w:eastAsia="宋体" w:cs="宋体"/>
          <w:color w:val="auto"/>
          <w:highlight w:val="none"/>
        </w:rPr>
        <w:t>标人。</w:t>
      </w:r>
    </w:p>
    <w:p w14:paraId="2F84810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2"/>
        <w:gridCol w:w="1010"/>
        <w:gridCol w:w="6867"/>
        <w:gridCol w:w="709"/>
      </w:tblGrid>
      <w:tr w14:paraId="3428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2082" w:type="dxa"/>
            <w:gridSpan w:val="2"/>
            <w:shd w:val="clear" w:color="auto" w:fill="auto"/>
            <w:vAlign w:val="center"/>
          </w:tcPr>
          <w:p w14:paraId="2448E6F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67" w:type="dxa"/>
            <w:shd w:val="clear" w:color="auto" w:fill="auto"/>
            <w:vAlign w:val="center"/>
          </w:tcPr>
          <w:p w14:paraId="00ED6FA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9" w:type="dxa"/>
            <w:shd w:val="clear" w:color="auto" w:fill="auto"/>
            <w:vAlign w:val="center"/>
          </w:tcPr>
          <w:p w14:paraId="0415694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E53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restart"/>
            <w:shd w:val="clear" w:color="auto" w:fill="auto"/>
            <w:vAlign w:val="center"/>
          </w:tcPr>
          <w:p w14:paraId="1CF7427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55BF5A1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1010" w:type="dxa"/>
            <w:vMerge w:val="restart"/>
            <w:shd w:val="clear" w:color="auto" w:fill="auto"/>
            <w:vAlign w:val="center"/>
          </w:tcPr>
          <w:p w14:paraId="58B8E69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6867" w:type="dxa"/>
            <w:shd w:val="clear" w:color="auto" w:fill="auto"/>
            <w:vAlign w:val="center"/>
          </w:tcPr>
          <w:p w14:paraId="51E12C91">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投标人具有有效期内的质量体系认证证书、环境管理体系认证证书、职业健康安全管理体系认证证书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中国环境服务认证证书的，每具有1项证书得1分，本项最高得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774DBDE">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（须提供相关证书或证明文件</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shd w:val="clear" w:color="auto" w:fill="auto"/>
            <w:vAlign w:val="center"/>
          </w:tcPr>
          <w:p w14:paraId="0579BBA8">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7ABF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shd w:val="clear" w:color="auto" w:fill="auto"/>
            <w:vAlign w:val="center"/>
          </w:tcPr>
          <w:p w14:paraId="2EB7BEC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4AAAF76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7BCEC3F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年1月1日以来（以颁发时间为准），</w:t>
            </w:r>
            <w:r>
              <w:rPr>
                <w:rFonts w:hint="eastAsia" w:ascii="宋体" w:hAnsi="宋体" w:eastAsia="宋体" w:cs="宋体"/>
                <w:color w:val="auto"/>
                <w:sz w:val="21"/>
                <w:szCs w:val="21"/>
                <w:highlight w:val="none"/>
              </w:rPr>
              <w:t>获得过生态、环保类的数字化类相关奖项的</w:t>
            </w:r>
            <w:r>
              <w:rPr>
                <w:rFonts w:hint="eastAsia" w:ascii="宋体" w:hAnsi="宋体" w:eastAsia="宋体" w:cs="宋体"/>
                <w:color w:val="auto"/>
                <w:sz w:val="21"/>
                <w:szCs w:val="21"/>
                <w:highlight w:val="none"/>
              </w:rPr>
              <w:t>，国家级得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分，省部级得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分，市厅级得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640B0CFD">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注：只记最高项，不累计得分。</w:t>
            </w:r>
          </w:p>
          <w:p w14:paraId="5B4ECA8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（须提供奖项证书扫描件并加盖投标人公章编入投标文件中，未提供的不得分）</w:t>
            </w:r>
          </w:p>
        </w:tc>
        <w:tc>
          <w:tcPr>
            <w:tcW w:w="709" w:type="dxa"/>
            <w:shd w:val="clear" w:color="auto" w:fill="auto"/>
            <w:vAlign w:val="center"/>
          </w:tcPr>
          <w:p w14:paraId="6127A0DB">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422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3F4F316D">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6851FEF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5E005242">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生态环保类计算机软件著作权的，每提供一个得1分，最高得5分。</w:t>
            </w:r>
          </w:p>
          <w:p w14:paraId="4579AC75">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相关软著</w:t>
            </w:r>
            <w:r>
              <w:rPr>
                <w:rFonts w:hint="eastAsia" w:ascii="宋体" w:hAnsi="宋体" w:eastAsia="宋体" w:cs="宋体"/>
                <w:b/>
                <w:bCs/>
                <w:color w:val="auto"/>
                <w:sz w:val="21"/>
                <w:szCs w:val="21"/>
                <w:highlight w:val="none"/>
              </w:rPr>
              <w:t>扫描件并加盖投标人公章编入投标文件中，未提供的不得分）</w:t>
            </w:r>
          </w:p>
        </w:tc>
        <w:tc>
          <w:tcPr>
            <w:tcW w:w="709" w:type="dxa"/>
            <w:shd w:val="clear" w:color="auto" w:fill="auto"/>
            <w:vAlign w:val="center"/>
          </w:tcPr>
          <w:p w14:paraId="789FFE9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069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continue"/>
            <w:shd w:val="clear" w:color="auto" w:fill="auto"/>
            <w:vAlign w:val="center"/>
          </w:tcPr>
          <w:p w14:paraId="44EDEED6">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3617B95A">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承接经验</w:t>
            </w:r>
          </w:p>
        </w:tc>
        <w:tc>
          <w:tcPr>
            <w:tcW w:w="6867" w:type="dxa"/>
            <w:shd w:val="clear" w:color="auto" w:fill="auto"/>
            <w:vAlign w:val="center"/>
          </w:tcPr>
          <w:p w14:paraId="7C4C47B5">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年1月1日以来（以合同签订时间为准）开展过类似区域</w:t>
            </w:r>
            <w:r>
              <w:rPr>
                <w:rFonts w:hint="eastAsia" w:ascii="宋体" w:hAnsi="宋体" w:eastAsia="宋体" w:cs="宋体"/>
                <w:b w:val="0"/>
                <w:bCs w:val="0"/>
                <w:color w:val="auto"/>
                <w:sz w:val="21"/>
                <w:szCs w:val="21"/>
                <w:highlight w:val="none"/>
                <w:u w:val="none"/>
              </w:rPr>
              <w:t>数字化</w:t>
            </w:r>
            <w:r>
              <w:rPr>
                <w:rFonts w:hint="eastAsia" w:ascii="宋体" w:hAnsi="宋体" w:eastAsia="宋体" w:cs="宋体"/>
                <w:b w:val="0"/>
                <w:bCs w:val="0"/>
                <w:color w:val="auto"/>
                <w:sz w:val="21"/>
                <w:szCs w:val="21"/>
                <w:highlight w:val="none"/>
                <w:u w:val="none"/>
                <w:lang w:val="en-US" w:eastAsia="zh-CN"/>
              </w:rPr>
              <w:t>平台或区域监测设备建设（</w:t>
            </w:r>
            <w:r>
              <w:rPr>
                <w:rFonts w:hint="eastAsia" w:ascii="宋体" w:hAnsi="宋体" w:eastAsia="宋体" w:cs="宋体"/>
                <w:b w:val="0"/>
                <w:bCs w:val="0"/>
                <w:color w:val="auto"/>
                <w:sz w:val="21"/>
                <w:szCs w:val="21"/>
                <w:highlight w:val="none"/>
                <w:u w:val="none"/>
              </w:rPr>
              <w:t>运维</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rPr>
              <w:t>相关业绩，每提供1项得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FBB81E8">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（须提供相应合同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shd w:val="clear" w:color="auto" w:fill="auto"/>
            <w:vAlign w:val="center"/>
          </w:tcPr>
          <w:p w14:paraId="0434056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37BE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72" w:type="dxa"/>
            <w:vMerge w:val="continue"/>
            <w:shd w:val="clear" w:color="auto" w:fill="auto"/>
            <w:vAlign w:val="center"/>
          </w:tcPr>
          <w:p w14:paraId="30A5ADC6">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0A92A855">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项目负责人</w:t>
            </w:r>
          </w:p>
        </w:tc>
        <w:tc>
          <w:tcPr>
            <w:tcW w:w="6867" w:type="dxa"/>
            <w:shd w:val="clear" w:color="auto" w:fill="auto"/>
            <w:vAlign w:val="center"/>
          </w:tcPr>
          <w:p w14:paraId="2C89857C">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具有生态、环保相关专业教授级高级工程师职称的得3分，具有高级工程师职称的得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分，具有中级工程师职称的得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A6FBCD8">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具有环境影响评价工程师或注册环保工程师的得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FD0457">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760F878">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（须提供有效证书扫描件及投标截止时间前近3个月内在投标人单位的社保缴费证明并加盖投标人公章编入投标文件中，未提供或提供不全的不得分）</w:t>
            </w:r>
          </w:p>
        </w:tc>
        <w:tc>
          <w:tcPr>
            <w:tcW w:w="709" w:type="dxa"/>
            <w:shd w:val="clear" w:color="auto" w:fill="auto"/>
            <w:vAlign w:val="center"/>
          </w:tcPr>
          <w:p w14:paraId="18A96F5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612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6E7D4BFB">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1D2CF82F">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kern w:val="0"/>
                <w:sz w:val="21"/>
                <w:szCs w:val="21"/>
                <w:highlight w:val="none"/>
              </w:rPr>
              <w:t>（项目负责人除外）</w:t>
            </w:r>
          </w:p>
        </w:tc>
        <w:tc>
          <w:tcPr>
            <w:tcW w:w="6867" w:type="dxa"/>
            <w:shd w:val="clear" w:color="auto" w:fill="auto"/>
            <w:vAlign w:val="center"/>
          </w:tcPr>
          <w:p w14:paraId="2B2A0EBD">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具有环境科学或环境工程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环境监测与治理技术、</w:t>
            </w:r>
            <w:r>
              <w:rPr>
                <w:rFonts w:hint="eastAsia" w:ascii="宋体" w:hAnsi="宋体" w:eastAsia="宋体" w:cs="宋体"/>
                <w:color w:val="auto"/>
                <w:kern w:val="0"/>
                <w:sz w:val="21"/>
                <w:szCs w:val="21"/>
                <w:highlight w:val="none"/>
                <w:lang w:val="en-US" w:eastAsia="zh-CN"/>
              </w:rPr>
              <w:t>电子信息工程、信息安全、网络系统管理</w:t>
            </w:r>
            <w:r>
              <w:rPr>
                <w:rFonts w:hint="eastAsia" w:ascii="宋体" w:hAnsi="宋体" w:eastAsia="宋体" w:cs="宋体"/>
                <w:color w:val="auto"/>
                <w:kern w:val="0"/>
                <w:sz w:val="21"/>
                <w:szCs w:val="21"/>
                <w:highlight w:val="none"/>
              </w:rPr>
              <w:t>专业的，每具备一个专业的得1分，同一个人不重复得分，本项最高得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p>
          <w:p w14:paraId="61D7864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（须提供相关证书扫描件及投标截止时间前近3个月内在投标人单位的社保缴费证明并加盖投标人公章编入投标文件中，未提供或提供不全的不得分）</w:t>
            </w:r>
          </w:p>
        </w:tc>
        <w:tc>
          <w:tcPr>
            <w:tcW w:w="709" w:type="dxa"/>
            <w:shd w:val="clear" w:color="auto" w:fill="auto"/>
            <w:vAlign w:val="center"/>
          </w:tcPr>
          <w:p w14:paraId="29BF7D3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49B6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72" w:type="dxa"/>
            <w:vMerge w:val="continue"/>
            <w:shd w:val="clear" w:color="auto" w:fill="auto"/>
            <w:vAlign w:val="center"/>
          </w:tcPr>
          <w:p w14:paraId="3585DB98">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3A85C4B0">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p>
        </w:tc>
        <w:tc>
          <w:tcPr>
            <w:tcW w:w="6867" w:type="dxa"/>
            <w:shd w:val="clear" w:color="auto" w:fill="auto"/>
            <w:vAlign w:val="center"/>
          </w:tcPr>
          <w:p w14:paraId="4A53A0F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具有生态、环保相关专业高级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6576FF">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具有中级工程师职称的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CE53819">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本项最高得5分。</w:t>
            </w:r>
          </w:p>
          <w:p w14:paraId="7C98408E">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需提供有效证书的</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kern w:val="0"/>
                <w:sz w:val="21"/>
                <w:szCs w:val="21"/>
                <w:highlight w:val="none"/>
              </w:rPr>
              <w:t>及投标截止时间前近3个月内的社保缴费证明并加盖投标人公章编入投标文件中，未提供或提供不全的不得分</w:t>
            </w:r>
            <w:r>
              <w:rPr>
                <w:rFonts w:hint="eastAsia" w:ascii="宋体" w:hAnsi="宋体" w:eastAsia="宋体" w:cs="宋体"/>
                <w:b/>
                <w:bCs/>
                <w:color w:val="auto"/>
                <w:kern w:val="0"/>
                <w:sz w:val="21"/>
                <w:szCs w:val="21"/>
                <w:highlight w:val="none"/>
                <w:lang w:eastAsia="zh-CN"/>
              </w:rPr>
              <w:t>）</w:t>
            </w:r>
          </w:p>
        </w:tc>
        <w:tc>
          <w:tcPr>
            <w:tcW w:w="709" w:type="dxa"/>
            <w:shd w:val="clear" w:color="auto" w:fill="auto"/>
            <w:vAlign w:val="center"/>
          </w:tcPr>
          <w:p w14:paraId="1395D07A">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13C1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jc w:val="center"/>
        </w:trPr>
        <w:tc>
          <w:tcPr>
            <w:tcW w:w="1072" w:type="dxa"/>
            <w:vMerge w:val="restart"/>
            <w:shd w:val="clear" w:color="auto" w:fill="auto"/>
            <w:vAlign w:val="center"/>
          </w:tcPr>
          <w:p w14:paraId="2C4983D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654FA40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p>
        </w:tc>
        <w:tc>
          <w:tcPr>
            <w:tcW w:w="1010" w:type="dxa"/>
            <w:vMerge w:val="restart"/>
            <w:shd w:val="clear" w:color="auto" w:fill="auto"/>
            <w:vAlign w:val="center"/>
          </w:tcPr>
          <w:p w14:paraId="1A311D81">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867" w:type="dxa"/>
            <w:shd w:val="clear" w:color="auto" w:fill="auto"/>
            <w:vAlign w:val="center"/>
          </w:tcPr>
          <w:p w14:paraId="7590FF9B">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路桥区生态环境数字化监管系统、路桥区“生态环境问题发现•督察在线”贯通乡（镇、街道）系统的总体架构、网络结构、功能模块、业务流程等，尤其是对台州市生态环境局路桥分局现有环保督察信访问题整改流程、信访件处置工作情况等与督察在线相关的工作了解程度等情况进行打分。</w:t>
            </w:r>
          </w:p>
          <w:p w14:paraId="3BB9632F">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理解深刻、工作任务明确的得4.0-6.0分；</w:t>
            </w:r>
          </w:p>
          <w:p w14:paraId="2A5683E7">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理解准确、工作任务部分明确的得2.0-3.9分；</w:t>
            </w:r>
          </w:p>
          <w:p w14:paraId="1A79EB5C">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理解程度简单、工作任务片面的得0.1-1.9分；</w:t>
            </w:r>
          </w:p>
          <w:p w14:paraId="68C79C05">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7A80ABD">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3481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5D7A5D6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16BD9113">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7EE7578C">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对现有地下水水质监测系统和地表水水质监测设备的具体配置、用途等情况的了解程度进行打分。</w:t>
            </w:r>
          </w:p>
          <w:p w14:paraId="7EC83A59">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理解深刻、工作任务明确的得4.0-6.0分；</w:t>
            </w:r>
          </w:p>
          <w:p w14:paraId="648334E7">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理解准确、工作任务部分明确的得2.0-3.9分；</w:t>
            </w:r>
          </w:p>
          <w:p w14:paraId="2B88B33D">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理解程度简单、工作任务片面的得0.1-1.9分；</w:t>
            </w:r>
          </w:p>
          <w:p w14:paraId="3FBD8E47">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9" w:type="dxa"/>
            <w:shd w:val="clear" w:color="auto" w:fill="auto"/>
            <w:vAlign w:val="center"/>
          </w:tcPr>
          <w:p w14:paraId="138C9C7F">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0B2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shd w:val="clear" w:color="auto" w:fill="auto"/>
            <w:vAlign w:val="center"/>
          </w:tcPr>
          <w:p w14:paraId="1095BF3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160AA5B8">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600DEF2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rPr>
              <w:t>故障排查方案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2套地下水水质监测系统和6套地表水水质监测设备的数据</w:t>
            </w:r>
            <w:r>
              <w:rPr>
                <w:rFonts w:hint="eastAsia" w:ascii="宋体" w:hAnsi="宋体" w:eastAsia="宋体" w:cs="宋体"/>
                <w:color w:val="auto"/>
                <w:sz w:val="21"/>
                <w:szCs w:val="21"/>
                <w:highlight w:val="none"/>
              </w:rPr>
              <w:t>异常等方面是否给出详细的实时互通数据问题的故障排查方案，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给出处理建议</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266C57F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内容全面的得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277443AC">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内容基本完整但存在偏差的得</w:t>
            </w:r>
            <w:r>
              <w:rPr>
                <w:rFonts w:hint="eastAsia" w:ascii="宋体" w:hAnsi="宋体" w:eastAsia="宋体" w:cs="宋体"/>
                <w:color w:val="auto"/>
                <w:sz w:val="21"/>
                <w:szCs w:val="21"/>
                <w:highlight w:val="none"/>
                <w:lang w:val="en-US" w:eastAsia="zh-CN"/>
              </w:rPr>
              <w:t>2.0-3.9分</w:t>
            </w:r>
            <w:r>
              <w:rPr>
                <w:rFonts w:hint="eastAsia" w:ascii="宋体" w:hAnsi="宋体" w:eastAsia="宋体" w:cs="宋体"/>
                <w:color w:val="auto"/>
                <w:sz w:val="21"/>
                <w:szCs w:val="21"/>
                <w:highlight w:val="none"/>
              </w:rPr>
              <w:t>，</w:t>
            </w:r>
          </w:p>
          <w:p w14:paraId="137CC439">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内容笼统无针对细化但有所涉及的得0.1-1.9分</w:t>
            </w:r>
            <w:r>
              <w:rPr>
                <w:rFonts w:hint="eastAsia" w:ascii="宋体" w:hAnsi="宋体" w:eastAsia="宋体" w:cs="宋体"/>
                <w:color w:val="auto"/>
                <w:sz w:val="21"/>
                <w:szCs w:val="21"/>
                <w:highlight w:val="none"/>
                <w:lang w:val="en-US" w:eastAsia="zh-CN"/>
              </w:rPr>
              <w:t>；</w:t>
            </w:r>
          </w:p>
          <w:p w14:paraId="377FE06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09" w:type="dxa"/>
            <w:shd w:val="clear" w:color="auto" w:fill="auto"/>
            <w:vAlign w:val="center"/>
          </w:tcPr>
          <w:p w14:paraId="116EEF5B">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972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shd w:val="clear" w:color="auto" w:fill="auto"/>
            <w:vAlign w:val="center"/>
          </w:tcPr>
          <w:p w14:paraId="7E8FD5D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23F4592C">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w:t>
            </w:r>
            <w:r>
              <w:rPr>
                <w:rFonts w:hint="eastAsia" w:ascii="宋体" w:hAnsi="宋体" w:cs="宋体"/>
                <w:color w:val="auto"/>
                <w:sz w:val="21"/>
                <w:szCs w:val="21"/>
                <w:highlight w:val="none"/>
                <w:lang w:val="en-US" w:eastAsia="zh-CN"/>
              </w:rPr>
              <w:t>方案</w:t>
            </w:r>
          </w:p>
        </w:tc>
        <w:tc>
          <w:tcPr>
            <w:tcW w:w="6867" w:type="dxa"/>
            <w:shd w:val="clear" w:color="auto" w:fill="auto"/>
            <w:vAlign w:val="center"/>
          </w:tcPr>
          <w:p w14:paraId="5EAE003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rPr>
              <w:t>运维服务</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具体工作思路以及安排等情况进行打分。</w:t>
            </w:r>
          </w:p>
          <w:p w14:paraId="7230326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工作依据详细、合规，总体思路明确的得4.0-6.0分；</w:t>
            </w:r>
          </w:p>
          <w:p w14:paraId="78DD4B5A">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工作依据合规，思路基本明确的得2.0-3.9分；</w:t>
            </w:r>
          </w:p>
          <w:p w14:paraId="7035C2BA">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工作依据简单、缺乏严谨性，思路片面的得0.1-1.9分；</w:t>
            </w:r>
          </w:p>
          <w:p w14:paraId="21557631">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110CBF6F">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630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2" w:hRule="atLeast"/>
          <w:jc w:val="center"/>
        </w:trPr>
        <w:tc>
          <w:tcPr>
            <w:tcW w:w="1072" w:type="dxa"/>
            <w:vMerge w:val="continue"/>
            <w:shd w:val="clear" w:color="auto" w:fill="auto"/>
            <w:vAlign w:val="center"/>
          </w:tcPr>
          <w:p w14:paraId="1BD0F28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06EBEC01">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4D0A199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与浙江省生态环境问题发现·督察在线系统</w:t>
            </w:r>
            <w:r>
              <w:rPr>
                <w:rFonts w:hint="eastAsia" w:ascii="宋体" w:hAnsi="宋体" w:eastAsia="宋体" w:cs="宋体"/>
                <w:color w:val="auto"/>
                <w:sz w:val="21"/>
                <w:szCs w:val="21"/>
                <w:highlight w:val="none"/>
                <w:lang w:val="en-US" w:eastAsia="zh-CN"/>
              </w:rPr>
              <w:t>对接联网</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要求提供内容包括数据无法同步更新</w:t>
            </w: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rPr>
              <w:t>措施、省级平台更新对应</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平台更新</w:t>
            </w:r>
            <w:r>
              <w:rPr>
                <w:rFonts w:hint="eastAsia" w:ascii="宋体" w:hAnsi="宋体" w:cs="宋体"/>
                <w:color w:val="auto"/>
                <w:sz w:val="21"/>
                <w:szCs w:val="21"/>
                <w:highlight w:val="none"/>
                <w:lang w:val="en-US" w:eastAsia="zh-CN"/>
              </w:rPr>
              <w:t>的应急</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保障</w:t>
            </w:r>
            <w:r>
              <w:rPr>
                <w:rFonts w:hint="eastAsia" w:ascii="宋体" w:hAnsi="宋体" w:eastAsia="宋体" w:cs="宋体"/>
                <w:color w:val="auto"/>
                <w:sz w:val="21"/>
                <w:szCs w:val="21"/>
                <w:highlight w:val="none"/>
              </w:rPr>
              <w:t>协同处置、任务反馈正常运行</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219E4E6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w:t>
            </w:r>
            <w:bookmarkStart w:id="0" w:name="OLE_LINK1"/>
            <w:r>
              <w:rPr>
                <w:rFonts w:hint="eastAsia" w:ascii="宋体" w:hAnsi="宋体" w:cs="宋体"/>
                <w:color w:val="auto"/>
                <w:sz w:val="21"/>
                <w:szCs w:val="21"/>
                <w:highlight w:val="none"/>
                <w:lang w:val="en-US" w:eastAsia="zh-CN"/>
              </w:rPr>
              <w:t>运维</w:t>
            </w:r>
            <w:bookmarkEnd w:id="0"/>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全面科学、思路严谨、实际应用效果明显</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4.0-6.0分</w:t>
            </w:r>
            <w:r>
              <w:rPr>
                <w:rFonts w:hint="eastAsia" w:ascii="宋体" w:hAnsi="宋体" w:eastAsia="宋体" w:cs="宋体"/>
                <w:color w:val="auto"/>
                <w:sz w:val="21"/>
                <w:szCs w:val="21"/>
                <w:highlight w:val="none"/>
              </w:rPr>
              <w:t>；</w:t>
            </w:r>
          </w:p>
          <w:p w14:paraId="74BB9E5C">
            <w:pPr>
              <w:pStyle w:val="2"/>
              <w:keepNext w:val="0"/>
              <w:keepLines w:val="0"/>
              <w:pageBreakBefore w:val="0"/>
              <w:kinsoku/>
              <w:wordWrap/>
              <w:overflowPunct/>
              <w:topLinePunct w:val="0"/>
              <w:bidi w:val="0"/>
              <w:adjustRightInd/>
              <w:spacing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联网运维方案设计基本完整，实际应用效果一般的得2.0-3.9分</w:t>
            </w:r>
          </w:p>
          <w:p w14:paraId="6546FEC5">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联网运维方案</w:t>
            </w:r>
            <w:r>
              <w:rPr>
                <w:rFonts w:hint="eastAsia" w:ascii="宋体" w:hAnsi="宋体" w:eastAsia="宋体" w:cs="宋体"/>
                <w:color w:val="auto"/>
                <w:sz w:val="21"/>
                <w:szCs w:val="21"/>
                <w:highlight w:val="none"/>
              </w:rPr>
              <w:t>设计一般，实际应用效果不明显的得0.1-1.9分</w:t>
            </w:r>
            <w:r>
              <w:rPr>
                <w:rFonts w:hint="eastAsia" w:ascii="宋体" w:hAnsi="宋体" w:cs="宋体"/>
                <w:color w:val="auto"/>
                <w:sz w:val="21"/>
                <w:szCs w:val="21"/>
                <w:highlight w:val="none"/>
                <w:lang w:eastAsia="zh-CN"/>
              </w:rPr>
              <w:t>；</w:t>
            </w:r>
          </w:p>
          <w:p w14:paraId="78C0CAC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1124E06E">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r>
      <w:tr w14:paraId="5B8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72" w:type="dxa"/>
            <w:vMerge w:val="continue"/>
            <w:shd w:val="clear" w:color="auto" w:fill="auto"/>
            <w:vAlign w:val="center"/>
          </w:tcPr>
          <w:p w14:paraId="5DC8C8A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6D4D672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2832E7B1">
            <w:pPr>
              <w:keepNext w:val="0"/>
              <w:keepLines w:val="0"/>
              <w:pageBreakBefore w:val="0"/>
              <w:kinsoku/>
              <w:wordWrap/>
              <w:overflowPunct/>
              <w:topLinePunct w:val="0"/>
              <w:bidi w:val="0"/>
              <w:adjustRightIn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提供的路桥区生态环境数字化监管系统</w:t>
            </w:r>
            <w:r>
              <w:rPr>
                <w:rFonts w:hint="eastAsia" w:ascii="宋体" w:hAnsi="宋体" w:cs="宋体"/>
                <w:color w:val="auto"/>
                <w:sz w:val="21"/>
                <w:szCs w:val="21"/>
                <w:highlight w:val="none"/>
                <w:lang w:val="en-US" w:eastAsia="zh-CN"/>
              </w:rPr>
              <w:t>运维方案进行打分，要求提供内容包括如何保证数据定期更新和维护服务、台州市</w:t>
            </w:r>
            <w:r>
              <w:rPr>
                <w:rFonts w:hint="eastAsia" w:ascii="宋体" w:hAnsi="宋体" w:eastAsia="宋体" w:cs="宋体"/>
                <w:color w:val="auto"/>
                <w:sz w:val="21"/>
                <w:szCs w:val="21"/>
                <w:highlight w:val="none"/>
              </w:rPr>
              <w:t>“全生态圈”环保大脑</w:t>
            </w:r>
            <w:r>
              <w:rPr>
                <w:rFonts w:hint="eastAsia" w:ascii="宋体" w:hAnsi="宋体" w:cs="宋体"/>
                <w:color w:val="auto"/>
                <w:sz w:val="21"/>
                <w:szCs w:val="21"/>
                <w:highlight w:val="none"/>
                <w:lang w:val="en-US" w:eastAsia="zh-CN"/>
              </w:rPr>
              <w:t>模块更新对应系统平台模块更新的应急方案、保障上报的生态环境问题、督察整改等工作进度调度数据，能够正常同步上传至“全生态圈”环保大脑应用场景的应急措施等。</w:t>
            </w:r>
          </w:p>
          <w:p w14:paraId="69117166">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方案设计全面科学、思路严谨、实际应用效果明显的得</w:t>
            </w:r>
            <w:r>
              <w:rPr>
                <w:rFonts w:hint="eastAsia" w:ascii="宋体" w:hAnsi="宋体" w:eastAsia="宋体" w:cs="宋体"/>
                <w:color w:val="auto"/>
                <w:sz w:val="21"/>
                <w:szCs w:val="21"/>
                <w:highlight w:val="none"/>
                <w:lang w:val="en-US" w:eastAsia="zh-CN"/>
              </w:rPr>
              <w:t>4.0-6.0</w:t>
            </w:r>
            <w:r>
              <w:rPr>
                <w:rFonts w:hint="eastAsia" w:ascii="宋体" w:hAnsi="宋体" w:eastAsia="宋体" w:cs="宋体"/>
                <w:color w:val="auto"/>
                <w:sz w:val="21"/>
                <w:szCs w:val="21"/>
                <w:highlight w:val="none"/>
              </w:rPr>
              <w:t>分；</w:t>
            </w:r>
          </w:p>
          <w:p w14:paraId="76ACF0B7">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rPr>
              <w:t>、实际应用效果</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2.0-3.9</w:t>
            </w:r>
            <w:r>
              <w:rPr>
                <w:rFonts w:hint="eastAsia" w:ascii="宋体" w:hAnsi="宋体" w:eastAsia="宋体" w:cs="宋体"/>
                <w:color w:val="auto"/>
                <w:sz w:val="21"/>
                <w:szCs w:val="21"/>
                <w:highlight w:val="none"/>
              </w:rPr>
              <w:t>分</w:t>
            </w:r>
          </w:p>
          <w:p w14:paraId="7E1AF34C">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方案设计一般，实际应用效果不明显的得0.1-</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301C431A">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B5BADCE">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58B9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72" w:type="dxa"/>
            <w:vMerge w:val="continue"/>
            <w:shd w:val="clear" w:color="auto" w:fill="auto"/>
            <w:vAlign w:val="center"/>
          </w:tcPr>
          <w:p w14:paraId="1251E41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430FEAF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3610FF03">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提供的关</w:t>
            </w:r>
            <w:r>
              <w:rPr>
                <w:rFonts w:hint="eastAsia" w:ascii="宋体" w:hAnsi="宋体" w:eastAsia="宋体" w:cs="宋体"/>
                <w:color w:val="auto"/>
                <w:sz w:val="21"/>
                <w:szCs w:val="21"/>
                <w:highlight w:val="none"/>
              </w:rPr>
              <w:t>于政务云部署、云上业务系统日常维护等方面的操作建议，方案对实施可能遇到的问题及其应对措施的考虑情况等进行打分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B70EFC4">
            <w:pPr>
              <w:keepNext w:val="0"/>
              <w:keepLines w:val="0"/>
              <w:pageBreakBefore w:val="0"/>
              <w:kinsoku/>
              <w:wordWrap/>
              <w:overflowPunct/>
              <w:topLinePunct w:val="0"/>
              <w:bidi w:val="0"/>
              <w:adjustRightInd/>
              <w:spacing w:line="24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分析内容全面、措施有针对性的得4.0-6.0分</w:t>
            </w:r>
            <w:r>
              <w:rPr>
                <w:rFonts w:hint="eastAsia" w:ascii="宋体" w:hAnsi="宋体" w:cs="宋体"/>
                <w:color w:val="auto"/>
                <w:sz w:val="21"/>
                <w:szCs w:val="21"/>
                <w:highlight w:val="none"/>
                <w:lang w:eastAsia="zh-CN"/>
              </w:rPr>
              <w:t>；</w:t>
            </w:r>
          </w:p>
          <w:p w14:paraId="578E49F3">
            <w:pPr>
              <w:keepNext w:val="0"/>
              <w:keepLines w:val="0"/>
              <w:pageBreakBefore w:val="0"/>
              <w:kinsoku/>
              <w:wordWrap/>
              <w:overflowPunct/>
              <w:topLinePunct w:val="0"/>
              <w:bidi w:val="0"/>
              <w:adjustRightInd/>
              <w:spacing w:line="24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分析内容完整、并提出应对措施但有一定偏差的得2.0-3.9分</w:t>
            </w:r>
            <w:r>
              <w:rPr>
                <w:rFonts w:hint="eastAsia" w:ascii="宋体" w:hAnsi="宋体" w:cs="宋体"/>
                <w:color w:val="auto"/>
                <w:sz w:val="21"/>
                <w:szCs w:val="21"/>
                <w:highlight w:val="none"/>
                <w:lang w:eastAsia="zh-CN"/>
              </w:rPr>
              <w:t>；</w:t>
            </w:r>
          </w:p>
          <w:p w14:paraId="2CFF67DA">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分析内容笼统但有所涉及的得0.1-1.9分</w:t>
            </w:r>
            <w:r>
              <w:rPr>
                <w:rFonts w:hint="eastAsia" w:ascii="宋体" w:hAnsi="宋体" w:cs="宋体"/>
                <w:color w:val="auto"/>
                <w:sz w:val="21"/>
                <w:szCs w:val="21"/>
                <w:highlight w:val="none"/>
                <w:lang w:eastAsia="zh-CN"/>
              </w:rPr>
              <w:t>；</w:t>
            </w:r>
          </w:p>
          <w:p w14:paraId="5CB64187">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未提及此项不得分。 </w:t>
            </w:r>
          </w:p>
        </w:tc>
        <w:tc>
          <w:tcPr>
            <w:tcW w:w="709" w:type="dxa"/>
            <w:shd w:val="clear" w:color="auto" w:fill="auto"/>
            <w:vAlign w:val="center"/>
          </w:tcPr>
          <w:p w14:paraId="3C7605F8">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9EA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38959E1B">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03743ED3">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6867" w:type="dxa"/>
            <w:shd w:val="clear" w:color="auto" w:fill="auto"/>
            <w:vAlign w:val="center"/>
          </w:tcPr>
          <w:p w14:paraId="5D63442D">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的重点难点分析情况进行打分。</w:t>
            </w:r>
          </w:p>
          <w:p w14:paraId="3935911C">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2084A46F">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分析基本合理、内容简单的得2.0-3.9分；</w:t>
            </w:r>
          </w:p>
          <w:p w14:paraId="568A983A">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分析片面，缺乏针对性的得0.1-1.9分；</w:t>
            </w:r>
          </w:p>
          <w:p w14:paraId="3D861A8D">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3DBD1769">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01A0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3D64D40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32AD2C1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重难点解决方案</w:t>
            </w:r>
          </w:p>
        </w:tc>
        <w:tc>
          <w:tcPr>
            <w:tcW w:w="6867" w:type="dxa"/>
            <w:shd w:val="clear" w:color="auto" w:fill="auto"/>
            <w:vAlign w:val="center"/>
          </w:tcPr>
          <w:p w14:paraId="11DB1B2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根据投标人对本项目工作重难点问题</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的解决方案及采取的对应措施进行打分。</w:t>
            </w:r>
          </w:p>
          <w:p w14:paraId="7BE3D47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6D8A0CB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有处理方法但阐述不够详尽的得2.0-3.9分；</w:t>
            </w:r>
          </w:p>
          <w:p w14:paraId="21B9DEB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处理方法缺乏针对性的得0.1-1.9分；</w:t>
            </w:r>
          </w:p>
          <w:p w14:paraId="2455968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1B34F5C">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67D6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50881F3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0312D0F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质量管控</w:t>
            </w:r>
          </w:p>
        </w:tc>
        <w:tc>
          <w:tcPr>
            <w:tcW w:w="6867" w:type="dxa"/>
            <w:shd w:val="clear" w:color="auto" w:fill="auto"/>
            <w:vAlign w:val="center"/>
          </w:tcPr>
          <w:p w14:paraId="5FEB47E3">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根据投标人对本项目工作中的管理规范、内控制度、质量管控措施进行打分。</w:t>
            </w:r>
          </w:p>
          <w:p w14:paraId="3B980AEC">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方案全面，合理有保障的得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3F691A22">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方案基本合理，部分可行的得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.9分；</w:t>
            </w:r>
          </w:p>
          <w:p w14:paraId="6E6F6D3C">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措施缺乏有效性和针对性的得0.1-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.9分；</w:t>
            </w:r>
          </w:p>
          <w:p w14:paraId="08614118">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11C3F59F">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14:paraId="7E47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1AB9995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14C11353">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c>
          <w:tcPr>
            <w:tcW w:w="6867" w:type="dxa"/>
            <w:shd w:val="clear" w:color="auto" w:fill="auto"/>
            <w:vAlign w:val="center"/>
          </w:tcPr>
          <w:p w14:paraId="4E6005E2">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根据投标人依据本项目服务要求、实际需求提出的合理化建议进行打分。</w:t>
            </w:r>
          </w:p>
          <w:p w14:paraId="786099A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69425EA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建议部分有改进意义的得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F2F30B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.9分；</w:t>
            </w:r>
          </w:p>
          <w:p w14:paraId="4FD097E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624AB48">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11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shd w:val="clear" w:color="auto" w:fill="auto"/>
            <w:vAlign w:val="center"/>
          </w:tcPr>
          <w:p w14:paraId="3B7EE63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4745D7B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tc>
        <w:tc>
          <w:tcPr>
            <w:tcW w:w="6867" w:type="dxa"/>
            <w:shd w:val="clear" w:color="auto" w:fill="auto"/>
            <w:vAlign w:val="center"/>
          </w:tcPr>
          <w:p w14:paraId="3A4D287C">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根据投标人对本项目承诺的售后服务方案（包括后续技术支持、服务承诺）进行打分。</w:t>
            </w:r>
          </w:p>
          <w:p w14:paraId="09852B50">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后续技术保障措施合理有效的</w:t>
            </w:r>
            <w:r>
              <w:rPr>
                <w:rFonts w:hint="eastAsia" w:ascii="宋体" w:hAnsi="宋体" w:eastAsia="宋体" w:cs="宋体"/>
                <w:color w:val="auto"/>
                <w:spacing w:val="-4"/>
                <w:sz w:val="21"/>
                <w:szCs w:val="21"/>
                <w:highlight w:val="none"/>
              </w:rPr>
              <w:t>得</w:t>
            </w:r>
            <w:r>
              <w:rPr>
                <w:rFonts w:hint="eastAsia" w:ascii="宋体" w:hAnsi="宋体" w:cs="宋体"/>
                <w:color w:val="auto"/>
                <w:spacing w:val="-4"/>
                <w:sz w:val="21"/>
                <w:szCs w:val="21"/>
                <w:highlight w:val="none"/>
                <w:lang w:val="en-US" w:eastAsia="zh-CN"/>
              </w:rPr>
              <w:t>1.0-2.0</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w:t>
            </w:r>
          </w:p>
          <w:p w14:paraId="301A58B2">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服务方案阐述较详尽，后续技术保障措施有欠缺的</w:t>
            </w:r>
            <w:r>
              <w:rPr>
                <w:rFonts w:hint="eastAsia" w:ascii="宋体" w:hAnsi="宋体" w:eastAsia="宋体" w:cs="宋体"/>
                <w:color w:val="auto"/>
                <w:spacing w:val="-4"/>
                <w:sz w:val="21"/>
                <w:szCs w:val="21"/>
                <w:highlight w:val="none"/>
              </w:rPr>
              <w:t>得0.1-</w:t>
            </w:r>
            <w:r>
              <w:rPr>
                <w:rFonts w:hint="eastAsia" w:ascii="宋体" w:hAnsi="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3A40FB8C">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未提及此项不得分</w:t>
            </w:r>
            <w:r>
              <w:rPr>
                <w:rFonts w:hint="eastAsia" w:ascii="宋体" w:hAnsi="宋体" w:eastAsia="宋体" w:cs="宋体"/>
                <w:color w:val="auto"/>
                <w:sz w:val="21"/>
                <w:szCs w:val="21"/>
                <w:highlight w:val="none"/>
              </w:rPr>
              <w:t>。</w:t>
            </w:r>
          </w:p>
        </w:tc>
        <w:tc>
          <w:tcPr>
            <w:tcW w:w="709" w:type="dxa"/>
            <w:shd w:val="clear" w:color="auto" w:fill="auto"/>
            <w:vAlign w:val="center"/>
          </w:tcPr>
          <w:p w14:paraId="29F9DFB0">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r>
      <w:tr w14:paraId="039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72" w:type="dxa"/>
            <w:vMerge w:val="continue"/>
            <w:shd w:val="clear" w:color="auto" w:fill="auto"/>
            <w:vAlign w:val="center"/>
          </w:tcPr>
          <w:p w14:paraId="5E0D783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0A1E2A3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18505E03">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根据投标人对本项目承诺的响应情况进行打分。</w:t>
            </w:r>
          </w:p>
          <w:p w14:paraId="5F58F42E">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承诺在2小时内（含）到达现场的得</w:t>
            </w:r>
            <w:r>
              <w:rPr>
                <w:rFonts w:hint="eastAsia" w:ascii="宋体" w:hAnsi="宋体" w:eastAsia="宋体" w:cs="宋体"/>
                <w:color w:val="auto"/>
                <w:spacing w:val="-4"/>
                <w:sz w:val="21"/>
                <w:szCs w:val="21"/>
                <w:highlight w:val="none"/>
                <w:lang w:val="en-US" w:eastAsia="zh-CN"/>
              </w:rPr>
              <w:t>2分</w:t>
            </w:r>
            <w:r>
              <w:rPr>
                <w:rFonts w:hint="eastAsia" w:ascii="宋体" w:hAnsi="宋体" w:eastAsia="宋体" w:cs="宋体"/>
                <w:color w:val="auto"/>
                <w:spacing w:val="-4"/>
                <w:sz w:val="21"/>
                <w:szCs w:val="21"/>
                <w:highlight w:val="none"/>
              </w:rPr>
              <w:t>；</w:t>
            </w:r>
          </w:p>
          <w:p w14:paraId="4F44D604">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-4小时内（含）到达现场的得</w:t>
            </w:r>
            <w:r>
              <w:rPr>
                <w:rFonts w:hint="eastAsia" w:ascii="宋体" w:hAnsi="宋体" w:eastAsia="宋体" w:cs="宋体"/>
                <w:color w:val="auto"/>
                <w:spacing w:val="-4"/>
                <w:sz w:val="21"/>
                <w:szCs w:val="21"/>
                <w:highlight w:val="none"/>
                <w:lang w:val="en-US" w:eastAsia="zh-CN"/>
              </w:rPr>
              <w:t>1分</w:t>
            </w:r>
            <w:r>
              <w:rPr>
                <w:rFonts w:hint="eastAsia" w:ascii="宋体" w:hAnsi="宋体" w:eastAsia="宋体" w:cs="宋体"/>
                <w:color w:val="auto"/>
                <w:spacing w:val="-4"/>
                <w:sz w:val="21"/>
                <w:szCs w:val="21"/>
                <w:highlight w:val="none"/>
              </w:rPr>
              <w:t>；</w:t>
            </w:r>
          </w:p>
          <w:p w14:paraId="7057647F">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0.5</w:t>
            </w:r>
            <w:r>
              <w:rPr>
                <w:rFonts w:hint="eastAsia" w:ascii="宋体" w:hAnsi="宋体" w:eastAsia="宋体" w:cs="宋体"/>
                <w:color w:val="auto"/>
                <w:spacing w:val="-4"/>
                <w:sz w:val="21"/>
                <w:szCs w:val="21"/>
                <w:highlight w:val="none"/>
              </w:rPr>
              <w:t>分；</w:t>
            </w:r>
          </w:p>
          <w:p w14:paraId="796582BA">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超过</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小时到达现场的或未提及此项不得分</w:t>
            </w:r>
            <w:r>
              <w:rPr>
                <w:rFonts w:hint="eastAsia" w:ascii="宋体" w:hAnsi="宋体" w:eastAsia="宋体" w:cs="宋体"/>
                <w:color w:val="auto"/>
                <w:sz w:val="21"/>
                <w:szCs w:val="21"/>
                <w:highlight w:val="none"/>
              </w:rPr>
              <w:t>。</w:t>
            </w:r>
          </w:p>
        </w:tc>
        <w:tc>
          <w:tcPr>
            <w:tcW w:w="709" w:type="dxa"/>
            <w:shd w:val="clear" w:color="auto" w:fill="auto"/>
            <w:vAlign w:val="center"/>
          </w:tcPr>
          <w:p w14:paraId="04A08DB7">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1D81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082" w:type="dxa"/>
            <w:gridSpan w:val="2"/>
            <w:shd w:val="clear" w:color="auto" w:fill="auto"/>
            <w:vAlign w:val="center"/>
          </w:tcPr>
          <w:p w14:paraId="2A4070A9">
            <w:pPr>
              <w:keepLines w:val="0"/>
              <w:pageBreakBefore w:val="0"/>
              <w:kinsoku/>
              <w:wordWrap/>
              <w:overflowPunct/>
              <w:topLinePunct w:val="0"/>
              <w:bidi w:val="0"/>
              <w:spacing w:beforeAutospacing="0" w:afterAutospacing="0"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3BEFA36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Style w:val="55"/>
                <w:rFonts w:hint="eastAsia" w:ascii="宋体" w:hAnsi="宋体" w:eastAsia="宋体" w:cs="宋体"/>
                <w:color w:val="auto"/>
                <w:kern w:val="0"/>
                <w:sz w:val="21"/>
                <w:szCs w:val="21"/>
                <w:highlight w:val="none"/>
              </w:rPr>
              <w:t>（</w:t>
            </w:r>
            <w:r>
              <w:rPr>
                <w:rStyle w:val="55"/>
                <w:rFonts w:hint="eastAsia" w:ascii="宋体" w:hAnsi="宋体" w:cs="宋体"/>
                <w:color w:val="auto"/>
                <w:kern w:val="0"/>
                <w:sz w:val="21"/>
                <w:szCs w:val="21"/>
                <w:highlight w:val="none"/>
                <w:lang w:val="en-US" w:eastAsia="zh-CN"/>
              </w:rPr>
              <w:t>1</w:t>
            </w:r>
            <w:r>
              <w:rPr>
                <w:rStyle w:val="55"/>
                <w:rFonts w:hint="eastAsia" w:ascii="宋体" w:hAnsi="宋体" w:eastAsia="宋体" w:cs="宋体"/>
                <w:color w:val="auto"/>
                <w:kern w:val="0"/>
                <w:sz w:val="21"/>
                <w:szCs w:val="21"/>
                <w:highlight w:val="none"/>
              </w:rPr>
              <w:t>0分）</w:t>
            </w:r>
          </w:p>
        </w:tc>
        <w:tc>
          <w:tcPr>
            <w:tcW w:w="6867" w:type="dxa"/>
            <w:shd w:val="clear" w:color="auto" w:fill="auto"/>
            <w:vAlign w:val="center"/>
          </w:tcPr>
          <w:p w14:paraId="0ABC2F6A">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647E89F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09" w:type="dxa"/>
            <w:shd w:val="clear" w:color="auto" w:fill="auto"/>
            <w:vAlign w:val="center"/>
          </w:tcPr>
          <w:p w14:paraId="339B2E25">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14:paraId="2DF12639">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2"/>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7724633">
      <w:pPr>
        <w:spacing w:line="360" w:lineRule="auto"/>
        <w:jc w:val="center"/>
        <w:outlineLvl w:val="0"/>
        <w:rPr>
          <w:rFonts w:hint="eastAsia" w:ascii="宋体" w:hAnsi="宋体" w:eastAsia="宋体" w:cs="宋体"/>
          <w:b/>
          <w:color w:val="auto"/>
          <w:sz w:val="24"/>
          <w:highlight w:val="none"/>
        </w:rPr>
      </w:pPr>
      <w:bookmarkStart w:id="1" w:name="_Toc98821986"/>
      <w:r>
        <w:rPr>
          <w:rFonts w:hint="eastAsia" w:ascii="宋体" w:hAnsi="宋体" w:eastAsia="宋体" w:cs="宋体"/>
          <w:b/>
          <w:color w:val="auto"/>
          <w:sz w:val="36"/>
          <w:szCs w:val="36"/>
          <w:highlight w:val="none"/>
        </w:rPr>
        <w:t>第四章 公开招标需求</w:t>
      </w:r>
    </w:p>
    <w:p w14:paraId="01024512">
      <w:pPr>
        <w:pStyle w:val="5"/>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概述</w:t>
      </w:r>
    </w:p>
    <w:p w14:paraId="31910132">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本项目包括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套业务子系统或</w:t>
      </w:r>
      <w:r>
        <w:rPr>
          <w:rFonts w:hint="eastAsia" w:ascii="宋体" w:hAnsi="宋体" w:eastAsia="宋体" w:cs="宋体"/>
          <w:color w:val="auto"/>
          <w:sz w:val="21"/>
          <w:szCs w:val="21"/>
          <w:highlight w:val="none"/>
          <w:lang w:val="en-US" w:eastAsia="zh-CN"/>
        </w:rPr>
        <w:t>平台以及对应硬件</w:t>
      </w:r>
      <w:r>
        <w:rPr>
          <w:rFonts w:hint="eastAsia" w:ascii="宋体" w:hAnsi="宋体" w:eastAsia="宋体" w:cs="宋体"/>
          <w:color w:val="auto"/>
          <w:sz w:val="21"/>
          <w:szCs w:val="21"/>
          <w:highlight w:val="none"/>
        </w:rPr>
        <w:t>的运维工作</w:t>
      </w:r>
      <w:r>
        <w:rPr>
          <w:rFonts w:hint="eastAsia" w:ascii="宋体" w:hAnsi="宋体" w:eastAsia="宋体" w:cs="宋体"/>
          <w:color w:val="auto"/>
          <w:sz w:val="21"/>
          <w:szCs w:val="21"/>
          <w:highlight w:val="none"/>
          <w:lang w:val="en-US" w:eastAsia="zh-CN"/>
        </w:rPr>
        <w:t>,主要包括</w:t>
      </w:r>
      <w:r>
        <w:rPr>
          <w:rFonts w:hint="eastAsia" w:ascii="宋体" w:hAnsi="宋体" w:eastAsia="宋体" w:cs="宋体"/>
          <w:color w:val="auto"/>
          <w:sz w:val="21"/>
          <w:szCs w:val="21"/>
          <w:highlight w:val="none"/>
        </w:rPr>
        <w:t>路桥区生态环境数字化监管系统、路桥区“生态环境问题发现·督察在线”贯通乡(镇、街道)系统运维，2套地下水水质监测系统和6套地表水水质监测设备的日常运维和故障处置服务，提供云主机资源、云安全服务、二级等保测评，通过规范有序的运维管理，保障各类业务系统的正常稳定运行。</w:t>
      </w:r>
    </w:p>
    <w:p w14:paraId="0EB71426">
      <w:pPr>
        <w:pStyle w:val="5"/>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项目内容</w:t>
      </w:r>
    </w:p>
    <w:p w14:paraId="1A453997">
      <w:pPr>
        <w:pageBreakBefore w:val="0"/>
        <w:kinsoku/>
        <w:wordWrap/>
        <w:overflowPunct/>
        <w:topLinePunct w:val="0"/>
        <w:bidi w:val="0"/>
        <w:snapToGrid/>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路桥区生态环境数字化监管系统运维服务</w:t>
      </w:r>
    </w:p>
    <w:p w14:paraId="435E9809">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态环境数据服务：确保生态环境数据“一套标准”的准确性和一致性，提供各类监测数据、污染源智能化档案的定期更新和维护服务，确保信息的实时性和准确性，维持数据的高标准质量，以支持精准监管。</w:t>
      </w:r>
    </w:p>
    <w:p w14:paraId="0E5ADBE4">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（2）系统功能维护服务：提供定期系统功能维护服务，确保路桥区生态环境数字化监管系统（含浙里办、浙政钉）稳定运行，及时发现并解决系统故障，保持系统的高效运转。</w:t>
      </w:r>
    </w:p>
    <w:p w14:paraId="7CE04852">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（3）性能优化与升级服务：根据系统运行情况和用户反馈，不断优化系统性能，规划和实施必要的系统升级，以适应不断变化的业务需求和技术发展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服务包括功能变动时的政务云部署、云上业务系统日常维护等方面</w:t>
      </w:r>
      <w:r>
        <w:rPr>
          <w:rFonts w:hint="eastAsia" w:ascii="宋体" w:hAnsi="宋体" w:eastAsia="宋体" w:cs="宋体"/>
          <w:color w:val="auto"/>
          <w:sz w:val="21"/>
          <w:szCs w:val="21"/>
          <w:highlight w:val="none"/>
        </w:rPr>
        <w:t>。</w:t>
      </w:r>
    </w:p>
    <w:p w14:paraId="3379E308">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（4）应急响应服务：提供7*24小时应急响应服务，确保在系统出现重大故障时能够迅速响应并恢复服务，最小化对业务的影响。</w:t>
      </w:r>
    </w:p>
    <w:p w14:paraId="2ECEC7F2">
      <w:pPr>
        <w:pageBreakBefore w:val="0"/>
        <w:kinsoku/>
        <w:wordWrap/>
        <w:overflowPunct/>
        <w:topLinePunct w:val="0"/>
        <w:bidi w:val="0"/>
        <w:snapToGrid/>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路桥区“生态环境问题发现•督察在线”贯通乡（镇、街道）系统运维服务</w:t>
      </w:r>
    </w:p>
    <w:p w14:paraId="181734F1">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（1）督察业务数据服务：提供科技监测数据、公众监督数据、河长巡查数据和镇街道基层治理四平台等数据协同共享服务，确保生态环境问题主动发现的督察“智库”数据的实时性和准确性。</w:t>
      </w:r>
    </w:p>
    <w:p w14:paraId="142AF165">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功能维护服务：提供定期系统功能维护服务，确保路桥区“生态环境问题发现•督察在线”贯通乡（镇、街道）系统（含大屏端、工作台、浙政钉、浙里办）稳定运行，及时发现并解决系统故障，保持系统的高效运转。</w:t>
      </w:r>
    </w:p>
    <w:p w14:paraId="10B28152">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（3）性能优化与升级服务：根据系统运行情况和用户反馈，不断优化系统性能，规划和实施必要的系统升级，以适应不断变化的业务需求和技术发展。</w:t>
      </w:r>
      <w:r>
        <w:rPr>
          <w:rFonts w:hint="eastAsia" w:ascii="宋体" w:hAnsi="宋体" w:eastAsia="宋体" w:cs="宋体"/>
          <w:color w:val="auto"/>
          <w:sz w:val="21"/>
          <w:szCs w:val="21"/>
          <w:highlight w:val="none"/>
          <w:lang w:val="en-US" w:eastAsia="zh-CN"/>
        </w:rPr>
        <w:t>服务包括功能变动时的政务云部署、云上业务系统日常维护等方面</w:t>
      </w:r>
      <w:r>
        <w:rPr>
          <w:rFonts w:hint="eastAsia" w:ascii="宋体" w:hAnsi="宋体" w:eastAsia="宋体" w:cs="宋体"/>
          <w:color w:val="auto"/>
          <w:sz w:val="21"/>
          <w:szCs w:val="21"/>
          <w:highlight w:val="none"/>
        </w:rPr>
        <w:t>。</w:t>
      </w:r>
    </w:p>
    <w:p w14:paraId="337EE411">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（4）应急响应服务：提供7*24小时应急响应服务，确保在系统出现重大故障时能够迅速响应并恢复服务，最小化对业务的影响。</w:t>
      </w:r>
    </w:p>
    <w:p w14:paraId="5464CAF0">
      <w:pPr>
        <w:pStyle w:val="20"/>
        <w:pageBreakBefore w:val="0"/>
        <w:kinsoku/>
        <w:wordWrap/>
        <w:overflowPunct/>
        <w:topLinePunct w:val="0"/>
        <w:bidi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（三）水质监测设备运维要求</w:t>
      </w:r>
    </w:p>
    <w:p w14:paraId="5D0262CF">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1、运维站点数量：8个（详细站点信息见下表）</w:t>
      </w:r>
    </w:p>
    <w:p w14:paraId="58BB46EC">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2、运维服务内容：</w:t>
      </w:r>
    </w:p>
    <w:p w14:paraId="119CCECC">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（1）远程维护要求：</w:t>
      </w:r>
    </w:p>
    <w:p w14:paraId="6E71B004">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每日对水质监测数据和设备运行状况进行远程监视，对站点运行情况进行诊断和运行管理，根据运维工作需要，对运维人员进行调度；</w:t>
      </w:r>
    </w:p>
    <w:p w14:paraId="30E1AD8E">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（2）每周例行巡检：</w:t>
      </w:r>
    </w:p>
    <w:p w14:paraId="105B1282">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①检查电路系统是否正常，接地线路是否可靠，检查采样和排液管路是否有漏液或堵塞现象，排水装置工作是否正常；</w:t>
      </w:r>
    </w:p>
    <w:p w14:paraId="73C942EA">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②检查采配水单元是否正常；</w:t>
      </w:r>
    </w:p>
    <w:p w14:paraId="3700F713">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③定期清洗采配水系统，包括采水头、泵体、测量池、阀门、管路等，对于无法清洗干净的须及时更换；</w:t>
      </w:r>
    </w:p>
    <w:p w14:paraId="38CD1CDE">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④检查工控机运行状态，检查上传至平台数据和现场数据的一致性，检查仪器与系统的通讯线路是否正常；</w:t>
      </w:r>
    </w:p>
    <w:p w14:paraId="013ABDBA">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⑤查看分析仪器及辅助设备的运行状态和主要技术参数，判断运行是否正常，对于电极故障的传感器须及时更换；</w:t>
      </w:r>
    </w:p>
    <w:p w14:paraId="3C7AC47E">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⑥检查有无漏液，进样管路中是否有气泡存在，如有及时将气泡排出；</w:t>
      </w:r>
    </w:p>
    <w:p w14:paraId="1D384BAA">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⑦检查防雷设施是否可靠，机柜是否有漏水现象，机柜外围的其他设施是否有损坏，如遇到以上问题及时处理，保证水站系统安全运行。</w:t>
      </w:r>
    </w:p>
    <w:p w14:paraId="2F899EB7">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（3）定期养护</w:t>
      </w:r>
    </w:p>
    <w:p w14:paraId="2A9D3D48">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①依据水质状况、环境条件和分析仪器的要求，做到定期更换易耗品；对使用期限有规定的备品备件，必须严格按使用规定期限予以更换；</w:t>
      </w:r>
    </w:p>
    <w:p w14:paraId="4BDBC60A">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②根据设备运行状况，在规定的时间对仪器设备进行预防性检修；</w:t>
      </w:r>
    </w:p>
    <w:p w14:paraId="6E5F784D">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③每月至少进行一次设备校准；</w:t>
      </w:r>
    </w:p>
    <w:p w14:paraId="146ABBA5">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④每月至少检查一次空气压缩机气泵的工作状况；</w:t>
      </w:r>
    </w:p>
    <w:p w14:paraId="4565AA4B">
      <w:pPr>
        <w:pStyle w:val="20"/>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⑤每月至少清洗一次水质监测传感器以及采配水单元的取水管路、测量池、配水管路等部件。</w:t>
      </w:r>
    </w:p>
    <w:p w14:paraId="4DD42895">
      <w:pPr>
        <w:pageBreakBefore w:val="0"/>
        <w:kinsoku/>
        <w:wordWrap/>
        <w:overflowPunct/>
        <w:topLinePunct w:val="0"/>
        <w:bidi w:val="0"/>
        <w:adjustRightInd/>
        <w:snapToGrid/>
        <w:spacing w:line="360" w:lineRule="auto"/>
        <w:ind w:lef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表4-1  运维站点信息表</w:t>
      </w:r>
    </w:p>
    <w:tbl>
      <w:tblPr>
        <w:tblStyle w:val="22"/>
        <w:tblpPr w:leftFromText="180" w:rightFromText="180" w:vertAnchor="text" w:tblpXSpec="center" w:tblpY="1"/>
        <w:tblOverlap w:val="never"/>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07"/>
        <w:gridCol w:w="1478"/>
        <w:gridCol w:w="2975"/>
        <w:gridCol w:w="1203"/>
      </w:tblGrid>
      <w:tr w14:paraId="375A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55" w:type="dxa"/>
            <w:noWrap w:val="0"/>
            <w:vAlign w:val="center"/>
          </w:tcPr>
          <w:p w14:paraId="0893CF14">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807" w:type="dxa"/>
            <w:noWrap w:val="0"/>
            <w:vAlign w:val="center"/>
          </w:tcPr>
          <w:p w14:paraId="37D33E25">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站点名称</w:t>
            </w:r>
          </w:p>
        </w:tc>
        <w:tc>
          <w:tcPr>
            <w:tcW w:w="1478" w:type="dxa"/>
            <w:noWrap w:val="0"/>
            <w:vAlign w:val="center"/>
          </w:tcPr>
          <w:p w14:paraId="1D54ECCD">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监测类型</w:t>
            </w:r>
          </w:p>
        </w:tc>
        <w:tc>
          <w:tcPr>
            <w:tcW w:w="2975" w:type="dxa"/>
            <w:noWrap w:val="0"/>
            <w:vAlign w:val="center"/>
          </w:tcPr>
          <w:p w14:paraId="666C5663">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仪器配置</w:t>
            </w:r>
          </w:p>
        </w:tc>
        <w:tc>
          <w:tcPr>
            <w:tcW w:w="1203" w:type="dxa"/>
            <w:noWrap w:val="0"/>
            <w:vAlign w:val="center"/>
          </w:tcPr>
          <w:p w14:paraId="1A678BAA">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建设时间</w:t>
            </w:r>
          </w:p>
        </w:tc>
      </w:tr>
      <w:tr w14:paraId="78FB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C4ED6F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07" w:type="dxa"/>
            <w:noWrap w:val="0"/>
            <w:vAlign w:val="center"/>
          </w:tcPr>
          <w:p w14:paraId="55B73E26">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桥头新星村</w:t>
            </w:r>
          </w:p>
        </w:tc>
        <w:tc>
          <w:tcPr>
            <w:tcW w:w="1478" w:type="dxa"/>
            <w:noWrap w:val="0"/>
            <w:vAlign w:val="center"/>
          </w:tcPr>
          <w:p w14:paraId="31996D5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4EB58B9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50A25A4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7D2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0833A280">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07" w:type="dxa"/>
            <w:noWrap w:val="0"/>
            <w:vAlign w:val="center"/>
          </w:tcPr>
          <w:p w14:paraId="2EF0E75C">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百新东路站</w:t>
            </w:r>
          </w:p>
        </w:tc>
        <w:tc>
          <w:tcPr>
            <w:tcW w:w="1478" w:type="dxa"/>
            <w:noWrap w:val="0"/>
            <w:vAlign w:val="center"/>
          </w:tcPr>
          <w:p w14:paraId="4EABBC0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303A7C7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3EF0547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6CDD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7A85F8D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807" w:type="dxa"/>
            <w:noWrap w:val="0"/>
            <w:vAlign w:val="center"/>
          </w:tcPr>
          <w:p w14:paraId="1FF3FD60">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新中村桥</w:t>
            </w:r>
          </w:p>
        </w:tc>
        <w:tc>
          <w:tcPr>
            <w:tcW w:w="1478" w:type="dxa"/>
            <w:noWrap w:val="0"/>
            <w:vAlign w:val="center"/>
          </w:tcPr>
          <w:p w14:paraId="43C8EC0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56791D0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45B7CEA0">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398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0ADE1D3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07" w:type="dxa"/>
            <w:noWrap w:val="0"/>
            <w:vAlign w:val="center"/>
          </w:tcPr>
          <w:p w14:paraId="6E1BF84A">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南新市大桥</w:t>
            </w:r>
          </w:p>
        </w:tc>
        <w:tc>
          <w:tcPr>
            <w:tcW w:w="1478" w:type="dxa"/>
            <w:noWrap w:val="0"/>
            <w:vAlign w:val="center"/>
          </w:tcPr>
          <w:p w14:paraId="6D4CF0A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732B9FA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0D0CA83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68FE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C480C2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07" w:type="dxa"/>
            <w:noWrap w:val="0"/>
            <w:vAlign w:val="center"/>
          </w:tcPr>
          <w:p w14:paraId="656321FB">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马家堂桥</w:t>
            </w:r>
          </w:p>
        </w:tc>
        <w:tc>
          <w:tcPr>
            <w:tcW w:w="1478" w:type="dxa"/>
            <w:noWrap w:val="0"/>
            <w:vAlign w:val="center"/>
          </w:tcPr>
          <w:p w14:paraId="1D3DC0B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2E386A7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4B2687F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FC0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49D7D3C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807" w:type="dxa"/>
            <w:noWrap w:val="0"/>
            <w:vAlign w:val="center"/>
          </w:tcPr>
          <w:p w14:paraId="11335BB7">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下里山桥</w:t>
            </w:r>
          </w:p>
        </w:tc>
        <w:tc>
          <w:tcPr>
            <w:tcW w:w="1478" w:type="dxa"/>
            <w:noWrap w:val="0"/>
            <w:vAlign w:val="center"/>
          </w:tcPr>
          <w:p w14:paraId="3CF6057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2046281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5A51114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837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5" w:type="dxa"/>
            <w:noWrap w:val="0"/>
            <w:vAlign w:val="center"/>
          </w:tcPr>
          <w:p w14:paraId="34DB714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807" w:type="dxa"/>
            <w:noWrap w:val="0"/>
            <w:vAlign w:val="center"/>
          </w:tcPr>
          <w:p w14:paraId="7017441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台州农垦场</w:t>
            </w:r>
          </w:p>
        </w:tc>
        <w:tc>
          <w:tcPr>
            <w:tcW w:w="1478" w:type="dxa"/>
            <w:noWrap w:val="0"/>
            <w:vAlign w:val="center"/>
          </w:tcPr>
          <w:p w14:paraId="654A3C3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1DE34B0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04380E5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1395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5" w:type="dxa"/>
            <w:noWrap w:val="0"/>
            <w:vAlign w:val="center"/>
          </w:tcPr>
          <w:p w14:paraId="4C7073E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807" w:type="dxa"/>
            <w:noWrap w:val="0"/>
            <w:vAlign w:val="center"/>
          </w:tcPr>
          <w:p w14:paraId="2B4D130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新市变电站</w:t>
            </w:r>
          </w:p>
        </w:tc>
        <w:tc>
          <w:tcPr>
            <w:tcW w:w="1478" w:type="dxa"/>
            <w:noWrap w:val="0"/>
            <w:vAlign w:val="center"/>
          </w:tcPr>
          <w:p w14:paraId="29BB6F8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38E4FF0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65B2C95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bl>
    <w:p w14:paraId="6FD6DE23">
      <w:pPr>
        <w:pageBreakBefore w:val="0"/>
        <w:kinsoku/>
        <w:wordWrap/>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p>
    <w:p w14:paraId="6299CAD2">
      <w:pPr>
        <w:pStyle w:val="5"/>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三、项目成果</w:t>
      </w:r>
    </w:p>
    <w:p w14:paraId="4B75871E">
      <w:pPr>
        <w:pStyle w:val="27"/>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路桥区生态环境数字化监管系统运维季度运维报告、路桥区“生态环境问题发现•督察在线”贯通乡（镇、街道）系统季度运维报告、水质监测设备运维年度报告。</w:t>
      </w:r>
    </w:p>
    <w:p w14:paraId="121B08AB">
      <w:pPr>
        <w:pStyle w:val="27"/>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14:paraId="35CF912E">
      <w:pPr>
        <w:pStyle w:val="5"/>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rPr>
        <w:t>、其他要求：</w:t>
      </w:r>
    </w:p>
    <w:p w14:paraId="7411418B">
      <w:pPr>
        <w:pStyle w:val="7"/>
        <w:pageBreakBefore w:val="0"/>
        <w:widowControl w:val="0"/>
        <w:kinsoku/>
        <w:wordWrap/>
        <w:overflowPunct/>
        <w:topLinePunct w:val="0"/>
        <w:bidi w:val="0"/>
        <w:snapToGrid/>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1、服务期限：</w:t>
      </w:r>
      <w:r>
        <w:rPr>
          <w:rFonts w:hint="eastAsia" w:ascii="宋体" w:hAnsi="宋体" w:eastAsia="宋体" w:cs="宋体"/>
          <w:b w:val="0"/>
          <w:bCs w:val="0"/>
          <w:color w:val="auto"/>
          <w:sz w:val="21"/>
          <w:szCs w:val="21"/>
          <w:highlight w:val="none"/>
          <w:lang w:val="en-US" w:eastAsia="zh-CN"/>
        </w:rPr>
        <w:t>本次维护服务项目期限为1年，从合同签订之日算起。</w:t>
      </w:r>
    </w:p>
    <w:p w14:paraId="37C289B9">
      <w:pPr>
        <w:pStyle w:val="7"/>
        <w:pageBreakBefore w:val="0"/>
        <w:widowControl w:val="0"/>
        <w:kinsoku/>
        <w:wordWrap/>
        <w:overflowPunct/>
        <w:topLinePunct w:val="0"/>
        <w:bidi w:val="0"/>
        <w:snapToGrid/>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2、付款方式：签订合同后，在合同生效以及具备实施条件后7个工作日内支付合同金额的</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0%作为预付款，其余款项在项目结束后一次性付清。中标方根据付款条件开具增值税发票，采购方收到中标方提供的增值税发票后支付。</w:t>
      </w:r>
    </w:p>
    <w:p w14:paraId="749F82F5">
      <w:pPr>
        <w:rPr>
          <w:color w:val="auto"/>
          <w:highlight w:val="none"/>
        </w:rPr>
      </w:pPr>
    </w:p>
    <w:p w14:paraId="5FB8E8F7">
      <w:pPr>
        <w:adjustRightInd w:val="0"/>
        <w:snapToGrid w:val="0"/>
        <w:spacing w:line="360" w:lineRule="auto"/>
        <w:rPr>
          <w:rFonts w:hint="eastAsia" w:ascii="宋体" w:hAnsi="宋体" w:eastAsia="宋体" w:cs="宋体"/>
          <w:b/>
          <w:color w:val="auto"/>
          <w:szCs w:val="21"/>
          <w:highlight w:val="none"/>
          <w:lang w:val="en-US" w:eastAsia="zh-CN"/>
        </w:rPr>
      </w:pPr>
    </w:p>
    <w:p w14:paraId="13D8978F">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1"/>
      <w:r>
        <w:rPr>
          <w:rFonts w:hint="eastAsia" w:ascii="宋体" w:hAnsi="宋体" w:eastAsia="宋体" w:cs="宋体"/>
          <w:b/>
          <w:color w:val="auto"/>
          <w:szCs w:val="21"/>
          <w:highlight w:val="none"/>
          <w:lang w:eastAsia="zh-CN"/>
        </w:rPr>
        <w:t>。</w:t>
      </w:r>
    </w:p>
    <w:p w14:paraId="6B0F036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B7EC63C">
      <w:pPr>
        <w:pStyle w:val="50"/>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766B844">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台州市生态环境局路桥分局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8CA2AF6">
      <w:pPr>
        <w:pStyle w:val="11"/>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项目编号</w:t>
      </w:r>
      <w:r>
        <w:rPr>
          <w:rFonts w:hint="eastAsia" w:ascii="宋体" w:hAnsi="宋体" w:eastAsia="宋体" w:cs="宋体"/>
          <w:b/>
          <w:bCs/>
          <w:color w:val="auto"/>
          <w:sz w:val="21"/>
          <w:szCs w:val="21"/>
          <w:highlight w:val="none"/>
        </w:rPr>
        <w:t>：</w:t>
      </w:r>
    </w:p>
    <w:p w14:paraId="734921E8">
      <w:pPr>
        <w:pStyle w:val="11"/>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E5A3FE4">
      <w:pPr>
        <w:pStyle w:val="11"/>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443CCD2">
      <w:pPr>
        <w:pStyle w:val="11"/>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数字化项目运维项目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1A7CB907">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7AF4AC47">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hAnsi="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5D4B1051">
      <w:pPr>
        <w:pStyle w:val="11"/>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2035DD62">
      <w:pPr>
        <w:pStyle w:val="11"/>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7567E94D">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A945E7F">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乙方应按招标文件规定的时间向甲方提供有关技术资料。</w:t>
      </w:r>
    </w:p>
    <w:p w14:paraId="207587C7">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690775">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0F8FDC3F">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08E0CC7">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3535D34">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D23FF93">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3A76BB0F">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项目内容</w:t>
      </w:r>
    </w:p>
    <w:p w14:paraId="2047CDA2">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（一）路桥区生态环境数字化监管系统运维服务</w:t>
      </w:r>
    </w:p>
    <w:p w14:paraId="0AD36CEF">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生态环境数据服务：确保生态环境数据“一套标准”的准确性和一致性，提供各类监测数据、污染源智能化档案的定期更新和维护服务，确保信息的实时性和准确性，维持数据的高标准质量，以支持精准监管。</w:t>
      </w:r>
    </w:p>
    <w:p w14:paraId="78EEFC0B">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（2）系统功能维护服务：提供定期系统功能维护服务，确保路桥区生态环境数字化监管系统（含浙里办、浙政钉）稳定运行，及时发现并解决系统故障，保持系统的高效运转。</w:t>
      </w:r>
    </w:p>
    <w:p w14:paraId="4493C4D8">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性能优化与升级服务：根据系统运行情况和用户反馈，不断优化系统性能，规划和实施必要的系统升级，以适应不断变化的业务需求和技术发展，服务包括功能变动时的政务云部署、云上业务系统日常维护等方面。</w:t>
      </w:r>
    </w:p>
    <w:p w14:paraId="0AEB824C">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（4）应急响应服务：提供7*24小时应急响应服务，确保在系统出现重大故障时能够迅速响应并恢复服务，最小化对业务的影响。</w:t>
      </w:r>
    </w:p>
    <w:p w14:paraId="225438B6">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（二）路桥区“生态环境问题发现•督察在线”贯通乡（镇、街道）系统运维服务</w:t>
      </w:r>
    </w:p>
    <w:p w14:paraId="1254DB7E">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（1）督察业务数据服务：提供科技监测数据、公众监督数据、河长巡查数据和镇街道基层治理四平台等数据协同共享服务，确保生态环境问题主动发现的督察“智库”数据的实时性和准确性。</w:t>
      </w:r>
    </w:p>
    <w:p w14:paraId="384CA2CC">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系统功能维护服务：提供定期系统功能维护服务，确保路桥区“生态环境问题发现•督察在线”贯通乡（镇、街道）系统（含大屏端、工作台、浙政钉、浙里办）稳定运行，及时发现并解决系统故障，保持系统的高效运转。</w:t>
      </w:r>
    </w:p>
    <w:p w14:paraId="6E80301D">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性能优化与升级服务：根据系统运行情况和用户反馈，不断优化系统性能，规划和实施必要的系统升级，以适应不断变化的业务需求和技术发展。服务包括功能变动时的政务云部署、云上业务系统日常维护等方面。</w:t>
      </w:r>
    </w:p>
    <w:p w14:paraId="72303ABD">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（4）应急响应服务：提供7*24小时应急响应服务，确保在系统出现重大故障时能够迅速响应并恢复服务，最小化对业务的影响。</w:t>
      </w:r>
    </w:p>
    <w:p w14:paraId="2080355E">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（三）水质监测设备运维要求</w:t>
      </w:r>
    </w:p>
    <w:p w14:paraId="5437312C">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1、运维站点数量：8个（详细站点信息见下表）</w:t>
      </w:r>
    </w:p>
    <w:p w14:paraId="25FFE389">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2、运维服务内容：</w:t>
      </w:r>
    </w:p>
    <w:p w14:paraId="67D1A037">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（1）远程维护要求：</w:t>
      </w:r>
      <w:r>
        <w:rPr>
          <w:rFonts w:hint="eastAsia" w:ascii="宋体" w:hAnsi="宋体" w:eastAsia="宋体" w:cs="宋体"/>
          <w:color w:val="auto"/>
          <w:szCs w:val="21"/>
          <w:highlight w:val="none"/>
          <w:lang w:val="en-US" w:eastAsia="zh-CN"/>
        </w:rPr>
        <w:t>每日对水质监测数据和设备运行状况进行远程监视，对站点运行情况进行诊断和运行管理，根据运维工作需要，对运维人员进行调度；</w:t>
      </w:r>
    </w:p>
    <w:p w14:paraId="07296EAF">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（2）每周例行巡检：</w:t>
      </w:r>
    </w:p>
    <w:p w14:paraId="38C44389">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①检查电路系统是否正常，接地线路是否可靠，检查采样和排液管路是否有漏液或堵塞现象，排水装置工作是否正常；</w:t>
      </w:r>
    </w:p>
    <w:p w14:paraId="49C9E975">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②检查采配水单元是否正常；</w:t>
      </w:r>
    </w:p>
    <w:p w14:paraId="5EC37049">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③定期清洗采配水系统，包括采水头、泵体、测量池、阀门、管路等，对于无法清洗干净的须及时更换；</w:t>
      </w:r>
    </w:p>
    <w:p w14:paraId="50C19A6A">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④检查工控机运行状态，检查上传至平台数据和现场数据的一致性，检查仪器与系统的通讯线路是否正常；</w:t>
      </w:r>
    </w:p>
    <w:p w14:paraId="4282C118">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⑤查看分析仪器及辅助设备的运行状态和主要技术参数，判断运行是否正常，对于电极故障的传感器须及时更换；</w:t>
      </w:r>
    </w:p>
    <w:p w14:paraId="79956ACE">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⑥检查有无漏液，进样管路中是否有气泡存在，如有及时将气泡排出；</w:t>
      </w:r>
    </w:p>
    <w:p w14:paraId="3BB7A03C">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⑦检查防雷设施是否可靠，机柜是否有漏水现象，机柜外围的其他设施是否有损坏，如遇到以上问题及时处理，保证水站系统安全运行。</w:t>
      </w:r>
    </w:p>
    <w:p w14:paraId="11E93612">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（3）定期养护</w:t>
      </w:r>
    </w:p>
    <w:p w14:paraId="1D984B12">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①依据水质状况、环境条件和分析仪器的要求，做到定期更换易耗品；对使用期限有规定的备品备件，必须严格按使用规定期限予以更换；</w:t>
      </w:r>
    </w:p>
    <w:p w14:paraId="567D5964">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②根据设备运行状况，在规定的时间对仪器设备进行预防性检修；</w:t>
      </w:r>
    </w:p>
    <w:p w14:paraId="7D591E24">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③每月至少进行一次设备校准；</w:t>
      </w:r>
    </w:p>
    <w:p w14:paraId="36ECEA18">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④每月至少检查一次空气压缩机气泵的工作状况；</w:t>
      </w:r>
    </w:p>
    <w:p w14:paraId="53AE1B9B">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⑤每月至少清洗一次水质监测传感器以及采配水单元的取水管路、测量池、配水管路等部件。</w:t>
      </w:r>
    </w:p>
    <w:p w14:paraId="27564EA4">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表4-1  运维站点信息表</w:t>
      </w:r>
    </w:p>
    <w:tbl>
      <w:tblPr>
        <w:tblStyle w:val="22"/>
        <w:tblpPr w:leftFromText="180" w:rightFromText="180" w:vertAnchor="text" w:tblpXSpec="center" w:tblpY="1"/>
        <w:tblOverlap w:val="never"/>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07"/>
        <w:gridCol w:w="1478"/>
        <w:gridCol w:w="2975"/>
        <w:gridCol w:w="1203"/>
      </w:tblGrid>
      <w:tr w14:paraId="1B4F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55" w:type="dxa"/>
            <w:noWrap w:val="0"/>
            <w:vAlign w:val="center"/>
          </w:tcPr>
          <w:p w14:paraId="5178C540">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807" w:type="dxa"/>
            <w:noWrap w:val="0"/>
            <w:vAlign w:val="center"/>
          </w:tcPr>
          <w:p w14:paraId="43D537C0">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站点名称</w:t>
            </w:r>
          </w:p>
        </w:tc>
        <w:tc>
          <w:tcPr>
            <w:tcW w:w="1478" w:type="dxa"/>
            <w:noWrap w:val="0"/>
            <w:vAlign w:val="center"/>
          </w:tcPr>
          <w:p w14:paraId="1000E6F3">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监测类型</w:t>
            </w:r>
          </w:p>
        </w:tc>
        <w:tc>
          <w:tcPr>
            <w:tcW w:w="2975" w:type="dxa"/>
            <w:noWrap w:val="0"/>
            <w:vAlign w:val="center"/>
          </w:tcPr>
          <w:p w14:paraId="7C287FC2">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仪器配置</w:t>
            </w:r>
          </w:p>
        </w:tc>
        <w:tc>
          <w:tcPr>
            <w:tcW w:w="1203" w:type="dxa"/>
            <w:noWrap w:val="0"/>
            <w:vAlign w:val="center"/>
          </w:tcPr>
          <w:p w14:paraId="4D716F1D">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建设时间</w:t>
            </w:r>
          </w:p>
        </w:tc>
      </w:tr>
      <w:tr w14:paraId="6C66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3AFA76A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07" w:type="dxa"/>
            <w:noWrap w:val="0"/>
            <w:vAlign w:val="center"/>
          </w:tcPr>
          <w:p w14:paraId="59A4C42F">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桥头新星村</w:t>
            </w:r>
          </w:p>
        </w:tc>
        <w:tc>
          <w:tcPr>
            <w:tcW w:w="1478" w:type="dxa"/>
            <w:noWrap w:val="0"/>
            <w:vAlign w:val="center"/>
          </w:tcPr>
          <w:p w14:paraId="3243E23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62D6EB0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057ED1A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65E0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458828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07" w:type="dxa"/>
            <w:noWrap w:val="0"/>
            <w:vAlign w:val="center"/>
          </w:tcPr>
          <w:p w14:paraId="201AD93A">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百新东路站</w:t>
            </w:r>
          </w:p>
        </w:tc>
        <w:tc>
          <w:tcPr>
            <w:tcW w:w="1478" w:type="dxa"/>
            <w:noWrap w:val="0"/>
            <w:vAlign w:val="center"/>
          </w:tcPr>
          <w:p w14:paraId="0375599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09AC2AD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755D10D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0B7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C03051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807" w:type="dxa"/>
            <w:noWrap w:val="0"/>
            <w:vAlign w:val="center"/>
          </w:tcPr>
          <w:p w14:paraId="53105297">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新中村桥</w:t>
            </w:r>
          </w:p>
        </w:tc>
        <w:tc>
          <w:tcPr>
            <w:tcW w:w="1478" w:type="dxa"/>
            <w:noWrap w:val="0"/>
            <w:vAlign w:val="center"/>
          </w:tcPr>
          <w:p w14:paraId="716736A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33D7AF4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1461BB4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06B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41BE1C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07" w:type="dxa"/>
            <w:noWrap w:val="0"/>
            <w:vAlign w:val="center"/>
          </w:tcPr>
          <w:p w14:paraId="748FC52C">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南新市大桥</w:t>
            </w:r>
          </w:p>
        </w:tc>
        <w:tc>
          <w:tcPr>
            <w:tcW w:w="1478" w:type="dxa"/>
            <w:noWrap w:val="0"/>
            <w:vAlign w:val="center"/>
          </w:tcPr>
          <w:p w14:paraId="7F97E79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1808C06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78F3202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AF9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B8014D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07" w:type="dxa"/>
            <w:noWrap w:val="0"/>
            <w:vAlign w:val="center"/>
          </w:tcPr>
          <w:p w14:paraId="274C293C">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马家堂桥</w:t>
            </w:r>
          </w:p>
        </w:tc>
        <w:tc>
          <w:tcPr>
            <w:tcW w:w="1478" w:type="dxa"/>
            <w:noWrap w:val="0"/>
            <w:vAlign w:val="center"/>
          </w:tcPr>
          <w:p w14:paraId="2774C2D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592EF67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3A9AA0B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65B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BE4E8E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807" w:type="dxa"/>
            <w:noWrap w:val="0"/>
            <w:vAlign w:val="center"/>
          </w:tcPr>
          <w:p w14:paraId="786A20E9">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下里山桥</w:t>
            </w:r>
          </w:p>
        </w:tc>
        <w:tc>
          <w:tcPr>
            <w:tcW w:w="1478" w:type="dxa"/>
            <w:noWrap w:val="0"/>
            <w:vAlign w:val="center"/>
          </w:tcPr>
          <w:p w14:paraId="578F067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05D30A9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6F8CF79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A71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5" w:type="dxa"/>
            <w:noWrap w:val="0"/>
            <w:vAlign w:val="center"/>
          </w:tcPr>
          <w:p w14:paraId="4096790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807" w:type="dxa"/>
            <w:noWrap w:val="0"/>
            <w:vAlign w:val="center"/>
          </w:tcPr>
          <w:p w14:paraId="14042F1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台州农垦场</w:t>
            </w:r>
          </w:p>
        </w:tc>
        <w:tc>
          <w:tcPr>
            <w:tcW w:w="1478" w:type="dxa"/>
            <w:noWrap w:val="0"/>
            <w:vAlign w:val="center"/>
          </w:tcPr>
          <w:p w14:paraId="6DB5A66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78FB66B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3720712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B1E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5" w:type="dxa"/>
            <w:noWrap w:val="0"/>
            <w:vAlign w:val="center"/>
          </w:tcPr>
          <w:p w14:paraId="459B93D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807" w:type="dxa"/>
            <w:noWrap w:val="0"/>
            <w:vAlign w:val="center"/>
          </w:tcPr>
          <w:p w14:paraId="6D253A1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新市变电站</w:t>
            </w:r>
          </w:p>
        </w:tc>
        <w:tc>
          <w:tcPr>
            <w:tcW w:w="1478" w:type="dxa"/>
            <w:noWrap w:val="0"/>
            <w:vAlign w:val="center"/>
          </w:tcPr>
          <w:p w14:paraId="3EA22E73">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3B7DD2D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1E2C82D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bl>
    <w:p w14:paraId="3BFA61AD">
      <w:pPr>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786860FE">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F92C348">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330961A8">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5C316AE3">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七、项目成果</w:t>
      </w:r>
    </w:p>
    <w:p w14:paraId="4055D3D9">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路桥区生态环境数字化监管系统运维季度运维报告、路桥区“生态环境问题发现•督察在线”贯通乡（镇、街道）系统季度运维报告、水质监测设备运维年度报告。</w:t>
      </w:r>
    </w:p>
    <w:p w14:paraId="4D401A1A">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八、其他要求</w:t>
      </w:r>
    </w:p>
    <w:p w14:paraId="05F2228B">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lang w:val="en-US" w:eastAsia="zh-CN"/>
        </w:rPr>
        <w:t>本次维护服务项目期限为1年，从合同签订之日算起。</w:t>
      </w:r>
    </w:p>
    <w:p w14:paraId="2FD3C8D5">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2、付款方式：签订合同后，在合同生效以及具备实施条件后7个工作日内支付合同金额的</w:t>
      </w:r>
      <w:r>
        <w:rPr>
          <w:rFonts w:hint="eastAsia" w:hAnsi="宋体" w:cs="宋体"/>
          <w:color w:val="auto"/>
          <w:szCs w:val="21"/>
          <w:highlight w:val="none"/>
          <w:lang w:val="en-US" w:eastAsia="zh-CN"/>
        </w:rPr>
        <w:t>4</w:t>
      </w:r>
      <w:r>
        <w:rPr>
          <w:rFonts w:hint="eastAsia" w:ascii="宋体" w:hAnsi="宋体" w:eastAsia="宋体" w:cs="宋体"/>
          <w:color w:val="auto"/>
          <w:szCs w:val="21"/>
          <w:highlight w:val="none"/>
        </w:rPr>
        <w:t>0%作为预付款，其余款项在项目结束后一次性付清。</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rPr>
        <w:t>根据付款条件开具增值税发票，</w:t>
      </w:r>
      <w:r>
        <w:rPr>
          <w:rFonts w:hint="eastAsia" w:hAnsi="宋体" w:cs="宋体"/>
          <w:color w:val="auto"/>
          <w:szCs w:val="21"/>
          <w:highlight w:val="none"/>
          <w:lang w:val="en-US" w:eastAsia="zh-CN"/>
        </w:rPr>
        <w:t>甲方</w:t>
      </w:r>
      <w:r>
        <w:rPr>
          <w:rFonts w:hint="eastAsia" w:ascii="宋体" w:hAnsi="宋体" w:eastAsia="宋体" w:cs="宋体"/>
          <w:color w:val="auto"/>
          <w:szCs w:val="21"/>
          <w:highlight w:val="none"/>
        </w:rPr>
        <w:t>收到</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rPr>
        <w:t>提供的增值税发票后支付。</w:t>
      </w:r>
    </w:p>
    <w:p w14:paraId="1D3C67DE">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、税费</w:t>
      </w:r>
    </w:p>
    <w:p w14:paraId="7E7971CA">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0BFBE273">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eastAsia="宋体" w:cs="宋体"/>
          <w:b/>
          <w:color w:val="auto"/>
          <w:highlight w:val="none"/>
        </w:rPr>
        <w:t>、违约责任</w:t>
      </w:r>
    </w:p>
    <w:p w14:paraId="25E756C5">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甲方无正当理由拒收接受服务的，甲方向乙方支付合同款项百分之五作为违约金。</w:t>
      </w:r>
    </w:p>
    <w:p w14:paraId="0E974094">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42CBC0E3">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278A5613">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、若发生纠纷，由违约方赔偿守约方因纠纷所支付的费用（包括但不限于律师费、差旅费、诉讼费、保全费、鉴定费、评估费等）。</w:t>
      </w:r>
    </w:p>
    <w:p w14:paraId="06FC700D">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十一、</w:t>
      </w:r>
      <w:r>
        <w:rPr>
          <w:rFonts w:hint="eastAsia" w:ascii="宋体" w:hAnsi="宋体" w:eastAsia="宋体" w:cs="宋体"/>
          <w:b/>
          <w:bCs/>
          <w:snapToGrid w:val="0"/>
          <w:color w:val="auto"/>
          <w:sz w:val="21"/>
          <w:szCs w:val="21"/>
          <w:highlight w:val="none"/>
        </w:rPr>
        <w:t>不可抗力事件处理</w:t>
      </w:r>
    </w:p>
    <w:p w14:paraId="59D92C5A">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B703807">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5036984E">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7A9971C">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1BA9866B">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23026048">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E85840B">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3653C418">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556E56B2">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3CEE9D04">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70AA6149">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6B267DBC">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1E7E1E0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0E7CA2F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1C7B860D">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361AB85A">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0016D2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4C6D58EA">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6886D296">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4498BA84">
      <w:pPr>
        <w:spacing w:line="360" w:lineRule="auto"/>
        <w:jc w:val="both"/>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285E160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数字化项目运维项目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tzya2024-lq96</w:t>
      </w:r>
      <w:r>
        <w:rPr>
          <w:rFonts w:hint="eastAsia" w:ascii="宋体" w:hAnsi="宋体" w:eastAsia="宋体" w:cs="宋体"/>
          <w:color w:val="auto"/>
          <w:sz w:val="21"/>
          <w:szCs w:val="21"/>
          <w:highlight w:val="none"/>
        </w:rPr>
        <w:t>）的投标，为此，我公司就本次投标有关事项郑重声明如下：</w:t>
      </w:r>
    </w:p>
    <w:p w14:paraId="27312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005E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0961F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3A08A45E">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A1961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5564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本单位若违反以上承诺，将无条件接受项目主管部门和有关监督管理部门的调查，并愿意承担取消中标资格及限制在本地区参与投标等一切法律责任。</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1"/>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1"/>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数字化项目运维项目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0AB35C7">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2"/>
        <w:spacing w:before="5"/>
        <w:rPr>
          <w:rFonts w:hint="eastAsia" w:ascii="宋体" w:hAnsi="宋体" w:eastAsia="宋体" w:cs="宋体"/>
          <w:b/>
          <w:color w:val="auto"/>
          <w:sz w:val="18"/>
          <w:szCs w:val="18"/>
          <w:highlight w:val="none"/>
        </w:rPr>
      </w:pPr>
    </w:p>
    <w:p w14:paraId="1C5F3477">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1"/>
        <w:spacing w:line="360" w:lineRule="auto"/>
        <w:jc w:val="center"/>
        <w:outlineLvl w:val="9"/>
        <w:rPr>
          <w:rFonts w:hint="eastAsia" w:ascii="宋体" w:hAnsi="宋体" w:eastAsia="宋体" w:cs="宋体"/>
          <w:b/>
          <w:color w:val="auto"/>
          <w:sz w:val="32"/>
          <w:szCs w:val="32"/>
          <w:highlight w:val="none"/>
          <w:lang w:val="en-GB"/>
        </w:rPr>
      </w:pPr>
    </w:p>
    <w:p w14:paraId="4BB16F56">
      <w:pPr>
        <w:pStyle w:val="11"/>
        <w:spacing w:line="360" w:lineRule="auto"/>
        <w:jc w:val="center"/>
        <w:outlineLvl w:val="9"/>
        <w:rPr>
          <w:rFonts w:hint="eastAsia" w:ascii="宋体" w:hAnsi="宋体" w:eastAsia="宋体" w:cs="宋体"/>
          <w:b/>
          <w:color w:val="auto"/>
          <w:sz w:val="32"/>
          <w:szCs w:val="32"/>
          <w:highlight w:val="none"/>
          <w:lang w:val="en-GB"/>
        </w:rPr>
      </w:pPr>
    </w:p>
    <w:p w14:paraId="49ADBE6D">
      <w:pPr>
        <w:pStyle w:val="11"/>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2"/>
        <w:jc w:val="both"/>
        <w:rPr>
          <w:rFonts w:hint="eastAsia" w:ascii="宋体" w:hAnsi="宋体" w:eastAsia="宋体" w:cs="宋体"/>
          <w:color w:val="auto"/>
          <w:highlight w:val="none"/>
        </w:rPr>
      </w:pPr>
    </w:p>
    <w:p w14:paraId="1A498017">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数字化项目运维项目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tzya2024-lq96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0278D522">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383D79D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1"/>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2"/>
        <w:gridCol w:w="1010"/>
        <w:gridCol w:w="6867"/>
        <w:gridCol w:w="709"/>
        <w:gridCol w:w="709"/>
        <w:gridCol w:w="709"/>
      </w:tblGrid>
      <w:tr w14:paraId="228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2082" w:type="dxa"/>
            <w:gridSpan w:val="2"/>
            <w:shd w:val="clear" w:color="auto" w:fill="auto"/>
            <w:vAlign w:val="center"/>
          </w:tcPr>
          <w:p w14:paraId="3A79077D">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67" w:type="dxa"/>
            <w:shd w:val="clear" w:color="auto" w:fill="auto"/>
            <w:vAlign w:val="center"/>
          </w:tcPr>
          <w:p w14:paraId="53F3BBD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9" w:type="dxa"/>
            <w:shd w:val="clear" w:color="auto" w:fill="auto"/>
            <w:vAlign w:val="center"/>
          </w:tcPr>
          <w:p w14:paraId="16F58AE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9" w:type="dxa"/>
            <w:shd w:val="clear" w:color="auto" w:fill="auto"/>
            <w:vAlign w:val="center"/>
          </w:tcPr>
          <w:p w14:paraId="357985F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709" w:type="dxa"/>
            <w:shd w:val="clear" w:color="auto" w:fill="auto"/>
            <w:vAlign w:val="center"/>
          </w:tcPr>
          <w:p w14:paraId="7D19B3B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871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restart"/>
            <w:shd w:val="clear" w:color="auto" w:fill="auto"/>
            <w:vAlign w:val="center"/>
          </w:tcPr>
          <w:p w14:paraId="6F51105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1A1B122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1010" w:type="dxa"/>
            <w:vMerge w:val="restart"/>
            <w:shd w:val="clear" w:color="auto" w:fill="auto"/>
            <w:vAlign w:val="center"/>
          </w:tcPr>
          <w:p w14:paraId="06E39AA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6867" w:type="dxa"/>
            <w:shd w:val="clear" w:color="auto" w:fill="auto"/>
            <w:vAlign w:val="center"/>
          </w:tcPr>
          <w:p w14:paraId="039CE253">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投标人具有有效期内的质量体系认证证书、环境管理体系认证证书、职业健康安全管理体系认证证书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中国环境服务认证证书的，每具有1项证书得1分，本项最高得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AAFB752">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（须提供相关证书或证明文件</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shd w:val="clear" w:color="auto" w:fill="auto"/>
            <w:vAlign w:val="center"/>
          </w:tcPr>
          <w:p w14:paraId="521ABA9B">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09" w:type="dxa"/>
            <w:shd w:val="clear" w:color="auto" w:fill="auto"/>
            <w:vAlign w:val="center"/>
          </w:tcPr>
          <w:p w14:paraId="3382FB97">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11C16CCF">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333F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shd w:val="clear" w:color="auto" w:fill="auto"/>
            <w:vAlign w:val="center"/>
          </w:tcPr>
          <w:p w14:paraId="55B23BD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4E8CDF3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5A984581">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年1月1日以来（以颁发时间为准），</w:t>
            </w:r>
            <w:r>
              <w:rPr>
                <w:rFonts w:hint="eastAsia" w:ascii="宋体" w:hAnsi="宋体" w:eastAsia="宋体" w:cs="宋体"/>
                <w:color w:val="auto"/>
                <w:sz w:val="21"/>
                <w:szCs w:val="21"/>
                <w:highlight w:val="none"/>
              </w:rPr>
              <w:t>获得过生态、环保类的数字化类相关奖项的</w:t>
            </w:r>
            <w:r>
              <w:rPr>
                <w:rFonts w:hint="eastAsia" w:ascii="宋体" w:hAnsi="宋体" w:eastAsia="宋体" w:cs="宋体"/>
                <w:color w:val="auto"/>
                <w:sz w:val="21"/>
                <w:szCs w:val="21"/>
                <w:highlight w:val="none"/>
              </w:rPr>
              <w:t>，国家级得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分，省部级得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分，市厅级得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B1FD9A2">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注：只记最高项，不累计得分。</w:t>
            </w:r>
          </w:p>
          <w:p w14:paraId="57DB922C">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（须提供奖项证书扫描件并加盖投标人公章编入投标文件中，未提供的不得分）</w:t>
            </w:r>
          </w:p>
        </w:tc>
        <w:tc>
          <w:tcPr>
            <w:tcW w:w="709" w:type="dxa"/>
            <w:shd w:val="clear" w:color="auto" w:fill="auto"/>
            <w:vAlign w:val="center"/>
          </w:tcPr>
          <w:p w14:paraId="6385EF5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709" w:type="dxa"/>
            <w:shd w:val="clear" w:color="auto" w:fill="auto"/>
            <w:vAlign w:val="center"/>
          </w:tcPr>
          <w:p w14:paraId="1EDF90A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1DB6DE8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6940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14F05A0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0AA19D1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71449D11">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生态环保类计算机软件著作权的，每提供一个得1分，最高得5分。</w:t>
            </w:r>
          </w:p>
          <w:p w14:paraId="4F93050A">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相关软著</w:t>
            </w:r>
            <w:r>
              <w:rPr>
                <w:rFonts w:hint="eastAsia" w:ascii="宋体" w:hAnsi="宋体" w:eastAsia="宋体" w:cs="宋体"/>
                <w:b/>
                <w:bCs/>
                <w:color w:val="auto"/>
                <w:sz w:val="21"/>
                <w:szCs w:val="21"/>
                <w:highlight w:val="none"/>
              </w:rPr>
              <w:t>扫描件并加盖投标人公章编入投标文件中，未提供的不得分）</w:t>
            </w:r>
          </w:p>
        </w:tc>
        <w:tc>
          <w:tcPr>
            <w:tcW w:w="709" w:type="dxa"/>
            <w:shd w:val="clear" w:color="auto" w:fill="auto"/>
            <w:vAlign w:val="center"/>
          </w:tcPr>
          <w:p w14:paraId="3858C53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9" w:type="dxa"/>
            <w:shd w:val="clear" w:color="auto" w:fill="auto"/>
            <w:vAlign w:val="center"/>
          </w:tcPr>
          <w:p w14:paraId="1F51A97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2C1C85F7">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05A1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continue"/>
            <w:shd w:val="clear" w:color="auto" w:fill="auto"/>
            <w:vAlign w:val="center"/>
          </w:tcPr>
          <w:p w14:paraId="672B705B">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222FAAC0">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承接经验</w:t>
            </w:r>
          </w:p>
        </w:tc>
        <w:tc>
          <w:tcPr>
            <w:tcW w:w="6867" w:type="dxa"/>
            <w:shd w:val="clear" w:color="auto" w:fill="auto"/>
            <w:vAlign w:val="center"/>
          </w:tcPr>
          <w:p w14:paraId="2C0FA90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年1月1日以来（以合同签订时间为准）开展过类似区域</w:t>
            </w:r>
            <w:r>
              <w:rPr>
                <w:rFonts w:hint="eastAsia" w:ascii="宋体" w:hAnsi="宋体" w:eastAsia="宋体" w:cs="宋体"/>
                <w:b w:val="0"/>
                <w:bCs w:val="0"/>
                <w:color w:val="auto"/>
                <w:sz w:val="21"/>
                <w:szCs w:val="21"/>
                <w:highlight w:val="none"/>
                <w:u w:val="none"/>
              </w:rPr>
              <w:t>数字化</w:t>
            </w:r>
            <w:r>
              <w:rPr>
                <w:rFonts w:hint="eastAsia" w:ascii="宋体" w:hAnsi="宋体" w:eastAsia="宋体" w:cs="宋体"/>
                <w:b w:val="0"/>
                <w:bCs w:val="0"/>
                <w:color w:val="auto"/>
                <w:sz w:val="21"/>
                <w:szCs w:val="21"/>
                <w:highlight w:val="none"/>
                <w:u w:val="none"/>
                <w:lang w:val="en-US" w:eastAsia="zh-CN"/>
              </w:rPr>
              <w:t>平台或区域监测设备建设（</w:t>
            </w:r>
            <w:r>
              <w:rPr>
                <w:rFonts w:hint="eastAsia" w:ascii="宋体" w:hAnsi="宋体" w:eastAsia="宋体" w:cs="宋体"/>
                <w:b w:val="0"/>
                <w:bCs w:val="0"/>
                <w:color w:val="auto"/>
                <w:sz w:val="21"/>
                <w:szCs w:val="21"/>
                <w:highlight w:val="none"/>
                <w:u w:val="none"/>
              </w:rPr>
              <w:t>运维</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rPr>
              <w:t>相关业绩，每提供1项得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7DE8ABB">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（须提供相应合同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shd w:val="clear" w:color="auto" w:fill="auto"/>
            <w:vAlign w:val="center"/>
          </w:tcPr>
          <w:p w14:paraId="705ADB64">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09" w:type="dxa"/>
            <w:shd w:val="clear" w:color="auto" w:fill="auto"/>
            <w:vAlign w:val="center"/>
          </w:tcPr>
          <w:p w14:paraId="2DA6CD6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6DEE7F3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5CBC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72" w:type="dxa"/>
            <w:vMerge w:val="continue"/>
            <w:shd w:val="clear" w:color="auto" w:fill="auto"/>
            <w:vAlign w:val="center"/>
          </w:tcPr>
          <w:p w14:paraId="57735430">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4CC807B7">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项目负责人</w:t>
            </w:r>
          </w:p>
        </w:tc>
        <w:tc>
          <w:tcPr>
            <w:tcW w:w="6867" w:type="dxa"/>
            <w:shd w:val="clear" w:color="auto" w:fill="auto"/>
            <w:vAlign w:val="center"/>
          </w:tcPr>
          <w:p w14:paraId="08620C5F">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具有生态、环保相关专业教授级高级工程师职称的得3分，具有高级工程师职称的得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分，具有中级工程师职称的得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4B3B9F4">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具有环境影响评价工程师或注册环保工程师的得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753B604">
            <w:pPr>
              <w:pStyle w:val="12"/>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ED8E18F">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（须提供有效证书扫描件及投标截止时间前近3个月内在投标人单位的社保缴费证明并加盖投标人公章编入投标文件中，未提供或提供不全的不得分）</w:t>
            </w:r>
          </w:p>
        </w:tc>
        <w:tc>
          <w:tcPr>
            <w:tcW w:w="709" w:type="dxa"/>
            <w:shd w:val="clear" w:color="auto" w:fill="auto"/>
            <w:vAlign w:val="center"/>
          </w:tcPr>
          <w:p w14:paraId="157252B3">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09" w:type="dxa"/>
            <w:shd w:val="clear" w:color="auto" w:fill="auto"/>
            <w:vAlign w:val="center"/>
          </w:tcPr>
          <w:p w14:paraId="374C274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4E7B52F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223C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227131F3">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50F60053">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kern w:val="0"/>
                <w:sz w:val="21"/>
                <w:szCs w:val="21"/>
                <w:highlight w:val="none"/>
              </w:rPr>
              <w:t>（项目负责人除外）</w:t>
            </w:r>
          </w:p>
        </w:tc>
        <w:tc>
          <w:tcPr>
            <w:tcW w:w="6867" w:type="dxa"/>
            <w:shd w:val="clear" w:color="auto" w:fill="auto"/>
            <w:vAlign w:val="center"/>
          </w:tcPr>
          <w:p w14:paraId="7B977A9F">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具有环境科学或环境工程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环境监测与治理技术、</w:t>
            </w:r>
            <w:r>
              <w:rPr>
                <w:rFonts w:hint="eastAsia" w:ascii="宋体" w:hAnsi="宋体" w:eastAsia="宋体" w:cs="宋体"/>
                <w:color w:val="auto"/>
                <w:kern w:val="0"/>
                <w:sz w:val="21"/>
                <w:szCs w:val="21"/>
                <w:highlight w:val="none"/>
                <w:lang w:val="en-US" w:eastAsia="zh-CN"/>
              </w:rPr>
              <w:t>电子信息工程、信息安全、网络系统管理</w:t>
            </w:r>
            <w:r>
              <w:rPr>
                <w:rFonts w:hint="eastAsia" w:ascii="宋体" w:hAnsi="宋体" w:eastAsia="宋体" w:cs="宋体"/>
                <w:color w:val="auto"/>
                <w:kern w:val="0"/>
                <w:sz w:val="21"/>
                <w:szCs w:val="21"/>
                <w:highlight w:val="none"/>
              </w:rPr>
              <w:t>专业的，每具备一个专业的得1分，同一个人不重复得分，本项最高得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p>
          <w:p w14:paraId="674E186C">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（须提供相关证书扫描件及投标截止时间前近3个月内在投标人单位的社保缴费证明并加盖投标人公章编入投标文件中，未提供或提供不全的不得分）</w:t>
            </w:r>
          </w:p>
        </w:tc>
        <w:tc>
          <w:tcPr>
            <w:tcW w:w="709" w:type="dxa"/>
            <w:shd w:val="clear" w:color="auto" w:fill="auto"/>
            <w:vAlign w:val="center"/>
          </w:tcPr>
          <w:p w14:paraId="3E7F343C">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09" w:type="dxa"/>
            <w:shd w:val="clear" w:color="auto" w:fill="auto"/>
            <w:vAlign w:val="center"/>
          </w:tcPr>
          <w:p w14:paraId="32E9BE7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39F08DB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77E3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72" w:type="dxa"/>
            <w:vMerge w:val="continue"/>
            <w:shd w:val="clear" w:color="auto" w:fill="auto"/>
            <w:vAlign w:val="center"/>
          </w:tcPr>
          <w:p w14:paraId="1D9353B2">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51A0F019">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p>
        </w:tc>
        <w:tc>
          <w:tcPr>
            <w:tcW w:w="6867" w:type="dxa"/>
            <w:shd w:val="clear" w:color="auto" w:fill="auto"/>
            <w:vAlign w:val="center"/>
          </w:tcPr>
          <w:p w14:paraId="5802FA2C">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具有生态、环保相关专业高级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B6478D6">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具有中级工程师职称的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2FFF5E7">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本项最高得5分。</w:t>
            </w:r>
          </w:p>
          <w:p w14:paraId="6348E4F0">
            <w:pPr>
              <w:pStyle w:val="11"/>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需提供有效证书的</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kern w:val="0"/>
                <w:sz w:val="21"/>
                <w:szCs w:val="21"/>
                <w:highlight w:val="none"/>
              </w:rPr>
              <w:t>及投标截止时间前近3个月内的社保缴费证明并加盖投标人公章编入投标文件中，未提供或提供不全的不得分</w:t>
            </w:r>
            <w:r>
              <w:rPr>
                <w:rFonts w:hint="eastAsia" w:ascii="宋体" w:hAnsi="宋体" w:eastAsia="宋体" w:cs="宋体"/>
                <w:b/>
                <w:bCs/>
                <w:color w:val="auto"/>
                <w:kern w:val="0"/>
                <w:sz w:val="21"/>
                <w:szCs w:val="21"/>
                <w:highlight w:val="none"/>
                <w:lang w:eastAsia="zh-CN"/>
              </w:rPr>
              <w:t>）</w:t>
            </w:r>
          </w:p>
        </w:tc>
        <w:tc>
          <w:tcPr>
            <w:tcW w:w="709" w:type="dxa"/>
            <w:shd w:val="clear" w:color="auto" w:fill="auto"/>
            <w:vAlign w:val="center"/>
          </w:tcPr>
          <w:p w14:paraId="7489EE4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09" w:type="dxa"/>
            <w:shd w:val="clear" w:color="auto" w:fill="auto"/>
            <w:vAlign w:val="center"/>
          </w:tcPr>
          <w:p w14:paraId="33361F75">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1AC5400A">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0683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72" w:type="dxa"/>
            <w:vMerge w:val="restart"/>
            <w:shd w:val="clear" w:color="auto" w:fill="auto"/>
            <w:vAlign w:val="center"/>
          </w:tcPr>
          <w:p w14:paraId="22801BB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6E7963C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p>
        </w:tc>
        <w:tc>
          <w:tcPr>
            <w:tcW w:w="1010" w:type="dxa"/>
            <w:vMerge w:val="restart"/>
            <w:shd w:val="clear" w:color="auto" w:fill="auto"/>
            <w:vAlign w:val="center"/>
          </w:tcPr>
          <w:p w14:paraId="50598923">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867" w:type="dxa"/>
            <w:shd w:val="clear" w:color="auto" w:fill="auto"/>
            <w:vAlign w:val="center"/>
          </w:tcPr>
          <w:p w14:paraId="43CF9994">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路桥区生态环境数字化监管系统、路桥区“生态环境问题发现•督察在线”贯通乡（镇、街道）系统的总体架构、网络结构、功能模块、业务流程等，尤其是对台州市生态环境局路桥分局现有环保督察信访问题整改流程、信访件处置工作情况等与督察在线相关的工作了解程度等情况进行打分。</w:t>
            </w:r>
          </w:p>
          <w:p w14:paraId="77BB5AE2">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理解深刻、工作任务明确的得4.0-6.0分；</w:t>
            </w:r>
          </w:p>
          <w:p w14:paraId="13A1B0BB">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理解准确、工作任务部分明确的得2.0-3.9分；</w:t>
            </w:r>
          </w:p>
          <w:p w14:paraId="7B9F1B24">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理解程度简单、工作任务片面的得0.1-1.9分；</w:t>
            </w:r>
          </w:p>
          <w:p w14:paraId="541776A2">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5F7BEB8F">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09" w:type="dxa"/>
            <w:shd w:val="clear" w:color="auto" w:fill="auto"/>
            <w:vAlign w:val="center"/>
          </w:tcPr>
          <w:p w14:paraId="574C5B7C">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p>
        </w:tc>
        <w:tc>
          <w:tcPr>
            <w:tcW w:w="709" w:type="dxa"/>
            <w:shd w:val="clear" w:color="auto" w:fill="auto"/>
            <w:vAlign w:val="center"/>
          </w:tcPr>
          <w:p w14:paraId="5619492E">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p>
        </w:tc>
      </w:tr>
      <w:tr w14:paraId="3593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684BA2F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77C70E28">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24672CF0">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对现有地下水水质监测系统和地表水水质监测设备的具体配置、用途等情况的了解程度进行打分。</w:t>
            </w:r>
          </w:p>
          <w:p w14:paraId="57EDA4B0">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理解深刻、工作任务明确的得4.0-6.0分；</w:t>
            </w:r>
          </w:p>
          <w:p w14:paraId="010B8A97">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理解准确、工作任务部分明确的得2.0-3.9分；</w:t>
            </w:r>
          </w:p>
          <w:p w14:paraId="7135B802">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理解程度简单、工作任务片面的得0.1-1.9分；</w:t>
            </w:r>
          </w:p>
          <w:p w14:paraId="5D403284">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9" w:type="dxa"/>
            <w:shd w:val="clear" w:color="auto" w:fill="auto"/>
            <w:vAlign w:val="center"/>
          </w:tcPr>
          <w:p w14:paraId="25AF48E2">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09" w:type="dxa"/>
            <w:shd w:val="clear" w:color="auto" w:fill="auto"/>
            <w:vAlign w:val="center"/>
          </w:tcPr>
          <w:p w14:paraId="6BF09D7A">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705F5E2A">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r>
      <w:tr w14:paraId="4564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shd w:val="clear" w:color="auto" w:fill="auto"/>
            <w:vAlign w:val="center"/>
          </w:tcPr>
          <w:p w14:paraId="563D1DD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10BA249B">
            <w:pPr>
              <w:pStyle w:val="11"/>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2ADE275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rPr>
              <w:t>故障排查方案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2套地下水水质监测系统和6套地表水水质监测设备的数据</w:t>
            </w:r>
            <w:r>
              <w:rPr>
                <w:rFonts w:hint="eastAsia" w:ascii="宋体" w:hAnsi="宋体" w:eastAsia="宋体" w:cs="宋体"/>
                <w:color w:val="auto"/>
                <w:sz w:val="21"/>
                <w:szCs w:val="21"/>
                <w:highlight w:val="none"/>
              </w:rPr>
              <w:t>异常等方面是否给出详细的实时互通数据问题的故障排查方案，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给出处理建议</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102BA2A1">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内容全面的得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16451E8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内容基本完整但存在偏差的得</w:t>
            </w:r>
            <w:r>
              <w:rPr>
                <w:rFonts w:hint="eastAsia" w:ascii="宋体" w:hAnsi="宋体" w:eastAsia="宋体" w:cs="宋体"/>
                <w:color w:val="auto"/>
                <w:sz w:val="21"/>
                <w:szCs w:val="21"/>
                <w:highlight w:val="none"/>
                <w:lang w:val="en-US" w:eastAsia="zh-CN"/>
              </w:rPr>
              <w:t>2.0-3.9分</w:t>
            </w:r>
            <w:r>
              <w:rPr>
                <w:rFonts w:hint="eastAsia" w:ascii="宋体" w:hAnsi="宋体" w:eastAsia="宋体" w:cs="宋体"/>
                <w:color w:val="auto"/>
                <w:sz w:val="21"/>
                <w:szCs w:val="21"/>
                <w:highlight w:val="none"/>
              </w:rPr>
              <w:t>，</w:t>
            </w:r>
          </w:p>
          <w:p w14:paraId="0D25BAF5">
            <w:pPr>
              <w:pStyle w:val="6"/>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内容笼统无针对细化但有所涉及的得0.1-1.9分</w:t>
            </w:r>
            <w:r>
              <w:rPr>
                <w:rFonts w:hint="eastAsia" w:ascii="宋体" w:hAnsi="宋体" w:eastAsia="宋体" w:cs="宋体"/>
                <w:color w:val="auto"/>
                <w:sz w:val="21"/>
                <w:szCs w:val="21"/>
                <w:highlight w:val="none"/>
                <w:lang w:val="en-US" w:eastAsia="zh-CN"/>
              </w:rPr>
              <w:t>；</w:t>
            </w:r>
          </w:p>
          <w:p w14:paraId="327D6E92">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09" w:type="dxa"/>
            <w:shd w:val="clear" w:color="auto" w:fill="auto"/>
            <w:vAlign w:val="center"/>
          </w:tcPr>
          <w:p w14:paraId="22591F77">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9" w:type="dxa"/>
            <w:shd w:val="clear" w:color="auto" w:fill="auto"/>
            <w:vAlign w:val="center"/>
          </w:tcPr>
          <w:p w14:paraId="4DCA40FA">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2639CBC6">
            <w:pPr>
              <w:pStyle w:val="6"/>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r>
      <w:tr w14:paraId="460D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shd w:val="clear" w:color="auto" w:fill="auto"/>
            <w:vAlign w:val="center"/>
          </w:tcPr>
          <w:p w14:paraId="1D99436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0F3AF38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w:t>
            </w:r>
            <w:r>
              <w:rPr>
                <w:rFonts w:hint="eastAsia" w:ascii="宋体" w:hAnsi="宋体" w:cs="宋体"/>
                <w:color w:val="auto"/>
                <w:sz w:val="21"/>
                <w:szCs w:val="21"/>
                <w:highlight w:val="none"/>
                <w:lang w:val="en-US" w:eastAsia="zh-CN"/>
              </w:rPr>
              <w:t>方案</w:t>
            </w:r>
          </w:p>
        </w:tc>
        <w:tc>
          <w:tcPr>
            <w:tcW w:w="6867" w:type="dxa"/>
            <w:shd w:val="clear" w:color="auto" w:fill="auto"/>
            <w:vAlign w:val="center"/>
          </w:tcPr>
          <w:p w14:paraId="3A3DDED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rPr>
              <w:t>运维服务</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具体工作思路以及安排等情况进行打分。</w:t>
            </w:r>
          </w:p>
          <w:p w14:paraId="3F5507CD">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工作依据详细、合规，总体思路明确的得4.0-6.0分；</w:t>
            </w:r>
          </w:p>
          <w:p w14:paraId="441FE1FD">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工作依据合规，思路基本明确的得2.0-3.9分；</w:t>
            </w:r>
          </w:p>
          <w:p w14:paraId="0359EA7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工作依据简单、缺乏严谨性，思路片面的得0.1-1.9分；</w:t>
            </w:r>
          </w:p>
          <w:p w14:paraId="25DB3EC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152AF9B">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09" w:type="dxa"/>
            <w:shd w:val="clear" w:color="auto" w:fill="auto"/>
            <w:vAlign w:val="center"/>
          </w:tcPr>
          <w:p w14:paraId="7A2018A6">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709" w:type="dxa"/>
            <w:shd w:val="clear" w:color="auto" w:fill="auto"/>
            <w:vAlign w:val="center"/>
          </w:tcPr>
          <w:p w14:paraId="08EEDCF6">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r>
      <w:tr w14:paraId="09BE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72" w:type="dxa"/>
            <w:vMerge w:val="continue"/>
            <w:shd w:val="clear" w:color="auto" w:fill="auto"/>
            <w:vAlign w:val="center"/>
          </w:tcPr>
          <w:p w14:paraId="19ED5BAB">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5F6AA63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7389D2A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与浙江省生态环境问题发现·督察在线系统</w:t>
            </w:r>
            <w:r>
              <w:rPr>
                <w:rFonts w:hint="eastAsia" w:ascii="宋体" w:hAnsi="宋体" w:eastAsia="宋体" w:cs="宋体"/>
                <w:color w:val="auto"/>
                <w:sz w:val="21"/>
                <w:szCs w:val="21"/>
                <w:highlight w:val="none"/>
                <w:lang w:val="en-US" w:eastAsia="zh-CN"/>
              </w:rPr>
              <w:t>对接联网</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要求提供内容包括数据无法同步更新</w:t>
            </w: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rPr>
              <w:t>措施、省级平台更新对应</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平台更新</w:t>
            </w:r>
            <w:r>
              <w:rPr>
                <w:rFonts w:hint="eastAsia" w:ascii="宋体" w:hAnsi="宋体" w:cs="宋体"/>
                <w:color w:val="auto"/>
                <w:sz w:val="21"/>
                <w:szCs w:val="21"/>
                <w:highlight w:val="none"/>
                <w:lang w:val="en-US" w:eastAsia="zh-CN"/>
              </w:rPr>
              <w:t>的应急</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保障</w:t>
            </w:r>
            <w:r>
              <w:rPr>
                <w:rFonts w:hint="eastAsia" w:ascii="宋体" w:hAnsi="宋体" w:eastAsia="宋体" w:cs="宋体"/>
                <w:color w:val="auto"/>
                <w:sz w:val="21"/>
                <w:szCs w:val="21"/>
                <w:highlight w:val="none"/>
              </w:rPr>
              <w:t>协同处置、任务反馈正常运行</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636DF65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全面科学、思路严谨、实际应用效果明显</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4.0-6.0分</w:t>
            </w:r>
            <w:r>
              <w:rPr>
                <w:rFonts w:hint="eastAsia" w:ascii="宋体" w:hAnsi="宋体" w:eastAsia="宋体" w:cs="宋体"/>
                <w:color w:val="auto"/>
                <w:sz w:val="21"/>
                <w:szCs w:val="21"/>
                <w:highlight w:val="none"/>
              </w:rPr>
              <w:t>；</w:t>
            </w:r>
          </w:p>
          <w:p w14:paraId="3CF60F73">
            <w:pPr>
              <w:pStyle w:val="2"/>
              <w:keepNext w:val="0"/>
              <w:keepLines w:val="0"/>
              <w:pageBreakBefore w:val="0"/>
              <w:kinsoku/>
              <w:wordWrap/>
              <w:overflowPunct/>
              <w:topLinePunct w:val="0"/>
              <w:bidi w:val="0"/>
              <w:adjustRightInd/>
              <w:spacing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联网运维方案设计基本完整，实际应用效果一般的得2.0-3.9分</w:t>
            </w:r>
          </w:p>
          <w:p w14:paraId="336001C8">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联网运维方案</w:t>
            </w:r>
            <w:r>
              <w:rPr>
                <w:rFonts w:hint="eastAsia" w:ascii="宋体" w:hAnsi="宋体" w:eastAsia="宋体" w:cs="宋体"/>
                <w:color w:val="auto"/>
                <w:sz w:val="21"/>
                <w:szCs w:val="21"/>
                <w:highlight w:val="none"/>
              </w:rPr>
              <w:t>设计一般，实际应用效果不明显的得0.1-1.9分</w:t>
            </w:r>
            <w:r>
              <w:rPr>
                <w:rFonts w:hint="eastAsia" w:ascii="宋体" w:hAnsi="宋体" w:cs="宋体"/>
                <w:color w:val="auto"/>
                <w:sz w:val="21"/>
                <w:szCs w:val="21"/>
                <w:highlight w:val="none"/>
                <w:lang w:eastAsia="zh-CN"/>
              </w:rPr>
              <w:t>；</w:t>
            </w:r>
          </w:p>
          <w:p w14:paraId="2FC6BA76">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3DE6888D">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709" w:type="dxa"/>
            <w:shd w:val="clear" w:color="auto" w:fill="auto"/>
            <w:vAlign w:val="center"/>
          </w:tcPr>
          <w:p w14:paraId="6A0F154B">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75B9EFAF">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51A9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1072" w:type="dxa"/>
            <w:vMerge w:val="continue"/>
            <w:shd w:val="clear" w:color="auto" w:fill="auto"/>
            <w:vAlign w:val="center"/>
          </w:tcPr>
          <w:p w14:paraId="7295880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1982041F">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0E47BD0F">
            <w:pPr>
              <w:keepNext w:val="0"/>
              <w:keepLines w:val="0"/>
              <w:pageBreakBefore w:val="0"/>
              <w:kinsoku/>
              <w:wordWrap/>
              <w:overflowPunct/>
              <w:topLinePunct w:val="0"/>
              <w:bidi w:val="0"/>
              <w:adjustRightIn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提供的路桥区生态环境数字化监管系统</w:t>
            </w:r>
            <w:r>
              <w:rPr>
                <w:rFonts w:hint="eastAsia" w:ascii="宋体" w:hAnsi="宋体" w:cs="宋体"/>
                <w:color w:val="auto"/>
                <w:sz w:val="21"/>
                <w:szCs w:val="21"/>
                <w:highlight w:val="none"/>
                <w:lang w:val="en-US" w:eastAsia="zh-CN"/>
              </w:rPr>
              <w:t>运维方案进行打分，要求提供内容包括如何保证数据定期更新和维护服务、台州市</w:t>
            </w:r>
            <w:r>
              <w:rPr>
                <w:rFonts w:hint="eastAsia" w:ascii="宋体" w:hAnsi="宋体" w:eastAsia="宋体" w:cs="宋体"/>
                <w:color w:val="auto"/>
                <w:sz w:val="21"/>
                <w:szCs w:val="21"/>
                <w:highlight w:val="none"/>
              </w:rPr>
              <w:t>“全生态圈”环保大脑</w:t>
            </w:r>
            <w:r>
              <w:rPr>
                <w:rFonts w:hint="eastAsia" w:ascii="宋体" w:hAnsi="宋体" w:cs="宋体"/>
                <w:color w:val="auto"/>
                <w:sz w:val="21"/>
                <w:szCs w:val="21"/>
                <w:highlight w:val="none"/>
                <w:lang w:val="en-US" w:eastAsia="zh-CN"/>
              </w:rPr>
              <w:t>模块更新对应系统平台模块更新的应急方案、保障上报的生态环境问题、督察整改等工作进度调度数据，能够正常同步上传至“全生态圈”环保大脑应用场景的应急措施等。</w:t>
            </w:r>
          </w:p>
          <w:p w14:paraId="270216BE">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方案设计全面科学、思路严谨、实际应用效果明显的得</w:t>
            </w:r>
            <w:r>
              <w:rPr>
                <w:rFonts w:hint="eastAsia" w:ascii="宋体" w:hAnsi="宋体" w:eastAsia="宋体" w:cs="宋体"/>
                <w:color w:val="auto"/>
                <w:sz w:val="21"/>
                <w:szCs w:val="21"/>
                <w:highlight w:val="none"/>
                <w:lang w:val="en-US" w:eastAsia="zh-CN"/>
              </w:rPr>
              <w:t>4.0-6.0</w:t>
            </w:r>
            <w:r>
              <w:rPr>
                <w:rFonts w:hint="eastAsia" w:ascii="宋体" w:hAnsi="宋体" w:eastAsia="宋体" w:cs="宋体"/>
                <w:color w:val="auto"/>
                <w:sz w:val="21"/>
                <w:szCs w:val="21"/>
                <w:highlight w:val="none"/>
              </w:rPr>
              <w:t>分；</w:t>
            </w:r>
          </w:p>
          <w:p w14:paraId="36071BF2">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rPr>
              <w:t>、实际应用效果</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2.0-3.9</w:t>
            </w:r>
            <w:r>
              <w:rPr>
                <w:rFonts w:hint="eastAsia" w:ascii="宋体" w:hAnsi="宋体" w:eastAsia="宋体" w:cs="宋体"/>
                <w:color w:val="auto"/>
                <w:sz w:val="21"/>
                <w:szCs w:val="21"/>
                <w:highlight w:val="none"/>
              </w:rPr>
              <w:t>分</w:t>
            </w:r>
          </w:p>
          <w:p w14:paraId="5AFE7CE2">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系统运维</w:t>
            </w:r>
            <w:r>
              <w:rPr>
                <w:rFonts w:hint="eastAsia" w:ascii="宋体" w:hAnsi="宋体" w:eastAsia="宋体" w:cs="宋体"/>
                <w:color w:val="auto"/>
                <w:sz w:val="21"/>
                <w:szCs w:val="21"/>
                <w:highlight w:val="none"/>
              </w:rPr>
              <w:t>方案设计一般，实际应用效果不明显的得0.1-</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2FFD90C1">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06DBD97">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09" w:type="dxa"/>
            <w:shd w:val="clear" w:color="auto" w:fill="auto"/>
            <w:vAlign w:val="center"/>
          </w:tcPr>
          <w:p w14:paraId="598A4A06">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389AEE35">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05EC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1072" w:type="dxa"/>
            <w:vMerge w:val="continue"/>
            <w:shd w:val="clear" w:color="auto" w:fill="auto"/>
            <w:vAlign w:val="center"/>
          </w:tcPr>
          <w:p w14:paraId="4B6308C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0211B03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01312D2D">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提供的关</w:t>
            </w:r>
            <w:r>
              <w:rPr>
                <w:rFonts w:hint="eastAsia" w:ascii="宋体" w:hAnsi="宋体" w:eastAsia="宋体" w:cs="宋体"/>
                <w:color w:val="auto"/>
                <w:sz w:val="21"/>
                <w:szCs w:val="21"/>
                <w:highlight w:val="none"/>
              </w:rPr>
              <w:t>于政务云部署、云上业务系统日常维护等方面的操作建议，方案对实施可能遇到的问题及其应对措施的考虑情况等进行打分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6290A16">
            <w:pPr>
              <w:keepNext w:val="0"/>
              <w:keepLines w:val="0"/>
              <w:pageBreakBefore w:val="0"/>
              <w:kinsoku/>
              <w:wordWrap/>
              <w:overflowPunct/>
              <w:topLinePunct w:val="0"/>
              <w:bidi w:val="0"/>
              <w:adjustRightInd/>
              <w:spacing w:line="24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分析内容全面、措施有针对性的得4.0-6.0分</w:t>
            </w:r>
            <w:r>
              <w:rPr>
                <w:rFonts w:hint="eastAsia" w:ascii="宋体" w:hAnsi="宋体" w:cs="宋体"/>
                <w:color w:val="auto"/>
                <w:sz w:val="21"/>
                <w:szCs w:val="21"/>
                <w:highlight w:val="none"/>
                <w:lang w:eastAsia="zh-CN"/>
              </w:rPr>
              <w:t>；</w:t>
            </w:r>
          </w:p>
          <w:p w14:paraId="0A828D2A">
            <w:pPr>
              <w:keepNext w:val="0"/>
              <w:keepLines w:val="0"/>
              <w:pageBreakBefore w:val="0"/>
              <w:kinsoku/>
              <w:wordWrap/>
              <w:overflowPunct/>
              <w:topLinePunct w:val="0"/>
              <w:bidi w:val="0"/>
              <w:adjustRightInd/>
              <w:spacing w:line="24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分析内容完整、并提出应对措施但有一定偏差的得2.0-3.9分</w:t>
            </w:r>
            <w:r>
              <w:rPr>
                <w:rFonts w:hint="eastAsia" w:ascii="宋体" w:hAnsi="宋体" w:cs="宋体"/>
                <w:color w:val="auto"/>
                <w:sz w:val="21"/>
                <w:szCs w:val="21"/>
                <w:highlight w:val="none"/>
                <w:lang w:eastAsia="zh-CN"/>
              </w:rPr>
              <w:t>；</w:t>
            </w:r>
          </w:p>
          <w:p w14:paraId="65B80B0B">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分析内容笼统但有所涉及的得0.1-1.9分</w:t>
            </w:r>
            <w:r>
              <w:rPr>
                <w:rFonts w:hint="eastAsia" w:ascii="宋体" w:hAnsi="宋体" w:cs="宋体"/>
                <w:color w:val="auto"/>
                <w:sz w:val="21"/>
                <w:szCs w:val="21"/>
                <w:highlight w:val="none"/>
                <w:lang w:eastAsia="zh-CN"/>
              </w:rPr>
              <w:t>；</w:t>
            </w:r>
          </w:p>
          <w:p w14:paraId="0F5D4F3B">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未提及此项不得分。 </w:t>
            </w:r>
          </w:p>
        </w:tc>
        <w:tc>
          <w:tcPr>
            <w:tcW w:w="709" w:type="dxa"/>
            <w:shd w:val="clear" w:color="auto" w:fill="auto"/>
            <w:vAlign w:val="center"/>
          </w:tcPr>
          <w:p w14:paraId="633F037F">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09" w:type="dxa"/>
            <w:shd w:val="clear" w:color="auto" w:fill="auto"/>
            <w:vAlign w:val="center"/>
          </w:tcPr>
          <w:p w14:paraId="7957B6FC">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3E7C52E2">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327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shd w:val="clear" w:color="auto" w:fill="auto"/>
            <w:vAlign w:val="center"/>
          </w:tcPr>
          <w:p w14:paraId="6D906EF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2FA4B8E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6867" w:type="dxa"/>
            <w:shd w:val="clear" w:color="auto" w:fill="auto"/>
            <w:vAlign w:val="center"/>
          </w:tcPr>
          <w:p w14:paraId="4726CA9E">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的重点难点分析情况进行打分。</w:t>
            </w:r>
          </w:p>
          <w:p w14:paraId="23F458C4">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208FC7CF">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分析基本合理、内容简单的得2.0-3.9分；</w:t>
            </w:r>
          </w:p>
          <w:p w14:paraId="289FBA82">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分析片面，缺乏针对性的得0.1-1.9分；</w:t>
            </w:r>
          </w:p>
          <w:p w14:paraId="5B5643E1">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3FCCE89A">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9" w:type="dxa"/>
            <w:shd w:val="clear" w:color="auto" w:fill="auto"/>
            <w:vAlign w:val="center"/>
          </w:tcPr>
          <w:p w14:paraId="16116D18">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7E14B968">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1322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06BE897E">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44EE4BE0">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重难点解决方案</w:t>
            </w:r>
          </w:p>
        </w:tc>
        <w:tc>
          <w:tcPr>
            <w:tcW w:w="6867" w:type="dxa"/>
            <w:shd w:val="clear" w:color="auto" w:fill="auto"/>
            <w:vAlign w:val="center"/>
          </w:tcPr>
          <w:p w14:paraId="46164DC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根据投标人对本项目工作重难点问题</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的解决方案及采取的对应措施进行打分。</w:t>
            </w:r>
          </w:p>
          <w:p w14:paraId="60C18218">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42DE3B0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有处理方法但阐述不够详尽的得2.0-3.9分；</w:t>
            </w:r>
          </w:p>
          <w:p w14:paraId="1ACDCB2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处理方法缺乏针对性的得0.1-1.9分；</w:t>
            </w:r>
          </w:p>
          <w:p w14:paraId="2544EA3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9CF6740">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9" w:type="dxa"/>
            <w:shd w:val="clear" w:color="auto" w:fill="auto"/>
            <w:vAlign w:val="center"/>
          </w:tcPr>
          <w:p w14:paraId="2D78A5B3">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344C9850">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1521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26AC5B8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1F35CED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质量管控</w:t>
            </w:r>
          </w:p>
        </w:tc>
        <w:tc>
          <w:tcPr>
            <w:tcW w:w="6867" w:type="dxa"/>
            <w:shd w:val="clear" w:color="auto" w:fill="auto"/>
            <w:vAlign w:val="center"/>
          </w:tcPr>
          <w:p w14:paraId="0812EB68">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根据投标人对本项目工作中的管理规范、内控制度、质量管控措施进行打分。</w:t>
            </w:r>
          </w:p>
          <w:p w14:paraId="2453BB78">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方案全面，合理有保障的得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7B18A41E">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方案基本合理，部分可行的得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.9分；</w:t>
            </w:r>
          </w:p>
          <w:p w14:paraId="07A0CDB6">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措施缺乏有效性和针对性的得0.1-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.9分；</w:t>
            </w:r>
          </w:p>
          <w:p w14:paraId="1F215FB8">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200B74D">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09" w:type="dxa"/>
            <w:shd w:val="clear" w:color="auto" w:fill="auto"/>
            <w:vAlign w:val="center"/>
          </w:tcPr>
          <w:p w14:paraId="0A16D539">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7637DB7A">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7E9B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shd w:val="clear" w:color="auto" w:fill="auto"/>
            <w:vAlign w:val="center"/>
          </w:tcPr>
          <w:p w14:paraId="11D1952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shd w:val="clear" w:color="auto" w:fill="auto"/>
            <w:vAlign w:val="center"/>
          </w:tcPr>
          <w:p w14:paraId="2ADB96B7">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c>
          <w:tcPr>
            <w:tcW w:w="6867" w:type="dxa"/>
            <w:shd w:val="clear" w:color="auto" w:fill="auto"/>
            <w:vAlign w:val="center"/>
          </w:tcPr>
          <w:p w14:paraId="696905F1">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根据投标人依据本项目服务要求、实际需求提出的合理化建议进行打分。</w:t>
            </w:r>
          </w:p>
          <w:p w14:paraId="0440A7AB">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2464F55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建议部分有改进意义的得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547AD77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.9分；</w:t>
            </w:r>
          </w:p>
          <w:p w14:paraId="138633C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shd w:val="clear" w:color="auto" w:fill="auto"/>
            <w:vAlign w:val="center"/>
          </w:tcPr>
          <w:p w14:paraId="011733BF">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09" w:type="dxa"/>
            <w:shd w:val="clear" w:color="auto" w:fill="auto"/>
            <w:vAlign w:val="center"/>
          </w:tcPr>
          <w:p w14:paraId="15855518">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63BD9CB6">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1CD1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shd w:val="clear" w:color="auto" w:fill="auto"/>
            <w:vAlign w:val="center"/>
          </w:tcPr>
          <w:p w14:paraId="6FDF869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shd w:val="clear" w:color="auto" w:fill="auto"/>
            <w:vAlign w:val="center"/>
          </w:tcPr>
          <w:p w14:paraId="2BD1AE4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tc>
        <w:tc>
          <w:tcPr>
            <w:tcW w:w="6867" w:type="dxa"/>
            <w:shd w:val="clear" w:color="auto" w:fill="auto"/>
            <w:vAlign w:val="center"/>
          </w:tcPr>
          <w:p w14:paraId="016AB8D6">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根据投标人对本项目承诺的售后服务方案（包括后续技术支持、服务承诺）进行打分。</w:t>
            </w:r>
          </w:p>
          <w:p w14:paraId="26774FDA">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后续技术保障措施合理有效的</w:t>
            </w:r>
            <w:r>
              <w:rPr>
                <w:rFonts w:hint="eastAsia" w:ascii="宋体" w:hAnsi="宋体" w:eastAsia="宋体" w:cs="宋体"/>
                <w:color w:val="auto"/>
                <w:spacing w:val="-4"/>
                <w:sz w:val="21"/>
                <w:szCs w:val="21"/>
                <w:highlight w:val="none"/>
              </w:rPr>
              <w:t>得</w:t>
            </w:r>
            <w:r>
              <w:rPr>
                <w:rFonts w:hint="eastAsia" w:ascii="宋体" w:hAnsi="宋体" w:cs="宋体"/>
                <w:color w:val="auto"/>
                <w:spacing w:val="-4"/>
                <w:sz w:val="21"/>
                <w:szCs w:val="21"/>
                <w:highlight w:val="none"/>
                <w:lang w:val="en-US" w:eastAsia="zh-CN"/>
              </w:rPr>
              <w:t>1.0-2.0</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w:t>
            </w:r>
          </w:p>
          <w:p w14:paraId="79FD72DD">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服务方案阐述较详尽，后续技术保障措施有欠缺的</w:t>
            </w:r>
            <w:r>
              <w:rPr>
                <w:rFonts w:hint="eastAsia" w:ascii="宋体" w:hAnsi="宋体" w:eastAsia="宋体" w:cs="宋体"/>
                <w:color w:val="auto"/>
                <w:spacing w:val="-4"/>
                <w:sz w:val="21"/>
                <w:szCs w:val="21"/>
                <w:highlight w:val="none"/>
              </w:rPr>
              <w:t>得0.1-</w:t>
            </w:r>
            <w:r>
              <w:rPr>
                <w:rFonts w:hint="eastAsia" w:ascii="宋体" w:hAnsi="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474297B4">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未提及此项不得分</w:t>
            </w:r>
            <w:r>
              <w:rPr>
                <w:rFonts w:hint="eastAsia" w:ascii="宋体" w:hAnsi="宋体" w:eastAsia="宋体" w:cs="宋体"/>
                <w:color w:val="auto"/>
                <w:sz w:val="21"/>
                <w:szCs w:val="21"/>
                <w:highlight w:val="none"/>
              </w:rPr>
              <w:t>。</w:t>
            </w:r>
          </w:p>
        </w:tc>
        <w:tc>
          <w:tcPr>
            <w:tcW w:w="709" w:type="dxa"/>
            <w:shd w:val="clear" w:color="auto" w:fill="auto"/>
            <w:vAlign w:val="center"/>
          </w:tcPr>
          <w:p w14:paraId="5A5042CE">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c>
          <w:tcPr>
            <w:tcW w:w="709" w:type="dxa"/>
            <w:shd w:val="clear" w:color="auto" w:fill="auto"/>
            <w:vAlign w:val="center"/>
          </w:tcPr>
          <w:p w14:paraId="04E60145">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shd w:val="clear" w:color="auto" w:fill="auto"/>
            <w:vAlign w:val="center"/>
          </w:tcPr>
          <w:p w14:paraId="0B35E32B">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2B1D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72" w:type="dxa"/>
            <w:vMerge w:val="continue"/>
            <w:shd w:val="clear" w:color="auto" w:fill="auto"/>
            <w:vAlign w:val="center"/>
          </w:tcPr>
          <w:p w14:paraId="565F70EB">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shd w:val="clear" w:color="auto" w:fill="auto"/>
            <w:vAlign w:val="center"/>
          </w:tcPr>
          <w:p w14:paraId="524BC294">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7B71D403">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根据投标人对本项目承诺的响应情况进行打分。</w:t>
            </w:r>
          </w:p>
          <w:p w14:paraId="65C9A60A">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承诺在2小时内（含）到达现场的得</w:t>
            </w:r>
            <w:r>
              <w:rPr>
                <w:rFonts w:hint="eastAsia" w:ascii="宋体" w:hAnsi="宋体" w:eastAsia="宋体" w:cs="宋体"/>
                <w:color w:val="auto"/>
                <w:spacing w:val="-4"/>
                <w:sz w:val="21"/>
                <w:szCs w:val="21"/>
                <w:highlight w:val="none"/>
                <w:lang w:val="en-US" w:eastAsia="zh-CN"/>
              </w:rPr>
              <w:t>2分</w:t>
            </w:r>
            <w:r>
              <w:rPr>
                <w:rFonts w:hint="eastAsia" w:ascii="宋体" w:hAnsi="宋体" w:eastAsia="宋体" w:cs="宋体"/>
                <w:color w:val="auto"/>
                <w:spacing w:val="-4"/>
                <w:sz w:val="21"/>
                <w:szCs w:val="21"/>
                <w:highlight w:val="none"/>
              </w:rPr>
              <w:t>；</w:t>
            </w:r>
          </w:p>
          <w:p w14:paraId="41384AF5">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-4小时内（含）到达现场的得</w:t>
            </w:r>
            <w:r>
              <w:rPr>
                <w:rFonts w:hint="eastAsia" w:ascii="宋体" w:hAnsi="宋体" w:eastAsia="宋体" w:cs="宋体"/>
                <w:color w:val="auto"/>
                <w:spacing w:val="-4"/>
                <w:sz w:val="21"/>
                <w:szCs w:val="21"/>
                <w:highlight w:val="none"/>
                <w:lang w:val="en-US" w:eastAsia="zh-CN"/>
              </w:rPr>
              <w:t>1分</w:t>
            </w:r>
            <w:r>
              <w:rPr>
                <w:rFonts w:hint="eastAsia" w:ascii="宋体" w:hAnsi="宋体" w:eastAsia="宋体" w:cs="宋体"/>
                <w:color w:val="auto"/>
                <w:spacing w:val="-4"/>
                <w:sz w:val="21"/>
                <w:szCs w:val="21"/>
                <w:highlight w:val="none"/>
              </w:rPr>
              <w:t>；</w:t>
            </w:r>
          </w:p>
          <w:p w14:paraId="61FF3B2C">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0.5</w:t>
            </w:r>
            <w:r>
              <w:rPr>
                <w:rFonts w:hint="eastAsia" w:ascii="宋体" w:hAnsi="宋体" w:eastAsia="宋体" w:cs="宋体"/>
                <w:color w:val="auto"/>
                <w:spacing w:val="-4"/>
                <w:sz w:val="21"/>
                <w:szCs w:val="21"/>
                <w:highlight w:val="none"/>
              </w:rPr>
              <w:t>分；</w:t>
            </w:r>
          </w:p>
          <w:p w14:paraId="08E06BD8">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超过</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小时到达现场的或未提及此项不得分</w:t>
            </w:r>
            <w:r>
              <w:rPr>
                <w:rFonts w:hint="eastAsia" w:ascii="宋体" w:hAnsi="宋体" w:eastAsia="宋体" w:cs="宋体"/>
                <w:color w:val="auto"/>
                <w:sz w:val="21"/>
                <w:szCs w:val="21"/>
                <w:highlight w:val="none"/>
              </w:rPr>
              <w:t>。</w:t>
            </w:r>
          </w:p>
        </w:tc>
        <w:tc>
          <w:tcPr>
            <w:tcW w:w="709" w:type="dxa"/>
            <w:shd w:val="clear" w:color="auto" w:fill="auto"/>
            <w:vAlign w:val="center"/>
          </w:tcPr>
          <w:p w14:paraId="5293A4A1">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709" w:type="dxa"/>
            <w:shd w:val="clear" w:color="auto" w:fill="auto"/>
            <w:vAlign w:val="center"/>
          </w:tcPr>
          <w:p w14:paraId="430F3BBD">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30A58733">
            <w:pPr>
              <w:pStyle w:val="3"/>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bl>
    <w:p w14:paraId="2867D75D">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03A696D">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2"/>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30722DD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1"/>
        <w:tblW w:w="6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28A0B8E5">
            <w:pPr>
              <w:spacing w:line="360" w:lineRule="auto"/>
              <w:rPr>
                <w:rFonts w:hint="eastAsia" w:ascii="宋体" w:hAnsi="宋体" w:eastAsia="宋体" w:cs="宋体"/>
                <w:color w:val="auto"/>
                <w:sz w:val="21"/>
                <w:szCs w:val="21"/>
                <w:highlight w:val="none"/>
              </w:rPr>
            </w:pPr>
          </w:p>
        </w:tc>
        <w:tc>
          <w:tcPr>
            <w:tcW w:w="1785" w:type="dxa"/>
            <w:vAlign w:val="center"/>
          </w:tcPr>
          <w:p w14:paraId="4095D56F">
            <w:pPr>
              <w:spacing w:line="360" w:lineRule="auto"/>
              <w:rPr>
                <w:rFonts w:hint="eastAsia" w:ascii="宋体" w:hAnsi="宋体" w:eastAsia="宋体" w:cs="宋体"/>
                <w:color w:val="auto"/>
                <w:sz w:val="21"/>
                <w:szCs w:val="21"/>
                <w:highlight w:val="none"/>
              </w:rPr>
            </w:pPr>
          </w:p>
        </w:tc>
        <w:tc>
          <w:tcPr>
            <w:tcW w:w="1560" w:type="dxa"/>
            <w:vAlign w:val="center"/>
          </w:tcPr>
          <w:p w14:paraId="6F722CFC">
            <w:pPr>
              <w:spacing w:line="360" w:lineRule="auto"/>
              <w:rPr>
                <w:rFonts w:hint="eastAsia" w:ascii="宋体" w:hAnsi="宋体" w:eastAsia="宋体" w:cs="宋体"/>
                <w:color w:val="auto"/>
                <w:sz w:val="21"/>
                <w:szCs w:val="21"/>
                <w:highlight w:val="none"/>
              </w:rPr>
            </w:pPr>
          </w:p>
        </w:tc>
        <w:tc>
          <w:tcPr>
            <w:tcW w:w="1401" w:type="dxa"/>
            <w:vAlign w:val="center"/>
          </w:tcPr>
          <w:p w14:paraId="6EF70924">
            <w:pPr>
              <w:spacing w:line="360" w:lineRule="auto"/>
              <w:rPr>
                <w:rFonts w:hint="eastAsia" w:ascii="宋体" w:hAnsi="宋体" w:eastAsia="宋体" w:cs="宋体"/>
                <w:color w:val="auto"/>
                <w:sz w:val="21"/>
                <w:szCs w:val="21"/>
                <w:highlight w:val="none"/>
              </w:rPr>
            </w:pPr>
          </w:p>
        </w:tc>
        <w:tc>
          <w:tcPr>
            <w:tcW w:w="1365"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3100292">
            <w:pPr>
              <w:spacing w:line="360" w:lineRule="auto"/>
              <w:rPr>
                <w:rFonts w:hint="eastAsia" w:ascii="宋体" w:hAnsi="宋体" w:eastAsia="宋体" w:cs="宋体"/>
                <w:color w:val="auto"/>
                <w:sz w:val="21"/>
                <w:szCs w:val="21"/>
                <w:highlight w:val="none"/>
              </w:rPr>
            </w:pPr>
          </w:p>
        </w:tc>
        <w:tc>
          <w:tcPr>
            <w:tcW w:w="1785" w:type="dxa"/>
            <w:vAlign w:val="center"/>
          </w:tcPr>
          <w:p w14:paraId="71FD5317">
            <w:pPr>
              <w:spacing w:line="360" w:lineRule="auto"/>
              <w:rPr>
                <w:rFonts w:hint="eastAsia" w:ascii="宋体" w:hAnsi="宋体" w:eastAsia="宋体" w:cs="宋体"/>
                <w:color w:val="auto"/>
                <w:sz w:val="21"/>
                <w:szCs w:val="21"/>
                <w:highlight w:val="none"/>
              </w:rPr>
            </w:pPr>
          </w:p>
        </w:tc>
        <w:tc>
          <w:tcPr>
            <w:tcW w:w="1560" w:type="dxa"/>
            <w:vAlign w:val="center"/>
          </w:tcPr>
          <w:p w14:paraId="5D2BDA7C">
            <w:pPr>
              <w:spacing w:line="360" w:lineRule="auto"/>
              <w:rPr>
                <w:rFonts w:hint="eastAsia" w:ascii="宋体" w:hAnsi="宋体" w:eastAsia="宋体" w:cs="宋体"/>
                <w:color w:val="auto"/>
                <w:sz w:val="21"/>
                <w:szCs w:val="21"/>
                <w:highlight w:val="none"/>
              </w:rPr>
            </w:pPr>
          </w:p>
        </w:tc>
        <w:tc>
          <w:tcPr>
            <w:tcW w:w="1401" w:type="dxa"/>
            <w:vAlign w:val="center"/>
          </w:tcPr>
          <w:p w14:paraId="667B24B4">
            <w:pPr>
              <w:spacing w:line="360" w:lineRule="auto"/>
              <w:rPr>
                <w:rFonts w:hint="eastAsia" w:ascii="宋体" w:hAnsi="宋体" w:eastAsia="宋体" w:cs="宋体"/>
                <w:color w:val="auto"/>
                <w:sz w:val="21"/>
                <w:szCs w:val="21"/>
                <w:highlight w:val="none"/>
              </w:rPr>
            </w:pPr>
          </w:p>
        </w:tc>
        <w:tc>
          <w:tcPr>
            <w:tcW w:w="1365"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C5F6F47">
            <w:pPr>
              <w:spacing w:line="360" w:lineRule="auto"/>
              <w:rPr>
                <w:rFonts w:hint="eastAsia" w:ascii="宋体" w:hAnsi="宋体" w:eastAsia="宋体" w:cs="宋体"/>
                <w:color w:val="auto"/>
                <w:sz w:val="21"/>
                <w:szCs w:val="21"/>
                <w:highlight w:val="none"/>
              </w:rPr>
            </w:pPr>
          </w:p>
        </w:tc>
        <w:tc>
          <w:tcPr>
            <w:tcW w:w="1785" w:type="dxa"/>
            <w:vAlign w:val="center"/>
          </w:tcPr>
          <w:p w14:paraId="3A8BA12A">
            <w:pPr>
              <w:spacing w:line="360" w:lineRule="auto"/>
              <w:rPr>
                <w:rFonts w:hint="eastAsia" w:ascii="宋体" w:hAnsi="宋体" w:eastAsia="宋体" w:cs="宋体"/>
                <w:color w:val="auto"/>
                <w:sz w:val="21"/>
                <w:szCs w:val="21"/>
                <w:highlight w:val="none"/>
              </w:rPr>
            </w:pPr>
          </w:p>
        </w:tc>
        <w:tc>
          <w:tcPr>
            <w:tcW w:w="1560" w:type="dxa"/>
            <w:vAlign w:val="center"/>
          </w:tcPr>
          <w:p w14:paraId="0DEBE542">
            <w:pPr>
              <w:spacing w:line="360" w:lineRule="auto"/>
              <w:rPr>
                <w:rFonts w:hint="eastAsia" w:ascii="宋体" w:hAnsi="宋体" w:eastAsia="宋体" w:cs="宋体"/>
                <w:color w:val="auto"/>
                <w:sz w:val="21"/>
                <w:szCs w:val="21"/>
                <w:highlight w:val="none"/>
              </w:rPr>
            </w:pPr>
          </w:p>
        </w:tc>
        <w:tc>
          <w:tcPr>
            <w:tcW w:w="1401" w:type="dxa"/>
            <w:vAlign w:val="center"/>
          </w:tcPr>
          <w:p w14:paraId="07AB1970">
            <w:pPr>
              <w:spacing w:line="360" w:lineRule="auto"/>
              <w:rPr>
                <w:rFonts w:hint="eastAsia" w:ascii="宋体" w:hAnsi="宋体" w:eastAsia="宋体" w:cs="宋体"/>
                <w:color w:val="auto"/>
                <w:sz w:val="21"/>
                <w:szCs w:val="21"/>
                <w:highlight w:val="none"/>
              </w:rPr>
            </w:pPr>
          </w:p>
        </w:tc>
        <w:tc>
          <w:tcPr>
            <w:tcW w:w="1365"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48A28A54">
            <w:pPr>
              <w:spacing w:line="360" w:lineRule="auto"/>
              <w:rPr>
                <w:rFonts w:hint="eastAsia" w:ascii="宋体" w:hAnsi="宋体" w:eastAsia="宋体" w:cs="宋体"/>
                <w:color w:val="auto"/>
                <w:sz w:val="21"/>
                <w:szCs w:val="21"/>
                <w:highlight w:val="none"/>
              </w:rPr>
            </w:pPr>
          </w:p>
        </w:tc>
        <w:tc>
          <w:tcPr>
            <w:tcW w:w="1785" w:type="dxa"/>
            <w:vAlign w:val="center"/>
          </w:tcPr>
          <w:p w14:paraId="7C9F54A6">
            <w:pPr>
              <w:spacing w:line="360" w:lineRule="auto"/>
              <w:rPr>
                <w:rFonts w:hint="eastAsia" w:ascii="宋体" w:hAnsi="宋体" w:eastAsia="宋体" w:cs="宋体"/>
                <w:color w:val="auto"/>
                <w:sz w:val="21"/>
                <w:szCs w:val="21"/>
                <w:highlight w:val="none"/>
              </w:rPr>
            </w:pPr>
          </w:p>
        </w:tc>
        <w:tc>
          <w:tcPr>
            <w:tcW w:w="1560" w:type="dxa"/>
            <w:vAlign w:val="center"/>
          </w:tcPr>
          <w:p w14:paraId="606180A3">
            <w:pPr>
              <w:spacing w:line="360" w:lineRule="auto"/>
              <w:rPr>
                <w:rFonts w:hint="eastAsia" w:ascii="宋体" w:hAnsi="宋体" w:eastAsia="宋体" w:cs="宋体"/>
                <w:color w:val="auto"/>
                <w:sz w:val="21"/>
                <w:szCs w:val="21"/>
                <w:highlight w:val="none"/>
              </w:rPr>
            </w:pPr>
          </w:p>
        </w:tc>
        <w:tc>
          <w:tcPr>
            <w:tcW w:w="1401" w:type="dxa"/>
            <w:vAlign w:val="center"/>
          </w:tcPr>
          <w:p w14:paraId="5D185133">
            <w:pPr>
              <w:spacing w:line="360" w:lineRule="auto"/>
              <w:rPr>
                <w:rFonts w:hint="eastAsia" w:ascii="宋体" w:hAnsi="宋体" w:eastAsia="宋体" w:cs="宋体"/>
                <w:color w:val="auto"/>
                <w:sz w:val="21"/>
                <w:szCs w:val="21"/>
                <w:highlight w:val="none"/>
              </w:rPr>
            </w:pPr>
          </w:p>
        </w:tc>
        <w:tc>
          <w:tcPr>
            <w:tcW w:w="1365"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04EAFA87">
            <w:pPr>
              <w:spacing w:line="360" w:lineRule="auto"/>
              <w:rPr>
                <w:rFonts w:hint="eastAsia" w:ascii="宋体" w:hAnsi="宋体" w:eastAsia="宋体" w:cs="宋体"/>
                <w:color w:val="auto"/>
                <w:sz w:val="21"/>
                <w:szCs w:val="21"/>
                <w:highlight w:val="none"/>
              </w:rPr>
            </w:pPr>
          </w:p>
        </w:tc>
        <w:tc>
          <w:tcPr>
            <w:tcW w:w="1785" w:type="dxa"/>
            <w:vAlign w:val="center"/>
          </w:tcPr>
          <w:p w14:paraId="114DB2AB">
            <w:pPr>
              <w:spacing w:line="360" w:lineRule="auto"/>
              <w:rPr>
                <w:rFonts w:hint="eastAsia" w:ascii="宋体" w:hAnsi="宋体" w:eastAsia="宋体" w:cs="宋体"/>
                <w:color w:val="auto"/>
                <w:sz w:val="21"/>
                <w:szCs w:val="21"/>
                <w:highlight w:val="none"/>
              </w:rPr>
            </w:pPr>
          </w:p>
        </w:tc>
        <w:tc>
          <w:tcPr>
            <w:tcW w:w="1560" w:type="dxa"/>
            <w:vAlign w:val="center"/>
          </w:tcPr>
          <w:p w14:paraId="2C695153">
            <w:pPr>
              <w:spacing w:line="360" w:lineRule="auto"/>
              <w:rPr>
                <w:rFonts w:hint="eastAsia" w:ascii="宋体" w:hAnsi="宋体" w:eastAsia="宋体" w:cs="宋体"/>
                <w:color w:val="auto"/>
                <w:sz w:val="21"/>
                <w:szCs w:val="21"/>
                <w:highlight w:val="none"/>
              </w:rPr>
            </w:pPr>
          </w:p>
        </w:tc>
        <w:tc>
          <w:tcPr>
            <w:tcW w:w="1401" w:type="dxa"/>
            <w:vAlign w:val="center"/>
          </w:tcPr>
          <w:p w14:paraId="7EDF94E3">
            <w:pPr>
              <w:spacing w:line="360" w:lineRule="auto"/>
              <w:rPr>
                <w:rFonts w:hint="eastAsia" w:ascii="宋体" w:hAnsi="宋体" w:eastAsia="宋体" w:cs="宋体"/>
                <w:color w:val="auto"/>
                <w:sz w:val="21"/>
                <w:szCs w:val="21"/>
                <w:highlight w:val="none"/>
              </w:rPr>
            </w:pPr>
          </w:p>
        </w:tc>
        <w:tc>
          <w:tcPr>
            <w:tcW w:w="1365"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1A31C6AD">
            <w:pPr>
              <w:spacing w:line="360" w:lineRule="auto"/>
              <w:rPr>
                <w:rFonts w:hint="eastAsia" w:ascii="宋体" w:hAnsi="宋体" w:eastAsia="宋体" w:cs="宋体"/>
                <w:color w:val="auto"/>
                <w:sz w:val="21"/>
                <w:szCs w:val="21"/>
                <w:highlight w:val="none"/>
              </w:rPr>
            </w:pPr>
          </w:p>
        </w:tc>
        <w:tc>
          <w:tcPr>
            <w:tcW w:w="1785" w:type="dxa"/>
            <w:vAlign w:val="center"/>
          </w:tcPr>
          <w:p w14:paraId="0F05600C">
            <w:pPr>
              <w:spacing w:line="360" w:lineRule="auto"/>
              <w:rPr>
                <w:rFonts w:hint="eastAsia" w:ascii="宋体" w:hAnsi="宋体" w:eastAsia="宋体" w:cs="宋体"/>
                <w:color w:val="auto"/>
                <w:sz w:val="21"/>
                <w:szCs w:val="21"/>
                <w:highlight w:val="none"/>
              </w:rPr>
            </w:pPr>
          </w:p>
        </w:tc>
        <w:tc>
          <w:tcPr>
            <w:tcW w:w="1560" w:type="dxa"/>
            <w:vAlign w:val="center"/>
          </w:tcPr>
          <w:p w14:paraId="7EB9B3D1">
            <w:pPr>
              <w:spacing w:line="360" w:lineRule="auto"/>
              <w:rPr>
                <w:rFonts w:hint="eastAsia" w:ascii="宋体" w:hAnsi="宋体" w:eastAsia="宋体" w:cs="宋体"/>
                <w:color w:val="auto"/>
                <w:sz w:val="21"/>
                <w:szCs w:val="21"/>
                <w:highlight w:val="none"/>
              </w:rPr>
            </w:pPr>
          </w:p>
        </w:tc>
        <w:tc>
          <w:tcPr>
            <w:tcW w:w="1401" w:type="dxa"/>
            <w:vAlign w:val="center"/>
          </w:tcPr>
          <w:p w14:paraId="19DB8D53">
            <w:pPr>
              <w:spacing w:line="360" w:lineRule="auto"/>
              <w:rPr>
                <w:rFonts w:hint="eastAsia" w:ascii="宋体" w:hAnsi="宋体" w:eastAsia="宋体" w:cs="宋体"/>
                <w:color w:val="auto"/>
                <w:sz w:val="21"/>
                <w:szCs w:val="21"/>
                <w:highlight w:val="none"/>
              </w:rPr>
            </w:pPr>
          </w:p>
        </w:tc>
        <w:tc>
          <w:tcPr>
            <w:tcW w:w="1365"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11D36B60">
            <w:pPr>
              <w:spacing w:line="360" w:lineRule="auto"/>
              <w:rPr>
                <w:rFonts w:hint="eastAsia" w:ascii="宋体" w:hAnsi="宋体" w:eastAsia="宋体" w:cs="宋体"/>
                <w:color w:val="auto"/>
                <w:sz w:val="21"/>
                <w:szCs w:val="21"/>
                <w:highlight w:val="none"/>
              </w:rPr>
            </w:pPr>
          </w:p>
        </w:tc>
        <w:tc>
          <w:tcPr>
            <w:tcW w:w="1785" w:type="dxa"/>
            <w:vAlign w:val="center"/>
          </w:tcPr>
          <w:p w14:paraId="4694EF4B">
            <w:pPr>
              <w:spacing w:line="360" w:lineRule="auto"/>
              <w:rPr>
                <w:rFonts w:hint="eastAsia" w:ascii="宋体" w:hAnsi="宋体" w:eastAsia="宋体" w:cs="宋体"/>
                <w:color w:val="auto"/>
                <w:sz w:val="21"/>
                <w:szCs w:val="21"/>
                <w:highlight w:val="none"/>
              </w:rPr>
            </w:pPr>
          </w:p>
        </w:tc>
        <w:tc>
          <w:tcPr>
            <w:tcW w:w="1560" w:type="dxa"/>
            <w:vAlign w:val="center"/>
          </w:tcPr>
          <w:p w14:paraId="1B4A1ED1">
            <w:pPr>
              <w:spacing w:line="360" w:lineRule="auto"/>
              <w:rPr>
                <w:rFonts w:hint="eastAsia" w:ascii="宋体" w:hAnsi="宋体" w:eastAsia="宋体" w:cs="宋体"/>
                <w:color w:val="auto"/>
                <w:sz w:val="21"/>
                <w:szCs w:val="21"/>
                <w:highlight w:val="none"/>
              </w:rPr>
            </w:pPr>
          </w:p>
        </w:tc>
        <w:tc>
          <w:tcPr>
            <w:tcW w:w="1401" w:type="dxa"/>
            <w:vAlign w:val="center"/>
          </w:tcPr>
          <w:p w14:paraId="1500BC0C">
            <w:pPr>
              <w:spacing w:line="360" w:lineRule="auto"/>
              <w:rPr>
                <w:rFonts w:hint="eastAsia" w:ascii="宋体" w:hAnsi="宋体" w:eastAsia="宋体" w:cs="宋体"/>
                <w:color w:val="auto"/>
                <w:sz w:val="21"/>
                <w:szCs w:val="21"/>
                <w:highlight w:val="none"/>
              </w:rPr>
            </w:pPr>
          </w:p>
        </w:tc>
        <w:tc>
          <w:tcPr>
            <w:tcW w:w="1365" w:type="dxa"/>
            <w:vAlign w:val="center"/>
          </w:tcPr>
          <w:p w14:paraId="6B47B0C5">
            <w:pPr>
              <w:spacing w:line="360" w:lineRule="auto"/>
              <w:rPr>
                <w:rFonts w:hint="eastAsia" w:ascii="宋体" w:hAnsi="宋体" w:eastAsia="宋体" w:cs="宋体"/>
                <w:color w:val="auto"/>
                <w:sz w:val="21"/>
                <w:szCs w:val="21"/>
                <w:highlight w:val="none"/>
              </w:rPr>
            </w:pPr>
          </w:p>
        </w:tc>
      </w:tr>
    </w:tbl>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7ADDE7D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2"/>
        <w:rPr>
          <w:rFonts w:hint="eastAsia" w:ascii="宋体" w:hAnsi="宋体" w:eastAsia="宋体" w:cs="宋体"/>
          <w:b/>
          <w:color w:val="auto"/>
          <w:sz w:val="28"/>
          <w:highlight w:val="none"/>
        </w:rPr>
      </w:pPr>
    </w:p>
    <w:p w14:paraId="0231EAD6">
      <w:pPr>
        <w:pStyle w:val="2"/>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6C69946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val="en-US" w:eastAsia="zh-CN"/>
              </w:rPr>
              <w:t>期限</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4DF663AB">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45B7569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0D61D6C0">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2"/>
        <w:rPr>
          <w:rFonts w:hint="eastAsia" w:ascii="宋体" w:hAnsi="宋体" w:eastAsia="宋体" w:cs="宋体"/>
          <w:b/>
          <w:color w:val="auto"/>
          <w:sz w:val="28"/>
          <w:highlight w:val="none"/>
        </w:rPr>
      </w:pPr>
    </w:p>
    <w:p w14:paraId="0F1A6C8B">
      <w:pPr>
        <w:pStyle w:val="2"/>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2"/>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627DFF7F">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21EB5D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napToGrid w:val="0"/>
        <w:spacing w:line="360" w:lineRule="auto"/>
        <w:rPr>
          <w:rFonts w:hint="eastAsia" w:ascii="宋体" w:hAnsi="宋体" w:eastAsia="宋体" w:cs="宋体"/>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2"/>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2"/>
        <w:rPr>
          <w:rFonts w:hint="eastAsia" w:ascii="宋体" w:hAnsi="宋体" w:eastAsia="宋体" w:cs="宋体"/>
          <w:color w:val="auto"/>
          <w:highlight w:val="none"/>
        </w:rPr>
      </w:pPr>
    </w:p>
    <w:p w14:paraId="16CD5E12">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F14C00">
      <w:pPr>
        <w:spacing w:line="360" w:lineRule="auto"/>
        <w:rPr>
          <w:rFonts w:hint="eastAsia" w:ascii="宋体" w:hAnsi="宋体" w:eastAsia="宋体" w:cs="宋体"/>
          <w:b/>
          <w:color w:val="auto"/>
          <w:sz w:val="28"/>
          <w:highlight w:val="none"/>
        </w:rPr>
      </w:pPr>
    </w:p>
    <w:p w14:paraId="43AFAA24">
      <w:pPr>
        <w:spacing w:line="360" w:lineRule="auto"/>
        <w:rPr>
          <w:rFonts w:hint="eastAsia" w:ascii="宋体" w:hAnsi="宋体" w:eastAsia="宋体" w:cs="宋体"/>
          <w:b/>
          <w:color w:val="auto"/>
          <w:sz w:val="28"/>
          <w:highlight w:val="none"/>
        </w:rPr>
      </w:pPr>
    </w:p>
    <w:p w14:paraId="7F4487E1">
      <w:pPr>
        <w:pStyle w:val="2"/>
        <w:rPr>
          <w:rFonts w:hint="eastAsia" w:ascii="宋体" w:hAnsi="宋体" w:eastAsia="宋体" w:cs="宋体"/>
          <w:color w:val="auto"/>
          <w:highlight w:val="none"/>
        </w:rPr>
      </w:pPr>
    </w:p>
    <w:p w14:paraId="34358822">
      <w:pPr>
        <w:pStyle w:val="50"/>
        <w:rPr>
          <w:rFonts w:hint="eastAsia" w:ascii="宋体" w:hAnsi="宋体" w:eastAsia="宋体" w:cs="宋体"/>
          <w:color w:val="auto"/>
          <w:highlight w:val="none"/>
        </w:rPr>
      </w:pPr>
    </w:p>
    <w:p w14:paraId="1C718B11">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3F1D750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4FAE793D">
      <w:pPr>
        <w:spacing w:line="360" w:lineRule="auto"/>
        <w:rPr>
          <w:rFonts w:hint="eastAsia" w:ascii="宋体" w:hAnsi="宋体" w:eastAsia="宋体" w:cs="宋体"/>
          <w:color w:val="auto"/>
          <w:sz w:val="24"/>
          <w:highlight w:val="none"/>
        </w:rPr>
      </w:pPr>
    </w:p>
    <w:p w14:paraId="727DCC68">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8"/>
        <w:gridCol w:w="1830"/>
        <w:gridCol w:w="998"/>
        <w:gridCol w:w="1164"/>
        <w:gridCol w:w="1164"/>
        <w:gridCol w:w="832"/>
      </w:tblGrid>
      <w:tr w14:paraId="34D9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900" w:type="dxa"/>
            <w:vAlign w:val="center"/>
          </w:tcPr>
          <w:p w14:paraId="42A830A3">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8" w:type="dxa"/>
            <w:vAlign w:val="center"/>
          </w:tcPr>
          <w:p w14:paraId="3A937153">
            <w:pPr>
              <w:autoSpaceDE w:val="0"/>
              <w:autoSpaceDN w:val="0"/>
              <w:spacing w:line="240" w:lineRule="auto"/>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名称</w:t>
            </w:r>
          </w:p>
        </w:tc>
        <w:tc>
          <w:tcPr>
            <w:tcW w:w="1830" w:type="dxa"/>
            <w:vAlign w:val="center"/>
          </w:tcPr>
          <w:p w14:paraId="5573B39D">
            <w:pPr>
              <w:autoSpaceDE w:val="0"/>
              <w:autoSpaceDN w:val="0"/>
              <w:spacing w:line="240" w:lineRule="auto"/>
              <w:jc w:val="center"/>
              <w:textAlignment w:val="bottom"/>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内容</w:t>
            </w:r>
          </w:p>
        </w:tc>
        <w:tc>
          <w:tcPr>
            <w:tcW w:w="998" w:type="dxa"/>
            <w:vAlign w:val="center"/>
          </w:tcPr>
          <w:p w14:paraId="5D8FE28E">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64" w:type="dxa"/>
            <w:vAlign w:val="center"/>
          </w:tcPr>
          <w:p w14:paraId="04016F86">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164" w:type="dxa"/>
            <w:vAlign w:val="center"/>
          </w:tcPr>
          <w:p w14:paraId="3BAB3F5A">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832" w:type="dxa"/>
            <w:vAlign w:val="center"/>
          </w:tcPr>
          <w:p w14:paraId="47EB07F0">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C8F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0" w:type="dxa"/>
            <w:vAlign w:val="center"/>
          </w:tcPr>
          <w:p w14:paraId="59671382">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34647CCD">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4FABFF3D">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00C4353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3257121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3FB22929">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0BE8D985">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559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0" w:type="dxa"/>
            <w:vAlign w:val="center"/>
          </w:tcPr>
          <w:p w14:paraId="01E0D6A2">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5A2B759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63A3DF04">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8DB1B3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14CF013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76D027F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79DB99B1">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17D5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0" w:type="dxa"/>
            <w:vAlign w:val="center"/>
          </w:tcPr>
          <w:p w14:paraId="5E8A897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23885790">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3CD5668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77C3FFAE">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67642598">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414EB24A">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649EA939">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1F32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0" w:type="dxa"/>
            <w:vAlign w:val="center"/>
          </w:tcPr>
          <w:p w14:paraId="2C69502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6AC3BE7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35E0878E">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D536F4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167EE3A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0BF5586">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49A9417B">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05B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00" w:type="dxa"/>
            <w:vAlign w:val="center"/>
          </w:tcPr>
          <w:p w14:paraId="472C146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2CC0E50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2447BD3F">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58A0CCA">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B7712D9">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8D452B0">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4FF83C2E">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32E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16" w:type="dxa"/>
            <w:gridSpan w:val="7"/>
            <w:vAlign w:val="center"/>
          </w:tcPr>
          <w:p w14:paraId="2E0748D8">
            <w:pPr>
              <w:autoSpaceDE w:val="0"/>
              <w:autoSpaceDN w:val="0"/>
              <w:spacing w:line="240" w:lineRule="auto"/>
              <w:jc w:val="both"/>
              <w:textAlignment w:val="bottom"/>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w:t>
            </w:r>
          </w:p>
          <w:p w14:paraId="7CC8B7AB">
            <w:pPr>
              <w:autoSpaceDE w:val="0"/>
              <w:autoSpaceDN w:val="0"/>
              <w:spacing w:line="240" w:lineRule="auto"/>
              <w:jc w:val="both"/>
              <w:textAlignment w:val="bottom"/>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44B3BFD1">
            <w:pPr>
              <w:autoSpaceDE w:val="0"/>
              <w:autoSpaceDN w:val="0"/>
              <w:spacing w:line="240" w:lineRule="auto"/>
              <w:jc w:val="both"/>
              <w:textAlignment w:val="bottom"/>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14:paraId="77C96C1F">
      <w:pPr>
        <w:pStyle w:val="12"/>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pStyle w:val="2"/>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7764">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14:paraId="41191F01">
    <w:pPr>
      <w:pStyle w:val="14"/>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0B9E">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312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数字化项目运维项目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CAD">
    <w:pPr>
      <w:pStyle w:val="15"/>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2E20">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2480">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87A8B"/>
    <w:rsid w:val="00BE3149"/>
    <w:rsid w:val="00D27694"/>
    <w:rsid w:val="00E04ED8"/>
    <w:rsid w:val="00FF74E6"/>
    <w:rsid w:val="016D4C32"/>
    <w:rsid w:val="017460A8"/>
    <w:rsid w:val="017C3457"/>
    <w:rsid w:val="02033DFA"/>
    <w:rsid w:val="02380D19"/>
    <w:rsid w:val="025B667D"/>
    <w:rsid w:val="0263032B"/>
    <w:rsid w:val="02640231"/>
    <w:rsid w:val="03457CFC"/>
    <w:rsid w:val="03AD1C84"/>
    <w:rsid w:val="040A2CF3"/>
    <w:rsid w:val="043F7FC4"/>
    <w:rsid w:val="04CA76C8"/>
    <w:rsid w:val="04F60A45"/>
    <w:rsid w:val="061934E9"/>
    <w:rsid w:val="066E153A"/>
    <w:rsid w:val="073A3E1D"/>
    <w:rsid w:val="075E75DE"/>
    <w:rsid w:val="07D505B1"/>
    <w:rsid w:val="07FC5964"/>
    <w:rsid w:val="08390248"/>
    <w:rsid w:val="084A3762"/>
    <w:rsid w:val="08822F00"/>
    <w:rsid w:val="08D86B6F"/>
    <w:rsid w:val="09125675"/>
    <w:rsid w:val="093F51ED"/>
    <w:rsid w:val="094B2DCA"/>
    <w:rsid w:val="09A5588E"/>
    <w:rsid w:val="09D451C6"/>
    <w:rsid w:val="09E03F7D"/>
    <w:rsid w:val="09F33DD0"/>
    <w:rsid w:val="09FA67D3"/>
    <w:rsid w:val="0AF64F0D"/>
    <w:rsid w:val="0B0B1AE1"/>
    <w:rsid w:val="0C3C5E3F"/>
    <w:rsid w:val="0CA644D6"/>
    <w:rsid w:val="0D1F4CD0"/>
    <w:rsid w:val="0D434630"/>
    <w:rsid w:val="0D4A420F"/>
    <w:rsid w:val="0D502FCF"/>
    <w:rsid w:val="0F7E6199"/>
    <w:rsid w:val="0F9A050E"/>
    <w:rsid w:val="0FE74D1C"/>
    <w:rsid w:val="10452B67"/>
    <w:rsid w:val="10667FE4"/>
    <w:rsid w:val="109F2C30"/>
    <w:rsid w:val="10B93AD7"/>
    <w:rsid w:val="119D6F55"/>
    <w:rsid w:val="11A117AE"/>
    <w:rsid w:val="11EE47DA"/>
    <w:rsid w:val="121665CB"/>
    <w:rsid w:val="1262442D"/>
    <w:rsid w:val="12EC03CE"/>
    <w:rsid w:val="12F17558"/>
    <w:rsid w:val="140034B3"/>
    <w:rsid w:val="148836A9"/>
    <w:rsid w:val="14B84A16"/>
    <w:rsid w:val="153A0A52"/>
    <w:rsid w:val="15782F5D"/>
    <w:rsid w:val="158E7346"/>
    <w:rsid w:val="15AE730C"/>
    <w:rsid w:val="15D11224"/>
    <w:rsid w:val="16403DB7"/>
    <w:rsid w:val="168339D9"/>
    <w:rsid w:val="171D6CDD"/>
    <w:rsid w:val="17461D47"/>
    <w:rsid w:val="1759391E"/>
    <w:rsid w:val="17627DEA"/>
    <w:rsid w:val="1765295E"/>
    <w:rsid w:val="17B9072C"/>
    <w:rsid w:val="17D2330C"/>
    <w:rsid w:val="18156985"/>
    <w:rsid w:val="19CD5439"/>
    <w:rsid w:val="19CE3838"/>
    <w:rsid w:val="19E91112"/>
    <w:rsid w:val="1A6B1E69"/>
    <w:rsid w:val="1B461979"/>
    <w:rsid w:val="1B561DD8"/>
    <w:rsid w:val="1BCC21E4"/>
    <w:rsid w:val="1C136AA7"/>
    <w:rsid w:val="1C6D212E"/>
    <w:rsid w:val="1C7E5C21"/>
    <w:rsid w:val="1CC61F19"/>
    <w:rsid w:val="1CCC7197"/>
    <w:rsid w:val="1CE74F29"/>
    <w:rsid w:val="1CEA58E9"/>
    <w:rsid w:val="1D3B06DB"/>
    <w:rsid w:val="1D465475"/>
    <w:rsid w:val="1D81597C"/>
    <w:rsid w:val="1D8F28A6"/>
    <w:rsid w:val="1DA83DED"/>
    <w:rsid w:val="1DBA6EF1"/>
    <w:rsid w:val="1E55667C"/>
    <w:rsid w:val="1EB63606"/>
    <w:rsid w:val="1EBB0E28"/>
    <w:rsid w:val="1EF07297"/>
    <w:rsid w:val="1EFA59E6"/>
    <w:rsid w:val="1F162724"/>
    <w:rsid w:val="1F323A94"/>
    <w:rsid w:val="201C7B31"/>
    <w:rsid w:val="207D57BD"/>
    <w:rsid w:val="20914375"/>
    <w:rsid w:val="20B74641"/>
    <w:rsid w:val="20E52798"/>
    <w:rsid w:val="20ED3C16"/>
    <w:rsid w:val="218642E0"/>
    <w:rsid w:val="21C62271"/>
    <w:rsid w:val="224700DF"/>
    <w:rsid w:val="22500B0D"/>
    <w:rsid w:val="22715FC0"/>
    <w:rsid w:val="227F65D8"/>
    <w:rsid w:val="22AF6AE8"/>
    <w:rsid w:val="22EB672F"/>
    <w:rsid w:val="22FA4207"/>
    <w:rsid w:val="23D6517B"/>
    <w:rsid w:val="23D8012C"/>
    <w:rsid w:val="23FD5C1B"/>
    <w:rsid w:val="242A1FE5"/>
    <w:rsid w:val="242B382A"/>
    <w:rsid w:val="244D0DE2"/>
    <w:rsid w:val="249C1DC3"/>
    <w:rsid w:val="249E423A"/>
    <w:rsid w:val="2549584E"/>
    <w:rsid w:val="257E2CDC"/>
    <w:rsid w:val="25C5310A"/>
    <w:rsid w:val="25F57137"/>
    <w:rsid w:val="260A73EB"/>
    <w:rsid w:val="26151358"/>
    <w:rsid w:val="26151D6C"/>
    <w:rsid w:val="261734BA"/>
    <w:rsid w:val="261A5418"/>
    <w:rsid w:val="266C3097"/>
    <w:rsid w:val="266F0204"/>
    <w:rsid w:val="27453C23"/>
    <w:rsid w:val="28DF5DEA"/>
    <w:rsid w:val="29265027"/>
    <w:rsid w:val="294B0587"/>
    <w:rsid w:val="299E4777"/>
    <w:rsid w:val="29CC33AF"/>
    <w:rsid w:val="2A5728D1"/>
    <w:rsid w:val="2B3E6082"/>
    <w:rsid w:val="2CDD2C0B"/>
    <w:rsid w:val="2CEA02B1"/>
    <w:rsid w:val="2D580808"/>
    <w:rsid w:val="2DF857E7"/>
    <w:rsid w:val="2ED77AD3"/>
    <w:rsid w:val="2EFA2366"/>
    <w:rsid w:val="2EFC1307"/>
    <w:rsid w:val="2F7B1BB4"/>
    <w:rsid w:val="2F92291B"/>
    <w:rsid w:val="30EB3632"/>
    <w:rsid w:val="310149B3"/>
    <w:rsid w:val="31200E86"/>
    <w:rsid w:val="317E55D7"/>
    <w:rsid w:val="323740AF"/>
    <w:rsid w:val="326159C9"/>
    <w:rsid w:val="32BD7223"/>
    <w:rsid w:val="32E75CE4"/>
    <w:rsid w:val="32E94054"/>
    <w:rsid w:val="32FE2CD7"/>
    <w:rsid w:val="331704BD"/>
    <w:rsid w:val="33260700"/>
    <w:rsid w:val="33413EC8"/>
    <w:rsid w:val="334C40D6"/>
    <w:rsid w:val="342509B8"/>
    <w:rsid w:val="346924F4"/>
    <w:rsid w:val="34772ADD"/>
    <w:rsid w:val="35173E74"/>
    <w:rsid w:val="362F6A51"/>
    <w:rsid w:val="36365E7F"/>
    <w:rsid w:val="36D706BD"/>
    <w:rsid w:val="36DE2D24"/>
    <w:rsid w:val="36FC614A"/>
    <w:rsid w:val="371A4A20"/>
    <w:rsid w:val="374657D5"/>
    <w:rsid w:val="375E3075"/>
    <w:rsid w:val="37D96314"/>
    <w:rsid w:val="37EE586E"/>
    <w:rsid w:val="389654BC"/>
    <w:rsid w:val="389B23EA"/>
    <w:rsid w:val="395522EA"/>
    <w:rsid w:val="395D058A"/>
    <w:rsid w:val="395F713A"/>
    <w:rsid w:val="3A316D41"/>
    <w:rsid w:val="3A666E97"/>
    <w:rsid w:val="3A7A6F1E"/>
    <w:rsid w:val="3A846FC3"/>
    <w:rsid w:val="3ADE5E41"/>
    <w:rsid w:val="3B0D21A6"/>
    <w:rsid w:val="3C77021F"/>
    <w:rsid w:val="3E41042A"/>
    <w:rsid w:val="3E445774"/>
    <w:rsid w:val="3E6972FC"/>
    <w:rsid w:val="3EA708B9"/>
    <w:rsid w:val="3EC55271"/>
    <w:rsid w:val="3F012022"/>
    <w:rsid w:val="3F95513E"/>
    <w:rsid w:val="3FBF3B9B"/>
    <w:rsid w:val="402C7485"/>
    <w:rsid w:val="4033575D"/>
    <w:rsid w:val="40783B08"/>
    <w:rsid w:val="409C6EC9"/>
    <w:rsid w:val="41656E5F"/>
    <w:rsid w:val="427256D6"/>
    <w:rsid w:val="42AD1E40"/>
    <w:rsid w:val="431E5B9D"/>
    <w:rsid w:val="434C2833"/>
    <w:rsid w:val="4364349F"/>
    <w:rsid w:val="44157670"/>
    <w:rsid w:val="44337C1C"/>
    <w:rsid w:val="44384737"/>
    <w:rsid w:val="45DC44DD"/>
    <w:rsid w:val="45FD5429"/>
    <w:rsid w:val="46615B41"/>
    <w:rsid w:val="46F74436"/>
    <w:rsid w:val="47543990"/>
    <w:rsid w:val="476C394E"/>
    <w:rsid w:val="47C11F07"/>
    <w:rsid w:val="47E6400B"/>
    <w:rsid w:val="49246D1C"/>
    <w:rsid w:val="496F3A60"/>
    <w:rsid w:val="498C28F5"/>
    <w:rsid w:val="4A4275CD"/>
    <w:rsid w:val="4B261513"/>
    <w:rsid w:val="4B3519D1"/>
    <w:rsid w:val="4B863FDA"/>
    <w:rsid w:val="4BFD7FF6"/>
    <w:rsid w:val="4C5F1AE8"/>
    <w:rsid w:val="4CC052CA"/>
    <w:rsid w:val="4CF72E0A"/>
    <w:rsid w:val="4DFA74A7"/>
    <w:rsid w:val="4E164181"/>
    <w:rsid w:val="4E3623E0"/>
    <w:rsid w:val="4E7D040D"/>
    <w:rsid w:val="4EF20F2C"/>
    <w:rsid w:val="4F751FDB"/>
    <w:rsid w:val="4FCF0F45"/>
    <w:rsid w:val="50264682"/>
    <w:rsid w:val="512F48CB"/>
    <w:rsid w:val="51376036"/>
    <w:rsid w:val="515F3556"/>
    <w:rsid w:val="51B42C71"/>
    <w:rsid w:val="51F438E6"/>
    <w:rsid w:val="52103381"/>
    <w:rsid w:val="521F0CE5"/>
    <w:rsid w:val="5223437A"/>
    <w:rsid w:val="52981B2E"/>
    <w:rsid w:val="539063B7"/>
    <w:rsid w:val="53D9428A"/>
    <w:rsid w:val="54206A1C"/>
    <w:rsid w:val="54691A69"/>
    <w:rsid w:val="54CF56D2"/>
    <w:rsid w:val="5542113A"/>
    <w:rsid w:val="55C122FA"/>
    <w:rsid w:val="5647442E"/>
    <w:rsid w:val="566A1031"/>
    <w:rsid w:val="567459BC"/>
    <w:rsid w:val="576854F7"/>
    <w:rsid w:val="5801790F"/>
    <w:rsid w:val="580B08CE"/>
    <w:rsid w:val="59BD2FCE"/>
    <w:rsid w:val="59C00238"/>
    <w:rsid w:val="5A201958"/>
    <w:rsid w:val="5A2118E4"/>
    <w:rsid w:val="5B432AC3"/>
    <w:rsid w:val="5BB23588"/>
    <w:rsid w:val="5C314E44"/>
    <w:rsid w:val="5CA15381"/>
    <w:rsid w:val="5CC35C70"/>
    <w:rsid w:val="5D634E68"/>
    <w:rsid w:val="5D890870"/>
    <w:rsid w:val="5DDB0DC0"/>
    <w:rsid w:val="5E153863"/>
    <w:rsid w:val="5E35548F"/>
    <w:rsid w:val="5E482992"/>
    <w:rsid w:val="5E802598"/>
    <w:rsid w:val="5EAA6964"/>
    <w:rsid w:val="5EC17F8C"/>
    <w:rsid w:val="5F7139F1"/>
    <w:rsid w:val="5FE071C5"/>
    <w:rsid w:val="6013502A"/>
    <w:rsid w:val="601B6DA8"/>
    <w:rsid w:val="60306A6C"/>
    <w:rsid w:val="60484F6C"/>
    <w:rsid w:val="618020D7"/>
    <w:rsid w:val="61CC6311"/>
    <w:rsid w:val="62902BCA"/>
    <w:rsid w:val="62DC1442"/>
    <w:rsid w:val="6394251A"/>
    <w:rsid w:val="63971026"/>
    <w:rsid w:val="64287ECD"/>
    <w:rsid w:val="64A11290"/>
    <w:rsid w:val="65024C7C"/>
    <w:rsid w:val="652B6918"/>
    <w:rsid w:val="65EA56BD"/>
    <w:rsid w:val="664E3797"/>
    <w:rsid w:val="66950943"/>
    <w:rsid w:val="66966875"/>
    <w:rsid w:val="669913B5"/>
    <w:rsid w:val="66A31A8D"/>
    <w:rsid w:val="66E62AEE"/>
    <w:rsid w:val="676C6CA2"/>
    <w:rsid w:val="67BF6058"/>
    <w:rsid w:val="67CE326A"/>
    <w:rsid w:val="68A11FFC"/>
    <w:rsid w:val="68A5736D"/>
    <w:rsid w:val="68C61FCD"/>
    <w:rsid w:val="69422AAD"/>
    <w:rsid w:val="69703D8E"/>
    <w:rsid w:val="69A55B1C"/>
    <w:rsid w:val="6A0000E9"/>
    <w:rsid w:val="6A0C7949"/>
    <w:rsid w:val="6A16241A"/>
    <w:rsid w:val="6A341737"/>
    <w:rsid w:val="6A4200C0"/>
    <w:rsid w:val="6AD211AF"/>
    <w:rsid w:val="6B0242A5"/>
    <w:rsid w:val="6B793326"/>
    <w:rsid w:val="6C1A56D6"/>
    <w:rsid w:val="6C837317"/>
    <w:rsid w:val="6D643BB1"/>
    <w:rsid w:val="6D836174"/>
    <w:rsid w:val="6DA724FC"/>
    <w:rsid w:val="6E26547D"/>
    <w:rsid w:val="6EAE7221"/>
    <w:rsid w:val="6F402188"/>
    <w:rsid w:val="6F52577A"/>
    <w:rsid w:val="6FA462B1"/>
    <w:rsid w:val="6FB47993"/>
    <w:rsid w:val="70205EFC"/>
    <w:rsid w:val="70C3769A"/>
    <w:rsid w:val="70D7550E"/>
    <w:rsid w:val="71265794"/>
    <w:rsid w:val="71566079"/>
    <w:rsid w:val="71D23A68"/>
    <w:rsid w:val="71DF5AF3"/>
    <w:rsid w:val="720C7DC2"/>
    <w:rsid w:val="727A5D97"/>
    <w:rsid w:val="72A92AD7"/>
    <w:rsid w:val="73F512B2"/>
    <w:rsid w:val="742D2858"/>
    <w:rsid w:val="74327764"/>
    <w:rsid w:val="748266FC"/>
    <w:rsid w:val="74C96B62"/>
    <w:rsid w:val="7537199C"/>
    <w:rsid w:val="755A7C38"/>
    <w:rsid w:val="75D44605"/>
    <w:rsid w:val="75FB71EF"/>
    <w:rsid w:val="76217B2E"/>
    <w:rsid w:val="767D593D"/>
    <w:rsid w:val="76CF5C18"/>
    <w:rsid w:val="76D57A40"/>
    <w:rsid w:val="76E605BF"/>
    <w:rsid w:val="770A7D21"/>
    <w:rsid w:val="777C7EBC"/>
    <w:rsid w:val="78AC2A23"/>
    <w:rsid w:val="78BA7D06"/>
    <w:rsid w:val="78DC5206"/>
    <w:rsid w:val="78E41C51"/>
    <w:rsid w:val="79845717"/>
    <w:rsid w:val="79B969C0"/>
    <w:rsid w:val="79E635AB"/>
    <w:rsid w:val="79F97C93"/>
    <w:rsid w:val="7A58452D"/>
    <w:rsid w:val="7A8A0DB7"/>
    <w:rsid w:val="7A92514B"/>
    <w:rsid w:val="7A92650D"/>
    <w:rsid w:val="7B1D1782"/>
    <w:rsid w:val="7B376CA9"/>
    <w:rsid w:val="7B447CBA"/>
    <w:rsid w:val="7BAA7A6F"/>
    <w:rsid w:val="7BE94D4D"/>
    <w:rsid w:val="7BEB0099"/>
    <w:rsid w:val="7C4116D4"/>
    <w:rsid w:val="7C4F57E3"/>
    <w:rsid w:val="7D52346D"/>
    <w:rsid w:val="7DBD0412"/>
    <w:rsid w:val="7E2131B9"/>
    <w:rsid w:val="7E4E7602"/>
    <w:rsid w:val="7E7F64E4"/>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autoRedefine/>
    <w:qFormat/>
    <w:uiPriority w:val="0"/>
    <w:pPr>
      <w:ind w:firstLine="420"/>
    </w:pPr>
    <w:rPr>
      <w:szCs w:val="20"/>
    </w:rPr>
  </w:style>
  <w:style w:type="paragraph" w:styleId="7">
    <w:name w:val="caption"/>
    <w:basedOn w:val="1"/>
    <w:next w:val="1"/>
    <w:unhideWhenUsed/>
    <w:qFormat/>
    <w:uiPriority w:val="0"/>
    <w:pPr>
      <w:widowControl/>
      <w:adjustRightInd/>
      <w:jc w:val="center"/>
    </w:pPr>
    <w:rPr>
      <w:b/>
      <w:bCs/>
      <w:szCs w:val="20"/>
    </w:rPr>
  </w:style>
  <w:style w:type="paragraph" w:styleId="8">
    <w:name w:val="annotation text"/>
    <w:basedOn w:val="1"/>
    <w:qFormat/>
    <w:uiPriority w:val="0"/>
    <w:pPr>
      <w:jc w:val="left"/>
    </w:pPr>
  </w:style>
  <w:style w:type="paragraph" w:styleId="9">
    <w:name w:val="Body Text Indent"/>
    <w:basedOn w:val="1"/>
    <w:link w:val="32"/>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3"/>
    <w:autoRedefine/>
    <w:semiHidden/>
    <w:unhideWhenUsed/>
    <w:qFormat/>
    <w:uiPriority w:val="99"/>
    <w:rPr>
      <w:sz w:val="18"/>
      <w:szCs w:val="18"/>
    </w:rPr>
  </w:style>
  <w:style w:type="paragraph" w:styleId="14">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9"/>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2"/>
    <w:autoRedefine/>
    <w:qFormat/>
    <w:uiPriority w:val="0"/>
    <w:pPr>
      <w:ind w:firstLine="420" w:firstLineChars="100"/>
    </w:pPr>
  </w:style>
  <w:style w:type="character" w:customStyle="1" w:styleId="29">
    <w:name w:val="页眉 Char"/>
    <w:basedOn w:val="23"/>
    <w:link w:val="15"/>
    <w:autoRedefine/>
    <w:semiHidden/>
    <w:qFormat/>
    <w:uiPriority w:val="99"/>
    <w:rPr>
      <w:sz w:val="18"/>
      <w:szCs w:val="18"/>
    </w:rPr>
  </w:style>
  <w:style w:type="character" w:customStyle="1" w:styleId="30">
    <w:name w:val="页脚 Char"/>
    <w:basedOn w:val="23"/>
    <w:link w:val="14"/>
    <w:autoRedefine/>
    <w:semiHidden/>
    <w:qFormat/>
    <w:uiPriority w:val="99"/>
    <w:rPr>
      <w:sz w:val="18"/>
      <w:szCs w:val="18"/>
    </w:rPr>
  </w:style>
  <w:style w:type="character" w:customStyle="1" w:styleId="31">
    <w:name w:val="正文文本 Char"/>
    <w:basedOn w:val="23"/>
    <w:link w:val="2"/>
    <w:autoRedefine/>
    <w:semiHidden/>
    <w:qFormat/>
    <w:uiPriority w:val="99"/>
    <w:rPr>
      <w:rFonts w:ascii="Times New Roman" w:hAnsi="Times New Roman" w:eastAsia="宋体" w:cs="Times New Roman"/>
      <w:szCs w:val="24"/>
    </w:rPr>
  </w:style>
  <w:style w:type="character" w:customStyle="1" w:styleId="32">
    <w:name w:val="正文文本缩进 Char"/>
    <w:basedOn w:val="23"/>
    <w:link w:val="9"/>
    <w:autoRedefine/>
    <w:qFormat/>
    <w:uiPriority w:val="99"/>
    <w:rPr>
      <w:rFonts w:ascii="Times New Roman" w:hAnsi="Times New Roman" w:eastAsia="宋体" w:cs="Times New Roman"/>
      <w:szCs w:val="24"/>
    </w:rPr>
  </w:style>
  <w:style w:type="character" w:customStyle="1" w:styleId="33">
    <w:name w:val="批注框文本 Char"/>
    <w:basedOn w:val="23"/>
    <w:link w:val="13"/>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2"/>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32230</Words>
  <Characters>34275</Characters>
  <Lines>1</Lines>
  <Paragraphs>1</Paragraphs>
  <TotalTime>9</TotalTime>
  <ScaleCrop>false</ScaleCrop>
  <LinksUpToDate>false</LinksUpToDate>
  <CharactersWithSpaces>35125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2024-10-11T06:40:39Z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BF9C0E24D7F54A80A90741D85162F6F0_13</vt:lpwstr>
  </property>
  <property fmtid="{D5CDD505-2E9C-101B-9397-08002B2CF9AE}" pid="4" name="commondata">
    <vt:lpwstr>eyJoZGlkIjoiNmNiNWQzMTIyZDkyNWQ5MzYxMmQ5MTE1ZmU3YjE0M2QifQ==</vt:lpwstr>
  </property>
</Properties>
</file>