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BBC28">
      <w:pPr>
        <w:adjustRightInd w:val="0"/>
        <w:snapToGrid w:val="0"/>
        <w:spacing w:line="240" w:lineRule="auto"/>
        <w:jc w:val="center"/>
        <w:rPr>
          <w:rFonts w:hint="eastAsia" w:ascii="宋体" w:hAnsi="宋体" w:eastAsia="宋体" w:cs="宋体"/>
          <w:b/>
          <w:bCs/>
          <w:color w:val="000000"/>
          <w:sz w:val="72"/>
          <w:highlight w:val="none"/>
        </w:rPr>
      </w:pPr>
    </w:p>
    <w:p w14:paraId="53CEA930">
      <w:pPr>
        <w:adjustRightInd w:val="0"/>
        <w:snapToGrid w:val="0"/>
        <w:spacing w:line="240" w:lineRule="auto"/>
        <w:jc w:val="center"/>
        <w:rPr>
          <w:rFonts w:hint="eastAsia" w:ascii="宋体" w:hAnsi="宋体" w:eastAsia="宋体" w:cs="宋体"/>
          <w:b/>
          <w:bCs/>
          <w:color w:val="000000"/>
          <w:sz w:val="72"/>
          <w:highlight w:val="none"/>
        </w:rPr>
      </w:pPr>
    </w:p>
    <w:p w14:paraId="286C9273">
      <w:pPr>
        <w:adjustRightInd w:val="0"/>
        <w:snapToGrid w:val="0"/>
        <w:spacing w:line="240" w:lineRule="auto"/>
        <w:jc w:val="center"/>
        <w:rPr>
          <w:rFonts w:hint="eastAsia" w:ascii="宋体" w:hAnsi="宋体" w:eastAsia="宋体" w:cs="宋体"/>
          <w:b/>
          <w:bCs/>
          <w:color w:val="000000"/>
          <w:sz w:val="72"/>
          <w:highlight w:val="none"/>
        </w:rPr>
      </w:pPr>
      <w:r>
        <w:rPr>
          <w:rFonts w:hint="eastAsia" w:ascii="宋体" w:hAnsi="宋体" w:eastAsia="宋体" w:cs="宋体"/>
          <w:b/>
          <w:bCs/>
          <w:color w:val="000000"/>
          <w:sz w:val="72"/>
          <w:highlight w:val="none"/>
        </w:rPr>
        <w:t>临海市政府采购</w:t>
      </w:r>
    </w:p>
    <w:p w14:paraId="039E79AC">
      <w:pPr>
        <w:adjustRightInd w:val="0"/>
        <w:snapToGrid w:val="0"/>
        <w:spacing w:line="1200" w:lineRule="exact"/>
        <w:jc w:val="center"/>
        <w:rPr>
          <w:rFonts w:hint="eastAsia" w:ascii="宋体" w:hAnsi="宋体" w:eastAsia="宋体" w:cs="宋体"/>
          <w:b/>
          <w:bCs/>
          <w:sz w:val="84"/>
          <w:szCs w:val="84"/>
          <w:highlight w:val="none"/>
        </w:rPr>
      </w:pPr>
      <w:r>
        <w:rPr>
          <w:rFonts w:hint="eastAsia" w:ascii="宋体" w:hAnsi="宋体" w:eastAsia="宋体" w:cs="宋体"/>
          <w:b/>
          <w:bCs/>
          <w:color w:val="000000"/>
          <w:sz w:val="84"/>
          <w:szCs w:val="84"/>
          <w:highlight w:val="none"/>
        </w:rPr>
        <w:t>竞争性磋</w:t>
      </w:r>
      <w:r>
        <w:rPr>
          <w:rFonts w:hint="eastAsia" w:ascii="宋体" w:hAnsi="宋体" w:eastAsia="宋体" w:cs="宋体"/>
          <w:b/>
          <w:bCs/>
          <w:sz w:val="84"/>
          <w:szCs w:val="84"/>
          <w:highlight w:val="none"/>
        </w:rPr>
        <w:t>商文件</w:t>
      </w:r>
    </w:p>
    <w:p w14:paraId="5C7EC7CC">
      <w:pPr>
        <w:adjustRightInd w:val="0"/>
        <w:snapToGrid w:val="0"/>
        <w:jc w:val="center"/>
        <w:rPr>
          <w:rFonts w:hint="eastAsia" w:ascii="宋体" w:hAnsi="宋体" w:eastAsia="宋体" w:cs="宋体"/>
          <w:bCs/>
          <w:color w:val="FF0000"/>
          <w:sz w:val="36"/>
          <w:szCs w:val="36"/>
          <w:highlight w:val="none"/>
          <w:u w:val="single"/>
          <w:shd w:val="pct10" w:color="auto" w:fill="FFFFFF"/>
        </w:rPr>
      </w:pPr>
    </w:p>
    <w:p w14:paraId="0AD427D4">
      <w:pPr>
        <w:adjustRightInd w:val="0"/>
        <w:snapToGrid w:val="0"/>
        <w:spacing w:line="360" w:lineRule="auto"/>
        <w:ind w:left="1955" w:hanging="1955" w:hangingChars="541"/>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（电子投标、不见面开标方式）</w:t>
      </w:r>
    </w:p>
    <w:p w14:paraId="2E034796">
      <w:pPr>
        <w:adjustRightInd w:val="0"/>
        <w:snapToGrid w:val="0"/>
        <w:rPr>
          <w:rFonts w:hint="eastAsia" w:ascii="宋体" w:hAnsi="宋体" w:eastAsia="宋体" w:cs="宋体"/>
          <w:b/>
          <w:bCs/>
          <w:color w:val="00B050"/>
          <w:sz w:val="32"/>
          <w:szCs w:val="32"/>
          <w:highlight w:val="none"/>
          <w:lang w:val="en-US" w:eastAsia="zh-CN"/>
        </w:rPr>
      </w:pPr>
      <w:r>
        <w:rPr>
          <w:rFonts w:hint="eastAsia" w:ascii="宋体" w:hAnsi="宋体" w:eastAsia="宋体" w:cs="宋体"/>
          <w:b/>
          <w:bCs/>
          <w:color w:val="00B050"/>
          <w:sz w:val="32"/>
          <w:szCs w:val="32"/>
          <w:highlight w:val="none"/>
          <w:lang w:val="en-US" w:eastAsia="zh-CN"/>
        </w:rPr>
        <w:t xml:space="preserve"> </w:t>
      </w:r>
    </w:p>
    <w:p w14:paraId="711566E0">
      <w:pPr>
        <w:adjustRightInd w:val="0"/>
        <w:snapToGrid w:val="0"/>
        <w:rPr>
          <w:rFonts w:hint="eastAsia" w:ascii="宋体" w:hAnsi="宋体" w:eastAsia="宋体" w:cs="宋体"/>
          <w:b/>
          <w:bCs/>
          <w:color w:val="000000"/>
          <w:sz w:val="28"/>
          <w:szCs w:val="28"/>
          <w:highlight w:val="none"/>
        </w:rPr>
      </w:pPr>
    </w:p>
    <w:p w14:paraId="04C38F99">
      <w:pPr>
        <w:adjustRightInd w:val="0"/>
        <w:snapToGrid w:val="0"/>
        <w:spacing w:line="360" w:lineRule="auto"/>
        <w:ind w:left="2243" w:leftChars="399" w:hanging="1405" w:hangingChars="500"/>
        <w:jc w:val="left"/>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项目名称：</w:t>
      </w:r>
      <w:r>
        <w:rPr>
          <w:rFonts w:hint="eastAsia" w:ascii="宋体" w:hAnsi="宋体" w:cs="宋体"/>
          <w:b/>
          <w:bCs/>
          <w:color w:val="000000"/>
          <w:sz w:val="28"/>
          <w:szCs w:val="28"/>
          <w:highlight w:val="none"/>
          <w:lang w:eastAsia="zh-CN"/>
        </w:rPr>
        <w:t>大田街道星都府周边道路工程</w:t>
      </w:r>
    </w:p>
    <w:p w14:paraId="328FAAD9">
      <w:pPr>
        <w:adjustRightInd w:val="0"/>
        <w:snapToGrid w:val="0"/>
        <w:spacing w:line="360" w:lineRule="auto"/>
        <w:ind w:left="1521" w:hanging="1521" w:hangingChars="541"/>
        <w:rPr>
          <w:rFonts w:hint="eastAsia" w:ascii="宋体" w:hAnsi="宋体" w:eastAsia="宋体" w:cs="宋体"/>
          <w:bCs/>
          <w:color w:val="000000"/>
          <w:sz w:val="28"/>
          <w:szCs w:val="28"/>
          <w:highlight w:val="none"/>
          <w:lang w:val="en-US" w:eastAsia="zh-CN"/>
        </w:rPr>
      </w:pP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项目编号：</w:t>
      </w:r>
      <w:r>
        <w:rPr>
          <w:rFonts w:hint="eastAsia" w:ascii="宋体" w:hAnsi="宋体" w:cs="宋体"/>
          <w:b/>
          <w:bCs/>
          <w:color w:val="000000"/>
          <w:sz w:val="28"/>
          <w:szCs w:val="28"/>
          <w:highlight w:val="none"/>
          <w:lang w:eastAsia="zh-CN"/>
        </w:rPr>
        <w:t>TZLK-20240</w:t>
      </w:r>
      <w:r>
        <w:rPr>
          <w:rFonts w:hint="eastAsia" w:ascii="宋体" w:hAnsi="宋体" w:cs="宋体"/>
          <w:b/>
          <w:bCs/>
          <w:color w:val="000000"/>
          <w:sz w:val="28"/>
          <w:szCs w:val="28"/>
          <w:highlight w:val="none"/>
          <w:lang w:val="en-US" w:eastAsia="zh-CN"/>
        </w:rPr>
        <w:t>6</w:t>
      </w:r>
    </w:p>
    <w:p w14:paraId="12E9FAE1">
      <w:pPr>
        <w:rPr>
          <w:rFonts w:hint="eastAsia" w:ascii="宋体" w:hAnsi="宋体" w:eastAsia="宋体" w:cs="宋体"/>
          <w:color w:val="000000"/>
          <w:sz w:val="24"/>
          <w:highlight w:val="none"/>
        </w:rPr>
      </w:pPr>
    </w:p>
    <w:p w14:paraId="2774FDE8">
      <w:pPr>
        <w:rPr>
          <w:rFonts w:hint="eastAsia" w:ascii="宋体" w:hAnsi="宋体" w:eastAsia="宋体" w:cs="宋体"/>
          <w:color w:val="000000"/>
          <w:sz w:val="24"/>
          <w:highlight w:val="none"/>
        </w:rPr>
      </w:pPr>
    </w:p>
    <w:p w14:paraId="72F6EB9E">
      <w:pPr>
        <w:rPr>
          <w:rFonts w:hint="eastAsia" w:ascii="宋体" w:hAnsi="宋体" w:eastAsia="宋体" w:cs="宋体"/>
          <w:color w:val="000000"/>
          <w:sz w:val="24"/>
          <w:highlight w:val="none"/>
        </w:rPr>
      </w:pPr>
    </w:p>
    <w:p w14:paraId="4E5FB709">
      <w:pPr>
        <w:rPr>
          <w:rFonts w:hint="eastAsia" w:ascii="宋体" w:hAnsi="宋体" w:eastAsia="宋体" w:cs="宋体"/>
          <w:color w:val="000000"/>
          <w:sz w:val="24"/>
          <w:highlight w:val="none"/>
        </w:rPr>
      </w:pPr>
    </w:p>
    <w:p w14:paraId="044D06EE">
      <w:pPr>
        <w:rPr>
          <w:rFonts w:hint="eastAsia" w:ascii="宋体" w:hAnsi="宋体" w:eastAsia="宋体" w:cs="宋体"/>
          <w:color w:val="000000"/>
          <w:sz w:val="24"/>
          <w:highlight w:val="none"/>
        </w:rPr>
      </w:pPr>
    </w:p>
    <w:p w14:paraId="2716322C">
      <w:pPr>
        <w:rPr>
          <w:rFonts w:hint="eastAsia" w:ascii="宋体" w:hAnsi="宋体" w:eastAsia="宋体" w:cs="宋体"/>
          <w:color w:val="000000"/>
          <w:sz w:val="24"/>
          <w:highlight w:val="none"/>
        </w:rPr>
      </w:pPr>
    </w:p>
    <w:p w14:paraId="69EFBD1C">
      <w:pPr>
        <w:adjustRightInd w:val="0"/>
        <w:snapToGrid w:val="0"/>
        <w:spacing w:line="360" w:lineRule="auto"/>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lang w:val="en-US" w:eastAsia="zh-CN"/>
        </w:rPr>
        <w:t xml:space="preserve">  </w:t>
      </w:r>
    </w:p>
    <w:p w14:paraId="14116C8B">
      <w:pPr>
        <w:adjustRightInd w:val="0"/>
        <w:snapToGrid w:val="0"/>
        <w:spacing w:line="360" w:lineRule="auto"/>
        <w:ind w:firstLine="562"/>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val="en-US" w:eastAsia="zh-CN"/>
        </w:rPr>
        <w:t xml:space="preserve">  </w:t>
      </w:r>
      <w:r>
        <w:rPr>
          <w:rFonts w:hint="eastAsia" w:ascii="宋体" w:hAnsi="宋体" w:eastAsia="宋体" w:cs="宋体"/>
          <w:b/>
          <w:bCs/>
          <w:sz w:val="28"/>
          <w:szCs w:val="28"/>
          <w:highlight w:val="none"/>
        </w:rPr>
        <w:t>采购单位：</w:t>
      </w:r>
      <w:r>
        <w:rPr>
          <w:rFonts w:hint="eastAsia" w:ascii="宋体" w:hAnsi="宋体" w:cs="宋体"/>
          <w:b/>
          <w:bCs/>
          <w:sz w:val="28"/>
          <w:szCs w:val="28"/>
          <w:highlight w:val="none"/>
          <w:lang w:eastAsia="zh-CN"/>
        </w:rPr>
        <w:t>临海市人民政府大田街道办事处</w:t>
      </w:r>
    </w:p>
    <w:p w14:paraId="0EC3FC2A">
      <w:pPr>
        <w:pStyle w:val="20"/>
        <w:ind w:firstLine="562"/>
        <w:rPr>
          <w:rFonts w:hint="eastAsia"/>
          <w:highlight w:val="none"/>
        </w:rPr>
      </w:pPr>
    </w:p>
    <w:p w14:paraId="285A2A04">
      <w:pPr>
        <w:adjustRightInd w:val="0"/>
        <w:snapToGrid w:val="0"/>
        <w:spacing w:line="360" w:lineRule="auto"/>
        <w:rPr>
          <w:rFonts w:hint="eastAsia" w:ascii="宋体" w:hAnsi="宋体" w:eastAsia="宋体" w:cs="宋体"/>
          <w:b/>
          <w:bCs/>
          <w:color w:val="000000"/>
          <w:sz w:val="28"/>
          <w:szCs w:val="28"/>
          <w:highlight w:val="none"/>
          <w:lang w:eastAsia="zh-CN"/>
        </w:rPr>
      </w:pP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代理机构：</w:t>
      </w:r>
      <w:r>
        <w:rPr>
          <w:rFonts w:hint="eastAsia" w:ascii="宋体" w:hAnsi="宋体" w:cs="宋体"/>
          <w:b/>
          <w:bCs/>
          <w:color w:val="000000"/>
          <w:sz w:val="28"/>
          <w:szCs w:val="28"/>
          <w:highlight w:val="none"/>
          <w:lang w:eastAsia="zh-CN"/>
        </w:rPr>
        <w:t>台州立坤工程咨询有限公司</w:t>
      </w:r>
    </w:p>
    <w:p w14:paraId="23A1B088">
      <w:pPr>
        <w:spacing w:line="500" w:lineRule="atLeast"/>
        <w:jc w:val="both"/>
        <w:rPr>
          <w:rFonts w:hint="eastAsia" w:ascii="宋体" w:hAnsi="宋体" w:eastAsia="宋体" w:cs="宋体"/>
          <w:b/>
          <w:bCs/>
          <w:color w:val="000000"/>
          <w:sz w:val="30"/>
          <w:highlight w:val="none"/>
        </w:rPr>
      </w:pPr>
    </w:p>
    <w:p w14:paraId="01ABF525">
      <w:pPr>
        <w:spacing w:line="500" w:lineRule="atLeast"/>
        <w:jc w:val="center"/>
        <w:rPr>
          <w:rFonts w:hint="eastAsia" w:ascii="宋体" w:hAnsi="宋体" w:eastAsia="宋体" w:cs="宋体"/>
          <w:b/>
          <w:bCs/>
          <w:color w:val="000000"/>
          <w:sz w:val="30"/>
          <w:highlight w:val="none"/>
        </w:rPr>
      </w:pPr>
    </w:p>
    <w:p w14:paraId="0972F7A9">
      <w:pPr>
        <w:spacing w:line="500" w:lineRule="atLeast"/>
        <w:jc w:val="center"/>
        <w:rPr>
          <w:rFonts w:hint="eastAsia" w:ascii="宋体" w:hAnsi="宋体" w:eastAsia="宋体" w:cs="宋体"/>
          <w:b/>
          <w:bCs/>
          <w:color w:val="000000"/>
          <w:sz w:val="30"/>
          <w:highlight w:val="none"/>
        </w:rPr>
      </w:pPr>
    </w:p>
    <w:p w14:paraId="11BE21DA">
      <w:pPr>
        <w:spacing w:line="500" w:lineRule="atLeast"/>
        <w:jc w:val="center"/>
        <w:rPr>
          <w:rFonts w:hint="eastAsia" w:ascii="宋体" w:hAnsi="宋体" w:eastAsia="宋体" w:cs="宋体"/>
          <w:b/>
          <w:bCs/>
          <w:color w:val="000000"/>
          <w:sz w:val="30"/>
          <w:highlight w:val="none"/>
        </w:rPr>
      </w:pPr>
    </w:p>
    <w:p w14:paraId="4011AA7A">
      <w:pPr>
        <w:spacing w:line="500" w:lineRule="atLeast"/>
        <w:ind w:firstLine="3204" w:firstLineChars="1140"/>
        <w:rPr>
          <w:rFonts w:hint="eastAsia" w:ascii="宋体" w:hAnsi="宋体" w:eastAsia="宋体" w:cs="宋体"/>
          <w:color w:val="000000"/>
          <w:sz w:val="44"/>
          <w:szCs w:val="44"/>
          <w:highlight w:val="none"/>
        </w:rPr>
      </w:pPr>
      <w:r>
        <w:rPr>
          <w:rFonts w:hint="eastAsia" w:ascii="宋体" w:hAnsi="宋体" w:eastAsia="宋体" w:cs="宋体"/>
          <w:b/>
          <w:bCs/>
          <w:color w:val="000000"/>
          <w:sz w:val="28"/>
          <w:szCs w:val="28"/>
          <w:highlight w:val="none"/>
        </w:rPr>
        <w:t>二</w:t>
      </w:r>
      <w:r>
        <w:rPr>
          <w:rFonts w:hint="eastAsia" w:ascii="宋体" w:hAnsi="宋体" w:cs="宋体"/>
          <w:b/>
          <w:bCs/>
          <w:color w:val="000000"/>
          <w:sz w:val="28"/>
          <w:szCs w:val="28"/>
          <w:highlight w:val="none"/>
          <w:lang w:eastAsia="zh-CN"/>
        </w:rPr>
        <w:t>〇</w:t>
      </w:r>
      <w:r>
        <w:rPr>
          <w:rFonts w:hint="eastAsia" w:ascii="宋体" w:hAnsi="宋体" w:eastAsia="宋体" w:cs="宋体"/>
          <w:b/>
          <w:bCs/>
          <w:color w:val="000000"/>
          <w:sz w:val="28"/>
          <w:szCs w:val="28"/>
          <w:highlight w:val="none"/>
        </w:rPr>
        <w:t>二四年</w:t>
      </w:r>
      <w:r>
        <w:rPr>
          <w:rFonts w:hint="eastAsia" w:ascii="宋体" w:hAnsi="宋体" w:cs="宋体"/>
          <w:b/>
          <w:bCs/>
          <w:color w:val="000000"/>
          <w:sz w:val="28"/>
          <w:szCs w:val="28"/>
          <w:highlight w:val="none"/>
          <w:lang w:eastAsia="zh-CN"/>
        </w:rPr>
        <w:t>十二</w:t>
      </w:r>
      <w:r>
        <w:rPr>
          <w:rFonts w:hint="eastAsia" w:ascii="宋体" w:hAnsi="宋体" w:eastAsia="宋体" w:cs="宋体"/>
          <w:b/>
          <w:bCs/>
          <w:color w:val="000000"/>
          <w:sz w:val="28"/>
          <w:szCs w:val="28"/>
          <w:highlight w:val="none"/>
        </w:rPr>
        <w:t>月</w:t>
      </w:r>
    </w:p>
    <w:p w14:paraId="6900AD92">
      <w:pPr>
        <w:pStyle w:val="29"/>
        <w:spacing w:beforeLines="0" w:afterLines="0" w:line="360" w:lineRule="auto"/>
        <w:jc w:val="both"/>
        <w:rPr>
          <w:rFonts w:hint="eastAsia" w:ascii="宋体" w:hAnsi="宋体" w:eastAsia="宋体" w:cs="宋体"/>
          <w:color w:val="000000"/>
          <w:sz w:val="44"/>
          <w:szCs w:val="44"/>
          <w:highlight w:val="none"/>
        </w:rPr>
      </w:pPr>
    </w:p>
    <w:p w14:paraId="609D41A3">
      <w:pPr>
        <w:pStyle w:val="29"/>
        <w:spacing w:beforeLines="0" w:afterLines="0" w:line="360" w:lineRule="auto"/>
        <w:jc w:val="center"/>
        <w:rPr>
          <w:rStyle w:val="61"/>
          <w:rFonts w:hint="eastAsia"/>
          <w:b w:val="0"/>
          <w:bCs w:val="0"/>
        </w:rPr>
      </w:pPr>
    </w:p>
    <w:p w14:paraId="4A6BAA65">
      <w:pPr>
        <w:rPr>
          <w:rStyle w:val="61"/>
          <w:rFonts w:hint="eastAsia"/>
          <w:b/>
          <w:bCs/>
        </w:rPr>
      </w:pPr>
      <w:r>
        <w:rPr>
          <w:rStyle w:val="61"/>
          <w:rFonts w:hint="eastAsia"/>
          <w:b/>
          <w:bCs/>
        </w:rPr>
        <w:br w:type="page"/>
      </w:r>
    </w:p>
    <w:p w14:paraId="7301684C">
      <w:pPr>
        <w:pStyle w:val="29"/>
        <w:spacing w:beforeLines="0" w:afterLines="0" w:line="360" w:lineRule="auto"/>
        <w:jc w:val="center"/>
        <w:rPr>
          <w:rFonts w:hint="eastAsia"/>
          <w:b/>
          <w:bCs/>
        </w:rPr>
      </w:pPr>
      <w:r>
        <w:rPr>
          <w:rStyle w:val="61"/>
          <w:rFonts w:hint="eastAsia"/>
          <w:b/>
          <w:bCs/>
        </w:rPr>
        <w:t>目    录</w:t>
      </w:r>
    </w:p>
    <w:p w14:paraId="230ABD82">
      <w:pPr>
        <w:pStyle w:val="36"/>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rPr>
          <w:b w:val="0"/>
          <w:bCs w:val="0"/>
        </w:rPr>
      </w:pPr>
      <w:r>
        <w:rPr>
          <w:rFonts w:hint="eastAsia" w:ascii="宋体" w:hAnsi="宋体" w:eastAsia="宋体" w:cs="宋体"/>
          <w:b w:val="0"/>
          <w:bCs w:val="0"/>
          <w:color w:val="000000"/>
          <w:sz w:val="24"/>
          <w:szCs w:val="24"/>
          <w:highlight w:val="none"/>
        </w:rPr>
        <w:fldChar w:fldCharType="begin"/>
      </w:r>
      <w:r>
        <w:rPr>
          <w:rFonts w:hint="eastAsia" w:ascii="宋体" w:hAnsi="宋体" w:eastAsia="宋体" w:cs="宋体"/>
          <w:b w:val="0"/>
          <w:bCs w:val="0"/>
          <w:color w:val="000000"/>
          <w:sz w:val="24"/>
          <w:szCs w:val="24"/>
          <w:highlight w:val="none"/>
        </w:rPr>
        <w:instrText xml:space="preserve"> TOC \o "1-3" \h \z \u </w:instrText>
      </w:r>
      <w:r>
        <w:rPr>
          <w:rFonts w:hint="eastAsia" w:ascii="宋体" w:hAnsi="宋体" w:eastAsia="宋体" w:cs="宋体"/>
          <w:b w:val="0"/>
          <w:bCs w:val="0"/>
          <w:color w:val="000000"/>
          <w:sz w:val="24"/>
          <w:szCs w:val="24"/>
          <w:highlight w:val="none"/>
        </w:rPr>
        <w:fldChar w:fldCharType="separate"/>
      </w:r>
      <w:r>
        <w:rPr>
          <w:rFonts w:hint="eastAsia" w:ascii="宋体" w:hAnsi="宋体" w:eastAsia="宋体" w:cs="宋体"/>
          <w:b w:val="0"/>
          <w:bCs w:val="0"/>
          <w:color w:val="000000"/>
          <w:szCs w:val="24"/>
          <w:highlight w:val="none"/>
        </w:rPr>
        <w:fldChar w:fldCharType="begin"/>
      </w:r>
      <w:r>
        <w:rPr>
          <w:rFonts w:hint="eastAsia" w:ascii="宋体" w:hAnsi="宋体" w:eastAsia="宋体" w:cs="宋体"/>
          <w:b w:val="0"/>
          <w:bCs w:val="0"/>
          <w:szCs w:val="24"/>
          <w:highlight w:val="none"/>
        </w:rPr>
        <w:instrText xml:space="preserve"> HYPERLINK \l _Toc30997 </w:instrText>
      </w:r>
      <w:r>
        <w:rPr>
          <w:rFonts w:hint="eastAsia" w:ascii="宋体" w:hAnsi="宋体" w:eastAsia="宋体" w:cs="宋体"/>
          <w:b w:val="0"/>
          <w:bCs w:val="0"/>
          <w:szCs w:val="24"/>
          <w:highlight w:val="none"/>
        </w:rPr>
        <w:fldChar w:fldCharType="separate"/>
      </w:r>
      <w:r>
        <w:rPr>
          <w:rFonts w:hint="eastAsia" w:ascii="宋体" w:hAnsi="宋体" w:eastAsia="宋体" w:cs="宋体"/>
          <w:b w:val="0"/>
          <w:bCs w:val="0"/>
          <w:szCs w:val="30"/>
          <w:highlight w:val="none"/>
        </w:rPr>
        <w:t>第一章 竞争性磋商公告</w:t>
      </w:r>
      <w:r>
        <w:rPr>
          <w:b w:val="0"/>
          <w:bCs w:val="0"/>
        </w:rPr>
        <w:tab/>
      </w:r>
      <w:r>
        <w:rPr>
          <w:b w:val="0"/>
          <w:bCs w:val="0"/>
        </w:rPr>
        <w:fldChar w:fldCharType="begin"/>
      </w:r>
      <w:r>
        <w:rPr>
          <w:b w:val="0"/>
          <w:bCs w:val="0"/>
        </w:rPr>
        <w:instrText xml:space="preserve"> PAGEREF _Toc30997 \h </w:instrText>
      </w:r>
      <w:r>
        <w:rPr>
          <w:b w:val="0"/>
          <w:bCs w:val="0"/>
        </w:rPr>
        <w:fldChar w:fldCharType="separate"/>
      </w:r>
      <w:r>
        <w:rPr>
          <w:b w:val="0"/>
          <w:bCs w:val="0"/>
        </w:rPr>
        <w:t>1</w:t>
      </w:r>
      <w:r>
        <w:rPr>
          <w:b w:val="0"/>
          <w:bCs w:val="0"/>
        </w:rPr>
        <w:fldChar w:fldCharType="end"/>
      </w:r>
      <w:r>
        <w:rPr>
          <w:rFonts w:hint="eastAsia" w:ascii="宋体" w:hAnsi="宋体" w:eastAsia="宋体" w:cs="宋体"/>
          <w:b w:val="0"/>
          <w:bCs w:val="0"/>
          <w:color w:val="000000"/>
          <w:szCs w:val="24"/>
          <w:highlight w:val="none"/>
        </w:rPr>
        <w:fldChar w:fldCharType="end"/>
      </w:r>
    </w:p>
    <w:p w14:paraId="30F62103">
      <w:pPr>
        <w:pStyle w:val="36"/>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rPr>
          <w:b w:val="0"/>
          <w:bCs w:val="0"/>
        </w:rPr>
      </w:pPr>
      <w:r>
        <w:rPr>
          <w:rFonts w:hint="eastAsia" w:ascii="宋体" w:hAnsi="宋体" w:eastAsia="宋体" w:cs="宋体"/>
          <w:b w:val="0"/>
          <w:bCs w:val="0"/>
          <w:color w:val="000000"/>
          <w:szCs w:val="24"/>
          <w:highlight w:val="none"/>
        </w:rPr>
        <w:fldChar w:fldCharType="begin"/>
      </w:r>
      <w:r>
        <w:rPr>
          <w:rFonts w:hint="eastAsia" w:ascii="宋体" w:hAnsi="宋体" w:eastAsia="宋体" w:cs="宋体"/>
          <w:b w:val="0"/>
          <w:bCs w:val="0"/>
          <w:szCs w:val="24"/>
          <w:highlight w:val="none"/>
        </w:rPr>
        <w:instrText xml:space="preserve"> HYPERLINK \l _Toc31848 </w:instrText>
      </w:r>
      <w:r>
        <w:rPr>
          <w:rFonts w:hint="eastAsia" w:ascii="宋体" w:hAnsi="宋体" w:eastAsia="宋体" w:cs="宋体"/>
          <w:b w:val="0"/>
          <w:bCs w:val="0"/>
          <w:szCs w:val="24"/>
          <w:highlight w:val="none"/>
        </w:rPr>
        <w:fldChar w:fldCharType="separate"/>
      </w:r>
      <w:r>
        <w:rPr>
          <w:rFonts w:hint="eastAsia" w:ascii="宋体" w:hAnsi="宋体" w:eastAsia="宋体" w:cs="宋体"/>
          <w:b w:val="0"/>
          <w:bCs w:val="0"/>
          <w:szCs w:val="30"/>
          <w:highlight w:val="none"/>
        </w:rPr>
        <w:t>第二章  采购内容、需求及要求</w:t>
      </w:r>
      <w:r>
        <w:rPr>
          <w:b w:val="0"/>
          <w:bCs w:val="0"/>
        </w:rPr>
        <w:tab/>
      </w:r>
      <w:r>
        <w:rPr>
          <w:b w:val="0"/>
          <w:bCs w:val="0"/>
        </w:rPr>
        <w:fldChar w:fldCharType="begin"/>
      </w:r>
      <w:r>
        <w:rPr>
          <w:b w:val="0"/>
          <w:bCs w:val="0"/>
        </w:rPr>
        <w:instrText xml:space="preserve"> PAGEREF _Toc31848 \h </w:instrText>
      </w:r>
      <w:r>
        <w:rPr>
          <w:b w:val="0"/>
          <w:bCs w:val="0"/>
        </w:rPr>
        <w:fldChar w:fldCharType="separate"/>
      </w:r>
      <w:r>
        <w:rPr>
          <w:b w:val="0"/>
          <w:bCs w:val="0"/>
        </w:rPr>
        <w:t>6</w:t>
      </w:r>
      <w:r>
        <w:rPr>
          <w:b w:val="0"/>
          <w:bCs w:val="0"/>
        </w:rPr>
        <w:fldChar w:fldCharType="end"/>
      </w:r>
      <w:r>
        <w:rPr>
          <w:rFonts w:hint="eastAsia" w:ascii="宋体" w:hAnsi="宋体" w:eastAsia="宋体" w:cs="宋体"/>
          <w:b w:val="0"/>
          <w:bCs w:val="0"/>
          <w:color w:val="000000"/>
          <w:szCs w:val="24"/>
          <w:highlight w:val="none"/>
        </w:rPr>
        <w:fldChar w:fldCharType="end"/>
      </w:r>
    </w:p>
    <w:p w14:paraId="73DD7E2B">
      <w:pPr>
        <w:pStyle w:val="36"/>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rPr>
          <w:b w:val="0"/>
          <w:bCs w:val="0"/>
        </w:rPr>
      </w:pPr>
      <w:r>
        <w:rPr>
          <w:rFonts w:hint="eastAsia" w:ascii="宋体" w:hAnsi="宋体" w:eastAsia="宋体" w:cs="宋体"/>
          <w:b w:val="0"/>
          <w:bCs w:val="0"/>
          <w:color w:val="000000"/>
          <w:szCs w:val="24"/>
          <w:highlight w:val="none"/>
        </w:rPr>
        <w:fldChar w:fldCharType="begin"/>
      </w:r>
      <w:r>
        <w:rPr>
          <w:rFonts w:hint="eastAsia" w:ascii="宋体" w:hAnsi="宋体" w:eastAsia="宋体" w:cs="宋体"/>
          <w:b w:val="0"/>
          <w:bCs w:val="0"/>
          <w:szCs w:val="24"/>
          <w:highlight w:val="none"/>
        </w:rPr>
        <w:instrText xml:space="preserve"> HYPERLINK \l _Toc0 </w:instrText>
      </w:r>
      <w:r>
        <w:rPr>
          <w:rFonts w:hint="eastAsia" w:ascii="宋体" w:hAnsi="宋体" w:eastAsia="宋体" w:cs="宋体"/>
          <w:b w:val="0"/>
          <w:bCs w:val="0"/>
          <w:szCs w:val="24"/>
          <w:highlight w:val="none"/>
        </w:rPr>
        <w:fldChar w:fldCharType="separate"/>
      </w:r>
      <w:r>
        <w:rPr>
          <w:rFonts w:hint="eastAsia" w:ascii="宋体" w:hAnsi="宋体" w:eastAsia="宋体" w:cs="宋体"/>
          <w:b w:val="0"/>
          <w:bCs w:val="0"/>
          <w:szCs w:val="30"/>
          <w:highlight w:val="none"/>
        </w:rPr>
        <w:t>第四章 评标办法及评分标准</w:t>
      </w:r>
      <w:r>
        <w:rPr>
          <w:b w:val="0"/>
          <w:bCs w:val="0"/>
        </w:rPr>
        <w:tab/>
      </w:r>
      <w:r>
        <w:rPr>
          <w:b w:val="0"/>
          <w:bCs w:val="0"/>
        </w:rPr>
        <w:fldChar w:fldCharType="begin"/>
      </w:r>
      <w:r>
        <w:rPr>
          <w:b w:val="0"/>
          <w:bCs w:val="0"/>
        </w:rPr>
        <w:instrText xml:space="preserve"> PAGEREF _Toc0 \h </w:instrText>
      </w:r>
      <w:r>
        <w:rPr>
          <w:b w:val="0"/>
          <w:bCs w:val="0"/>
        </w:rPr>
        <w:fldChar w:fldCharType="separate"/>
      </w:r>
      <w:r>
        <w:rPr>
          <w:b w:val="0"/>
          <w:bCs w:val="0"/>
        </w:rPr>
        <w:t>23</w:t>
      </w:r>
      <w:r>
        <w:rPr>
          <w:b w:val="0"/>
          <w:bCs w:val="0"/>
        </w:rPr>
        <w:fldChar w:fldCharType="end"/>
      </w:r>
      <w:r>
        <w:rPr>
          <w:rFonts w:hint="eastAsia" w:ascii="宋体" w:hAnsi="宋体" w:eastAsia="宋体" w:cs="宋体"/>
          <w:b w:val="0"/>
          <w:bCs w:val="0"/>
          <w:color w:val="000000"/>
          <w:szCs w:val="24"/>
          <w:highlight w:val="none"/>
        </w:rPr>
        <w:fldChar w:fldCharType="end"/>
      </w:r>
    </w:p>
    <w:p w14:paraId="61827BEA">
      <w:pPr>
        <w:pStyle w:val="36"/>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rPr>
          <w:b w:val="0"/>
          <w:bCs w:val="0"/>
        </w:rPr>
      </w:pPr>
      <w:r>
        <w:rPr>
          <w:rFonts w:hint="eastAsia" w:ascii="宋体" w:hAnsi="宋体" w:eastAsia="宋体" w:cs="宋体"/>
          <w:b w:val="0"/>
          <w:bCs w:val="0"/>
          <w:color w:val="000000"/>
          <w:szCs w:val="24"/>
          <w:highlight w:val="none"/>
        </w:rPr>
        <w:fldChar w:fldCharType="begin"/>
      </w:r>
      <w:r>
        <w:rPr>
          <w:rFonts w:hint="eastAsia" w:ascii="宋体" w:hAnsi="宋体" w:eastAsia="宋体" w:cs="宋体"/>
          <w:b w:val="0"/>
          <w:bCs w:val="0"/>
          <w:szCs w:val="24"/>
          <w:highlight w:val="none"/>
        </w:rPr>
        <w:instrText xml:space="preserve"> HYPERLINK \l _Toc561 </w:instrText>
      </w:r>
      <w:r>
        <w:rPr>
          <w:rFonts w:hint="eastAsia" w:ascii="宋体" w:hAnsi="宋体" w:eastAsia="宋体" w:cs="宋体"/>
          <w:b w:val="0"/>
          <w:bCs w:val="0"/>
          <w:szCs w:val="24"/>
          <w:highlight w:val="none"/>
        </w:rPr>
        <w:fldChar w:fldCharType="separate"/>
      </w:r>
      <w:r>
        <w:rPr>
          <w:rFonts w:hint="eastAsia" w:ascii="宋体" w:hAnsi="宋体" w:eastAsia="宋体" w:cs="宋体"/>
          <w:b w:val="0"/>
          <w:bCs w:val="0"/>
          <w:kern w:val="0"/>
          <w:szCs w:val="30"/>
          <w:highlight w:val="none"/>
          <w:lang w:val="en-US" w:eastAsia="zh-CN" w:bidi="ar-SA"/>
        </w:rPr>
        <w:t>第五章  合同主要条款</w:t>
      </w:r>
      <w:r>
        <w:rPr>
          <w:b w:val="0"/>
          <w:bCs w:val="0"/>
        </w:rPr>
        <w:tab/>
      </w:r>
      <w:r>
        <w:rPr>
          <w:b w:val="0"/>
          <w:bCs w:val="0"/>
        </w:rPr>
        <w:fldChar w:fldCharType="begin"/>
      </w:r>
      <w:r>
        <w:rPr>
          <w:b w:val="0"/>
          <w:bCs w:val="0"/>
        </w:rPr>
        <w:instrText xml:space="preserve"> PAGEREF _Toc561 \h </w:instrText>
      </w:r>
      <w:r>
        <w:rPr>
          <w:b w:val="0"/>
          <w:bCs w:val="0"/>
        </w:rPr>
        <w:fldChar w:fldCharType="separate"/>
      </w:r>
      <w:r>
        <w:rPr>
          <w:b w:val="0"/>
          <w:bCs w:val="0"/>
        </w:rPr>
        <w:t>29</w:t>
      </w:r>
      <w:r>
        <w:rPr>
          <w:b w:val="0"/>
          <w:bCs w:val="0"/>
        </w:rPr>
        <w:fldChar w:fldCharType="end"/>
      </w:r>
      <w:r>
        <w:rPr>
          <w:rFonts w:hint="eastAsia" w:ascii="宋体" w:hAnsi="宋体" w:eastAsia="宋体" w:cs="宋体"/>
          <w:b w:val="0"/>
          <w:bCs w:val="0"/>
          <w:color w:val="000000"/>
          <w:szCs w:val="24"/>
          <w:highlight w:val="none"/>
        </w:rPr>
        <w:fldChar w:fldCharType="end"/>
      </w:r>
    </w:p>
    <w:p w14:paraId="303BDA07">
      <w:pPr>
        <w:pStyle w:val="36"/>
        <w:keepNext w:val="0"/>
        <w:keepLines w:val="0"/>
        <w:pageBreakBefore w:val="0"/>
        <w:widowControl w:val="0"/>
        <w:tabs>
          <w:tab w:val="right" w:leader="dot" w:pos="9185"/>
        </w:tabs>
        <w:kinsoku/>
        <w:wordWrap/>
        <w:overflowPunct/>
        <w:topLinePunct w:val="0"/>
        <w:autoSpaceDE/>
        <w:autoSpaceDN/>
        <w:bidi w:val="0"/>
        <w:adjustRightInd/>
        <w:snapToGrid/>
        <w:spacing w:line="240" w:lineRule="auto"/>
        <w:textAlignment w:val="auto"/>
        <w:rPr>
          <w:b w:val="0"/>
          <w:bCs w:val="0"/>
        </w:rPr>
      </w:pPr>
      <w:r>
        <w:rPr>
          <w:rFonts w:hint="eastAsia" w:ascii="宋体" w:hAnsi="宋体" w:eastAsia="宋体" w:cs="宋体"/>
          <w:b w:val="0"/>
          <w:bCs w:val="0"/>
          <w:color w:val="000000"/>
          <w:szCs w:val="24"/>
          <w:highlight w:val="none"/>
        </w:rPr>
        <w:fldChar w:fldCharType="begin"/>
      </w:r>
      <w:r>
        <w:rPr>
          <w:rFonts w:hint="eastAsia" w:ascii="宋体" w:hAnsi="宋体" w:eastAsia="宋体" w:cs="宋体"/>
          <w:b w:val="0"/>
          <w:bCs w:val="0"/>
          <w:szCs w:val="24"/>
          <w:highlight w:val="none"/>
        </w:rPr>
        <w:instrText xml:space="preserve"> HYPERLINK \l _Toc441 </w:instrText>
      </w:r>
      <w:r>
        <w:rPr>
          <w:rFonts w:hint="eastAsia" w:ascii="宋体" w:hAnsi="宋体" w:eastAsia="宋体" w:cs="宋体"/>
          <w:b w:val="0"/>
          <w:bCs w:val="0"/>
          <w:szCs w:val="24"/>
          <w:highlight w:val="none"/>
        </w:rPr>
        <w:fldChar w:fldCharType="separate"/>
      </w:r>
      <w:r>
        <w:rPr>
          <w:rFonts w:hint="eastAsia" w:ascii="宋体" w:hAnsi="宋体" w:eastAsia="宋体" w:cs="宋体"/>
          <w:b w:val="0"/>
          <w:bCs w:val="0"/>
          <w:szCs w:val="30"/>
          <w:highlight w:val="none"/>
        </w:rPr>
        <w:t>第六章　响应文件格式</w:t>
      </w:r>
      <w:r>
        <w:rPr>
          <w:b w:val="0"/>
          <w:bCs w:val="0"/>
        </w:rPr>
        <w:tab/>
      </w:r>
      <w:r>
        <w:rPr>
          <w:b w:val="0"/>
          <w:bCs w:val="0"/>
        </w:rPr>
        <w:fldChar w:fldCharType="begin"/>
      </w:r>
      <w:r>
        <w:rPr>
          <w:b w:val="0"/>
          <w:bCs w:val="0"/>
        </w:rPr>
        <w:instrText xml:space="preserve"> PAGEREF _Toc441 \h </w:instrText>
      </w:r>
      <w:r>
        <w:rPr>
          <w:b w:val="0"/>
          <w:bCs w:val="0"/>
        </w:rPr>
        <w:fldChar w:fldCharType="separate"/>
      </w:r>
      <w:r>
        <w:rPr>
          <w:b w:val="0"/>
          <w:bCs w:val="0"/>
        </w:rPr>
        <w:t>63</w:t>
      </w:r>
      <w:r>
        <w:rPr>
          <w:b w:val="0"/>
          <w:bCs w:val="0"/>
        </w:rPr>
        <w:fldChar w:fldCharType="end"/>
      </w:r>
      <w:r>
        <w:rPr>
          <w:rFonts w:hint="eastAsia" w:ascii="宋体" w:hAnsi="宋体" w:eastAsia="宋体" w:cs="宋体"/>
          <w:b w:val="0"/>
          <w:bCs w:val="0"/>
          <w:color w:val="000000"/>
          <w:szCs w:val="24"/>
          <w:highlight w:val="none"/>
        </w:rPr>
        <w:fldChar w:fldCharType="end"/>
      </w:r>
    </w:p>
    <w:p w14:paraId="12FEE8DC">
      <w:pPr>
        <w:pStyle w:val="36"/>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val="0"/>
          <w:bCs w:val="0"/>
          <w:color w:val="000000"/>
          <w:szCs w:val="24"/>
          <w:highlight w:val="none"/>
        </w:rPr>
        <w:fldChar w:fldCharType="end"/>
      </w:r>
    </w:p>
    <w:p w14:paraId="4C384B8A">
      <w:pPr>
        <w:pStyle w:val="36"/>
        <w:tabs>
          <w:tab w:val="right" w:leader="dot" w:pos="8720"/>
        </w:tabs>
        <w:spacing w:line="800" w:lineRule="exact"/>
        <w:rPr>
          <w:rFonts w:hint="eastAsia" w:ascii="宋体" w:hAnsi="宋体" w:eastAsia="宋体" w:cs="宋体"/>
          <w:color w:val="000000"/>
          <w:szCs w:val="22"/>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\u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 xml:space="preserve"> </w:t>
      </w:r>
      <w:r>
        <w:rPr>
          <w:rFonts w:hint="eastAsia" w:ascii="宋体" w:hAnsi="宋体" w:eastAsia="宋体" w:cs="宋体"/>
          <w:sz w:val="28"/>
          <w:szCs w:val="28"/>
          <w:highlight w:val="none"/>
        </w:rPr>
        <w:t xml:space="preserve"> </w:t>
      </w:r>
    </w:p>
    <w:p w14:paraId="1FB27DC6">
      <w:pPr>
        <w:spacing w:before="120" w:beforeLines="50" w:line="360" w:lineRule="auto"/>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fldChar w:fldCharType="end"/>
      </w:r>
    </w:p>
    <w:p w14:paraId="43566287">
      <w:pPr>
        <w:pStyle w:val="29"/>
        <w:snapToGrid w:val="0"/>
        <w:spacing w:beforeLines="0" w:afterLines="0" w:line="240" w:lineRule="auto"/>
        <w:jc w:val="center"/>
        <w:outlineLvl w:val="0"/>
        <w:rPr>
          <w:rFonts w:hint="eastAsia" w:ascii="宋体" w:hAnsi="宋体" w:eastAsia="宋体" w:cs="宋体"/>
          <w:color w:val="000000"/>
          <w:highlight w:val="none"/>
        </w:rPr>
      </w:pPr>
    </w:p>
    <w:p w14:paraId="1F820456">
      <w:pPr>
        <w:rPr>
          <w:rFonts w:hint="eastAsia" w:ascii="宋体" w:hAnsi="宋体" w:eastAsia="宋体" w:cs="宋体"/>
          <w:color w:val="000000"/>
          <w:highlight w:val="none"/>
        </w:rPr>
      </w:pPr>
    </w:p>
    <w:p w14:paraId="0597B718">
      <w:pPr>
        <w:rPr>
          <w:rFonts w:hint="eastAsia" w:ascii="宋体" w:hAnsi="宋体" w:eastAsia="宋体" w:cs="宋体"/>
          <w:color w:val="000000"/>
          <w:highlight w:val="none"/>
        </w:rPr>
      </w:pPr>
    </w:p>
    <w:p w14:paraId="531473D7">
      <w:pPr>
        <w:rPr>
          <w:rFonts w:hint="eastAsia" w:ascii="宋体" w:hAnsi="宋体" w:eastAsia="宋体" w:cs="宋体"/>
          <w:color w:val="000000"/>
          <w:highlight w:val="none"/>
        </w:rPr>
      </w:pPr>
    </w:p>
    <w:p w14:paraId="3B692461">
      <w:pPr>
        <w:rPr>
          <w:rFonts w:hint="eastAsia" w:ascii="宋体" w:hAnsi="宋体" w:eastAsia="宋体" w:cs="宋体"/>
          <w:color w:val="000000"/>
          <w:highlight w:val="none"/>
        </w:rPr>
      </w:pPr>
    </w:p>
    <w:p w14:paraId="61647AD7">
      <w:pPr>
        <w:pStyle w:val="29"/>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sectPr>
          <w:footnotePr>
            <w:numRestart w:val="eachPage"/>
          </w:footnotePr>
          <w:endnotePr>
            <w:numRestart w:val="eachSect"/>
          </w:endnotePr>
          <w:pgSz w:w="11907" w:h="16840"/>
          <w:pgMar w:top="1247" w:right="1361" w:bottom="1247" w:left="1361" w:header="851" w:footer="838" w:gutter="0"/>
          <w:cols w:space="720" w:num="1"/>
          <w:docGrid w:type="lines" w:linePitch="435" w:charSpace="-6554"/>
        </w:sectPr>
      </w:pPr>
      <w:bookmarkStart w:id="0" w:name="_Toc466534747"/>
    </w:p>
    <w:p w14:paraId="0D879EEA">
      <w:pPr>
        <w:pStyle w:val="29"/>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pPr>
      <w:bookmarkStart w:id="1" w:name="_Toc30997"/>
      <w:r>
        <w:rPr>
          <w:rFonts w:hint="eastAsia" w:ascii="宋体" w:hAnsi="宋体" w:eastAsia="宋体" w:cs="宋体"/>
          <w:b/>
          <w:color w:val="000000"/>
          <w:sz w:val="30"/>
          <w:szCs w:val="30"/>
          <w:highlight w:val="none"/>
        </w:rPr>
        <w:t xml:space="preserve">第一章 </w:t>
      </w:r>
      <w:bookmarkEnd w:id="0"/>
      <w:r>
        <w:rPr>
          <w:rFonts w:hint="eastAsia" w:ascii="宋体" w:hAnsi="宋体" w:eastAsia="宋体" w:cs="宋体"/>
          <w:b/>
          <w:color w:val="000000"/>
          <w:sz w:val="30"/>
          <w:szCs w:val="30"/>
          <w:highlight w:val="none"/>
        </w:rPr>
        <w:t>竞争性磋商公告</w:t>
      </w:r>
      <w:bookmarkEnd w:id="1"/>
    </w:p>
    <w:p w14:paraId="1DD0276F">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根据《中华人民共和国政府采购法》、《中华人民共和国政府采购法实施条例》、</w:t>
      </w:r>
      <w:r>
        <w:rPr>
          <w:rFonts w:hint="eastAsia" w:ascii="宋体" w:hAnsi="宋体" w:eastAsia="宋体" w:cs="宋体"/>
          <w:color w:val="000000"/>
          <w:kern w:val="0"/>
          <w:sz w:val="24"/>
          <w:highlight w:val="none"/>
        </w:rPr>
        <w:t>《政府采购竞争性磋商采购方式管理暂行办法》</w:t>
      </w:r>
      <w:r>
        <w:rPr>
          <w:rFonts w:hint="eastAsia" w:ascii="宋体" w:hAnsi="宋体" w:eastAsia="宋体" w:cs="宋体"/>
          <w:color w:val="000000"/>
          <w:sz w:val="24"/>
          <w:highlight w:val="none"/>
        </w:rPr>
        <w:t>等规定，受</w:t>
      </w:r>
      <w:r>
        <w:rPr>
          <w:rFonts w:hint="eastAsia" w:ascii="宋体" w:hAnsi="宋体" w:cs="宋体"/>
          <w:color w:val="000000"/>
          <w:kern w:val="0"/>
          <w:sz w:val="24"/>
          <w:highlight w:val="none"/>
          <w:u w:val="single"/>
          <w:lang w:eastAsia="zh-CN"/>
        </w:rPr>
        <w:t>临海市人民政府大田街道办事处</w:t>
      </w:r>
      <w:r>
        <w:rPr>
          <w:rFonts w:hint="eastAsia" w:ascii="宋体" w:hAnsi="宋体" w:eastAsia="宋体" w:cs="宋体"/>
          <w:sz w:val="24"/>
          <w:highlight w:val="none"/>
        </w:rPr>
        <w:t>委托，现就</w:t>
      </w:r>
      <w:r>
        <w:rPr>
          <w:rFonts w:hint="eastAsia" w:ascii="宋体" w:hAnsi="宋体" w:cs="宋体"/>
          <w:sz w:val="24"/>
          <w:highlight w:val="none"/>
          <w:u w:val="single"/>
          <w:lang w:eastAsia="zh-CN"/>
        </w:rPr>
        <w:t>大田街道星都府周边道路工程</w:t>
      </w:r>
      <w:r>
        <w:rPr>
          <w:rFonts w:hint="eastAsia" w:ascii="宋体" w:hAnsi="宋体" w:eastAsia="宋体" w:cs="宋体"/>
          <w:b w:val="0"/>
          <w:bCs/>
          <w:sz w:val="24"/>
          <w:highlight w:val="none"/>
        </w:rPr>
        <w:t>采购</w:t>
      </w:r>
      <w:r>
        <w:rPr>
          <w:rFonts w:hint="eastAsia" w:ascii="宋体" w:hAnsi="宋体" w:eastAsia="宋体" w:cs="宋体"/>
          <w:sz w:val="24"/>
          <w:highlight w:val="none"/>
        </w:rPr>
        <w:t>进行竞争性磋商，</w:t>
      </w:r>
      <w:r>
        <w:rPr>
          <w:rFonts w:hint="eastAsia" w:ascii="宋体" w:hAnsi="宋体" w:eastAsia="宋体" w:cs="宋体"/>
          <w:kern w:val="0"/>
          <w:sz w:val="24"/>
          <w:highlight w:val="none"/>
        </w:rPr>
        <w:t>欢迎具备本项目供应商的资格要求且能够及时提供相关</w:t>
      </w:r>
      <w:r>
        <w:rPr>
          <w:rFonts w:hint="eastAsia" w:ascii="宋体" w:hAnsi="宋体" w:eastAsia="宋体" w:cs="宋体"/>
          <w:color w:val="000000"/>
          <w:kern w:val="0"/>
          <w:sz w:val="24"/>
          <w:highlight w:val="none"/>
        </w:rPr>
        <w:t>服务的供应商前来参加竞争性磋商活动。</w:t>
      </w:r>
    </w:p>
    <w:p w14:paraId="28C07E8A">
      <w:pPr>
        <w:pStyle w:val="46"/>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b/>
          <w:bCs/>
          <w:color w:val="000000"/>
          <w:highlight w:val="none"/>
        </w:rPr>
        <w:t>1</w:t>
      </w:r>
      <w:r>
        <w:rPr>
          <w:rFonts w:hint="eastAsia" w:ascii="宋体" w:hAnsi="宋体" w:eastAsia="宋体" w:cs="宋体"/>
          <w:color w:val="000000"/>
          <w:highlight w:val="none"/>
        </w:rPr>
        <w:t>.</w:t>
      </w:r>
      <w:r>
        <w:rPr>
          <w:rFonts w:hint="eastAsia" w:ascii="宋体" w:hAnsi="宋体" w:eastAsia="宋体" w:cs="宋体"/>
          <w:b/>
          <w:bCs/>
          <w:color w:val="000000"/>
          <w:highlight w:val="none"/>
        </w:rPr>
        <w:t>项目概况</w:t>
      </w:r>
    </w:p>
    <w:p w14:paraId="379D2E26">
      <w:pPr>
        <w:pStyle w:val="46"/>
        <w:spacing w:before="0" w:beforeAutospacing="0" w:after="0" w:afterAutospacing="0" w:line="400" w:lineRule="exact"/>
        <w:ind w:left="960" w:hanging="960" w:hangingChars="400"/>
        <w:rPr>
          <w:rFonts w:hint="eastAsia" w:ascii="宋体" w:hAnsi="宋体" w:eastAsia="宋体" w:cs="宋体"/>
          <w:color w:val="000000"/>
          <w:highlight w:val="none"/>
          <w:lang w:eastAsia="zh-CN"/>
        </w:rPr>
      </w:pPr>
      <w:r>
        <w:rPr>
          <w:rFonts w:hint="eastAsia" w:ascii="宋体" w:hAnsi="宋体" w:eastAsia="宋体" w:cs="宋体"/>
          <w:color w:val="000000"/>
          <w:highlight w:val="none"/>
        </w:rPr>
        <w:t>项目名称：</w:t>
      </w:r>
      <w:bookmarkStart w:id="2" w:name="OLE_LINK1"/>
      <w:r>
        <w:rPr>
          <w:rFonts w:hint="eastAsia" w:cs="宋体"/>
          <w:highlight w:val="none"/>
          <w:lang w:eastAsia="zh-CN"/>
        </w:rPr>
        <w:t>大田街道星都府周边道路工程</w:t>
      </w:r>
    </w:p>
    <w:bookmarkEnd w:id="2"/>
    <w:p w14:paraId="24D12F9B">
      <w:pPr>
        <w:pStyle w:val="46"/>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采购单位：</w:t>
      </w:r>
      <w:r>
        <w:rPr>
          <w:rFonts w:hint="eastAsia" w:cs="宋体"/>
          <w:color w:val="000000"/>
          <w:highlight w:val="none"/>
          <w:lang w:eastAsia="zh-CN"/>
        </w:rPr>
        <w:t>临海市人民政府大田街道办事处</w:t>
      </w:r>
    </w:p>
    <w:p w14:paraId="407639B5">
      <w:pPr>
        <w:pStyle w:val="46"/>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 xml:space="preserve">采购规模及内容概述：本次大田街道星都府周边道路工程计划改造主要内容为新建混凝土路面、新建雨污水管网、景观绿化的种植、室外交通配套等。 </w:t>
      </w:r>
    </w:p>
    <w:p w14:paraId="40E58A23">
      <w:pPr>
        <w:pStyle w:val="46"/>
        <w:spacing w:before="0" w:beforeAutospacing="0" w:after="0" w:afterAutospacing="0" w:line="400" w:lineRule="exact"/>
        <w:rPr>
          <w:rFonts w:hint="eastAsia" w:ascii="宋体" w:hAnsi="宋体" w:eastAsia="宋体" w:cs="宋体"/>
          <w:highlight w:val="none"/>
          <w:lang w:eastAsia="zh-CN"/>
        </w:rPr>
      </w:pPr>
      <w:r>
        <w:rPr>
          <w:rFonts w:hint="eastAsia" w:ascii="宋体" w:hAnsi="宋体" w:eastAsia="宋体" w:cs="宋体"/>
          <w:highlight w:val="none"/>
        </w:rPr>
        <w:t>采购预算：97537</w:t>
      </w:r>
      <w:r>
        <w:rPr>
          <w:rFonts w:hint="eastAsia" w:cs="宋体"/>
          <w:highlight w:val="none"/>
          <w:lang w:val="en-US" w:eastAsia="zh-CN"/>
        </w:rPr>
        <w:t>6</w:t>
      </w:r>
      <w:r>
        <w:rPr>
          <w:rFonts w:hint="eastAsia" w:ascii="宋体" w:hAnsi="宋体" w:eastAsia="宋体" w:cs="宋体"/>
          <w:highlight w:val="none"/>
          <w:lang w:eastAsia="zh-CN"/>
        </w:rPr>
        <w:t>元</w:t>
      </w:r>
    </w:p>
    <w:p w14:paraId="6C1F0F39">
      <w:pPr>
        <w:pStyle w:val="46"/>
        <w:spacing w:before="0" w:beforeAutospacing="0" w:after="0" w:afterAutospacing="0" w:line="400" w:lineRule="exact"/>
        <w:rPr>
          <w:rFonts w:hint="eastAsia" w:ascii="宋体" w:hAnsi="宋体" w:eastAsia="宋体" w:cs="宋体"/>
          <w:b/>
          <w:highlight w:val="none"/>
          <w:u w:val="single"/>
          <w:shd w:val="pct10" w:color="auto" w:fill="FFFFFF"/>
        </w:rPr>
      </w:pPr>
      <w:r>
        <w:rPr>
          <w:rFonts w:hint="eastAsia" w:ascii="宋体" w:hAnsi="宋体" w:eastAsia="宋体" w:cs="宋体"/>
          <w:b/>
          <w:highlight w:val="none"/>
          <w:u w:val="single"/>
          <w:shd w:val="pct10" w:color="auto" w:fill="FFFFFF"/>
        </w:rPr>
        <w:t>最高限价：</w:t>
      </w:r>
      <w:r>
        <w:rPr>
          <w:rFonts w:hint="eastAsia" w:cs="宋体"/>
          <w:b/>
          <w:highlight w:val="none"/>
          <w:u w:val="single"/>
          <w:shd w:val="pct10" w:color="auto" w:fill="FFFFFF"/>
          <w:lang w:val="en-US" w:eastAsia="zh-CN"/>
        </w:rPr>
        <w:t>858330</w:t>
      </w:r>
      <w:r>
        <w:rPr>
          <w:rFonts w:hint="eastAsia" w:ascii="宋体" w:hAnsi="宋体" w:eastAsia="宋体" w:cs="宋体"/>
          <w:b/>
          <w:highlight w:val="none"/>
          <w:u w:val="single"/>
          <w:shd w:val="pct10" w:color="auto" w:fill="FFFFFF"/>
        </w:rPr>
        <w:t>元【即本项目投标下浮率不少于</w:t>
      </w:r>
      <w:r>
        <w:rPr>
          <w:rFonts w:hint="eastAsia" w:cs="宋体"/>
          <w:b/>
          <w:highlight w:val="none"/>
          <w:u w:val="single"/>
          <w:shd w:val="pct10" w:color="auto" w:fill="FFFFFF"/>
          <w:lang w:val="en-US" w:eastAsia="zh-CN"/>
        </w:rPr>
        <w:t>12</w:t>
      </w:r>
      <w:r>
        <w:rPr>
          <w:rFonts w:hint="eastAsia" w:ascii="宋体" w:hAnsi="宋体" w:eastAsia="宋体" w:cs="宋体"/>
          <w:b/>
          <w:highlight w:val="none"/>
          <w:u w:val="single"/>
          <w:shd w:val="pct10" w:color="auto" w:fill="FFFFFF"/>
        </w:rPr>
        <w:t>%，即97537</w:t>
      </w:r>
      <w:r>
        <w:rPr>
          <w:rFonts w:hint="eastAsia" w:cs="宋体"/>
          <w:b/>
          <w:highlight w:val="none"/>
          <w:u w:val="single"/>
          <w:shd w:val="pct10" w:color="auto" w:fill="FFFFFF"/>
          <w:lang w:val="en-US" w:eastAsia="zh-CN"/>
        </w:rPr>
        <w:t>6</w:t>
      </w:r>
      <w:r>
        <w:rPr>
          <w:rFonts w:hint="eastAsia" w:ascii="宋体" w:hAnsi="宋体" w:eastAsia="宋体" w:cs="宋体"/>
          <w:b/>
          <w:highlight w:val="none"/>
          <w:u w:val="single"/>
          <w:shd w:val="pct10" w:color="auto" w:fill="FFFFFF"/>
          <w:lang w:eastAsia="zh-CN"/>
        </w:rPr>
        <w:t>元</w:t>
      </w:r>
      <w:r>
        <w:rPr>
          <w:rFonts w:hint="eastAsia" w:ascii="宋体" w:hAnsi="宋体" w:eastAsia="宋体" w:cs="宋体"/>
          <w:b/>
          <w:highlight w:val="none"/>
          <w:u w:val="single"/>
          <w:shd w:val="pct10" w:color="auto" w:fill="FFFFFF"/>
        </w:rPr>
        <w:t>*（1-</w:t>
      </w:r>
      <w:r>
        <w:rPr>
          <w:rFonts w:hint="eastAsia" w:cs="宋体"/>
          <w:b/>
          <w:highlight w:val="none"/>
          <w:u w:val="single"/>
          <w:shd w:val="pct10" w:color="auto" w:fill="FFFFFF"/>
          <w:lang w:val="en-US" w:eastAsia="zh-CN"/>
        </w:rPr>
        <w:t>12</w:t>
      </w:r>
      <w:r>
        <w:rPr>
          <w:rFonts w:hint="eastAsia" w:ascii="宋体" w:hAnsi="宋体" w:eastAsia="宋体" w:cs="宋体"/>
          <w:b/>
          <w:highlight w:val="none"/>
          <w:u w:val="single"/>
          <w:shd w:val="pct10" w:color="auto" w:fill="FFFFFF"/>
        </w:rPr>
        <w:t>%）】</w:t>
      </w:r>
    </w:p>
    <w:p w14:paraId="00B5E9C6">
      <w:pPr>
        <w:tabs>
          <w:tab w:val="left" w:pos="8380"/>
        </w:tabs>
        <w:spacing w:line="400" w:lineRule="exac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采购组织类型：</w:t>
      </w:r>
      <w:r>
        <w:rPr>
          <w:rFonts w:hint="eastAsia" w:ascii="宋体" w:hAnsi="宋体" w:eastAsia="宋体" w:cs="宋体"/>
          <w:kern w:val="0"/>
          <w:sz w:val="24"/>
          <w:highlight w:val="none"/>
        </w:rPr>
        <w:t>分散采购</w:t>
      </w:r>
      <w:r>
        <w:rPr>
          <w:rFonts w:hint="eastAsia" w:ascii="宋体" w:hAnsi="宋体" w:eastAsia="宋体" w:cs="宋体"/>
          <w:kern w:val="0"/>
          <w:sz w:val="24"/>
          <w:highlight w:val="none"/>
          <w:lang w:eastAsia="zh-CN"/>
        </w:rPr>
        <w:tab/>
      </w:r>
    </w:p>
    <w:p w14:paraId="4BE1FCBE">
      <w:pPr>
        <w:pStyle w:val="46"/>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采购标段数：1</w:t>
      </w:r>
    </w:p>
    <w:p w14:paraId="3DED90E5">
      <w:pPr>
        <w:pStyle w:val="46"/>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采购方式：</w:t>
      </w:r>
      <w:bookmarkStart w:id="3" w:name="OLE_LINK5"/>
      <w:r>
        <w:rPr>
          <w:rFonts w:hint="eastAsia" w:ascii="宋体" w:hAnsi="宋体" w:eastAsia="宋体" w:cs="宋体"/>
          <w:color w:val="000000"/>
          <w:highlight w:val="none"/>
        </w:rPr>
        <w:t>竞争性磋商</w:t>
      </w:r>
      <w:bookmarkEnd w:id="3"/>
    </w:p>
    <w:p w14:paraId="67BCB429">
      <w:pPr>
        <w:pStyle w:val="46"/>
        <w:spacing w:before="0" w:beforeAutospacing="0" w:after="0" w:afterAutospacing="0" w:line="400" w:lineRule="exact"/>
        <w:rPr>
          <w:rFonts w:hint="default" w:ascii="宋体" w:hAnsi="宋体" w:eastAsia="宋体" w:cs="宋体"/>
          <w:b/>
          <w:highlight w:val="none"/>
          <w:lang w:val="en-US"/>
        </w:rPr>
      </w:pPr>
      <w:r>
        <w:rPr>
          <w:rFonts w:hint="eastAsia" w:ascii="宋体" w:hAnsi="宋体" w:eastAsia="宋体" w:cs="宋体"/>
          <w:bCs/>
          <w:sz w:val="28"/>
          <w:szCs w:val="28"/>
          <w:highlight w:val="none"/>
          <w:shd w:val="pct10" w:color="auto" w:fill="FFFFFF"/>
        </w:rPr>
        <w:t>▲</w:t>
      </w:r>
      <w:r>
        <w:rPr>
          <w:rFonts w:hint="eastAsia" w:ascii="宋体" w:hAnsi="宋体" w:eastAsia="宋体" w:cs="宋体"/>
          <w:b/>
          <w:highlight w:val="none"/>
        </w:rPr>
        <w:t>工期：</w:t>
      </w:r>
      <w:r>
        <w:rPr>
          <w:rFonts w:hint="eastAsia" w:cs="Arial"/>
          <w:b/>
          <w:highlight w:val="none"/>
          <w:lang w:eastAsia="zh-CN"/>
        </w:rPr>
        <w:t>不超过</w:t>
      </w:r>
      <w:r>
        <w:rPr>
          <w:rFonts w:hint="eastAsia" w:cs="Arial"/>
          <w:b/>
          <w:highlight w:val="none"/>
          <w:lang w:val="en-US" w:eastAsia="zh-CN"/>
        </w:rPr>
        <w:t>60日历天</w:t>
      </w:r>
    </w:p>
    <w:p w14:paraId="09883305">
      <w:pPr>
        <w:pStyle w:val="46"/>
        <w:spacing w:before="0" w:beforeAutospacing="0" w:after="0" w:afterAutospacing="0" w:line="400" w:lineRule="exact"/>
        <w:rPr>
          <w:rFonts w:hint="eastAsia" w:ascii="宋体" w:hAnsi="宋体" w:eastAsia="宋体" w:cs="宋体"/>
          <w:b/>
          <w:highlight w:val="none"/>
        </w:rPr>
      </w:pPr>
      <w:r>
        <w:rPr>
          <w:rFonts w:hint="eastAsia" w:ascii="宋体" w:hAnsi="宋体" w:eastAsia="宋体" w:cs="宋体"/>
          <w:b/>
          <w:bCs/>
          <w:highlight w:val="none"/>
        </w:rPr>
        <w:t>磋商</w:t>
      </w:r>
      <w:r>
        <w:rPr>
          <w:rFonts w:hint="eastAsia" w:ascii="宋体" w:hAnsi="宋体" w:eastAsia="宋体" w:cs="宋体"/>
          <w:b/>
          <w:color w:val="000000"/>
          <w:highlight w:val="none"/>
        </w:rPr>
        <w:t>文件公告期限</w:t>
      </w:r>
      <w:r>
        <w:rPr>
          <w:rFonts w:hint="eastAsia" w:ascii="宋体" w:hAnsi="宋体" w:eastAsia="宋体" w:cs="宋体"/>
          <w:b/>
          <w:highlight w:val="none"/>
        </w:rPr>
        <w:t>：5个工作日</w:t>
      </w:r>
    </w:p>
    <w:p w14:paraId="34734888">
      <w:pPr>
        <w:pStyle w:val="46"/>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该项目已具备条件，现对该项目进行竞争性磋商。</w:t>
      </w:r>
    </w:p>
    <w:p w14:paraId="23F634B7">
      <w:pPr>
        <w:spacing w:line="400" w:lineRule="exact"/>
        <w:rPr>
          <w:rFonts w:hint="eastAsia" w:ascii="宋体" w:hAnsi="宋体" w:eastAsia="宋体" w:cs="宋体"/>
          <w:b/>
          <w:bCs/>
          <w:color w:val="00B050"/>
          <w:kern w:val="0"/>
          <w:sz w:val="24"/>
          <w:highlight w:val="none"/>
        </w:rPr>
      </w:pPr>
      <w:r>
        <w:rPr>
          <w:rFonts w:hint="eastAsia" w:ascii="宋体" w:hAnsi="宋体" w:eastAsia="宋体" w:cs="宋体"/>
          <w:b/>
          <w:bCs/>
          <w:color w:val="000000"/>
          <w:kern w:val="0"/>
          <w:sz w:val="24"/>
          <w:highlight w:val="none"/>
        </w:rPr>
        <w:t>2.合格磋商供应商的资格要求</w:t>
      </w:r>
    </w:p>
    <w:p w14:paraId="7A0CB04D">
      <w:pPr>
        <w:spacing w:line="400" w:lineRule="exact"/>
        <w:rPr>
          <w:rFonts w:ascii="宋体" w:hAnsi="宋体" w:cs="Arial"/>
          <w:color w:val="auto"/>
          <w:kern w:val="0"/>
          <w:sz w:val="24"/>
          <w:highlight w:val="none"/>
        </w:rPr>
      </w:pPr>
      <w:r>
        <w:rPr>
          <w:rFonts w:hint="eastAsia" w:ascii="宋体" w:hAnsi="宋体" w:cs="Arial"/>
          <w:kern w:val="0"/>
          <w:sz w:val="24"/>
          <w:highlight w:val="none"/>
        </w:rPr>
        <w:t>（1）符合《中华人民共和国政府采购法》第二十二条规定；未被“信用中国”（www.creditchina.gov.cn)、中国政府采购网（www.ccgp.gov.cn）列入失信被执</w:t>
      </w:r>
      <w:r>
        <w:rPr>
          <w:rFonts w:hint="eastAsia" w:ascii="宋体" w:hAnsi="宋体" w:cs="Arial"/>
          <w:color w:val="auto"/>
          <w:kern w:val="0"/>
          <w:sz w:val="24"/>
          <w:highlight w:val="none"/>
        </w:rPr>
        <w:t>行人、税收违法黑名单、政府采购严重违法失信行为记录名单。</w:t>
      </w:r>
    </w:p>
    <w:p w14:paraId="6D492887">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（2）</w:t>
      </w:r>
      <w:r>
        <w:rPr>
          <w:rFonts w:hint="eastAsia" w:ascii="宋体" w:hAnsi="宋体" w:cs="Arial"/>
          <w:color w:val="auto"/>
          <w:kern w:val="0"/>
          <w:sz w:val="24"/>
          <w:highlight w:val="none"/>
          <w:lang w:eastAsia="zh-CN"/>
        </w:rPr>
        <w:t>全国范围内市政公用工程施工总承包三级及以上</w:t>
      </w:r>
      <w:r>
        <w:rPr>
          <w:rFonts w:hint="eastAsia" w:ascii="宋体" w:hAnsi="宋体" w:cs="Arial"/>
          <w:color w:val="auto"/>
          <w:kern w:val="0"/>
          <w:sz w:val="24"/>
          <w:highlight w:val="none"/>
        </w:rPr>
        <w:t>资质且安全生产许可证在有效期内（如投标人为浙江省省外企业的，应提供有效期内的省外企业进浙承接业务证书或在“浙江省建筑市场监管公共服务系统”已完成备案的证明材料）；</w:t>
      </w:r>
    </w:p>
    <w:p w14:paraId="717949AC">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）拟派的项目负责人具有</w:t>
      </w:r>
      <w:r>
        <w:rPr>
          <w:rFonts w:hint="eastAsia" w:ascii="宋体" w:hAnsi="宋体" w:cs="Arial"/>
          <w:color w:val="auto"/>
          <w:kern w:val="0"/>
          <w:sz w:val="24"/>
          <w:highlight w:val="none"/>
          <w:lang w:eastAsia="zh-CN"/>
        </w:rPr>
        <w:t>注册建造师（市政公用工程）二级及以上</w:t>
      </w:r>
      <w:r>
        <w:rPr>
          <w:rFonts w:hint="eastAsia" w:ascii="宋体" w:hAnsi="宋体" w:cs="Arial"/>
          <w:color w:val="auto"/>
          <w:kern w:val="0"/>
          <w:sz w:val="24"/>
          <w:highlight w:val="none"/>
        </w:rPr>
        <w:t>资格（建造师临时执业证书无效）；</w:t>
      </w:r>
    </w:p>
    <w:p w14:paraId="4224E86B">
      <w:pPr>
        <w:spacing w:line="400" w:lineRule="exact"/>
        <w:rPr>
          <w:rFonts w:ascii="宋体" w:hAnsi="宋体" w:cs="Arial"/>
          <w:kern w:val="0"/>
          <w:sz w:val="24"/>
        </w:rPr>
      </w:pPr>
      <w:r>
        <w:rPr>
          <w:rFonts w:hint="eastAsia" w:ascii="宋体" w:hAnsi="宋体" w:cs="Arial"/>
          <w:color w:val="auto"/>
          <w:kern w:val="0"/>
          <w:sz w:val="24"/>
        </w:rPr>
        <w:t>（</w:t>
      </w:r>
      <w:r>
        <w:rPr>
          <w:rFonts w:ascii="宋体" w:hAnsi="宋体" w:cs="Arial"/>
          <w:color w:val="auto"/>
          <w:kern w:val="0"/>
          <w:sz w:val="24"/>
        </w:rPr>
        <w:t>4</w:t>
      </w:r>
      <w:r>
        <w:rPr>
          <w:rFonts w:hint="eastAsia" w:ascii="宋体" w:hAnsi="宋体" w:cs="Arial"/>
          <w:color w:val="auto"/>
          <w:kern w:val="0"/>
          <w:sz w:val="24"/>
        </w:rPr>
        <w:t>）落实政府采购政策需满足的资格要求：本项目属于专门面向中小企业采购</w:t>
      </w:r>
      <w:r>
        <w:rPr>
          <w:rFonts w:hint="eastAsia" w:ascii="宋体" w:hAnsi="宋体" w:cs="Arial"/>
          <w:kern w:val="0"/>
          <w:sz w:val="24"/>
        </w:rPr>
        <w:t>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1FDC5168">
      <w:pPr>
        <w:spacing w:line="400" w:lineRule="exact"/>
        <w:rPr>
          <w:rFonts w:hint="eastAsia" w:ascii="宋体" w:hAnsi="宋体" w:eastAsia="宋体" w:cs="宋体"/>
          <w:kern w:val="0"/>
          <w:sz w:val="24"/>
          <w:highlight w:val="none"/>
        </w:rPr>
      </w:pPr>
      <w:r>
        <w:rPr>
          <w:rFonts w:ascii="宋体" w:hAnsi="宋体" w:cs="Arial"/>
          <w:kern w:val="0"/>
          <w:sz w:val="24"/>
        </w:rPr>
        <w:t>（5）本项目不接受联合体投标。</w:t>
      </w:r>
    </w:p>
    <w:p w14:paraId="28A998CD">
      <w:pPr>
        <w:spacing w:line="400" w:lineRule="exac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3.报名</w:t>
      </w:r>
    </w:p>
    <w:p w14:paraId="4023D707">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本项目无需报名，</w:t>
      </w:r>
      <w:bookmarkStart w:id="4" w:name="_Hlk59307647"/>
      <w:r>
        <w:rPr>
          <w:rFonts w:hint="eastAsia" w:ascii="宋体" w:hAnsi="宋体" w:eastAsia="宋体" w:cs="宋体"/>
          <w:b/>
          <w:bCs/>
          <w:kern w:val="0"/>
          <w:sz w:val="24"/>
          <w:highlight w:val="none"/>
          <w:u w:val="single"/>
          <w:shd w:val="pct10" w:color="auto" w:fill="FFFFFF"/>
        </w:rPr>
        <w:t>供应商须到临海市公共资源交易中心网站</w:t>
      </w:r>
    </w:p>
    <w:p w14:paraId="7EBFA4D3">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（http://www.linhai.gov.cn/ggzyjy/）注册</w:t>
      </w:r>
      <w:bookmarkEnd w:id="4"/>
      <w:r>
        <w:rPr>
          <w:rFonts w:hint="eastAsia" w:ascii="宋体" w:hAnsi="宋体" w:eastAsia="宋体" w:cs="宋体"/>
          <w:b/>
          <w:bCs/>
          <w:kern w:val="0"/>
          <w:sz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32A81DD4">
      <w:pPr>
        <w:spacing w:line="400" w:lineRule="exac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4.磋商文件的获取</w:t>
      </w:r>
    </w:p>
    <w:p w14:paraId="310C1B55">
      <w:pPr>
        <w:spacing w:line="4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采购文件售价：免费</w:t>
      </w:r>
    </w:p>
    <w:p w14:paraId="3FE5F5D4">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获取方式：凡有意参加投标者，在202</w:t>
      </w:r>
      <w:r>
        <w:rPr>
          <w:rFonts w:hint="eastAsia" w:ascii="宋体" w:hAnsi="宋体" w:cs="宋体"/>
          <w:bCs/>
          <w:sz w:val="24"/>
          <w:highlight w:val="none"/>
          <w:lang w:val="en-US" w:eastAsia="zh-CN"/>
        </w:rPr>
        <w:t>5</w:t>
      </w:r>
      <w:r>
        <w:rPr>
          <w:rFonts w:hint="eastAsia" w:ascii="宋体" w:hAnsi="宋体" w:eastAsia="宋体" w:cs="宋体"/>
          <w:bCs/>
          <w:sz w:val="24"/>
          <w:highlight w:val="none"/>
        </w:rPr>
        <w:t>年</w:t>
      </w:r>
      <w:r>
        <w:rPr>
          <w:rFonts w:hint="eastAsia" w:ascii="宋体" w:hAnsi="宋体" w:cs="宋体"/>
          <w:bCs/>
          <w:sz w:val="24"/>
          <w:highlight w:val="none"/>
          <w:lang w:val="en-US" w:eastAsia="zh-CN"/>
        </w:rPr>
        <w:t>2</w:t>
      </w:r>
      <w:r>
        <w:rPr>
          <w:rFonts w:hint="eastAsia" w:ascii="宋体" w:hAnsi="宋体" w:eastAsia="宋体" w:cs="宋体"/>
          <w:bCs/>
          <w:sz w:val="24"/>
          <w:highlight w:val="none"/>
        </w:rPr>
        <w:t>月</w:t>
      </w:r>
      <w:r>
        <w:rPr>
          <w:rFonts w:hint="eastAsia" w:ascii="宋体" w:hAnsi="宋体" w:cs="宋体"/>
          <w:bCs/>
          <w:sz w:val="24"/>
          <w:highlight w:val="none"/>
          <w:lang w:val="en-US" w:eastAsia="zh-CN"/>
        </w:rPr>
        <w:t>11</w:t>
      </w:r>
      <w:r>
        <w:rPr>
          <w:rFonts w:hint="eastAsia" w:ascii="宋体" w:hAnsi="宋体" w:eastAsia="宋体" w:cs="宋体"/>
          <w:bCs/>
          <w:sz w:val="24"/>
          <w:highlight w:val="none"/>
        </w:rPr>
        <w:t>日</w:t>
      </w:r>
      <w:r>
        <w:rPr>
          <w:rFonts w:hint="eastAsia" w:ascii="宋体" w:hAnsi="宋体" w:cs="宋体"/>
          <w:bCs/>
          <w:sz w:val="24"/>
          <w:highlight w:val="none"/>
          <w:lang w:val="en-US" w:eastAsia="zh-CN"/>
        </w:rPr>
        <w:t>08:30</w:t>
      </w:r>
      <w:r>
        <w:rPr>
          <w:rFonts w:hint="eastAsia" w:ascii="宋体" w:hAnsi="宋体" w:eastAsia="宋体" w:cs="宋体"/>
          <w:bCs/>
          <w:sz w:val="24"/>
          <w:highlight w:val="none"/>
        </w:rPr>
        <w:t>前，到临海市公共资源交易中心网站注册审核通过后可自行下载采购文件或到浙江政府采购网（网址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"%20https://zfcg.czt.zj.gov.cn/" </w:instrText>
      </w:r>
      <w:r>
        <w:rPr>
          <w:rFonts w:hint="eastAsia" w:ascii="宋体" w:hAnsi="宋体" w:eastAsia="宋体" w:cs="宋体"/>
          <w:highlight w:val="none"/>
        </w:rPr>
        <w:fldChar w:fldCharType="separate"/>
      </w:r>
      <w:r>
        <w:rPr>
          <w:rStyle w:val="58"/>
          <w:rFonts w:hint="eastAsia" w:ascii="宋体" w:hAnsi="宋体" w:eastAsia="宋体" w:cs="宋体"/>
          <w:highlight w:val="none"/>
        </w:rPr>
        <w:t xml:space="preserve"> </w:t>
      </w:r>
      <w:r>
        <w:rPr>
          <w:rStyle w:val="58"/>
          <w:rFonts w:hint="eastAsia" w:ascii="宋体" w:hAnsi="宋体" w:eastAsia="宋体" w:cs="宋体"/>
          <w:bCs/>
          <w:sz w:val="24"/>
          <w:highlight w:val="none"/>
        </w:rPr>
        <w:t>https://zfcg.czt.zj.gov.cn/</w:t>
      </w:r>
      <w:r>
        <w:rPr>
          <w:rFonts w:hint="eastAsia" w:ascii="宋体" w:hAnsi="宋体" w:eastAsia="宋体" w:cs="宋体"/>
          <w:bCs/>
          <w:sz w:val="24"/>
          <w:highlight w:val="none"/>
        </w:rPr>
        <w:fldChar w:fldCharType="end"/>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）上获取。</w:t>
      </w:r>
    </w:p>
    <w:p w14:paraId="7B6BD1B0">
      <w:pPr>
        <w:pStyle w:val="46"/>
        <w:spacing w:before="0" w:beforeAutospacing="0" w:after="0" w:afterAutospacing="0" w:line="400" w:lineRule="exact"/>
        <w:rPr>
          <w:rFonts w:hint="eastAsia" w:ascii="宋体" w:hAnsi="宋体" w:eastAsia="宋体" w:cs="宋体"/>
          <w:b/>
          <w:bCs/>
          <w:highlight w:val="none"/>
        </w:rPr>
      </w:pPr>
      <w:r>
        <w:rPr>
          <w:rFonts w:hint="eastAsia" w:ascii="宋体" w:hAnsi="宋体" w:eastAsia="宋体" w:cs="宋体"/>
          <w:b/>
          <w:bCs/>
          <w:highlight w:val="none"/>
        </w:rPr>
        <w:t>磋商文件答疑：供应商对磋商文件提出质疑的，应当在获取磋商文件或者磋商文件公告期限届满之日</w:t>
      </w:r>
      <w:r>
        <w:rPr>
          <w:rFonts w:hint="eastAsia" w:ascii="宋体" w:hAnsi="宋体" w:eastAsia="宋体" w:cs="宋体"/>
          <w:b/>
          <w:highlight w:val="none"/>
        </w:rPr>
        <w:t>（公告期限届满后获取采购文件的，以公告期限届满之日为准）</w:t>
      </w:r>
      <w:r>
        <w:rPr>
          <w:rFonts w:hint="eastAsia" w:ascii="宋体" w:hAnsi="宋体" w:eastAsia="宋体" w:cs="宋体"/>
          <w:b/>
          <w:bCs/>
          <w:highlight w:val="none"/>
        </w:rPr>
        <w:t>起7个工作日内以书面形式提出，</w:t>
      </w:r>
      <w:r>
        <w:rPr>
          <w:rFonts w:hint="eastAsia" w:ascii="宋体" w:hAnsi="宋体" w:eastAsia="宋体" w:cs="宋体"/>
          <w:b/>
          <w:highlight w:val="none"/>
        </w:rPr>
        <w:t>且应当在采购响应截止时间之前在政采云平台的质疑系统一次性提出，</w:t>
      </w:r>
      <w:r>
        <w:rPr>
          <w:rFonts w:hint="eastAsia" w:ascii="宋体" w:hAnsi="宋体" w:eastAsia="宋体" w:cs="宋体"/>
          <w:b/>
          <w:bCs/>
          <w:highlight w:val="none"/>
        </w:rPr>
        <w:t>否则被质疑人可不予接受。</w:t>
      </w:r>
    </w:p>
    <w:p w14:paraId="7ECB7D26">
      <w:pPr>
        <w:pStyle w:val="46"/>
        <w:spacing w:before="0" w:beforeAutospacing="0" w:after="0" w:afterAutospacing="0" w:line="400" w:lineRule="exact"/>
        <w:rPr>
          <w:rFonts w:hint="eastAsia" w:ascii="宋体" w:hAnsi="宋体" w:eastAsia="宋体" w:cs="宋体"/>
          <w:highlight w:val="none"/>
        </w:rPr>
      </w:pPr>
      <w:r>
        <w:rPr>
          <w:rFonts w:hint="eastAsia" w:ascii="宋体" w:hAnsi="宋体" w:eastAsia="宋体" w:cs="宋体"/>
          <w:b/>
          <w:bCs/>
          <w:highlight w:val="none"/>
        </w:rPr>
        <w:t>5.投标保证金</w:t>
      </w:r>
    </w:p>
    <w:p w14:paraId="36D72558">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本项目不收取投标保证金。</w:t>
      </w:r>
    </w:p>
    <w:p w14:paraId="2DA8727E">
      <w:pPr>
        <w:spacing w:line="400" w:lineRule="exact"/>
        <w:rPr>
          <w:rFonts w:hint="eastAsia" w:ascii="宋体" w:hAnsi="宋体" w:eastAsia="宋体" w:cs="宋体"/>
          <w:b/>
          <w:bCs/>
          <w:kern w:val="0"/>
          <w:sz w:val="24"/>
          <w:highlight w:val="none"/>
        </w:rPr>
      </w:pPr>
      <w:r>
        <w:rPr>
          <w:rFonts w:hint="eastAsia" w:ascii="宋体" w:hAnsi="宋体" w:eastAsia="宋体" w:cs="宋体"/>
          <w:b/>
          <w:sz w:val="24"/>
          <w:highlight w:val="none"/>
        </w:rPr>
        <w:t>6</w:t>
      </w:r>
      <w:r>
        <w:rPr>
          <w:rFonts w:hint="eastAsia" w:ascii="宋体" w:hAnsi="宋体" w:eastAsia="宋体" w:cs="宋体"/>
          <w:b/>
          <w:bCs/>
          <w:kern w:val="0"/>
          <w:sz w:val="24"/>
          <w:highlight w:val="none"/>
        </w:rPr>
        <w:t>.投标说明</w:t>
      </w:r>
    </w:p>
    <w:p w14:paraId="7DAC11E2">
      <w:pPr>
        <w:spacing w:line="400" w:lineRule="exac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35093710">
      <w:pPr>
        <w:spacing w:line="400" w:lineRule="exac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（2）供应商通过政采云平台电子投标工具制作响应文件，电子投标工具请供应商自行前往浙江政府采购网下载并安装，（下载网址：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"https://customer.zcygov.cn/CA-driver-download?utm=web-login-front.75ab4087.0.0.f8e5d230c7c411ea9e54c97a8e384567" </w:instrText>
      </w:r>
      <w:r>
        <w:rPr>
          <w:rFonts w:hint="eastAsia" w:ascii="宋体" w:hAnsi="宋体" w:eastAsia="宋体" w:cs="宋体"/>
          <w:highlight w:val="none"/>
        </w:rPr>
        <w:fldChar w:fldCharType="separate"/>
      </w:r>
      <w:r>
        <w:rPr>
          <w:rStyle w:val="58"/>
          <w:rFonts w:hint="eastAsia" w:ascii="宋体" w:hAnsi="宋体" w:eastAsia="宋体" w:cs="宋体"/>
          <w:kern w:val="0"/>
          <w:sz w:val="24"/>
          <w:highlight w:val="none"/>
        </w:rPr>
        <w:t>https://customer.zcygov.cn/CA-driver-download?utm=web-login-front.75ab4087.0.0.f8e5d230c7c411ea9e54c97a8e384567</w: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u w:val="single"/>
        </w:rPr>
        <w:t>）电子投标具体流程详见本招标公告附件：“政采云供应商项目采购-电子招投标操作指南.pdf”。</w:t>
      </w:r>
    </w:p>
    <w:p w14:paraId="43C481AA">
      <w:pPr>
        <w:spacing w:line="400" w:lineRule="exac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u w:val="single"/>
          <w:lang w:val="en-US" w:eastAsia="zh-CN"/>
        </w:rPr>
        <w:t>3</w:t>
      </w:r>
      <w:r>
        <w:rPr>
          <w:rFonts w:hint="eastAsia" w:ascii="宋体" w:hAnsi="宋体" w:eastAsia="宋体" w:cs="宋体"/>
          <w:kern w:val="0"/>
          <w:sz w:val="24"/>
          <w:highlight w:val="none"/>
          <w:u w:val="single"/>
        </w:rPr>
        <w:t>）供应商应在开标前完成CA数字证书办理。（办理流程详见</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"https://middle.zcygov.cn/ca/apply/edit" </w:instrText>
      </w:r>
      <w:r>
        <w:rPr>
          <w:rFonts w:hint="eastAsia" w:ascii="宋体" w:hAnsi="宋体" w:eastAsia="宋体" w:cs="宋体"/>
          <w:highlight w:val="none"/>
        </w:rPr>
        <w:fldChar w:fldCharType="separate"/>
      </w:r>
      <w:r>
        <w:rPr>
          <w:rStyle w:val="58"/>
          <w:rFonts w:hint="eastAsia" w:ascii="宋体" w:hAnsi="宋体" w:eastAsia="宋体" w:cs="宋体"/>
          <w:kern w:val="0"/>
          <w:sz w:val="24"/>
          <w:highlight w:val="none"/>
        </w:rPr>
        <w:t>https://middle.zcygov.cn/ca/apply/edit</w: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u w:val="single"/>
        </w:rPr>
        <w:t>，完成CA数字证书办理预计一周左右，请各供应商自行把握时间，汇信客服电话：400-888-4636，天谷客服电话：400-087-8198）。</w:t>
      </w:r>
    </w:p>
    <w:p w14:paraId="28B73D5B">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kern w:val="0"/>
          <w:sz w:val="24"/>
          <w:highlight w:val="none"/>
          <w:u w:val="single"/>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
          <w:bCs/>
          <w:kern w:val="0"/>
          <w:sz w:val="24"/>
          <w:highlight w:val="none"/>
          <w:u w:val="single"/>
        </w:rPr>
        <w:t>投标截止时间后传输、递交的响应文件，将被拒收。</w:t>
      </w:r>
    </w:p>
    <w:p w14:paraId="4A192E11">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（5）本磋商文件中关于电子招投标内容、流程如与政采云系统中最新的内容、操作不一致的，以政采云系统中的要求为准。</w:t>
      </w:r>
    </w:p>
    <w:p w14:paraId="1F04EFEE">
      <w:pPr>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7</w:t>
      </w:r>
      <w:r>
        <w:rPr>
          <w:rFonts w:hint="eastAsia" w:ascii="宋体" w:hAnsi="宋体" w:eastAsia="宋体" w:cs="宋体"/>
          <w:b/>
          <w:kern w:val="0"/>
          <w:sz w:val="24"/>
          <w:highlight w:val="none"/>
        </w:rPr>
        <w:t>.</w:t>
      </w:r>
      <w:r>
        <w:rPr>
          <w:rFonts w:hint="eastAsia" w:ascii="宋体" w:hAnsi="宋体" w:eastAsia="宋体" w:cs="宋体"/>
          <w:b/>
          <w:sz w:val="24"/>
          <w:highlight w:val="none"/>
        </w:rPr>
        <w:t>响应文件的组成、效力</w:t>
      </w:r>
    </w:p>
    <w:p w14:paraId="5E1B28A8">
      <w:pPr>
        <w:spacing w:line="400" w:lineRule="exact"/>
        <w:rPr>
          <w:rFonts w:hint="eastAsia" w:ascii="宋体" w:hAnsi="宋体" w:eastAsia="宋体" w:cs="宋体"/>
          <w:sz w:val="24"/>
          <w:highlight w:val="none"/>
        </w:rPr>
      </w:pPr>
      <w:r>
        <w:rPr>
          <w:rFonts w:hint="eastAsia" w:ascii="宋体" w:hAnsi="宋体" w:eastAsia="宋体" w:cs="宋体"/>
          <w:sz w:val="24"/>
          <w:highlight w:val="none"/>
        </w:rPr>
        <w:t>（1）本项目实行电子投标，供应商应准备电子响应文件，本项目线下无需提供任何备份响应文件。电子响应文件，按政采云平台项目采购--电子招投标操作指南及本磋商文件要求编制。</w:t>
      </w:r>
    </w:p>
    <w:p w14:paraId="4FB225F4">
      <w:pPr>
        <w:spacing w:line="400" w:lineRule="exact"/>
        <w:rPr>
          <w:rFonts w:hint="eastAsia" w:ascii="宋体" w:hAnsi="宋体" w:eastAsia="宋体" w:cs="宋体"/>
          <w:sz w:val="24"/>
          <w:highlight w:val="none"/>
          <w:u w:val="single"/>
        </w:rPr>
      </w:pPr>
      <w:r>
        <w:rPr>
          <w:rFonts w:hint="eastAsia" w:ascii="宋体" w:hAnsi="宋体" w:eastAsia="宋体" w:cs="宋体"/>
          <w:sz w:val="24"/>
          <w:highlight w:val="none"/>
          <w:u w:val="single"/>
        </w:rPr>
        <w:t>（2）未在</w:t>
      </w:r>
      <w:r>
        <w:rPr>
          <w:rFonts w:hint="eastAsia" w:ascii="宋体" w:hAnsi="宋体" w:eastAsia="宋体" w:cs="宋体"/>
          <w:kern w:val="0"/>
          <w:sz w:val="24"/>
          <w:highlight w:val="none"/>
          <w:u w:val="single"/>
        </w:rPr>
        <w:t>“政府采购云平台”</w:t>
      </w:r>
      <w:r>
        <w:rPr>
          <w:rFonts w:hint="eastAsia" w:ascii="宋体" w:hAnsi="宋体" w:eastAsia="宋体" w:cs="宋体"/>
          <w:sz w:val="24"/>
          <w:highlight w:val="none"/>
          <w:u w:val="single"/>
        </w:rPr>
        <w:t>传输递交电子响应文件的，投标无效。</w:t>
      </w:r>
    </w:p>
    <w:p w14:paraId="44BF6720">
      <w:pPr>
        <w:spacing w:line="400" w:lineRule="exact"/>
        <w:rPr>
          <w:rFonts w:hint="eastAsia" w:ascii="宋体" w:hAnsi="宋体" w:eastAsia="宋体" w:cs="宋体"/>
          <w:sz w:val="24"/>
          <w:highlight w:val="none"/>
        </w:rPr>
      </w:pPr>
      <w:r>
        <w:rPr>
          <w:rFonts w:hint="eastAsia" w:ascii="宋体" w:hAnsi="宋体" w:eastAsia="宋体" w:cs="宋体"/>
          <w:b/>
          <w:sz w:val="24"/>
          <w:highlight w:val="none"/>
        </w:rPr>
        <w:t>8.投标截止时间及电子响应文件的递交</w:t>
      </w:r>
    </w:p>
    <w:p w14:paraId="35440DFE">
      <w:pPr>
        <w:spacing w:line="400" w:lineRule="exact"/>
        <w:rPr>
          <w:rFonts w:hint="eastAsia" w:ascii="宋体" w:hAnsi="宋体" w:eastAsia="宋体" w:cs="宋体"/>
          <w:b/>
          <w:bCs/>
          <w:kern w:val="0"/>
          <w:sz w:val="24"/>
          <w:highlight w:val="none"/>
          <w:u w:val="single"/>
        </w:rPr>
      </w:pPr>
      <w:r>
        <w:rPr>
          <w:rFonts w:hint="eastAsia" w:ascii="宋体" w:hAnsi="宋体" w:eastAsia="宋体" w:cs="宋体"/>
          <w:b/>
          <w:bCs/>
          <w:color w:val="000000"/>
          <w:kern w:val="0"/>
          <w:sz w:val="24"/>
          <w:highlight w:val="none"/>
        </w:rPr>
        <w:t>电子响应文件</w:t>
      </w:r>
      <w:r>
        <w:rPr>
          <w:rFonts w:hint="eastAsia" w:ascii="宋体" w:hAnsi="宋体" w:eastAsia="宋体" w:cs="宋体"/>
          <w:b/>
          <w:color w:val="000000"/>
          <w:sz w:val="24"/>
          <w:highlight w:val="none"/>
        </w:rPr>
        <w:t>投标截止时间：202</w:t>
      </w:r>
      <w:r>
        <w:rPr>
          <w:rFonts w:hint="eastAsia" w:ascii="宋体" w:hAnsi="宋体" w:cs="宋体"/>
          <w:b/>
          <w:color w:val="000000"/>
          <w:sz w:val="24"/>
          <w:highlight w:val="none"/>
          <w:lang w:val="en-US" w:eastAsia="zh-CN"/>
        </w:rPr>
        <w:t>5</w:t>
      </w:r>
      <w:r>
        <w:rPr>
          <w:rFonts w:hint="eastAsia" w:ascii="宋体" w:hAnsi="宋体" w:eastAsia="宋体" w:cs="宋体"/>
          <w:b/>
          <w:color w:val="000000"/>
          <w:sz w:val="24"/>
          <w:highlight w:val="none"/>
        </w:rPr>
        <w:t>年</w:t>
      </w:r>
      <w:r>
        <w:rPr>
          <w:rFonts w:hint="eastAsia" w:ascii="宋体" w:hAnsi="宋体" w:cs="宋体"/>
          <w:b/>
          <w:color w:val="000000"/>
          <w:sz w:val="24"/>
          <w:highlight w:val="none"/>
          <w:lang w:val="en-US" w:eastAsia="zh-CN"/>
        </w:rPr>
        <w:t>2</w:t>
      </w:r>
      <w:r>
        <w:rPr>
          <w:rFonts w:hint="eastAsia" w:ascii="宋体" w:hAnsi="宋体" w:eastAsia="宋体" w:cs="宋体"/>
          <w:b/>
          <w:color w:val="000000"/>
          <w:sz w:val="24"/>
          <w:highlight w:val="none"/>
        </w:rPr>
        <w:t>月</w:t>
      </w:r>
      <w:r>
        <w:rPr>
          <w:rFonts w:hint="eastAsia" w:ascii="宋体" w:hAnsi="宋体" w:cs="宋体"/>
          <w:b/>
          <w:color w:val="000000"/>
          <w:sz w:val="24"/>
          <w:highlight w:val="none"/>
          <w:lang w:val="en-US" w:eastAsia="zh-CN"/>
        </w:rPr>
        <w:t>11</w:t>
      </w:r>
      <w:r>
        <w:rPr>
          <w:rFonts w:hint="eastAsia" w:ascii="宋体" w:hAnsi="宋体" w:eastAsia="宋体" w:cs="宋体"/>
          <w:b/>
          <w:color w:val="000000"/>
          <w:sz w:val="24"/>
          <w:highlight w:val="none"/>
        </w:rPr>
        <w:t>日</w:t>
      </w:r>
      <w:r>
        <w:rPr>
          <w:rFonts w:hint="eastAsia" w:ascii="宋体" w:hAnsi="宋体" w:cs="宋体"/>
          <w:b/>
          <w:color w:val="000000"/>
          <w:sz w:val="24"/>
          <w:highlight w:val="none"/>
          <w:lang w:val="en-US" w:eastAsia="zh-CN"/>
        </w:rPr>
        <w:t>08时30</w:t>
      </w:r>
      <w:r>
        <w:rPr>
          <w:rFonts w:hint="eastAsia" w:ascii="宋体" w:hAnsi="宋体" w:eastAsia="宋体" w:cs="宋体"/>
          <w:b/>
          <w:color w:val="000000"/>
          <w:sz w:val="24"/>
          <w:highlight w:val="none"/>
        </w:rPr>
        <w:t>分</w:t>
      </w:r>
      <w:r>
        <w:rPr>
          <w:rFonts w:hint="eastAsia" w:ascii="宋体" w:hAnsi="宋体" w:cs="宋体"/>
          <w:b/>
          <w:color w:val="000000"/>
          <w:sz w:val="24"/>
          <w:highlight w:val="none"/>
          <w:lang w:val="en-US" w:eastAsia="zh-CN"/>
        </w:rPr>
        <w:t>00</w:t>
      </w:r>
      <w:r>
        <w:rPr>
          <w:rFonts w:hint="eastAsia" w:ascii="宋体" w:hAnsi="宋体" w:eastAsia="宋体" w:cs="宋体"/>
          <w:b/>
          <w:color w:val="000000"/>
          <w:sz w:val="24"/>
          <w:highlight w:val="none"/>
        </w:rPr>
        <w:t>秒，</w:t>
      </w:r>
      <w:r>
        <w:rPr>
          <w:rFonts w:hint="eastAsia" w:ascii="宋体" w:hAnsi="宋体" w:eastAsia="宋体" w:cs="宋体"/>
          <w:color w:val="000000"/>
          <w:kern w:val="0"/>
          <w:sz w:val="24"/>
          <w:highlight w:val="none"/>
        </w:rPr>
        <w:t>供应商应于投标截止时间之前将电子响应文件上传到“政府采购云平台”</w:t>
      </w:r>
      <w:r>
        <w:rPr>
          <w:rFonts w:hint="eastAsia" w:ascii="宋体" w:hAnsi="宋体" w:eastAsia="宋体" w:cs="宋体"/>
          <w:kern w:val="0"/>
          <w:sz w:val="24"/>
          <w:highlight w:val="none"/>
        </w:rPr>
        <w:t>。</w:t>
      </w:r>
      <w:r>
        <w:rPr>
          <w:rFonts w:hint="eastAsia" w:ascii="宋体" w:hAnsi="宋体" w:eastAsia="宋体" w:cs="宋体"/>
          <w:b/>
          <w:bCs/>
          <w:kern w:val="0"/>
          <w:sz w:val="24"/>
          <w:highlight w:val="none"/>
          <w:u w:val="single"/>
        </w:rPr>
        <w:t>投标截止时间前未完成传输电子响应文件的</w:t>
      </w:r>
      <w:r>
        <w:rPr>
          <w:rFonts w:hint="eastAsia" w:ascii="宋体" w:hAnsi="宋体" w:eastAsia="宋体" w:cs="宋体"/>
          <w:b/>
          <w:bCs/>
          <w:sz w:val="24"/>
          <w:highlight w:val="none"/>
          <w:u w:val="single"/>
        </w:rPr>
        <w:t>，投标无效。</w:t>
      </w:r>
    </w:p>
    <w:p w14:paraId="2F1840ED">
      <w:pPr>
        <w:spacing w:line="400" w:lineRule="exact"/>
        <w:rPr>
          <w:rFonts w:hint="eastAsia" w:ascii="宋体" w:hAnsi="宋体" w:eastAsia="宋体" w:cs="宋体"/>
          <w:b/>
          <w:sz w:val="24"/>
          <w:highlight w:val="none"/>
        </w:rPr>
      </w:pPr>
      <w:r>
        <w:rPr>
          <w:rFonts w:hint="eastAsia" w:ascii="宋体" w:hAnsi="宋体" w:eastAsia="宋体" w:cs="宋体"/>
          <w:b/>
          <w:color w:val="000000"/>
          <w:sz w:val="24"/>
          <w:highlight w:val="none"/>
        </w:rPr>
        <w:t>9.临海市公共资源交易</w:t>
      </w:r>
      <w:r>
        <w:rPr>
          <w:rFonts w:hint="eastAsia" w:ascii="宋体" w:hAnsi="宋体" w:eastAsia="宋体" w:cs="宋体"/>
          <w:b/>
          <w:sz w:val="24"/>
          <w:highlight w:val="none"/>
        </w:rPr>
        <w:t xml:space="preserve">办公管理系统及开评标期间出现网络故障或停电时的应急处理措施：      </w:t>
      </w:r>
    </w:p>
    <w:p w14:paraId="4691E698">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0739FBDB">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4E5F3DEA">
      <w:pPr>
        <w:spacing w:line="400" w:lineRule="exac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10.开标</w:t>
      </w:r>
    </w:p>
    <w:p w14:paraId="5938547F">
      <w:pPr>
        <w:spacing w:line="400" w:lineRule="exact"/>
        <w:rPr>
          <w:rFonts w:hint="eastAsia" w:ascii="宋体" w:hAnsi="宋体" w:eastAsia="宋体" w:cs="宋体"/>
          <w:sz w:val="24"/>
          <w:highlight w:val="none"/>
          <w:lang w:eastAsia="zh-CN"/>
        </w:rPr>
      </w:pPr>
      <w:r>
        <w:rPr>
          <w:rFonts w:hint="eastAsia" w:ascii="宋体" w:hAnsi="宋体" w:eastAsia="宋体" w:cs="宋体"/>
          <w:sz w:val="24"/>
          <w:highlight w:val="none"/>
        </w:rPr>
        <w:t>开标时间：</w:t>
      </w:r>
      <w:r>
        <w:rPr>
          <w:rFonts w:hint="eastAsia" w:ascii="宋体" w:hAnsi="宋体" w:eastAsia="宋体" w:cs="宋体"/>
          <w:b/>
          <w:sz w:val="24"/>
          <w:highlight w:val="none"/>
        </w:rPr>
        <w:t>202</w:t>
      </w:r>
      <w:r>
        <w:rPr>
          <w:rFonts w:hint="eastAsia" w:ascii="宋体" w:hAnsi="宋体" w:cs="宋体"/>
          <w:b/>
          <w:sz w:val="24"/>
          <w:highlight w:val="none"/>
          <w:lang w:val="en-US" w:eastAsia="zh-CN"/>
        </w:rPr>
        <w:t>5</w:t>
      </w:r>
      <w:r>
        <w:rPr>
          <w:rFonts w:hint="eastAsia" w:ascii="宋体" w:hAnsi="宋体" w:eastAsia="宋体" w:cs="宋体"/>
          <w:b/>
          <w:sz w:val="24"/>
          <w:highlight w:val="none"/>
        </w:rPr>
        <w:t>年</w:t>
      </w:r>
      <w:r>
        <w:rPr>
          <w:rFonts w:hint="eastAsia" w:ascii="宋体" w:hAnsi="宋体" w:cs="宋体"/>
          <w:b/>
          <w:sz w:val="24"/>
          <w:highlight w:val="none"/>
          <w:lang w:val="en-US" w:eastAsia="zh-CN"/>
        </w:rPr>
        <w:t>2</w:t>
      </w:r>
      <w:r>
        <w:rPr>
          <w:rFonts w:hint="eastAsia" w:ascii="宋体" w:hAnsi="宋体" w:eastAsia="宋体" w:cs="宋体"/>
          <w:b/>
          <w:sz w:val="24"/>
          <w:highlight w:val="none"/>
        </w:rPr>
        <w:t>月</w:t>
      </w:r>
      <w:r>
        <w:rPr>
          <w:rFonts w:hint="eastAsia" w:ascii="宋体" w:hAnsi="宋体" w:cs="宋体"/>
          <w:b/>
          <w:sz w:val="24"/>
          <w:highlight w:val="none"/>
          <w:lang w:val="en-US" w:eastAsia="zh-CN"/>
        </w:rPr>
        <w:t>11</w:t>
      </w:r>
      <w:r>
        <w:rPr>
          <w:rFonts w:hint="eastAsia" w:ascii="宋体" w:hAnsi="宋体" w:eastAsia="宋体" w:cs="宋体"/>
          <w:b/>
          <w:sz w:val="24"/>
          <w:highlight w:val="none"/>
        </w:rPr>
        <w:t>日</w:t>
      </w:r>
      <w:r>
        <w:rPr>
          <w:rFonts w:hint="eastAsia" w:ascii="宋体" w:hAnsi="宋体" w:cs="宋体"/>
          <w:b/>
          <w:sz w:val="24"/>
          <w:highlight w:val="none"/>
          <w:lang w:val="en-US" w:eastAsia="zh-CN"/>
        </w:rPr>
        <w:t>08:30</w:t>
      </w:r>
      <w:r>
        <w:rPr>
          <w:rFonts w:hint="eastAsia" w:ascii="宋体" w:hAnsi="宋体" w:eastAsia="宋体" w:cs="宋体"/>
          <w:b/>
          <w:sz w:val="24"/>
          <w:highlight w:val="none"/>
        </w:rPr>
        <w:t>时</w:t>
      </w:r>
      <w:r>
        <w:rPr>
          <w:rFonts w:hint="eastAsia" w:ascii="宋体" w:hAnsi="宋体" w:eastAsia="宋体" w:cs="宋体"/>
          <w:sz w:val="24"/>
          <w:highlight w:val="none"/>
        </w:rPr>
        <w:t>。</w:t>
      </w:r>
    </w:p>
    <w:p w14:paraId="02090202">
      <w:pPr>
        <w:spacing w:line="400" w:lineRule="exact"/>
        <w:rPr>
          <w:rFonts w:hint="eastAsia" w:ascii="宋体" w:hAnsi="宋体" w:eastAsia="宋体" w:cs="宋体"/>
          <w:sz w:val="24"/>
          <w:highlight w:val="none"/>
        </w:rPr>
      </w:pPr>
      <w:r>
        <w:rPr>
          <w:rFonts w:hint="eastAsia" w:ascii="宋体" w:hAnsi="宋体" w:eastAsia="宋体" w:cs="宋体"/>
          <w:sz w:val="24"/>
          <w:highlight w:val="none"/>
        </w:rPr>
        <w:t>开标地点：“政府采购云平台”线上开标、线下直播开标室：临海市公共资源交易中心一楼</w:t>
      </w:r>
      <w:r>
        <w:rPr>
          <w:rFonts w:hint="eastAsia" w:ascii="宋体" w:hAnsi="宋体" w:cs="宋体"/>
          <w:sz w:val="24"/>
          <w:highlight w:val="none"/>
          <w:lang w:val="en-US" w:eastAsia="zh-CN"/>
        </w:rPr>
        <w:t>二</w:t>
      </w:r>
      <w:r>
        <w:rPr>
          <w:rFonts w:hint="eastAsia" w:ascii="宋体" w:hAnsi="宋体" w:eastAsia="宋体" w:cs="宋体"/>
          <w:sz w:val="24"/>
          <w:highlight w:val="none"/>
        </w:rPr>
        <w:t>号开标室（临海市巾山中路18号，移动公司对面）</w:t>
      </w:r>
    </w:p>
    <w:p w14:paraId="7CC2FFEA">
      <w:pPr>
        <w:spacing w:line="400" w:lineRule="exact"/>
        <w:rPr>
          <w:rFonts w:hint="eastAsia" w:ascii="宋体" w:hAnsi="宋体" w:eastAsia="宋体" w:cs="宋体"/>
          <w:b/>
          <w:color w:val="000000"/>
          <w:sz w:val="24"/>
          <w:highlight w:val="none"/>
          <w:u w:val="single"/>
          <w:shd w:val="pct10" w:color="auto" w:fill="FFFFFF"/>
        </w:rPr>
      </w:pPr>
      <w:r>
        <w:rPr>
          <w:rFonts w:hint="eastAsia" w:ascii="宋体" w:hAnsi="宋体" w:eastAsia="宋体" w:cs="宋体"/>
          <w:b/>
          <w:sz w:val="24"/>
          <w:highlight w:val="none"/>
          <w:u w:val="single"/>
          <w:shd w:val="pct10" w:color="auto" w:fill="FFFFFF"/>
        </w:rPr>
        <w:t>开标时间后30分钟内（具体时间以政采云系统</w:t>
      </w:r>
      <w:bookmarkStart w:id="5" w:name="_Hlk59625364"/>
      <w:r>
        <w:rPr>
          <w:rFonts w:hint="eastAsia" w:ascii="宋体" w:hAnsi="宋体" w:eastAsia="宋体" w:cs="宋体"/>
          <w:b/>
          <w:sz w:val="24"/>
          <w:highlight w:val="none"/>
          <w:u w:val="single"/>
          <w:shd w:val="pct10" w:color="auto" w:fill="FFFFFF"/>
        </w:rPr>
        <w:t>显示的</w:t>
      </w:r>
      <w:bookmarkEnd w:id="5"/>
      <w:r>
        <w:rPr>
          <w:rFonts w:hint="eastAsia" w:ascii="宋体" w:hAnsi="宋体" w:eastAsia="宋体" w:cs="宋体"/>
          <w:b/>
          <w:sz w:val="24"/>
          <w:highlight w:val="none"/>
          <w:u w:val="single"/>
          <w:shd w:val="pct10" w:color="auto" w:fill="FFFFFF"/>
        </w:rPr>
        <w:t>解密截止时间为准），供应商须登录“政采云”平台，用“项目采购-开标评标”功能解密响应文件，供应商未按时解</w:t>
      </w:r>
      <w:r>
        <w:rPr>
          <w:rFonts w:hint="eastAsia" w:ascii="宋体" w:hAnsi="宋体" w:eastAsia="宋体" w:cs="宋体"/>
          <w:b/>
          <w:color w:val="000000"/>
          <w:sz w:val="24"/>
          <w:highlight w:val="none"/>
          <w:u w:val="single"/>
          <w:shd w:val="pct10" w:color="auto" w:fill="FFFFFF"/>
        </w:rPr>
        <w:t>密或解密失败的，其响应文件为无效标。</w:t>
      </w:r>
    </w:p>
    <w:p w14:paraId="1AE6B59C">
      <w:pPr>
        <w:spacing w:line="400" w:lineRule="exact"/>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rPr>
        <w:t>11.发布公告的媒介</w:t>
      </w:r>
    </w:p>
    <w:p w14:paraId="4B7A9130">
      <w:pPr>
        <w:spacing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本次招标公告同时在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"http://www.zjzfcg.gov.cn/new/" </w:instrText>
      </w:r>
      <w:r>
        <w:rPr>
          <w:rFonts w:hint="eastAsia" w:ascii="宋体" w:hAnsi="宋体" w:eastAsia="宋体" w:cs="宋体"/>
          <w:highlight w:val="none"/>
        </w:rPr>
        <w:fldChar w:fldCharType="separate"/>
      </w:r>
      <w:r>
        <w:rPr>
          <w:rStyle w:val="58"/>
          <w:rFonts w:hint="eastAsia" w:ascii="宋体" w:hAnsi="宋体" w:eastAsia="宋体" w:cs="宋体"/>
          <w:color w:val="000000"/>
          <w:sz w:val="24"/>
          <w:highlight w:val="none"/>
        </w:rPr>
        <w:t>浙江省政府采购网</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"http://www.lhzfcg.gov.cn" </w:instrText>
      </w:r>
      <w:r>
        <w:rPr>
          <w:rFonts w:hint="eastAsia" w:ascii="宋体" w:hAnsi="宋体" w:eastAsia="宋体" w:cs="宋体"/>
          <w:highlight w:val="none"/>
        </w:rPr>
        <w:fldChar w:fldCharType="separate"/>
      </w:r>
      <w:r>
        <w:rPr>
          <w:rFonts w:hint="eastAsia" w:ascii="宋体" w:hAnsi="宋体" w:eastAsia="宋体" w:cs="宋体"/>
          <w:color w:val="000000"/>
          <w:sz w:val="24"/>
          <w:highlight w:val="none"/>
          <w:u w:val="single"/>
        </w:rPr>
        <w:t>临海市公共资源交易中心</w:t>
      </w:r>
      <w:r>
        <w:rPr>
          <w:rStyle w:val="58"/>
          <w:rFonts w:hint="eastAsia" w:ascii="宋体" w:hAnsi="宋体" w:eastAsia="宋体" w:cs="宋体"/>
          <w:color w:val="000000"/>
          <w:sz w:val="24"/>
          <w:highlight w:val="none"/>
        </w:rPr>
        <w:t>网</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上发布。</w:t>
      </w:r>
    </w:p>
    <w:p w14:paraId="2A14A8D2">
      <w:pPr>
        <w:spacing w:line="40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12、其他事项</w:t>
      </w:r>
    </w:p>
    <w:p w14:paraId="0AD1A732">
      <w:pPr>
        <w:spacing w:line="400" w:lineRule="exact"/>
        <w:ind w:firstLine="120" w:firstLineChars="50"/>
        <w:rPr>
          <w:rFonts w:hint="eastAsia" w:ascii="宋体" w:hAnsi="宋体" w:eastAsia="宋体" w:cs="宋体"/>
          <w:b/>
          <w:highlight w:val="none"/>
          <w:u w:val="single"/>
          <w:shd w:val="pct10" w:color="auto" w:fill="FFFFFF"/>
        </w:rPr>
      </w:pPr>
      <w:r>
        <w:rPr>
          <w:rFonts w:hint="eastAsia" w:ascii="宋体" w:hAnsi="宋体" w:eastAsia="宋体" w:cs="宋体"/>
          <w:b/>
          <w:color w:val="000000"/>
          <w:sz w:val="24"/>
          <w:highlight w:val="none"/>
          <w:u w:val="single"/>
          <w:shd w:val="pct10" w:color="auto" w:fill="FFFFFF"/>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ascii="宋体" w:hAnsi="宋体" w:eastAsia="宋体" w:cs="宋体"/>
          <w:b/>
          <w:sz w:val="24"/>
          <w:highlight w:val="none"/>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4C1C416A">
      <w:pPr>
        <w:adjustRightInd w:val="0"/>
        <w:snapToGrid w:val="0"/>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（2）除注明要求进口产品外,投标时进口产品比例不得超过50%；</w:t>
      </w:r>
    </w:p>
    <w:p w14:paraId="5798450B">
      <w:pPr>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（3）根据《浙江省政府采购供应商注册及诚信管理暂行办法》浙财采监字【2009】28号文件，请各投标供应商及时办理浙江政府采购网“政府采购正式供应商”的注册手续。</w:t>
      </w:r>
    </w:p>
    <w:p w14:paraId="4C3DACCD">
      <w:pPr>
        <w:spacing w:line="400" w:lineRule="exact"/>
        <w:rPr>
          <w:rFonts w:hint="eastAsia" w:ascii="宋体" w:hAnsi="宋体" w:eastAsia="宋体" w:cs="宋体"/>
          <w:sz w:val="24"/>
          <w:highlight w:val="none"/>
        </w:rPr>
      </w:pPr>
      <w:r>
        <w:rPr>
          <w:rFonts w:hint="eastAsia" w:ascii="宋体" w:hAnsi="宋体" w:eastAsia="宋体" w:cs="宋体"/>
          <w:b/>
          <w:sz w:val="24"/>
          <w:highlight w:val="none"/>
        </w:rPr>
        <w:t>13、联系方式</w:t>
      </w:r>
    </w:p>
    <w:p w14:paraId="13135C30">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（1）采购人信息</w:t>
      </w:r>
    </w:p>
    <w:p w14:paraId="343F04CC">
      <w:pPr>
        <w:spacing w:line="400" w:lineRule="exact"/>
        <w:rPr>
          <w:rFonts w:hint="eastAsia" w:ascii="宋体" w:hAnsi="宋体" w:eastAsia="宋体" w:cs="宋体"/>
          <w:bCs/>
          <w:sz w:val="24"/>
          <w:highlight w:val="none"/>
          <w:lang w:eastAsia="zh-CN"/>
        </w:rPr>
      </w:pPr>
      <w:r>
        <w:rPr>
          <w:rFonts w:hint="eastAsia" w:ascii="宋体" w:hAnsi="宋体" w:eastAsia="宋体" w:cs="宋体"/>
          <w:bCs/>
          <w:sz w:val="24"/>
          <w:highlight w:val="none"/>
        </w:rPr>
        <w:t>名称：</w:t>
      </w:r>
      <w:r>
        <w:rPr>
          <w:rFonts w:hint="eastAsia" w:ascii="宋体" w:hAnsi="宋体" w:cs="宋体"/>
          <w:bCs/>
          <w:sz w:val="24"/>
          <w:highlight w:val="none"/>
          <w:lang w:eastAsia="zh-CN"/>
        </w:rPr>
        <w:t>临海市人民政府大田街道办事处</w:t>
      </w:r>
    </w:p>
    <w:p w14:paraId="3CB6FE99">
      <w:pPr>
        <w:spacing w:line="400" w:lineRule="exact"/>
        <w:rPr>
          <w:rFonts w:hint="eastAsia" w:ascii="宋体" w:hAnsi="宋体" w:eastAsia="宋体" w:cs="宋体"/>
          <w:bCs/>
          <w:sz w:val="24"/>
          <w:highlight w:val="none"/>
          <w:lang w:eastAsia="zh-CN"/>
        </w:rPr>
      </w:pPr>
      <w:r>
        <w:rPr>
          <w:rFonts w:hint="eastAsia" w:ascii="宋体" w:hAnsi="宋体" w:eastAsia="宋体" w:cs="宋体"/>
          <w:bCs/>
          <w:sz w:val="24"/>
          <w:highlight w:val="none"/>
        </w:rPr>
        <w:t>地址：浙江省临海市大田街道河东路36号</w:t>
      </w:r>
    </w:p>
    <w:p w14:paraId="6EF827FE">
      <w:pPr>
        <w:spacing w:line="400" w:lineRule="exact"/>
        <w:rPr>
          <w:rFonts w:hint="eastAsia" w:ascii="宋体" w:hAnsi="宋体" w:eastAsia="宋体" w:cs="宋体"/>
          <w:bCs/>
          <w:sz w:val="24"/>
          <w:highlight w:val="none"/>
          <w:lang w:val="en-US" w:eastAsia="zh-CN"/>
        </w:rPr>
      </w:pPr>
      <w:r>
        <w:rPr>
          <w:rFonts w:hint="eastAsia" w:ascii="宋体" w:hAnsi="宋体" w:eastAsia="宋体" w:cs="宋体"/>
          <w:bCs/>
          <w:sz w:val="24"/>
          <w:highlight w:val="none"/>
        </w:rPr>
        <w:t>项目联系人（询问）：</w:t>
      </w:r>
      <w:r>
        <w:rPr>
          <w:rFonts w:hint="eastAsia" w:ascii="宋体" w:hAnsi="宋体" w:cs="宋体"/>
          <w:bCs/>
          <w:sz w:val="24"/>
          <w:highlight w:val="none"/>
          <w:lang w:eastAsia="zh-CN"/>
        </w:rPr>
        <w:t>陈先生</w:t>
      </w:r>
    </w:p>
    <w:p w14:paraId="2A411F22">
      <w:pPr>
        <w:spacing w:line="400" w:lineRule="exact"/>
        <w:rPr>
          <w:rFonts w:hint="default" w:ascii="宋体" w:hAnsi="宋体" w:eastAsia="宋体" w:cs="宋体"/>
          <w:bCs/>
          <w:sz w:val="24"/>
          <w:highlight w:val="none"/>
          <w:lang w:val="en-US" w:eastAsia="zh-CN"/>
        </w:rPr>
      </w:pPr>
      <w:r>
        <w:rPr>
          <w:rFonts w:hint="eastAsia" w:ascii="宋体" w:hAnsi="宋体" w:eastAsia="宋体" w:cs="宋体"/>
          <w:bCs/>
          <w:sz w:val="24"/>
          <w:highlight w:val="none"/>
        </w:rPr>
        <w:t>项目联系方式：0576-85952368</w:t>
      </w:r>
    </w:p>
    <w:p w14:paraId="6C406414">
      <w:pPr>
        <w:spacing w:line="400" w:lineRule="exact"/>
        <w:rPr>
          <w:rFonts w:hint="eastAsia" w:ascii="宋体" w:hAnsi="宋体" w:eastAsia="宋体" w:cs="宋体"/>
          <w:bCs/>
          <w:sz w:val="24"/>
          <w:highlight w:val="none"/>
          <w:lang w:eastAsia="zh-CN"/>
        </w:rPr>
      </w:pPr>
      <w:r>
        <w:rPr>
          <w:rFonts w:hint="eastAsia" w:ascii="宋体" w:hAnsi="宋体" w:eastAsia="宋体" w:cs="宋体"/>
          <w:bCs/>
          <w:sz w:val="24"/>
          <w:highlight w:val="none"/>
        </w:rPr>
        <w:t>质疑联系人：</w:t>
      </w:r>
      <w:r>
        <w:rPr>
          <w:rFonts w:hint="eastAsia" w:ascii="宋体" w:hAnsi="宋体" w:cs="宋体"/>
          <w:bCs/>
          <w:sz w:val="24"/>
          <w:highlight w:val="none"/>
          <w:lang w:eastAsia="zh-CN"/>
        </w:rPr>
        <w:t>陈先生</w:t>
      </w:r>
    </w:p>
    <w:p w14:paraId="1458A904">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质疑联系方式：13732354951</w:t>
      </w:r>
    </w:p>
    <w:p w14:paraId="6511FD7A">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（2）采购代理机构信息</w:t>
      </w:r>
    </w:p>
    <w:p w14:paraId="715A5DF6">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名 称：</w:t>
      </w:r>
      <w:r>
        <w:rPr>
          <w:rFonts w:hint="eastAsia" w:ascii="宋体" w:hAnsi="宋体" w:cs="宋体"/>
          <w:bCs/>
          <w:color w:val="auto"/>
          <w:sz w:val="24"/>
          <w:highlight w:val="none"/>
          <w:lang w:val="en-US" w:eastAsia="zh-CN"/>
        </w:rPr>
        <w:t>台州立坤工程咨询有限公司</w:t>
      </w:r>
    </w:p>
    <w:p w14:paraId="3E94DDB2">
      <w:pPr>
        <w:spacing w:line="40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 xml:space="preserve">地址: </w:t>
      </w:r>
      <w:r>
        <w:rPr>
          <w:rFonts w:hint="eastAsia" w:ascii="宋体" w:hAnsi="宋体" w:cs="宋体"/>
          <w:bCs/>
          <w:color w:val="auto"/>
          <w:sz w:val="24"/>
          <w:highlight w:val="none"/>
          <w:lang w:val="en-US" w:eastAsia="zh-CN"/>
        </w:rPr>
        <w:t>临海市东方大道621-4号</w:t>
      </w:r>
    </w:p>
    <w:p w14:paraId="691365ED">
      <w:pPr>
        <w:spacing w:line="40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项目联系人（询问）：</w:t>
      </w:r>
      <w:r>
        <w:rPr>
          <w:rFonts w:hint="eastAsia" w:ascii="宋体" w:hAnsi="宋体" w:cs="宋体"/>
          <w:bCs/>
          <w:color w:val="auto"/>
          <w:sz w:val="24"/>
          <w:highlight w:val="none"/>
          <w:lang w:val="en-US" w:eastAsia="zh-CN"/>
        </w:rPr>
        <w:t>汪先生</w:t>
      </w:r>
    </w:p>
    <w:p w14:paraId="6DDE03B4">
      <w:pPr>
        <w:spacing w:line="400" w:lineRule="exac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项目联系方式：</w:t>
      </w:r>
      <w:r>
        <w:rPr>
          <w:rFonts w:hint="eastAsia" w:ascii="宋体" w:hAnsi="宋体" w:cs="宋体"/>
          <w:bCs/>
          <w:color w:val="auto"/>
          <w:sz w:val="24"/>
          <w:highlight w:val="none"/>
          <w:lang w:val="en-US" w:eastAsia="zh-CN"/>
        </w:rPr>
        <w:t>0576-85308885</w:t>
      </w:r>
    </w:p>
    <w:p w14:paraId="55C48CA9">
      <w:pPr>
        <w:spacing w:line="400" w:lineRule="exact"/>
        <w:rPr>
          <w:rFonts w:hint="eastAsia" w:ascii="宋体" w:hAnsi="宋体" w:eastAsia="宋体" w:cs="宋体"/>
          <w:b w:val="0"/>
          <w:bCs w:val="0"/>
          <w:color w:val="auto"/>
          <w:sz w:val="24"/>
          <w:highlight w:val="none"/>
          <w:lang w:val="en-US" w:eastAsia="zh-CN"/>
        </w:rPr>
      </w:pPr>
      <w:r>
        <w:rPr>
          <w:rFonts w:hint="eastAsia" w:ascii="宋体" w:hAnsi="宋体" w:eastAsia="宋体" w:cs="宋体"/>
          <w:bCs/>
          <w:color w:val="auto"/>
          <w:sz w:val="24"/>
          <w:highlight w:val="none"/>
        </w:rPr>
        <w:t>质疑联系人：</w:t>
      </w:r>
      <w:r>
        <w:rPr>
          <w:rFonts w:hint="eastAsia" w:ascii="宋体" w:hAnsi="宋体" w:cs="宋体"/>
          <w:bCs/>
          <w:color w:val="auto"/>
          <w:sz w:val="24"/>
          <w:highlight w:val="none"/>
          <w:lang w:eastAsia="zh-CN"/>
        </w:rPr>
        <w:t>汪先生</w:t>
      </w:r>
    </w:p>
    <w:p w14:paraId="06EAB259">
      <w:pPr>
        <w:spacing w:line="400" w:lineRule="exact"/>
        <w:rPr>
          <w:rFonts w:hint="default" w:ascii="宋体" w:hAnsi="宋体" w:eastAsia="宋体" w:cs="宋体"/>
          <w:bCs/>
          <w:color w:val="auto"/>
          <w:sz w:val="24"/>
          <w:highlight w:val="none"/>
          <w:lang w:val="en-US"/>
        </w:rPr>
      </w:pPr>
      <w:r>
        <w:rPr>
          <w:rFonts w:hint="eastAsia" w:ascii="宋体" w:hAnsi="宋体" w:eastAsia="宋体" w:cs="宋体"/>
          <w:bCs/>
          <w:color w:val="auto"/>
          <w:sz w:val="24"/>
          <w:highlight w:val="none"/>
        </w:rPr>
        <w:t>质疑联系方式：</w:t>
      </w:r>
      <w:r>
        <w:rPr>
          <w:rFonts w:hint="eastAsia" w:ascii="宋体" w:hAnsi="宋体" w:cs="宋体"/>
          <w:bCs/>
          <w:color w:val="auto"/>
          <w:sz w:val="24"/>
          <w:highlight w:val="none"/>
          <w:lang w:val="en-US" w:eastAsia="zh-CN"/>
        </w:rPr>
        <w:t>15757557787</w:t>
      </w:r>
    </w:p>
    <w:p w14:paraId="73071282">
      <w:pPr>
        <w:spacing w:line="400" w:lineRule="exac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电子邮箱</w:t>
      </w:r>
      <w:r>
        <w:rPr>
          <w:rFonts w:hint="eastAsia" w:ascii="宋体" w:hAnsi="宋体" w:eastAsia="宋体" w:cs="宋体"/>
          <w:color w:val="auto"/>
          <w:spacing w:val="-4"/>
          <w:sz w:val="24"/>
          <w:highlight w:val="none"/>
          <w:lang w:val="en-US" w:eastAsia="zh-CN"/>
        </w:rPr>
        <w:t>:</w:t>
      </w:r>
      <w:r>
        <w:rPr>
          <w:rFonts w:hint="eastAsia" w:ascii="宋体" w:hAnsi="宋体" w:cs="宋体"/>
          <w:color w:val="auto"/>
          <w:spacing w:val="-4"/>
          <w:sz w:val="24"/>
          <w:highlight w:val="none"/>
          <w:lang w:val="en-US" w:eastAsia="zh-CN"/>
        </w:rPr>
        <w:t>tzlkzx@163.com</w:t>
      </w:r>
      <w:r>
        <w:rPr>
          <w:rFonts w:hint="eastAsia" w:ascii="宋体" w:hAnsi="宋体" w:eastAsia="宋体" w:cs="宋体"/>
          <w:color w:val="auto"/>
          <w:spacing w:val="-4"/>
          <w:sz w:val="24"/>
          <w:highlight w:val="none"/>
        </w:rPr>
        <w:t xml:space="preserve"> </w:t>
      </w:r>
    </w:p>
    <w:p w14:paraId="1D5EDD1E">
      <w:pPr>
        <w:spacing w:line="400" w:lineRule="exact"/>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（3）同级政府采购监管机构信息</w:t>
      </w:r>
    </w:p>
    <w:p w14:paraId="3190197F">
      <w:pPr>
        <w:spacing w:line="400" w:lineRule="exac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 xml:space="preserve">名 称：临海市财政局                   </w:t>
      </w:r>
    </w:p>
    <w:p w14:paraId="357E7C4D">
      <w:pPr>
        <w:spacing w:line="400" w:lineRule="exac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地 址：</w:t>
      </w:r>
      <w:r>
        <w:rPr>
          <w:rFonts w:hint="eastAsia" w:ascii="宋体" w:hAnsi="宋体" w:eastAsia="宋体" w:cs="宋体"/>
          <w:bCs/>
          <w:color w:val="auto"/>
          <w:sz w:val="24"/>
          <w:highlight w:val="none"/>
        </w:rPr>
        <w:t>临海市巾山东路112号</w:t>
      </w:r>
      <w:r>
        <w:rPr>
          <w:rFonts w:hint="eastAsia" w:ascii="宋体" w:hAnsi="宋体" w:eastAsia="宋体" w:cs="宋体"/>
          <w:color w:val="auto"/>
          <w:spacing w:val="-4"/>
          <w:sz w:val="24"/>
          <w:highlight w:val="none"/>
        </w:rPr>
        <w:t xml:space="preserve">   </w:t>
      </w:r>
    </w:p>
    <w:p w14:paraId="65C126F4">
      <w:pPr>
        <w:spacing w:line="400" w:lineRule="exac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联系人：政府采购监管科</w:t>
      </w:r>
    </w:p>
    <w:p w14:paraId="0D92D30E">
      <w:pPr>
        <w:spacing w:line="400" w:lineRule="exac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联系电话：0576-85188034</w:t>
      </w:r>
    </w:p>
    <w:p w14:paraId="36ABAC76">
      <w:pPr>
        <w:spacing w:line="400" w:lineRule="exact"/>
        <w:rPr>
          <w:rFonts w:hint="eastAsia" w:ascii="宋体" w:hAnsi="宋体" w:eastAsia="宋体" w:cs="宋体"/>
          <w:b/>
          <w:color w:val="auto"/>
          <w:spacing w:val="-4"/>
          <w:sz w:val="24"/>
          <w:highlight w:val="none"/>
        </w:rPr>
      </w:pPr>
      <w:r>
        <w:rPr>
          <w:rFonts w:hint="eastAsia" w:ascii="宋体" w:hAnsi="宋体" w:eastAsia="宋体" w:cs="宋体"/>
          <w:b/>
          <w:color w:val="auto"/>
          <w:spacing w:val="-4"/>
          <w:sz w:val="24"/>
          <w:highlight w:val="none"/>
        </w:rPr>
        <w:t>（4）政采云平台信息</w:t>
      </w:r>
    </w:p>
    <w:p w14:paraId="304BF1A3">
      <w:pPr>
        <w:spacing w:line="400" w:lineRule="exact"/>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联系电话：</w:t>
      </w:r>
      <w:r>
        <w:rPr>
          <w:rFonts w:hint="eastAsia" w:ascii="宋体" w:hAnsi="宋体" w:eastAsia="宋体" w:cs="宋体"/>
          <w:color w:val="auto"/>
          <w:spacing w:val="-4"/>
          <w:sz w:val="24"/>
          <w:highlight w:val="none"/>
          <w:lang w:val="en-US" w:eastAsia="zh-CN"/>
        </w:rPr>
        <w:t>95763</w:t>
      </w:r>
    </w:p>
    <w:p w14:paraId="70232273">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28A1B1F9">
      <w:pPr>
        <w:rPr>
          <w:rFonts w:hint="eastAsia" w:ascii="宋体" w:hAnsi="宋体" w:eastAsia="宋体" w:cs="宋体"/>
          <w:color w:val="000000"/>
          <w:highlight w:val="none"/>
        </w:rPr>
      </w:pPr>
      <w:r>
        <w:rPr>
          <w:rFonts w:hint="eastAsia" w:ascii="宋体" w:hAnsi="宋体" w:eastAsia="宋体" w:cs="宋体"/>
          <w:b/>
          <w:color w:val="000000"/>
          <w:sz w:val="24"/>
          <w:highlight w:val="none"/>
        </w:rPr>
        <w:t>附件</w:t>
      </w:r>
    </w:p>
    <w:p w14:paraId="05F12EBF">
      <w:pPr>
        <w:spacing w:line="400" w:lineRule="exact"/>
        <w:ind w:firstLine="723" w:firstLineChars="300"/>
        <w:jc w:val="center"/>
        <w:rPr>
          <w:rFonts w:hint="eastAsia" w:ascii="宋体" w:hAnsi="宋体" w:eastAsia="宋体" w:cs="宋体"/>
          <w:b/>
          <w:sz w:val="24"/>
          <w:highlight w:val="none"/>
        </w:rPr>
      </w:pPr>
      <w:r>
        <w:rPr>
          <w:rFonts w:hint="eastAsia" w:ascii="宋体" w:hAnsi="宋体" w:eastAsia="宋体" w:cs="宋体"/>
          <w:b/>
          <w:sz w:val="24"/>
          <w:highlight w:val="none"/>
        </w:rPr>
        <w:t>政府采购支持中小企业信用融资相关事项的通知</w:t>
      </w:r>
    </w:p>
    <w:p w14:paraId="7055E0EA">
      <w:pPr>
        <w:spacing w:line="400" w:lineRule="exact"/>
        <w:ind w:firstLine="720" w:firstLineChars="3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以与以下银行（保险）联系人对接。</w:t>
      </w:r>
    </w:p>
    <w:p w14:paraId="345F5CBB">
      <w:pPr>
        <w:widowControl/>
        <w:spacing w:line="36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政采保联系方式</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3520"/>
        <w:gridCol w:w="1194"/>
        <w:gridCol w:w="1845"/>
      </w:tblGrid>
      <w:tr w14:paraId="3C10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19" w:type="dxa"/>
            <w:noWrap w:val="0"/>
            <w:vAlign w:val="center"/>
          </w:tcPr>
          <w:p w14:paraId="02F9CB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阳光财产保险股份有限公司临海支公司</w:t>
            </w:r>
          </w:p>
        </w:tc>
        <w:tc>
          <w:tcPr>
            <w:tcW w:w="3520" w:type="dxa"/>
            <w:noWrap w:val="0"/>
            <w:vAlign w:val="center"/>
          </w:tcPr>
          <w:p w14:paraId="63E487E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合同（质量）履约按履约保证金年费率1%（1.5%），每单保函最低保险费为500元(300元)。</w:t>
            </w:r>
          </w:p>
        </w:tc>
        <w:tc>
          <w:tcPr>
            <w:tcW w:w="1194" w:type="dxa"/>
            <w:noWrap w:val="0"/>
            <w:vAlign w:val="center"/>
          </w:tcPr>
          <w:p w14:paraId="0B439C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马李莉</w:t>
            </w:r>
          </w:p>
        </w:tc>
        <w:tc>
          <w:tcPr>
            <w:tcW w:w="1845" w:type="dxa"/>
            <w:noWrap w:val="0"/>
            <w:vAlign w:val="center"/>
          </w:tcPr>
          <w:p w14:paraId="60EC27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13586026113</w:t>
            </w:r>
          </w:p>
          <w:p w14:paraId="5786410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（微信同号）</w:t>
            </w:r>
          </w:p>
        </w:tc>
      </w:tr>
    </w:tbl>
    <w:p w14:paraId="3F13C622">
      <w:pPr>
        <w:rPr>
          <w:rFonts w:hint="eastAsia" w:ascii="宋体" w:hAnsi="宋体" w:eastAsia="宋体" w:cs="宋体"/>
          <w:b/>
          <w:color w:val="00B050"/>
          <w:highlight w:val="none"/>
        </w:rPr>
      </w:pPr>
    </w:p>
    <w:p w14:paraId="7778C9F1">
      <w:pPr>
        <w:widowControl/>
        <w:spacing w:line="36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政采贷联系方式</w:t>
      </w:r>
    </w:p>
    <w:tbl>
      <w:tblPr>
        <w:tblStyle w:val="51"/>
        <w:tblW w:w="0" w:type="auto"/>
        <w:tblInd w:w="0" w:type="dxa"/>
        <w:tblLayout w:type="fixed"/>
        <w:tblCellMar>
          <w:top w:w="15" w:type="dxa"/>
          <w:left w:w="15" w:type="dxa"/>
          <w:bottom w:w="15" w:type="dxa"/>
          <w:right w:w="15" w:type="dxa"/>
        </w:tblCellMar>
      </w:tblPr>
      <w:tblGrid>
        <w:gridCol w:w="877"/>
        <w:gridCol w:w="1527"/>
        <w:gridCol w:w="2474"/>
        <w:gridCol w:w="2038"/>
        <w:gridCol w:w="2242"/>
      </w:tblGrid>
      <w:tr w14:paraId="4B230F21">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3CC0F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序号</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0E067B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银行简称</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3A744B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贷款年利率</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4190BA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政采贷联系人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6D85A3C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联系电话</w:t>
            </w:r>
          </w:p>
        </w:tc>
      </w:tr>
      <w:tr w14:paraId="6CA73809">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EED00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F1E54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工商银行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3524C6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3.8%起</w:t>
            </w:r>
          </w:p>
        </w:tc>
        <w:tc>
          <w:tcPr>
            <w:tcW w:w="2038" w:type="dxa"/>
            <w:tcBorders>
              <w:top w:val="single" w:color="000000" w:sz="4" w:space="0"/>
              <w:left w:val="single" w:color="000000" w:sz="4" w:space="0"/>
              <w:bottom w:val="single" w:color="000000" w:sz="4" w:space="0"/>
              <w:right w:val="single" w:color="000000" w:sz="4" w:space="0"/>
            </w:tcBorders>
            <w:noWrap w:val="0"/>
            <w:vAlign w:val="top"/>
          </w:tcPr>
          <w:p w14:paraId="402661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朱菲菲</w:t>
            </w:r>
          </w:p>
        </w:tc>
        <w:tc>
          <w:tcPr>
            <w:tcW w:w="2242" w:type="dxa"/>
            <w:tcBorders>
              <w:top w:val="single" w:color="000000" w:sz="4" w:space="0"/>
              <w:left w:val="single" w:color="000000" w:sz="4" w:space="0"/>
              <w:bottom w:val="single" w:color="000000" w:sz="4" w:space="0"/>
              <w:right w:val="single" w:color="000000" w:sz="4" w:space="0"/>
            </w:tcBorders>
            <w:noWrap w:val="0"/>
            <w:vAlign w:val="top"/>
          </w:tcPr>
          <w:p w14:paraId="28A069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13732333886</w:t>
            </w:r>
          </w:p>
        </w:tc>
      </w:tr>
      <w:tr w14:paraId="0CB90ADC">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BF7B3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048247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农业银行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1C97324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12784C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刘军  </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1F86DB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13606652552</w:t>
            </w:r>
          </w:p>
        </w:tc>
      </w:tr>
      <w:tr w14:paraId="117EE24E">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F7F20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24E0C13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中国银行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5D58CE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37409F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钱玲红</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1A771DD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13666860933</w:t>
            </w:r>
          </w:p>
        </w:tc>
      </w:tr>
      <w:tr w14:paraId="4D686B4E">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9EF79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3CCCA1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建设银行</w:t>
            </w:r>
          </w:p>
        </w:tc>
        <w:tc>
          <w:tcPr>
            <w:tcW w:w="2474" w:type="dxa"/>
            <w:tcBorders>
              <w:top w:val="single" w:color="000000" w:sz="4" w:space="0"/>
              <w:left w:val="single" w:color="000000" w:sz="4" w:space="0"/>
              <w:bottom w:val="single" w:color="000000" w:sz="4" w:space="0"/>
              <w:right w:val="single" w:color="000000" w:sz="4" w:space="0"/>
            </w:tcBorders>
            <w:noWrap w:val="0"/>
            <w:vAlign w:val="top"/>
          </w:tcPr>
          <w:p w14:paraId="40EF11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3.8%起</w:t>
            </w:r>
          </w:p>
        </w:tc>
        <w:tc>
          <w:tcPr>
            <w:tcW w:w="2038" w:type="dxa"/>
            <w:tcBorders>
              <w:top w:val="single" w:color="000000" w:sz="4" w:space="0"/>
              <w:left w:val="single" w:color="000000" w:sz="4" w:space="0"/>
              <w:bottom w:val="single" w:color="000000" w:sz="4" w:space="0"/>
              <w:right w:val="single" w:color="000000" w:sz="4" w:space="0"/>
            </w:tcBorders>
            <w:noWrap w:val="0"/>
            <w:vAlign w:val="top"/>
          </w:tcPr>
          <w:p w14:paraId="5FA15A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金寅姿</w:t>
            </w:r>
          </w:p>
        </w:tc>
        <w:tc>
          <w:tcPr>
            <w:tcW w:w="2242" w:type="dxa"/>
            <w:tcBorders>
              <w:top w:val="single" w:color="000000" w:sz="4" w:space="0"/>
              <w:left w:val="single" w:color="000000" w:sz="4" w:space="0"/>
              <w:bottom w:val="single" w:color="000000" w:sz="4" w:space="0"/>
              <w:right w:val="single" w:color="000000" w:sz="4" w:space="0"/>
            </w:tcBorders>
            <w:noWrap w:val="0"/>
            <w:vAlign w:val="top"/>
          </w:tcPr>
          <w:p w14:paraId="5BDF5C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13575826932</w:t>
            </w:r>
          </w:p>
        </w:tc>
      </w:tr>
      <w:tr w14:paraId="7257F7E7">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B11D0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1E82A14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浦发银行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238452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4.785%起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2B2A47A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郑  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1F25164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15988990003</w:t>
            </w:r>
          </w:p>
        </w:tc>
      </w:tr>
      <w:tr w14:paraId="5768CC9E">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0702B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021D29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兴业银行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5A78B7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3.65%起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218EDA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方成纲</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6DFCD9F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15267208988</w:t>
            </w:r>
          </w:p>
        </w:tc>
      </w:tr>
      <w:tr w14:paraId="5DE3746E">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DFA7B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747D3C6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泰隆银行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1CA344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5.4%起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254341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何安青</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260321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13586122727</w:t>
            </w:r>
          </w:p>
        </w:tc>
      </w:tr>
      <w:tr w14:paraId="352155DE">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8C57E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29A32E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浙商银行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495189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367E88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陈双双</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0007B6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13666868989</w:t>
            </w:r>
          </w:p>
        </w:tc>
      </w:tr>
      <w:tr w14:paraId="4876D94F">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C4D18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9</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0A316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农发银行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2F3AB3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2.85%起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4E135D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金和平</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12944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13705760213</w:t>
            </w:r>
          </w:p>
        </w:tc>
      </w:tr>
      <w:tr w14:paraId="495E3302">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ED718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10</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00E16C9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光大银行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01B1BA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3.</w:t>
            </w:r>
            <w:r>
              <w:rPr>
                <w:rFonts w:hint="eastAsia" w:ascii="宋体" w:hAnsi="宋体" w:cs="宋体"/>
                <w:kern w:val="0"/>
                <w:sz w:val="24"/>
                <w:highlight w:val="none"/>
                <w:lang w:eastAsia="zh-CN"/>
              </w:rPr>
              <w:t>12%</w:t>
            </w:r>
            <w:r>
              <w:rPr>
                <w:rFonts w:hint="eastAsia" w:ascii="宋体" w:hAnsi="宋体" w:eastAsia="宋体" w:cs="宋体"/>
                <w:kern w:val="0"/>
                <w:sz w:val="24"/>
                <w:highlight w:val="none"/>
              </w:rPr>
              <w:t>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4E03C3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王玲敏</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08BDC9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15068686860</w:t>
            </w:r>
          </w:p>
        </w:tc>
      </w:tr>
      <w:tr w14:paraId="484AAEB0">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771642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11</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385DB8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湖商银行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21C936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4.8%起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42C89F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叶丰恺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71128D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18657661866</w:t>
            </w:r>
          </w:p>
        </w:tc>
      </w:tr>
      <w:tr w14:paraId="5C031EE1">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9C6A34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A7F0FC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邮储银行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2C2B23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5A0BD4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黄梦雅</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098C46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18906767388</w:t>
            </w:r>
          </w:p>
        </w:tc>
      </w:tr>
      <w:tr w14:paraId="5878BE0E">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6F8D99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EE0A9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温州银行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4ED146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4.35%起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3F582B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何宗富</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9D56C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15967009253</w:t>
            </w:r>
          </w:p>
        </w:tc>
      </w:tr>
      <w:tr w14:paraId="687CC9A3">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01195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14</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62D555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交通银行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7B1BD2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5776F0F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吴静静 </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5E6E76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13606680050 </w:t>
            </w:r>
          </w:p>
        </w:tc>
      </w:tr>
      <w:tr w14:paraId="6995C8EB">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ECCF4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7C631F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民生银行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14DDC7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3E53D4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王都旺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259FE0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13676697833</w:t>
            </w:r>
          </w:p>
        </w:tc>
      </w:tr>
      <w:tr w14:paraId="578A21D0">
        <w:tblPrEx>
          <w:tblCellMar>
            <w:top w:w="15" w:type="dxa"/>
            <w:left w:w="15" w:type="dxa"/>
            <w:bottom w:w="15" w:type="dxa"/>
            <w:right w:w="15" w:type="dxa"/>
          </w:tblCellMar>
        </w:tblPrEx>
        <w:trPr>
          <w:trHeight w:val="414"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C1D73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16</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DD93DC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宁波银行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59DA202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4.785%起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12C830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冯晶晶</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AE809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13736200193</w:t>
            </w:r>
          </w:p>
        </w:tc>
      </w:tr>
    </w:tbl>
    <w:p w14:paraId="7FA45C36">
      <w:pPr>
        <w:pStyle w:val="29"/>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pPr>
      <w:bookmarkStart w:id="6" w:name="_Toc467749357"/>
      <w:bookmarkStart w:id="7" w:name="_Toc466534748"/>
      <w:bookmarkStart w:id="8" w:name="_Toc31848"/>
      <w:r>
        <w:rPr>
          <w:rFonts w:hint="eastAsia" w:ascii="宋体" w:hAnsi="宋体" w:eastAsia="宋体" w:cs="宋体"/>
          <w:b/>
          <w:color w:val="000000"/>
          <w:sz w:val="30"/>
          <w:szCs w:val="30"/>
          <w:highlight w:val="none"/>
        </w:rPr>
        <w:t>第二章  采购内容、需求及</w:t>
      </w:r>
      <w:bookmarkEnd w:id="6"/>
      <w:bookmarkEnd w:id="7"/>
      <w:r>
        <w:rPr>
          <w:rFonts w:hint="eastAsia" w:ascii="宋体" w:hAnsi="宋体" w:eastAsia="宋体" w:cs="宋体"/>
          <w:b/>
          <w:color w:val="000000"/>
          <w:sz w:val="30"/>
          <w:szCs w:val="30"/>
          <w:highlight w:val="none"/>
        </w:rPr>
        <w:t>要求</w:t>
      </w:r>
      <w:bookmarkEnd w:id="8"/>
    </w:p>
    <w:p w14:paraId="2AC12DC1">
      <w:pPr>
        <w:keepNext w:val="0"/>
        <w:keepLines w:val="0"/>
        <w:pageBreakBefore w:val="0"/>
        <w:widowControl w:val="0"/>
        <w:kinsoku/>
        <w:wordWrap/>
        <w:overflowPunct/>
        <w:topLinePunct w:val="0"/>
        <w:autoSpaceDE/>
        <w:autoSpaceDN/>
        <w:bidi w:val="0"/>
        <w:adjustRightInd/>
        <w:snapToGrid w:val="0"/>
        <w:spacing w:line="39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一、项目概况</w:t>
      </w:r>
    </w:p>
    <w:p w14:paraId="3A00D6DF">
      <w:pPr>
        <w:spacing w:line="400" w:lineRule="exact"/>
        <w:ind w:firstLine="480" w:firstLineChars="200"/>
        <w:rPr>
          <w:rFonts w:ascii="宋体" w:hAnsi="宋体"/>
          <w:sz w:val="24"/>
        </w:rPr>
      </w:pPr>
      <w:r>
        <w:rPr>
          <w:rFonts w:hint="eastAsia" w:hAnsi="宋体"/>
          <w:sz w:val="24"/>
          <w:lang w:val="en-US" w:eastAsia="zh-CN"/>
        </w:rPr>
        <w:t xml:space="preserve">本次大田街道星都府周边道路工程计划改造主要内容为新建混凝土路面、新建雨污水管网、景观绿化的种植、室外交通配套等。 </w:t>
      </w:r>
      <w:r>
        <w:rPr>
          <w:rFonts w:hint="eastAsia" w:ascii="宋体" w:hAnsi="宋体" w:eastAsia="宋体" w:cs="宋体"/>
          <w:bCs/>
          <w:sz w:val="24"/>
          <w:highlight w:val="none"/>
          <w:lang w:val="en-US" w:eastAsia="zh-CN"/>
        </w:rPr>
        <w:t>招标人提供的图纸所包含的大田街道星都府周边道路工程，具体内容以招标人提供的施工图纸及工程量清单为准</w:t>
      </w:r>
      <w:r>
        <w:rPr>
          <w:rFonts w:hint="eastAsia" w:ascii="宋体" w:hAnsi="宋体"/>
          <w:sz w:val="24"/>
        </w:rPr>
        <w:t>。</w:t>
      </w:r>
    </w:p>
    <w:p w14:paraId="6E8B8F02">
      <w:pPr>
        <w:rPr>
          <w:rFonts w:ascii="宋体" w:hAnsi="宋体"/>
          <w:b/>
          <w:color w:val="000000"/>
          <w:sz w:val="28"/>
          <w:szCs w:val="28"/>
        </w:rPr>
      </w:pPr>
      <w:r>
        <w:rPr>
          <w:rFonts w:hint="eastAsia" w:ascii="宋体" w:hAnsi="宋体" w:eastAsia="宋体" w:cs="宋体"/>
          <w:b/>
          <w:sz w:val="24"/>
          <w:highlight w:val="none"/>
          <w:lang w:val="en-US" w:eastAsia="zh-CN"/>
        </w:rPr>
        <w:t>二、</w:t>
      </w:r>
      <w:r>
        <w:rPr>
          <w:rFonts w:hint="eastAsia" w:ascii="宋体" w:hAnsi="宋体"/>
          <w:b/>
          <w:sz w:val="28"/>
          <w:szCs w:val="28"/>
        </w:rPr>
        <w:t>二、</w:t>
      </w:r>
      <w:r>
        <w:rPr>
          <w:rFonts w:hint="eastAsia" w:ascii="宋体" w:hAnsi="宋体"/>
          <w:bCs/>
          <w:sz w:val="28"/>
          <w:szCs w:val="28"/>
        </w:rPr>
        <w:t>▲</w:t>
      </w:r>
      <w:r>
        <w:rPr>
          <w:rFonts w:hint="eastAsia" w:ascii="宋体" w:hAnsi="宋体"/>
          <w:b/>
          <w:sz w:val="28"/>
          <w:szCs w:val="28"/>
        </w:rPr>
        <w:t>采购</w:t>
      </w:r>
      <w:r>
        <w:rPr>
          <w:rFonts w:hint="eastAsia" w:ascii="宋体" w:hAnsi="宋体"/>
          <w:b/>
          <w:color w:val="000000"/>
          <w:sz w:val="28"/>
          <w:szCs w:val="28"/>
        </w:rPr>
        <w:t>清单:</w:t>
      </w:r>
    </w:p>
    <w:tbl>
      <w:tblPr>
        <w:tblStyle w:val="51"/>
        <w:tblW w:w="6663" w:type="dxa"/>
        <w:tblInd w:w="1025" w:type="dxa"/>
        <w:tblLayout w:type="autofit"/>
        <w:tblCellMar>
          <w:top w:w="0" w:type="dxa"/>
          <w:left w:w="108" w:type="dxa"/>
          <w:bottom w:w="0" w:type="dxa"/>
          <w:right w:w="108" w:type="dxa"/>
        </w:tblCellMar>
      </w:tblPr>
      <w:tblGrid>
        <w:gridCol w:w="1418"/>
        <w:gridCol w:w="5245"/>
      </w:tblGrid>
      <w:tr w14:paraId="7E66DD95">
        <w:tblPrEx>
          <w:tblCellMar>
            <w:top w:w="0" w:type="dxa"/>
            <w:left w:w="108" w:type="dxa"/>
            <w:bottom w:w="0" w:type="dxa"/>
            <w:right w:w="108" w:type="dxa"/>
          </w:tblCellMar>
        </w:tblPrEx>
        <w:trPr>
          <w:trHeight w:val="345" w:hRule="atLeast"/>
        </w:trPr>
        <w:tc>
          <w:tcPr>
            <w:tcW w:w="1418"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542C764">
            <w:pPr>
              <w:widowControl/>
              <w:jc w:val="center"/>
              <w:rPr>
                <w:rFonts w:ascii="宋体" w:hAnsi="宋体" w:cs="宋体"/>
                <w:b/>
                <w:bCs/>
                <w:kern w:val="0"/>
                <w:sz w:val="24"/>
              </w:rPr>
            </w:pPr>
            <w:r>
              <w:rPr>
                <w:rFonts w:hint="eastAsia" w:ascii="宋体" w:hAnsi="宋体" w:cs="宋体"/>
                <w:b/>
                <w:bCs/>
                <w:kern w:val="0"/>
                <w:sz w:val="24"/>
              </w:rPr>
              <w:t>序号</w:t>
            </w:r>
          </w:p>
        </w:tc>
        <w:tc>
          <w:tcPr>
            <w:tcW w:w="52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5E75DE7">
            <w:pPr>
              <w:widowControl/>
              <w:jc w:val="center"/>
              <w:rPr>
                <w:rFonts w:ascii="宋体" w:hAnsi="宋体" w:cs="宋体"/>
                <w:b/>
                <w:bCs/>
                <w:kern w:val="0"/>
                <w:sz w:val="24"/>
              </w:rPr>
            </w:pPr>
            <w:r>
              <w:rPr>
                <w:rFonts w:hint="eastAsia" w:ascii="宋体" w:hAnsi="宋体" w:cs="宋体"/>
                <w:b/>
                <w:bCs/>
                <w:kern w:val="0"/>
                <w:sz w:val="24"/>
              </w:rPr>
              <w:t>工程名称</w:t>
            </w:r>
          </w:p>
        </w:tc>
      </w:tr>
      <w:tr w14:paraId="0267AE8E">
        <w:tblPrEx>
          <w:tblCellMar>
            <w:top w:w="0" w:type="dxa"/>
            <w:left w:w="108" w:type="dxa"/>
            <w:bottom w:w="0" w:type="dxa"/>
            <w:right w:w="108" w:type="dxa"/>
          </w:tblCellMar>
        </w:tblPrEx>
        <w:trPr>
          <w:trHeight w:val="311" w:hRule="atLeast"/>
        </w:trPr>
        <w:tc>
          <w:tcPr>
            <w:tcW w:w="1418" w:type="dxa"/>
            <w:vMerge w:val="continue"/>
            <w:tcBorders>
              <w:top w:val="single" w:color="000000" w:sz="8" w:space="0"/>
              <w:left w:val="single" w:color="000000" w:sz="8" w:space="0"/>
              <w:bottom w:val="single" w:color="000000" w:sz="4" w:space="0"/>
              <w:right w:val="single" w:color="000000" w:sz="4" w:space="0"/>
            </w:tcBorders>
            <w:vAlign w:val="center"/>
          </w:tcPr>
          <w:p w14:paraId="1388CBBE">
            <w:pPr>
              <w:widowControl/>
              <w:jc w:val="left"/>
              <w:rPr>
                <w:rFonts w:ascii="宋体" w:hAnsi="宋体" w:cs="宋体"/>
                <w:b/>
                <w:bCs/>
                <w:kern w:val="0"/>
                <w:sz w:val="24"/>
              </w:rPr>
            </w:pPr>
          </w:p>
        </w:tc>
        <w:tc>
          <w:tcPr>
            <w:tcW w:w="5245" w:type="dxa"/>
            <w:vMerge w:val="continue"/>
            <w:tcBorders>
              <w:top w:val="single" w:color="000000" w:sz="8" w:space="0"/>
              <w:left w:val="single" w:color="000000" w:sz="4" w:space="0"/>
              <w:bottom w:val="single" w:color="000000" w:sz="4" w:space="0"/>
              <w:right w:val="single" w:color="000000" w:sz="4" w:space="0"/>
            </w:tcBorders>
            <w:vAlign w:val="center"/>
          </w:tcPr>
          <w:p w14:paraId="0A6CF166">
            <w:pPr>
              <w:widowControl/>
              <w:jc w:val="left"/>
              <w:rPr>
                <w:rFonts w:ascii="宋体" w:hAnsi="宋体" w:cs="宋体"/>
                <w:b/>
                <w:bCs/>
                <w:kern w:val="0"/>
                <w:sz w:val="24"/>
              </w:rPr>
            </w:pPr>
          </w:p>
        </w:tc>
      </w:tr>
      <w:tr w14:paraId="2302AB4D">
        <w:tblPrEx>
          <w:tblCellMar>
            <w:top w:w="0" w:type="dxa"/>
            <w:left w:w="108" w:type="dxa"/>
            <w:bottom w:w="0" w:type="dxa"/>
            <w:right w:w="108" w:type="dxa"/>
          </w:tblCellMar>
        </w:tblPrEx>
        <w:trPr>
          <w:trHeight w:val="315" w:hRule="atLeast"/>
        </w:trPr>
        <w:tc>
          <w:tcPr>
            <w:tcW w:w="1418" w:type="dxa"/>
            <w:tcBorders>
              <w:top w:val="nil"/>
              <w:left w:val="single" w:color="000000" w:sz="8" w:space="0"/>
              <w:bottom w:val="single" w:color="auto" w:sz="4" w:space="0"/>
              <w:right w:val="single" w:color="000000" w:sz="4" w:space="0"/>
            </w:tcBorders>
            <w:shd w:val="clear" w:color="FFFFFF" w:fill="FFFFFF"/>
            <w:vAlign w:val="center"/>
          </w:tcPr>
          <w:p w14:paraId="28399B3D">
            <w:pPr>
              <w:widowControl/>
              <w:jc w:val="center"/>
              <w:rPr>
                <w:rFonts w:ascii="宋体" w:hAnsi="宋体" w:cs="宋体"/>
                <w:color w:val="auto"/>
                <w:kern w:val="0"/>
                <w:sz w:val="24"/>
              </w:rPr>
            </w:pPr>
            <w:r>
              <w:rPr>
                <w:rFonts w:hint="eastAsia" w:ascii="宋体" w:hAnsi="宋体" w:cs="宋体"/>
                <w:color w:val="auto"/>
                <w:kern w:val="0"/>
                <w:sz w:val="24"/>
              </w:rPr>
              <w:t>1</w:t>
            </w:r>
          </w:p>
        </w:tc>
        <w:tc>
          <w:tcPr>
            <w:tcW w:w="5245" w:type="dxa"/>
            <w:tcBorders>
              <w:top w:val="nil"/>
              <w:left w:val="nil"/>
              <w:bottom w:val="single" w:color="auto" w:sz="4" w:space="0"/>
              <w:right w:val="single" w:color="000000" w:sz="4" w:space="0"/>
            </w:tcBorders>
            <w:shd w:val="clear" w:color="FFFFFF" w:fill="FFFFFF"/>
            <w:vAlign w:val="center"/>
          </w:tcPr>
          <w:p w14:paraId="401EDCE5">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大田街道星都府周边道路工程</w:t>
            </w:r>
          </w:p>
        </w:tc>
      </w:tr>
      <w:tr w14:paraId="4EF5DB61">
        <w:tblPrEx>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14:paraId="4D0C4DDE">
            <w:pPr>
              <w:widowControl/>
              <w:jc w:val="center"/>
              <w:rPr>
                <w:rFonts w:ascii="宋体" w:hAnsi="宋体" w:cs="宋体"/>
                <w:color w:val="auto"/>
                <w:kern w:val="0"/>
                <w:sz w:val="24"/>
              </w:rPr>
            </w:pPr>
            <w:r>
              <w:rPr>
                <w:rFonts w:hint="eastAsia" w:ascii="宋体" w:hAnsi="宋体" w:cs="宋体"/>
                <w:color w:val="auto"/>
                <w:kern w:val="0"/>
                <w:sz w:val="24"/>
                <w:lang w:val="en-US" w:eastAsia="zh-CN"/>
              </w:rPr>
              <w:t>1.1</w:t>
            </w:r>
          </w:p>
        </w:tc>
        <w:tc>
          <w:tcPr>
            <w:tcW w:w="5245" w:type="dxa"/>
            <w:tcBorders>
              <w:top w:val="single" w:color="auto" w:sz="4" w:space="0"/>
              <w:left w:val="single" w:color="auto" w:sz="4" w:space="0"/>
              <w:bottom w:val="single" w:color="auto" w:sz="4" w:space="0"/>
              <w:right w:val="single" w:color="auto" w:sz="4" w:space="0"/>
            </w:tcBorders>
            <w:shd w:val="clear" w:color="FFFFFF" w:fill="FFFFFF"/>
            <w:vAlign w:val="center"/>
          </w:tcPr>
          <w:p w14:paraId="54ABC719">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道路工程</w:t>
            </w:r>
          </w:p>
        </w:tc>
      </w:tr>
      <w:tr w14:paraId="54E6283F">
        <w:tblPrEx>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14:paraId="0C8D2C55">
            <w:pPr>
              <w:widowControl/>
              <w:jc w:val="center"/>
              <w:rPr>
                <w:rFonts w:ascii="宋体" w:hAnsi="宋体" w:cs="宋体"/>
                <w:color w:val="auto"/>
                <w:kern w:val="0"/>
                <w:sz w:val="24"/>
              </w:rPr>
            </w:pPr>
            <w:r>
              <w:rPr>
                <w:rFonts w:hint="eastAsia" w:ascii="宋体" w:hAnsi="宋体" w:cs="宋体"/>
                <w:color w:val="auto"/>
                <w:kern w:val="0"/>
                <w:sz w:val="24"/>
                <w:lang w:val="en-US" w:eastAsia="zh-CN"/>
              </w:rPr>
              <w:t>1.2</w:t>
            </w:r>
          </w:p>
        </w:tc>
        <w:tc>
          <w:tcPr>
            <w:tcW w:w="5245" w:type="dxa"/>
            <w:tcBorders>
              <w:top w:val="single" w:color="auto" w:sz="4" w:space="0"/>
              <w:left w:val="single" w:color="auto" w:sz="4" w:space="0"/>
              <w:bottom w:val="single" w:color="auto" w:sz="4" w:space="0"/>
              <w:right w:val="single" w:color="auto" w:sz="4" w:space="0"/>
            </w:tcBorders>
            <w:shd w:val="clear" w:color="FFFFFF" w:fill="FFFFFF"/>
            <w:vAlign w:val="center"/>
          </w:tcPr>
          <w:p w14:paraId="1579A753">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园林工程</w:t>
            </w:r>
          </w:p>
        </w:tc>
      </w:tr>
      <w:tr w14:paraId="3B0F0FB7">
        <w:tblPrEx>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14:paraId="2522E1DE">
            <w:pPr>
              <w:widowControl/>
              <w:jc w:val="center"/>
              <w:rPr>
                <w:rFonts w:hint="eastAsia" w:ascii="宋体" w:hAnsi="宋体" w:cs="宋体"/>
                <w:color w:val="auto"/>
                <w:kern w:val="0"/>
                <w:sz w:val="24"/>
              </w:rPr>
            </w:pPr>
            <w:r>
              <w:rPr>
                <w:rFonts w:hint="eastAsia" w:ascii="宋体" w:hAnsi="宋体" w:cs="宋体"/>
                <w:color w:val="auto"/>
                <w:kern w:val="0"/>
                <w:sz w:val="24"/>
                <w:lang w:val="en-US" w:eastAsia="zh-CN"/>
              </w:rPr>
              <w:t>1.3</w:t>
            </w:r>
          </w:p>
        </w:tc>
        <w:tc>
          <w:tcPr>
            <w:tcW w:w="5245" w:type="dxa"/>
            <w:tcBorders>
              <w:top w:val="single" w:color="auto" w:sz="4" w:space="0"/>
              <w:left w:val="single" w:color="auto" w:sz="4" w:space="0"/>
              <w:bottom w:val="single" w:color="auto" w:sz="4" w:space="0"/>
              <w:right w:val="single" w:color="auto" w:sz="4" w:space="0"/>
            </w:tcBorders>
            <w:shd w:val="clear" w:color="FFFFFF" w:fill="FFFFFF"/>
            <w:vAlign w:val="center"/>
          </w:tcPr>
          <w:p w14:paraId="29A677D2">
            <w:pPr>
              <w:widowControl/>
              <w:jc w:val="center"/>
              <w:rPr>
                <w:rFonts w:hint="eastAsia" w:ascii="宋体" w:hAnsi="宋体" w:cs="宋体"/>
                <w:color w:val="auto"/>
                <w:kern w:val="0"/>
                <w:sz w:val="24"/>
                <w:lang w:eastAsia="zh-CN"/>
              </w:rPr>
            </w:pPr>
            <w:r>
              <w:rPr>
                <w:rFonts w:hint="eastAsia" w:ascii="宋体" w:hAnsi="宋体" w:cs="宋体"/>
                <w:color w:val="auto"/>
                <w:kern w:val="0"/>
                <w:sz w:val="24"/>
                <w:lang w:val="en-US" w:eastAsia="zh-CN"/>
              </w:rPr>
              <w:t>排水工程</w:t>
            </w:r>
          </w:p>
        </w:tc>
      </w:tr>
      <w:tr w14:paraId="64706B85">
        <w:tblPrEx>
          <w:tblCellMar>
            <w:top w:w="0" w:type="dxa"/>
            <w:left w:w="108" w:type="dxa"/>
            <w:bottom w:w="0" w:type="dxa"/>
            <w:right w:w="108" w:type="dxa"/>
          </w:tblCellMar>
        </w:tblPrEx>
        <w:trPr>
          <w:trHeight w:val="315" w:hRule="atLeast"/>
        </w:trPr>
        <w:tc>
          <w:tcPr>
            <w:tcW w:w="1418" w:type="dxa"/>
            <w:tcBorders>
              <w:top w:val="single" w:color="auto" w:sz="4" w:space="0"/>
              <w:left w:val="single" w:color="auto" w:sz="4" w:space="0"/>
              <w:bottom w:val="single" w:color="auto" w:sz="4" w:space="0"/>
              <w:right w:val="single" w:color="auto" w:sz="4" w:space="0"/>
            </w:tcBorders>
            <w:shd w:val="clear" w:color="FFFFFF" w:fill="FFFFFF"/>
            <w:vAlign w:val="center"/>
          </w:tcPr>
          <w:p w14:paraId="7B6D11D8">
            <w:pPr>
              <w:widowControl/>
              <w:jc w:val="center"/>
              <w:rPr>
                <w:rFonts w:hint="eastAsia" w:ascii="宋体" w:hAnsi="宋体" w:cs="宋体"/>
                <w:color w:val="auto"/>
                <w:kern w:val="0"/>
                <w:sz w:val="24"/>
              </w:rPr>
            </w:pPr>
            <w:r>
              <w:rPr>
                <w:rFonts w:hint="eastAsia" w:ascii="宋体" w:hAnsi="宋体" w:cs="宋体"/>
                <w:color w:val="auto"/>
                <w:kern w:val="0"/>
                <w:sz w:val="24"/>
                <w:lang w:val="en-US" w:eastAsia="zh-CN"/>
              </w:rPr>
              <w:t>1.4</w:t>
            </w:r>
          </w:p>
        </w:tc>
        <w:tc>
          <w:tcPr>
            <w:tcW w:w="5245" w:type="dxa"/>
            <w:tcBorders>
              <w:top w:val="single" w:color="auto" w:sz="4" w:space="0"/>
              <w:left w:val="single" w:color="auto" w:sz="4" w:space="0"/>
              <w:bottom w:val="single" w:color="auto" w:sz="4" w:space="0"/>
              <w:right w:val="single" w:color="auto" w:sz="4" w:space="0"/>
            </w:tcBorders>
            <w:shd w:val="clear" w:color="FFFFFF" w:fill="FFFFFF"/>
            <w:vAlign w:val="center"/>
          </w:tcPr>
          <w:p w14:paraId="52B4A033">
            <w:pPr>
              <w:widowControl/>
              <w:jc w:val="center"/>
              <w:rPr>
                <w:rFonts w:hint="eastAsia" w:ascii="宋体" w:hAnsi="宋体" w:cs="宋体"/>
                <w:color w:val="auto"/>
                <w:kern w:val="0"/>
                <w:sz w:val="24"/>
                <w:lang w:eastAsia="zh-CN"/>
              </w:rPr>
            </w:pPr>
            <w:r>
              <w:rPr>
                <w:rFonts w:hint="eastAsia" w:ascii="宋体" w:hAnsi="宋体" w:cs="宋体"/>
                <w:color w:val="auto"/>
                <w:kern w:val="0"/>
                <w:sz w:val="24"/>
                <w:lang w:val="en-US" w:eastAsia="zh-CN"/>
              </w:rPr>
              <w:t>交通工程</w:t>
            </w:r>
          </w:p>
        </w:tc>
      </w:tr>
    </w:tbl>
    <w:p w14:paraId="7F88AF8A">
      <w:pPr>
        <w:spacing w:line="420" w:lineRule="exact"/>
        <w:rPr>
          <w:rFonts w:ascii="宋体" w:hAnsi="宋体"/>
          <w:b/>
          <w:color w:val="auto"/>
          <w:sz w:val="28"/>
          <w:szCs w:val="28"/>
        </w:rPr>
      </w:pPr>
    </w:p>
    <w:p w14:paraId="127AE6A3">
      <w:pPr>
        <w:spacing w:line="420" w:lineRule="exact"/>
        <w:rPr>
          <w:rFonts w:hint="eastAsia" w:ascii="宋体" w:hAnsi="宋体"/>
          <w:b/>
          <w:color w:val="auto"/>
          <w:sz w:val="28"/>
          <w:szCs w:val="28"/>
        </w:rPr>
      </w:pPr>
      <w:r>
        <w:rPr>
          <w:rFonts w:hint="eastAsia" w:ascii="宋体" w:hAnsi="宋体"/>
          <w:b/>
          <w:color w:val="auto"/>
          <w:sz w:val="28"/>
          <w:szCs w:val="28"/>
        </w:rPr>
        <w:t>具体工程内容及工程量清单</w:t>
      </w:r>
      <w:r>
        <w:rPr>
          <w:rFonts w:hint="eastAsia" w:ascii="宋体" w:hAnsi="宋体"/>
          <w:b/>
          <w:color w:val="auto"/>
          <w:sz w:val="28"/>
          <w:szCs w:val="28"/>
          <w:highlight w:val="none"/>
        </w:rPr>
        <w:t>、暂定价</w:t>
      </w:r>
      <w:r>
        <w:rPr>
          <w:rFonts w:hint="eastAsia" w:ascii="宋体" w:hAnsi="宋体"/>
          <w:b/>
          <w:color w:val="auto"/>
          <w:sz w:val="28"/>
          <w:szCs w:val="28"/>
        </w:rPr>
        <w:t>材料详见随本采购公告一起发布的图纸、预算报告书等。</w:t>
      </w:r>
    </w:p>
    <w:p w14:paraId="12C0E410">
      <w:pPr>
        <w:keepNext w:val="0"/>
        <w:keepLines w:val="0"/>
        <w:pageBreakBefore w:val="0"/>
        <w:widowControl w:val="0"/>
        <w:kinsoku/>
        <w:wordWrap/>
        <w:overflowPunct/>
        <w:topLinePunct w:val="0"/>
        <w:autoSpaceDE/>
        <w:autoSpaceDN/>
        <w:bidi w:val="0"/>
        <w:adjustRightInd/>
        <w:snapToGrid w:val="0"/>
        <w:spacing w:line="390" w:lineRule="exact"/>
        <w:ind w:firstLine="422" w:firstLineChars="200"/>
        <w:textAlignment w:val="auto"/>
        <w:rPr>
          <w:rFonts w:hint="eastAsia" w:ascii="宋体" w:hAnsi="宋体" w:eastAsia="宋体" w:cs="宋体"/>
          <w:bCs/>
          <w:sz w:val="24"/>
          <w:highlight w:val="none"/>
          <w:lang w:val="en-US" w:eastAsia="zh-CN"/>
        </w:rPr>
      </w:pPr>
      <w:r>
        <w:rPr>
          <w:rFonts w:hint="eastAsia" w:ascii="宋体" w:hAnsi="宋体"/>
          <w:b/>
          <w:bCs/>
          <w:kern w:val="0"/>
          <w:szCs w:val="21"/>
          <w:lang w:val="en-US" w:eastAsia="zh-CN"/>
        </w:rPr>
        <w:t>▲本工程施工范围内涉及到的政策处理问题和相关协调费用，由中标人自行负责包含在本次投标报价内。</w:t>
      </w:r>
    </w:p>
    <w:p w14:paraId="76E82B5C">
      <w:pPr>
        <w:keepNext w:val="0"/>
        <w:keepLines w:val="0"/>
        <w:pageBreakBefore w:val="0"/>
        <w:widowControl w:val="0"/>
        <w:numPr>
          <w:ilvl w:val="0"/>
          <w:numId w:val="4"/>
        </w:numPr>
        <w:kinsoku/>
        <w:wordWrap/>
        <w:overflowPunct/>
        <w:topLinePunct w:val="0"/>
        <w:autoSpaceDE/>
        <w:autoSpaceDN/>
        <w:bidi w:val="0"/>
        <w:adjustRightInd/>
        <w:snapToGrid w:val="0"/>
        <w:spacing w:line="39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质量目标</w:t>
      </w:r>
      <w:r>
        <w:rPr>
          <w:rFonts w:hint="eastAsia" w:ascii="宋体" w:hAnsi="宋体" w:eastAsia="宋体" w:cs="宋体"/>
          <w:bCs/>
          <w:sz w:val="24"/>
          <w:highlight w:val="none"/>
        </w:rPr>
        <w:t>：合格，本项目保修期按照国家相关规定执行。</w:t>
      </w:r>
    </w:p>
    <w:p w14:paraId="6955267C">
      <w:pPr>
        <w:keepNext w:val="0"/>
        <w:keepLines w:val="0"/>
        <w:pageBreakBefore w:val="0"/>
        <w:widowControl w:val="0"/>
        <w:kinsoku/>
        <w:wordWrap/>
        <w:overflowPunct/>
        <w:topLinePunct w:val="0"/>
        <w:autoSpaceDE/>
        <w:autoSpaceDN/>
        <w:bidi w:val="0"/>
        <w:adjustRightInd/>
        <w:spacing w:line="39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四、工程技术规范要求及图纸</w:t>
      </w:r>
    </w:p>
    <w:p w14:paraId="70884E9C">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成交供应商应按下列法律、法规及行业的有关规定和要求及本项目磋商文件的要求对本工程进行施工。</w:t>
      </w:r>
    </w:p>
    <w:p w14:paraId="71E9B4CB">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国家关于工程建设现行的有关法律、法规及行业的有关规定。</w:t>
      </w:r>
    </w:p>
    <w:p w14:paraId="7CA52D9E">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国家关于工程建设现行的规范、标准及行业的有关规定。</w:t>
      </w:r>
    </w:p>
    <w:p w14:paraId="65E8B0AE">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发包人有关工程建设方面的标准和规定。</w:t>
      </w:r>
    </w:p>
    <w:p w14:paraId="03014129">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b/>
          <w:bCs/>
          <w:sz w:val="24"/>
          <w:highlight w:val="none"/>
        </w:rPr>
      </w:pPr>
      <w:r>
        <w:rPr>
          <w:rFonts w:hint="eastAsia" w:ascii="宋体" w:hAnsi="宋体" w:eastAsia="宋体" w:cs="宋体"/>
          <w:sz w:val="24"/>
          <w:highlight w:val="none"/>
        </w:rPr>
        <w:t>实施中所用标准和技术规范均应以合同签订之日为止时的最新版本为准。</w:t>
      </w:r>
      <w:bookmarkStart w:id="9" w:name="_Toc425156742"/>
      <w:bookmarkStart w:id="10" w:name="_Toc493490651"/>
      <w:bookmarkStart w:id="11" w:name="_Toc426377903"/>
      <w:bookmarkStart w:id="12" w:name="_Toc12112"/>
      <w:bookmarkStart w:id="13" w:name="_Toc372899889"/>
      <w:bookmarkStart w:id="14" w:name="_Toc425760638"/>
      <w:bookmarkStart w:id="15" w:name="_Toc229990372"/>
      <w:bookmarkStart w:id="16" w:name="_Toc394573959"/>
      <w:bookmarkStart w:id="17" w:name="_Toc283886272"/>
      <w:bookmarkStart w:id="18" w:name="_Toc282596327"/>
      <w:bookmarkStart w:id="19" w:name="_Toc288556315"/>
      <w:bookmarkStart w:id="20" w:name="_Toc283976562"/>
      <w:bookmarkStart w:id="21" w:name="_Toc66769197"/>
    </w:p>
    <w:p w14:paraId="0AE3AA4E">
      <w:pPr>
        <w:keepNext w:val="0"/>
        <w:keepLines w:val="0"/>
        <w:pageBreakBefore w:val="0"/>
        <w:widowControl w:val="0"/>
        <w:kinsoku/>
        <w:wordWrap/>
        <w:overflowPunct/>
        <w:topLinePunct w:val="0"/>
        <w:autoSpaceDE/>
        <w:autoSpaceDN/>
        <w:bidi w:val="0"/>
        <w:adjustRightInd/>
        <w:spacing w:line="39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sz w:val="24"/>
          <w:highlight w:val="none"/>
        </w:rPr>
        <w:t>五、材料质量要求</w:t>
      </w:r>
      <w:bookmarkEnd w:id="9"/>
      <w:bookmarkEnd w:id="10"/>
      <w:bookmarkEnd w:id="11"/>
      <w:bookmarkEnd w:id="12"/>
      <w:bookmarkEnd w:id="13"/>
      <w:bookmarkEnd w:id="14"/>
      <w:bookmarkEnd w:id="15"/>
      <w:bookmarkEnd w:id="16"/>
      <w:bookmarkEnd w:id="17"/>
      <w:bookmarkEnd w:id="18"/>
      <w:bookmarkEnd w:id="19"/>
      <w:bookmarkEnd w:id="20"/>
    </w:p>
    <w:p w14:paraId="58C268E6">
      <w:pPr>
        <w:pStyle w:val="405"/>
        <w:keepNext w:val="0"/>
        <w:keepLines w:val="0"/>
        <w:pageBreakBefore w:val="0"/>
        <w:widowControl w:val="0"/>
        <w:kinsoku/>
        <w:wordWrap/>
        <w:overflowPunct/>
        <w:topLinePunct w:val="0"/>
        <w:autoSpaceDE/>
        <w:autoSpaceDN/>
        <w:bidi w:val="0"/>
        <w:adjustRightInd/>
        <w:spacing w:line="390" w:lineRule="exact"/>
        <w:ind w:firstLine="48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1.材料选择</w:t>
      </w:r>
      <w:bookmarkEnd w:id="21"/>
    </w:p>
    <w:p w14:paraId="30E6FCD7">
      <w:pPr>
        <w:pStyle w:val="405"/>
        <w:spacing w:line="400" w:lineRule="exact"/>
        <w:ind w:firstLine="480"/>
        <w:rPr>
          <w:rFonts w:ascii="宋体" w:hAnsi="宋体"/>
          <w:sz w:val="24"/>
        </w:rPr>
      </w:pPr>
      <w:r>
        <w:rPr>
          <w:rFonts w:hint="eastAsia" w:ascii="宋体" w:hAnsi="宋体"/>
          <w:color w:val="auto"/>
          <w:sz w:val="24"/>
        </w:rPr>
        <w:t>本招标文件涉及的其他主要材料及零星材料，各投标人</w:t>
      </w:r>
      <w:r>
        <w:rPr>
          <w:rFonts w:hint="eastAsia" w:ascii="宋体" w:hAnsi="宋体"/>
          <w:sz w:val="24"/>
        </w:rPr>
        <w:t>须根据设计施工图及预算书的要求按中高档的用材标准进行选材并报价，所有建筑材料要求采用在行业内有一定知名度的品牌，并符合环保要求，严禁选择不合设计要求的低档材料进行投标报价及组织施工实施。</w:t>
      </w:r>
    </w:p>
    <w:p w14:paraId="443316D4">
      <w:pPr>
        <w:pStyle w:val="405"/>
        <w:spacing w:line="400" w:lineRule="exact"/>
        <w:ind w:firstLine="480"/>
        <w:rPr>
          <w:rFonts w:ascii="宋体" w:hAnsi="宋体"/>
          <w:sz w:val="24"/>
        </w:rPr>
      </w:pPr>
      <w:bookmarkStart w:id="22" w:name="_Toc66769198"/>
      <w:r>
        <w:rPr>
          <w:rFonts w:hint="eastAsia" w:ascii="宋体" w:hAnsi="宋体"/>
          <w:b/>
          <w:bCs/>
          <w:sz w:val="24"/>
        </w:rPr>
        <w:t>2.材料的质量保证</w:t>
      </w:r>
      <w:bookmarkEnd w:id="22"/>
    </w:p>
    <w:p w14:paraId="622D2943">
      <w:pPr>
        <w:pStyle w:val="405"/>
        <w:spacing w:line="400" w:lineRule="exact"/>
        <w:ind w:firstLine="480"/>
        <w:rPr>
          <w:rFonts w:ascii="宋体" w:hAnsi="宋体"/>
          <w:sz w:val="24"/>
        </w:rPr>
      </w:pPr>
      <w:r>
        <w:rPr>
          <w:rFonts w:hint="eastAsia" w:ascii="宋体" w:hAnsi="宋体"/>
          <w:sz w:val="24"/>
        </w:rPr>
        <w:t>（1）在免费保修期内，承包人对有缺陷的部位必须无偿地给予修理与更换，并承担一切由此引起的对发包人或第三者的直接损失，除非该缺陷是由于人为破坏或合同规定的不可抗因素造成的损坏。</w:t>
      </w:r>
    </w:p>
    <w:p w14:paraId="340F659D">
      <w:pPr>
        <w:pStyle w:val="405"/>
        <w:spacing w:line="400" w:lineRule="exact"/>
        <w:ind w:firstLine="480"/>
        <w:rPr>
          <w:rFonts w:ascii="宋体" w:hAnsi="宋体"/>
          <w:sz w:val="24"/>
        </w:rPr>
      </w:pPr>
      <w:r>
        <w:rPr>
          <w:rFonts w:hint="eastAsia" w:ascii="宋体" w:hAnsi="宋体"/>
          <w:sz w:val="24"/>
        </w:rPr>
        <w:t>（2）承包人必须对所承包的工程的质量负全部责任，其责任不因其他材料生产商提供的保证书而减轻或更改。</w:t>
      </w:r>
    </w:p>
    <w:p w14:paraId="2A21539D">
      <w:pPr>
        <w:pStyle w:val="405"/>
        <w:spacing w:line="400" w:lineRule="exact"/>
        <w:ind w:firstLine="480"/>
        <w:rPr>
          <w:rFonts w:ascii="宋体" w:hAnsi="宋体"/>
          <w:sz w:val="24"/>
        </w:rPr>
      </w:pPr>
      <w:r>
        <w:rPr>
          <w:rFonts w:hint="eastAsia" w:ascii="宋体" w:hAnsi="宋体"/>
          <w:sz w:val="24"/>
        </w:rPr>
        <w:t>（3）材料检验结果证明其有害物质含量指标超标的产品不得在工程上使用。</w:t>
      </w:r>
    </w:p>
    <w:p w14:paraId="2994FB12">
      <w:pPr>
        <w:pStyle w:val="405"/>
        <w:spacing w:line="400" w:lineRule="exact"/>
        <w:ind w:firstLine="480"/>
        <w:rPr>
          <w:rFonts w:ascii="宋体" w:hAnsi="宋体"/>
          <w:sz w:val="24"/>
        </w:rPr>
      </w:pPr>
      <w:r>
        <w:rPr>
          <w:rFonts w:hint="eastAsia" w:ascii="宋体" w:hAnsi="宋体"/>
          <w:b/>
          <w:bCs/>
          <w:sz w:val="24"/>
        </w:rPr>
        <w:t>3.供应要求</w:t>
      </w:r>
    </w:p>
    <w:p w14:paraId="78F74781">
      <w:pPr>
        <w:pStyle w:val="405"/>
        <w:spacing w:line="400" w:lineRule="exact"/>
        <w:ind w:firstLine="480"/>
        <w:rPr>
          <w:rFonts w:ascii="宋体" w:hAnsi="宋体"/>
          <w:sz w:val="24"/>
        </w:rPr>
      </w:pPr>
      <w:r>
        <w:rPr>
          <w:rFonts w:hint="eastAsia" w:ascii="宋体" w:hAnsi="宋体"/>
          <w:sz w:val="24"/>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6886A8C9">
      <w:pPr>
        <w:pStyle w:val="405"/>
        <w:spacing w:line="400" w:lineRule="exact"/>
        <w:ind w:firstLine="480"/>
        <w:rPr>
          <w:rFonts w:ascii="宋体" w:hAnsi="宋体"/>
          <w:sz w:val="24"/>
        </w:rPr>
      </w:pPr>
      <w:bookmarkStart w:id="23" w:name="_Toc61168478"/>
      <w:bookmarkStart w:id="24" w:name="_Toc163749454"/>
      <w:bookmarkStart w:id="25" w:name="_Toc66769200"/>
      <w:r>
        <w:rPr>
          <w:rFonts w:hint="eastAsia" w:ascii="宋体" w:hAnsi="宋体"/>
          <w:sz w:val="24"/>
        </w:rPr>
        <w:t>（2）由承包人采购的主要建筑材料，当承包人选定的产品质量达不到设计要求和预期质量目标时，发包人保留更换的权利，且中标价不予调整。</w:t>
      </w:r>
      <w:bookmarkEnd w:id="23"/>
      <w:bookmarkEnd w:id="24"/>
      <w:bookmarkEnd w:id="25"/>
      <w:bookmarkStart w:id="26" w:name="_Toc229990373"/>
      <w:bookmarkStart w:id="27" w:name="_Toc282596328"/>
      <w:bookmarkStart w:id="28" w:name="_Toc91422889"/>
      <w:bookmarkStart w:id="29" w:name="_Toc372899890"/>
      <w:bookmarkStart w:id="30" w:name="_Toc283976563"/>
      <w:bookmarkStart w:id="31" w:name="_Toc493490652"/>
      <w:bookmarkStart w:id="32" w:name="_Toc21079"/>
      <w:bookmarkStart w:id="33" w:name="_Toc483227471"/>
      <w:bookmarkStart w:id="34" w:name="_Toc288556316"/>
      <w:bookmarkStart w:id="35" w:name="_Toc119983975"/>
      <w:bookmarkStart w:id="36" w:name="_Toc283886273"/>
      <w:bookmarkStart w:id="37" w:name="_Toc394573960"/>
    </w:p>
    <w:p w14:paraId="4ED6247A">
      <w:pPr>
        <w:pStyle w:val="405"/>
        <w:spacing w:line="400" w:lineRule="exact"/>
        <w:ind w:firstLine="482"/>
        <w:rPr>
          <w:rFonts w:ascii="宋体" w:hAnsi="宋体"/>
          <w:sz w:val="24"/>
        </w:rPr>
      </w:pPr>
      <w:r>
        <w:rPr>
          <w:rFonts w:hint="eastAsia" w:ascii="宋体" w:hAnsi="宋体"/>
          <w:b/>
          <w:sz w:val="24"/>
        </w:rPr>
        <w:t>六、工程管理的要求</w:t>
      </w:r>
      <w:bookmarkEnd w:id="26"/>
      <w:bookmarkEnd w:id="27"/>
      <w:bookmarkEnd w:id="28"/>
      <w:bookmarkEnd w:id="29"/>
      <w:bookmarkEnd w:id="30"/>
      <w:bookmarkEnd w:id="31"/>
      <w:bookmarkEnd w:id="32"/>
      <w:bookmarkEnd w:id="33"/>
      <w:bookmarkEnd w:id="34"/>
      <w:bookmarkEnd w:id="35"/>
      <w:bookmarkEnd w:id="36"/>
      <w:bookmarkEnd w:id="37"/>
    </w:p>
    <w:p w14:paraId="59B12962">
      <w:pPr>
        <w:pStyle w:val="405"/>
        <w:spacing w:line="400" w:lineRule="exact"/>
        <w:ind w:firstLine="480"/>
        <w:rPr>
          <w:rFonts w:ascii="宋体" w:hAnsi="宋体"/>
          <w:sz w:val="24"/>
        </w:rPr>
      </w:pPr>
      <w:r>
        <w:rPr>
          <w:rFonts w:hint="eastAsia" w:ascii="宋体" w:hAnsi="宋体"/>
          <w:sz w:val="24"/>
        </w:rPr>
        <w:t>1. 本工程发包范围内的工程项目，未经发包人同意一律不得分包。一经发现立即取消承包资格，作违约处理，并承担由此引起的一切经济损失。</w:t>
      </w:r>
    </w:p>
    <w:p w14:paraId="07815300">
      <w:pPr>
        <w:spacing w:line="400" w:lineRule="exact"/>
        <w:ind w:firstLine="480" w:firstLineChars="200"/>
        <w:rPr>
          <w:rFonts w:ascii="宋体" w:hAnsi="宋体" w:cs="宋体"/>
          <w:b/>
          <w:sz w:val="24"/>
        </w:rPr>
      </w:pPr>
      <w:r>
        <w:rPr>
          <w:rFonts w:hint="eastAsia" w:ascii="宋体" w:hAnsi="宋体" w:cs="宋体"/>
          <w:sz w:val="24"/>
        </w:rPr>
        <w:t>2. 承包人应严格按已确认设计图纸和施工技术方案组织施工，并无条件地接受发包人委托的监理单位对施工质量的监督和管理。</w:t>
      </w:r>
    </w:p>
    <w:p w14:paraId="3816B27F">
      <w:pPr>
        <w:spacing w:line="400" w:lineRule="exact"/>
        <w:ind w:firstLine="482" w:firstLineChars="200"/>
        <w:rPr>
          <w:rFonts w:ascii="宋体" w:hAnsi="宋体" w:cs="宋体"/>
          <w:b/>
          <w:sz w:val="24"/>
        </w:rPr>
      </w:pPr>
      <w:r>
        <w:rPr>
          <w:rFonts w:hint="eastAsia" w:ascii="宋体" w:hAnsi="宋体" w:cs="宋体"/>
          <w:b/>
          <w:sz w:val="24"/>
        </w:rPr>
        <w:t xml:space="preserve">七、相关问题特别澄清： </w:t>
      </w:r>
    </w:p>
    <w:p w14:paraId="7548ADD5">
      <w:pPr>
        <w:spacing w:line="400" w:lineRule="exact"/>
        <w:ind w:firstLine="480" w:firstLineChars="200"/>
        <w:rPr>
          <w:rFonts w:ascii="宋体" w:hAnsi="宋体" w:cs="宋体"/>
          <w:sz w:val="24"/>
          <w:highlight w:val="none"/>
        </w:rPr>
      </w:pPr>
      <w:r>
        <w:rPr>
          <w:rFonts w:hint="eastAsia" w:ascii="宋体" w:hAnsi="宋体" w:cs="宋体"/>
          <w:sz w:val="24"/>
          <w:highlight w:val="none"/>
        </w:rPr>
        <w:t>1.工作内容详见图纸、工程预算报告。</w:t>
      </w:r>
    </w:p>
    <w:p w14:paraId="73E4174A">
      <w:pPr>
        <w:spacing w:line="400" w:lineRule="exact"/>
        <w:ind w:firstLine="480" w:firstLineChars="200"/>
        <w:rPr>
          <w:rFonts w:ascii="宋体" w:hAnsi="宋体" w:cs="宋体"/>
          <w:sz w:val="24"/>
          <w:highlight w:val="none"/>
        </w:rPr>
      </w:pPr>
      <w:r>
        <w:rPr>
          <w:rFonts w:hint="eastAsia" w:ascii="宋体" w:hAnsi="宋体" w:cs="宋体"/>
          <w:sz w:val="24"/>
          <w:highlight w:val="none"/>
        </w:rPr>
        <w:t>2.施工用地、用水、用电：由施工方自行解决，费用已包含在综合单价内，结算时不再调整。</w:t>
      </w:r>
    </w:p>
    <w:p w14:paraId="21F200AA">
      <w:pPr>
        <w:spacing w:line="400" w:lineRule="exact"/>
        <w:ind w:firstLine="480" w:firstLineChars="200"/>
        <w:rPr>
          <w:rFonts w:ascii="宋体" w:hAnsi="宋体" w:cs="宋体"/>
          <w:sz w:val="24"/>
        </w:rPr>
      </w:pPr>
      <w:r>
        <w:rPr>
          <w:rFonts w:hint="eastAsia" w:ascii="宋体" w:hAnsi="宋体" w:cs="宋体"/>
          <w:sz w:val="24"/>
          <w:highlight w:val="none"/>
        </w:rPr>
        <w:t>3.招标人有权根据工程需要增加或减少部分工程量，成交供应商不得拒绝施</w:t>
      </w:r>
      <w:r>
        <w:rPr>
          <w:rFonts w:hint="eastAsia" w:ascii="宋体" w:hAnsi="宋体" w:cs="宋体"/>
          <w:sz w:val="24"/>
        </w:rPr>
        <w:t>工。</w:t>
      </w:r>
    </w:p>
    <w:p w14:paraId="270223A2">
      <w:pPr>
        <w:spacing w:line="400" w:lineRule="exact"/>
        <w:ind w:firstLine="480" w:firstLineChars="200"/>
        <w:rPr>
          <w:rFonts w:ascii="宋体" w:hAnsi="宋体" w:cs="宋体"/>
          <w:sz w:val="24"/>
        </w:rPr>
      </w:pPr>
      <w:r>
        <w:rPr>
          <w:rFonts w:hint="eastAsia" w:ascii="宋体" w:hAnsi="宋体" w:cs="宋体"/>
          <w:sz w:val="24"/>
        </w:rPr>
        <w:t>4.安全文明施工的措施标准应符合国家、业内及当地有关规定，费用已包含在综合单价内。</w:t>
      </w:r>
    </w:p>
    <w:p w14:paraId="4C927688">
      <w:pPr>
        <w:spacing w:line="400" w:lineRule="exact"/>
        <w:ind w:firstLine="480" w:firstLineChars="200"/>
        <w:rPr>
          <w:rFonts w:ascii="宋体" w:hAnsi="宋体" w:cs="宋体"/>
          <w:sz w:val="24"/>
        </w:rPr>
      </w:pPr>
      <w:r>
        <w:rPr>
          <w:rFonts w:hint="eastAsia" w:ascii="宋体" w:hAnsi="宋体" w:cs="宋体"/>
          <w:sz w:val="24"/>
        </w:rPr>
        <w:t>5.成交供应商要加强施工质量管理，施工过程中必须接受招标人的监督和检查。倘若工程质量不合要求，招标人有权暂停施工，成交供应商必须无条件返工重做，由此造成的损失由成交供应商自行承担。</w:t>
      </w:r>
    </w:p>
    <w:p w14:paraId="1CC35519">
      <w:pPr>
        <w:snapToGrid w:val="0"/>
        <w:spacing w:line="400" w:lineRule="exact"/>
        <w:ind w:firstLine="480" w:firstLineChars="200"/>
        <w:rPr>
          <w:rFonts w:ascii="宋体" w:hAnsi="宋体" w:cs="宋体"/>
          <w:b/>
          <w:sz w:val="24"/>
        </w:rPr>
      </w:pPr>
      <w:r>
        <w:rPr>
          <w:rFonts w:hint="eastAsia" w:ascii="宋体" w:hAnsi="宋体" w:cs="宋体"/>
          <w:sz w:val="24"/>
        </w:rPr>
        <w:t>6.成交供应商应严格按照项目隐蔽工程的验收管理规定执行隐蔽工程的管理，落实隐蔽工程相关资料的留底存档，主动接受招标人和监理单位的监督审核。</w:t>
      </w:r>
    </w:p>
    <w:p w14:paraId="41737A2C">
      <w:pPr>
        <w:spacing w:line="420" w:lineRule="exact"/>
        <w:rPr>
          <w:rFonts w:ascii="宋体" w:hAnsi="宋体"/>
          <w:b/>
          <w:color w:val="000000"/>
          <w:sz w:val="24"/>
        </w:rPr>
      </w:pPr>
      <w:r>
        <w:rPr>
          <w:rFonts w:hint="eastAsia" w:ascii="宋体" w:hAnsi="宋体"/>
          <w:b/>
          <w:color w:val="000000"/>
          <w:sz w:val="24"/>
        </w:rPr>
        <w:t>注：</w:t>
      </w:r>
    </w:p>
    <w:p w14:paraId="6EEE3D4C">
      <w:pPr>
        <w:spacing w:line="420" w:lineRule="exact"/>
        <w:rPr>
          <w:rFonts w:ascii="宋体" w:hAnsi="宋体"/>
          <w:bCs/>
          <w:sz w:val="24"/>
        </w:rPr>
      </w:pPr>
      <w:r>
        <w:rPr>
          <w:rFonts w:hint="eastAsia" w:ascii="宋体" w:hAnsi="宋体"/>
          <w:bCs/>
          <w:sz w:val="24"/>
        </w:rPr>
        <w:t>1、▲</w:t>
      </w:r>
      <w:r>
        <w:rPr>
          <w:rFonts w:hint="eastAsia" w:ascii="宋体" w:hAnsi="宋体"/>
          <w:bCs/>
          <w:sz w:val="24"/>
          <w:u w:val="single"/>
          <w:shd w:val="pct10" w:color="auto" w:fill="FFFFFF"/>
        </w:rPr>
        <w:t>投标总报价按照磋商文件提供的工程量进行报价，不得减少。</w:t>
      </w:r>
    </w:p>
    <w:p w14:paraId="442C9C01">
      <w:pPr>
        <w:spacing w:line="420" w:lineRule="exact"/>
        <w:rPr>
          <w:rFonts w:ascii="宋体" w:hAnsi="宋体"/>
          <w:b/>
          <w:sz w:val="24"/>
        </w:rPr>
      </w:pPr>
      <w:r>
        <w:rPr>
          <w:rFonts w:ascii="宋体" w:hAnsi="宋体"/>
          <w:b/>
          <w:sz w:val="24"/>
        </w:rPr>
        <w:t>2</w:t>
      </w:r>
      <w:r>
        <w:rPr>
          <w:rFonts w:hint="eastAsia" w:ascii="宋体" w:hAnsi="宋体"/>
          <w:b/>
          <w:sz w:val="24"/>
        </w:rPr>
        <w:t>、本采购标的对应的中小企业划分标准所属行业为：建筑业。</w:t>
      </w:r>
    </w:p>
    <w:p w14:paraId="1CFD463E">
      <w:pPr>
        <w:spacing w:line="460" w:lineRule="exact"/>
        <w:rPr>
          <w:rFonts w:ascii="宋体" w:hAnsi="宋体"/>
          <w:b/>
          <w:sz w:val="24"/>
          <w:shd w:val="pct10" w:color="auto" w:fill="FFFFFF"/>
        </w:rPr>
      </w:pPr>
      <w:r>
        <w:rPr>
          <w:rFonts w:ascii="宋体" w:hAnsi="宋体"/>
          <w:b/>
          <w:sz w:val="24"/>
          <w:shd w:val="pct10" w:color="auto" w:fill="FFFFFF"/>
        </w:rPr>
        <w:t>3</w:t>
      </w:r>
      <w:r>
        <w:rPr>
          <w:rFonts w:hint="eastAsia" w:ascii="宋体" w:hAnsi="宋体"/>
          <w:b/>
          <w:sz w:val="24"/>
          <w:shd w:val="pct10" w:color="auto" w:fill="FFFFFF"/>
        </w:rPr>
        <w:t>、带▲是实质性条款，投标人不得负偏离或内容缺失，否则为无效标。</w:t>
      </w:r>
    </w:p>
    <w:p w14:paraId="60FF54BD">
      <w:pPr>
        <w:snapToGrid w:val="0"/>
        <w:spacing w:line="312" w:lineRule="auto"/>
        <w:rPr>
          <w:rFonts w:ascii="宋体" w:hAnsi="宋体" w:cs="宋体"/>
          <w:b/>
          <w:bCs/>
          <w:kern w:val="0"/>
          <w:sz w:val="24"/>
        </w:rPr>
      </w:pPr>
      <w:r>
        <w:rPr>
          <w:rFonts w:hint="eastAsia" w:ascii="宋体" w:hAnsi="宋体" w:cs="宋体"/>
          <w:b/>
          <w:bCs/>
          <w:kern w:val="0"/>
          <w:sz w:val="24"/>
        </w:rPr>
        <w:t>4、其他要求：</w:t>
      </w:r>
    </w:p>
    <w:p w14:paraId="1544C182">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14:paraId="1D21990D">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a.原承接的项目与本工程属于同一工程相邻分段发包或分期施工的；</w:t>
      </w:r>
    </w:p>
    <w:p w14:paraId="743AA576">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b.因非承包方原因致使工程项目停工超过120天（含），经建设单位同意的（并须提供经工程所在地建设行政主管部门同意停工的书面证明）。</w:t>
      </w:r>
    </w:p>
    <w:p w14:paraId="462E3A68">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c.合同约定的工程已完工，承包方向建设单位提交竣工（交工）报告时间已超过120天（含），且经建设单位同意可承接其他项目的（并须提供经工程所在地建设行政主管部门书面证明和竣工（交工）报告）。</w:t>
      </w:r>
    </w:p>
    <w:p w14:paraId="183F9B44">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如发生以上情形，投标人应在递交投标文件的同时将有关书面证明材料（以电子文档形式随资格文件上传）提交，投标截止日后提供的证明材料视为瞒报、漏报，将不予认可。</w:t>
      </w:r>
    </w:p>
    <w:p w14:paraId="79360348">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项目负责人在原承接项目的中标候选人公示、中标公示、中标通知书、合同、施工许可证、现场公告牌、管理部门的网站或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14:paraId="26662C9B">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2）项目负责人不得同时在两个或者两个以上单位受聘或者执业（仅指项目负责人不得同时是其他单位的公务员或者事业单位在编人员，涉及到其他情形的，投标资格不受影响）。</w:t>
      </w:r>
    </w:p>
    <w:p w14:paraId="17310861">
      <w:pPr>
        <w:snapToGrid w:val="0"/>
        <w:spacing w:line="312" w:lineRule="auto"/>
        <w:ind w:firstLine="480"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）投标人不得存在下列情形之一：</w:t>
      </w:r>
    </w:p>
    <w:p w14:paraId="7380E683">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（1）为招标人不具有独立法人资格的附属机构（单位）； </w:t>
      </w:r>
    </w:p>
    <w:p w14:paraId="4720B344">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（2）为本工程前期准备提供设计或咨询服务的，但设计施工总承包的除外； </w:t>
      </w:r>
    </w:p>
    <w:p w14:paraId="7048519F">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（3）为本工程的监理人；</w:t>
      </w:r>
    </w:p>
    <w:p w14:paraId="1B65E6DF">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（4）为本工程的代建人； </w:t>
      </w:r>
    </w:p>
    <w:p w14:paraId="72A6F35D">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（5）为本工程提供招标代理服务的； </w:t>
      </w:r>
    </w:p>
    <w:p w14:paraId="3BD182A0">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（6）与本工程的监理人或代建人或招标代理机构同为一个法定代表人的；</w:t>
      </w:r>
    </w:p>
    <w:p w14:paraId="145C0CD3">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（7）与本工程的监理人或代建人或招标代理机构相互控股或参股的；</w:t>
      </w:r>
    </w:p>
    <w:p w14:paraId="70C3B5E9">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（8）与本工程的监理人或代建人或招标代理机构相互任职或工作的；</w:t>
      </w:r>
    </w:p>
    <w:p w14:paraId="6F5D167D">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（9）被责令停业的； </w:t>
      </w:r>
    </w:p>
    <w:p w14:paraId="0D0D9046">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（10）被暂停或取消投标资格的（包括项目负责人）； </w:t>
      </w:r>
    </w:p>
    <w:p w14:paraId="403B9AB4">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（11）安全生产许可证超出有效期或处于暂扣时限内的；</w:t>
      </w:r>
    </w:p>
    <w:p w14:paraId="3661A2B8">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（12）投标人及相关管理人员（包括项目负责人）安全生产任职资格不符合相关规定；</w:t>
      </w:r>
    </w:p>
    <w:p w14:paraId="533DC9B3">
      <w:pPr>
        <w:jc w:val="both"/>
        <w:rPr>
          <w:rFonts w:hint="eastAsia" w:ascii="宋体" w:hAnsi="宋体" w:eastAsia="宋体" w:cs="宋体"/>
          <w:b/>
          <w:bCs/>
          <w:color w:val="000000"/>
          <w:sz w:val="28"/>
          <w:szCs w:val="28"/>
          <w:highlight w:val="none"/>
        </w:rPr>
      </w:pPr>
      <w:r>
        <w:rPr>
          <w:rFonts w:hint="eastAsia" w:ascii="宋体" w:hAnsi="宋体" w:cs="宋体"/>
          <w:bCs/>
          <w:kern w:val="0"/>
          <w:sz w:val="24"/>
        </w:rPr>
        <w:t>（13）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64590A42">
      <w:pPr>
        <w:keepNext w:val="0"/>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sz w:val="30"/>
          <w:szCs w:val="30"/>
          <w:highlight w:val="none"/>
        </w:rPr>
      </w:pPr>
      <w:r>
        <w:rPr>
          <w:rFonts w:hint="eastAsia" w:ascii="宋体" w:hAnsi="宋体" w:eastAsia="宋体" w:cs="宋体"/>
          <w:b/>
          <w:color w:val="000000"/>
          <w:kern w:val="0"/>
          <w:sz w:val="30"/>
          <w:szCs w:val="30"/>
          <w:highlight w:val="none"/>
          <w:lang w:val="en-US" w:eastAsia="zh-CN" w:bidi="ar-SA"/>
        </w:rPr>
        <w:t>第三章  供应商磋商须知</w:t>
      </w:r>
    </w:p>
    <w:p w14:paraId="0FD37A0B">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前附表</w:t>
      </w:r>
    </w:p>
    <w:tbl>
      <w:tblPr>
        <w:tblStyle w:val="51"/>
        <w:tblW w:w="0" w:type="auto"/>
        <w:tblInd w:w="-2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914"/>
      </w:tblGrid>
      <w:tr w14:paraId="0A1DF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B0F6C3F">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2ACF2333">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内容、要求</w:t>
            </w:r>
          </w:p>
        </w:tc>
      </w:tr>
      <w:tr w14:paraId="76705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30E3EA0">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18A31D16">
            <w:pPr>
              <w:pStyle w:val="46"/>
              <w:keepNext w:val="0"/>
              <w:keepLines w:val="0"/>
              <w:pageBreakBefore w:val="0"/>
              <w:kinsoku/>
              <w:wordWrap/>
              <w:overflowPunct/>
              <w:topLinePunct w:val="0"/>
              <w:bidi w:val="0"/>
              <w:adjustRightInd/>
              <w:spacing w:before="0" w:beforeAutospacing="0" w:after="0" w:afterAutospacing="0" w:line="340" w:lineRule="exact"/>
              <w:rPr>
                <w:rFonts w:hint="eastAsia" w:ascii="宋体" w:hAnsi="宋体" w:eastAsia="宋体" w:cs="宋体"/>
                <w:color w:val="000000"/>
                <w:kern w:val="2"/>
                <w:highlight w:val="none"/>
              </w:rPr>
            </w:pPr>
            <w:r>
              <w:rPr>
                <w:rFonts w:hint="eastAsia" w:ascii="宋体" w:hAnsi="宋体" w:eastAsia="宋体" w:cs="宋体"/>
                <w:color w:val="000000"/>
                <w:kern w:val="2"/>
                <w:highlight w:val="none"/>
              </w:rPr>
              <w:t>项目名称：</w:t>
            </w:r>
            <w:r>
              <w:rPr>
                <w:rFonts w:hint="eastAsia" w:cs="宋体"/>
                <w:color w:val="000000"/>
                <w:kern w:val="2"/>
                <w:highlight w:val="none"/>
                <w:u w:val="single"/>
                <w:lang w:eastAsia="zh-CN"/>
              </w:rPr>
              <w:t>大田街道星都府周边道路工程</w:t>
            </w:r>
          </w:p>
        </w:tc>
      </w:tr>
      <w:tr w14:paraId="2DD30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EEF1497">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261F5097">
            <w:pPr>
              <w:keepNext w:val="0"/>
              <w:keepLines w:val="0"/>
              <w:pageBreakBefore w:val="0"/>
              <w:kinsoku/>
              <w:wordWrap/>
              <w:overflowPunct/>
              <w:topLinePunct w:val="0"/>
              <w:bidi w:val="0"/>
              <w:adjustRightInd/>
              <w:snapToGrid w:val="0"/>
              <w:spacing w:line="3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采购内容及数量：详见“第二章 招标需求”</w:t>
            </w:r>
          </w:p>
        </w:tc>
      </w:tr>
      <w:tr w14:paraId="12853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1453E09">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3152E853">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sz w:val="24"/>
                <w:highlight w:val="none"/>
              </w:rPr>
              <w:t xml:space="preserve">投标报价及费用：1、本项目投标应以人民币报价；2、不论投标结果如何，供应商均应自行承担所有与投标有关的全部费用； </w:t>
            </w:r>
          </w:p>
          <w:p w14:paraId="3CA3BAE3">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b/>
                <w:bCs/>
                <w:sz w:val="24"/>
                <w:highlight w:val="none"/>
              </w:rPr>
              <w:t>3、本项目招标代理服务费根据中标价由成交供应商支付给采购代理机构，在采购代理机构发出成交通知书前一次性付清招标代理服务费用，收费采用差额定率累进计费方式，具体标准如下：工程类：100万*1.0%</w:t>
            </w:r>
            <w:r>
              <w:rPr>
                <w:rFonts w:hint="eastAsia" w:ascii="宋体" w:hAnsi="宋体" w:cs="宋体"/>
                <w:b/>
                <w:bCs/>
                <w:sz w:val="24"/>
                <w:highlight w:val="none"/>
                <w:lang w:val="en-US" w:eastAsia="zh-CN"/>
              </w:rPr>
              <w:t>+</w:t>
            </w:r>
            <w:r>
              <w:rPr>
                <w:rFonts w:hint="eastAsia" w:ascii="宋体" w:hAnsi="宋体" w:eastAsia="宋体" w:cs="宋体"/>
                <w:b/>
                <w:bCs/>
                <w:sz w:val="24"/>
                <w:highlight w:val="none"/>
                <w:lang w:val="en-US" w:eastAsia="zh-CN"/>
              </w:rPr>
              <w:t>（500-100）万*0.7%</w:t>
            </w:r>
            <w:r>
              <w:rPr>
                <w:rFonts w:hint="eastAsia" w:ascii="宋体" w:hAnsi="宋体" w:eastAsia="宋体" w:cs="宋体"/>
                <w:b/>
                <w:bCs/>
                <w:sz w:val="24"/>
                <w:highlight w:val="none"/>
              </w:rPr>
              <w:t>。</w:t>
            </w:r>
          </w:p>
        </w:tc>
      </w:tr>
      <w:tr w14:paraId="5A811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ED2CAC7">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6F1EED21">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b/>
                <w:bCs/>
                <w:sz w:val="24"/>
                <w:highlight w:val="none"/>
              </w:rPr>
              <w:t>现场踏勘</w:t>
            </w:r>
            <w:r>
              <w:rPr>
                <w:rFonts w:hint="eastAsia" w:ascii="宋体" w:hAnsi="宋体" w:eastAsia="宋体" w:cs="宋体"/>
                <w:sz w:val="24"/>
                <w:highlight w:val="none"/>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4793F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1B88E97">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5CC8350C">
            <w:pPr>
              <w:keepNext w:val="0"/>
              <w:keepLines w:val="0"/>
              <w:pageBreakBefore w:val="0"/>
              <w:kinsoku/>
              <w:wordWrap/>
              <w:overflowPunct/>
              <w:topLinePunct w:val="0"/>
              <w:bidi w:val="0"/>
              <w:adjustRightInd/>
              <w:snapToGrid w:val="0"/>
              <w:spacing w:line="340" w:lineRule="exact"/>
              <w:rPr>
                <w:rFonts w:hint="eastAsia" w:ascii="宋体" w:hAnsi="宋体" w:eastAsia="宋体" w:cs="宋体"/>
                <w:b/>
                <w:sz w:val="24"/>
                <w:highlight w:val="none"/>
              </w:rPr>
            </w:pPr>
            <w:r>
              <w:rPr>
                <w:rFonts w:hint="eastAsia" w:ascii="宋体" w:hAnsi="宋体" w:eastAsia="宋体" w:cs="宋体"/>
                <w:b/>
                <w:sz w:val="24"/>
                <w:highlight w:val="none"/>
              </w:rPr>
              <w:t>质疑与澄清</w:t>
            </w:r>
            <w:r>
              <w:rPr>
                <w:rFonts w:hint="eastAsia" w:ascii="宋体" w:hAnsi="宋体" w:eastAsia="宋体" w:cs="宋体"/>
                <w:sz w:val="24"/>
                <w:highlight w:val="none"/>
              </w:rPr>
              <w:t>：</w:t>
            </w:r>
            <w:r>
              <w:rPr>
                <w:rFonts w:hint="eastAsia" w:ascii="宋体" w:hAnsi="宋体" w:eastAsia="宋体" w:cs="宋体"/>
                <w:b/>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eastAsia="宋体" w:cs="宋体"/>
                <w:sz w:val="24"/>
                <w:highlight w:val="none"/>
              </w:rPr>
              <w:t>招标人对已发出的磋商文件进行必要的澄清、答复、修改和补充将以更正公告的形式予以发布。</w:t>
            </w:r>
            <w:r>
              <w:rPr>
                <w:rFonts w:hint="eastAsia" w:ascii="宋体" w:hAnsi="宋体" w:eastAsia="宋体" w:cs="宋体"/>
                <w:b/>
                <w:sz w:val="24"/>
                <w:highlight w:val="none"/>
              </w:rPr>
              <w:t xml:space="preserve">  </w:t>
            </w:r>
          </w:p>
        </w:tc>
      </w:tr>
      <w:tr w14:paraId="4BEF2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4F8AD59">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3CBE2820">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sz w:val="24"/>
                <w:highlight w:val="none"/>
              </w:rPr>
              <w:t>投标截止时间、开标时间及地点：详见“第一章  竞争性磋商公告”</w:t>
            </w:r>
          </w:p>
        </w:tc>
      </w:tr>
      <w:tr w14:paraId="73CD4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C1E8671">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54CA23C0">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sz w:val="24"/>
                <w:highlight w:val="none"/>
              </w:rPr>
            </w:pPr>
            <w:r>
              <w:rPr>
                <w:rFonts w:hint="eastAsia" w:ascii="宋体" w:hAnsi="宋体" w:eastAsia="宋体" w:cs="宋体"/>
                <w:sz w:val="24"/>
                <w:highlight w:val="none"/>
              </w:rPr>
              <w:t>评标办法</w:t>
            </w:r>
            <w:r>
              <w:rPr>
                <w:rFonts w:hint="eastAsia" w:ascii="宋体" w:hAnsi="宋体" w:eastAsia="宋体" w:cs="宋体"/>
                <w:b/>
                <w:sz w:val="24"/>
                <w:highlight w:val="none"/>
              </w:rPr>
              <w:t>：</w:t>
            </w:r>
            <w:r>
              <w:rPr>
                <w:rFonts w:hint="eastAsia" w:ascii="宋体" w:hAnsi="宋体" w:eastAsia="宋体" w:cs="宋体"/>
                <w:sz w:val="24"/>
                <w:highlight w:val="none"/>
              </w:rPr>
              <w:t>综合评分法</w:t>
            </w:r>
          </w:p>
        </w:tc>
      </w:tr>
      <w:tr w14:paraId="6A1D1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B06B851">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06D26F99">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sz w:val="24"/>
                <w:highlight w:val="none"/>
              </w:rPr>
            </w:pPr>
            <w:r>
              <w:rPr>
                <w:rFonts w:hint="eastAsia" w:ascii="宋体" w:hAnsi="宋体" w:eastAsia="宋体" w:cs="宋体"/>
                <w:b/>
                <w:sz w:val="24"/>
                <w:highlight w:val="none"/>
                <w:shd w:val="pct10" w:color="auto" w:fill="FFFFFF"/>
              </w:rPr>
              <w:t>▲</w:t>
            </w:r>
            <w:r>
              <w:rPr>
                <w:rFonts w:hint="eastAsia" w:ascii="宋体" w:hAnsi="宋体" w:eastAsia="宋体" w:cs="宋体"/>
                <w:sz w:val="24"/>
                <w:highlight w:val="none"/>
              </w:rPr>
              <w:t>投标有效期：自投标截止日起</w:t>
            </w:r>
            <w:r>
              <w:rPr>
                <w:rFonts w:hint="eastAsia" w:ascii="宋体" w:hAnsi="宋体" w:eastAsia="宋体" w:cs="宋体"/>
                <w:sz w:val="24"/>
                <w:highlight w:val="none"/>
                <w:u w:val="single"/>
              </w:rPr>
              <w:t xml:space="preserve"> 90 </w:t>
            </w:r>
            <w:r>
              <w:rPr>
                <w:rFonts w:hint="eastAsia" w:ascii="宋体" w:hAnsi="宋体" w:eastAsia="宋体" w:cs="宋体"/>
                <w:sz w:val="24"/>
                <w:highlight w:val="none"/>
              </w:rPr>
              <w:t>天响应文件应保持有效</w:t>
            </w:r>
          </w:p>
        </w:tc>
      </w:tr>
      <w:tr w14:paraId="74EBD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3E55E34">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4137ACA2">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b/>
                <w:sz w:val="24"/>
                <w:highlight w:val="none"/>
                <w:u w:val="single"/>
              </w:rPr>
            </w:pPr>
            <w:r>
              <w:rPr>
                <w:rFonts w:hint="eastAsia" w:ascii="宋体" w:hAnsi="宋体" w:eastAsia="宋体" w:cs="宋体"/>
                <w:b/>
                <w:sz w:val="24"/>
                <w:highlight w:val="none"/>
                <w:u w:val="single"/>
                <w:shd w:val="pct10" w:color="auto" w:fill="FFFFFF"/>
              </w:rPr>
              <w:t>实质性条款：带▲是实质性条款，供应商不得负偏离或内容缺失，否则为无效标。</w:t>
            </w:r>
          </w:p>
        </w:tc>
      </w:tr>
      <w:tr w14:paraId="41331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1282F56">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2B4FFD66">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sz w:val="24"/>
                <w:highlight w:val="none"/>
              </w:rPr>
            </w:pPr>
            <w:r>
              <w:rPr>
                <w:rFonts w:hint="eastAsia" w:ascii="宋体" w:hAnsi="宋体" w:eastAsia="宋体" w:cs="宋体"/>
                <w:sz w:val="24"/>
                <w:highlight w:val="none"/>
              </w:rPr>
              <w:t>成交公告及成交通知书：评标结束后7个工作日内，成交公告发布于竞争性磋商公告发布的网站。</w:t>
            </w:r>
          </w:p>
        </w:tc>
      </w:tr>
      <w:tr w14:paraId="242DF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0215142">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1A780EF4">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sz w:val="24"/>
                <w:highlight w:val="none"/>
              </w:rPr>
            </w:pPr>
            <w:r>
              <w:rPr>
                <w:rFonts w:hint="eastAsia" w:ascii="宋体" w:hAnsi="宋体" w:eastAsia="宋体" w:cs="宋体"/>
                <w:sz w:val="24"/>
                <w:highlight w:val="none"/>
              </w:rPr>
              <w:t>签订合同时间：成交通知书发出后30日内。</w:t>
            </w:r>
          </w:p>
        </w:tc>
      </w:tr>
      <w:tr w14:paraId="63F9F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79ED767">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12</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4D273847">
            <w:pPr>
              <w:keepNext w:val="0"/>
              <w:keepLines w:val="0"/>
              <w:pageBreakBefore w:val="0"/>
              <w:kinsoku/>
              <w:wordWrap/>
              <w:overflowPunct/>
              <w:topLinePunct w:val="0"/>
              <w:bidi w:val="0"/>
              <w:adjustRightInd/>
              <w:spacing w:line="340" w:lineRule="exact"/>
              <w:rPr>
                <w:rFonts w:hint="eastAsia" w:ascii="宋体" w:hAnsi="宋体" w:eastAsia="宋体" w:cs="宋体"/>
                <w:b/>
                <w:sz w:val="24"/>
                <w:highlight w:val="none"/>
                <w:lang w:eastAsia="zh-CN"/>
              </w:rPr>
            </w:pPr>
            <w:r>
              <w:rPr>
                <w:rFonts w:hint="eastAsia" w:ascii="宋体" w:hAnsi="宋体" w:eastAsia="宋体" w:cs="宋体"/>
                <w:b/>
                <w:highlight w:val="none"/>
              </w:rPr>
              <w:t>▲</w:t>
            </w:r>
            <w:r>
              <w:rPr>
                <w:rFonts w:hint="eastAsia" w:ascii="宋体" w:hAnsi="宋体" w:eastAsia="宋体" w:cs="宋体"/>
                <w:b/>
                <w:sz w:val="24"/>
                <w:highlight w:val="none"/>
              </w:rPr>
              <w:t>付款方式：</w:t>
            </w:r>
            <w:r>
              <w:rPr>
                <w:rFonts w:hint="eastAsia" w:ascii="宋体" w:hAnsi="宋体" w:eastAsia="宋体" w:cs="宋体"/>
                <w:color w:val="auto"/>
                <w:sz w:val="24"/>
                <w:highlight w:val="none"/>
                <w:lang w:eastAsia="zh-CN"/>
              </w:rPr>
              <w:t>合同签订，按投标时承诺的人员、机械设备进场开工后7个工作日内支付</w:t>
            </w:r>
            <w:r>
              <w:rPr>
                <w:rFonts w:hint="eastAsia" w:ascii="宋体" w:hAnsi="宋体" w:cs="宋体"/>
                <w:color w:val="auto"/>
                <w:sz w:val="24"/>
                <w:highlight w:val="none"/>
                <w:lang w:eastAsia="zh-CN"/>
              </w:rPr>
              <w:t>合同金额2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的预付款；每个月按实际工程量支付</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eastAsia="zh-CN"/>
              </w:rPr>
              <w:t>%（不包含预付款），当工程完工后支付至总工程量的85%；工程竣工验收合格，发包人收到承包人完整的竣工验收报告、结算资料并经审核完成后支付至结算价款的</w:t>
            </w:r>
            <w:r>
              <w:rPr>
                <w:rFonts w:hint="eastAsia" w:ascii="宋体" w:hAnsi="宋体" w:cs="宋体"/>
                <w:color w:val="auto"/>
                <w:sz w:val="24"/>
                <w:highlight w:val="none"/>
                <w:lang w:val="en-US" w:eastAsia="zh-CN"/>
              </w:rPr>
              <w:t>98.5</w:t>
            </w:r>
            <w:r>
              <w:rPr>
                <w:rFonts w:hint="eastAsia" w:ascii="宋体" w:hAnsi="宋体" w:eastAsia="宋体" w:cs="宋体"/>
                <w:color w:val="auto"/>
                <w:sz w:val="24"/>
                <w:highlight w:val="none"/>
                <w:lang w:eastAsia="zh-CN"/>
              </w:rPr>
              <w:t>%。剩余1.5%为质量保证金待缺陷责任期结束后予以退还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发票应随付款进度及时提供给采购人。</w:t>
            </w:r>
          </w:p>
        </w:tc>
      </w:tr>
      <w:tr w14:paraId="756D0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A76E31D">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67083E10">
            <w:pPr>
              <w:pStyle w:val="20"/>
              <w:keepNext w:val="0"/>
              <w:keepLines w:val="0"/>
              <w:pageBreakBefore w:val="0"/>
              <w:kinsoku/>
              <w:wordWrap/>
              <w:overflowPunct/>
              <w:topLinePunct w:val="0"/>
              <w:bidi w:val="0"/>
              <w:adjustRightInd/>
              <w:spacing w:after="0" w:line="340" w:lineRule="exact"/>
              <w:jc w:val="left"/>
              <w:rPr>
                <w:rFonts w:hint="eastAsia" w:ascii="宋体" w:hAnsi="宋体" w:eastAsia="宋体" w:cs="宋体"/>
                <w:color w:val="00B050"/>
                <w:sz w:val="24"/>
                <w:highlight w:val="none"/>
              </w:rPr>
            </w:pPr>
            <w:r>
              <w:rPr>
                <w:rFonts w:hint="eastAsia" w:ascii="宋体" w:hAnsi="宋体" w:eastAsia="宋体" w:cs="宋体"/>
                <w:sz w:val="24"/>
                <w:highlight w:val="none"/>
              </w:rPr>
              <w:t>履约保证金的收取及退还:</w:t>
            </w:r>
            <w:r>
              <w:rPr>
                <w:rFonts w:hint="eastAsia" w:ascii="宋体" w:hAnsi="宋体" w:eastAsia="宋体" w:cs="宋体"/>
                <w:b/>
                <w:bCs/>
                <w:sz w:val="24"/>
                <w:highlight w:val="none"/>
              </w:rPr>
              <w:t>按成交价的1%收取</w:t>
            </w:r>
            <w:r>
              <w:rPr>
                <w:rFonts w:hint="eastAsia" w:ascii="宋体" w:hAnsi="宋体" w:eastAsia="宋体" w:cs="宋体"/>
                <w:sz w:val="24"/>
                <w:highlight w:val="none"/>
              </w:rPr>
              <w:t>，</w:t>
            </w:r>
            <w:r>
              <w:rPr>
                <w:rFonts w:hint="eastAsia" w:ascii="宋体" w:hAnsi="宋体" w:eastAsia="宋体" w:cs="宋体"/>
                <w:b/>
                <w:sz w:val="24"/>
                <w:highlight w:val="none"/>
                <w:u w:val="single"/>
                <w:shd w:val="pct10" w:color="auto" w:fill="FFFFFF"/>
              </w:rPr>
              <w:t>领取成交通知书前缴纳至临海市公共资源交易中心账户。</w:t>
            </w:r>
            <w:r>
              <w:rPr>
                <w:rFonts w:hint="eastAsia" w:ascii="宋体" w:hAnsi="宋体" w:eastAsia="宋体" w:cs="宋体"/>
                <w:sz w:val="24"/>
                <w:highlight w:val="none"/>
              </w:rPr>
              <w:t>验收合格后</w:t>
            </w:r>
            <w:r>
              <w:rPr>
                <w:rFonts w:hint="eastAsia" w:ascii="宋体" w:hAnsi="宋体" w:eastAsia="宋体" w:cs="宋体"/>
                <w:sz w:val="24"/>
                <w:highlight w:val="none"/>
                <w:lang w:val="zh-CN"/>
              </w:rPr>
              <w:t>凭《临海市政府采购验收单》向临海市公共资源交易中心</w:t>
            </w:r>
            <w:r>
              <w:rPr>
                <w:rFonts w:hint="eastAsia" w:ascii="宋体" w:hAnsi="宋体" w:cs="宋体"/>
                <w:sz w:val="24"/>
                <w:highlight w:val="none"/>
                <w:lang w:val="en-US" w:eastAsia="zh-CN"/>
              </w:rPr>
              <w:t>申请</w:t>
            </w:r>
            <w:r>
              <w:rPr>
                <w:rFonts w:hint="eastAsia" w:ascii="宋体" w:hAnsi="宋体" w:eastAsia="宋体" w:cs="宋体"/>
                <w:sz w:val="24"/>
                <w:highlight w:val="none"/>
                <w:lang w:val="zh-CN"/>
              </w:rPr>
              <w:t>退还。</w:t>
            </w:r>
          </w:p>
        </w:tc>
      </w:tr>
      <w:tr w14:paraId="72EA5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7901DB2">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14</w:t>
            </w:r>
          </w:p>
        </w:tc>
        <w:tc>
          <w:tcPr>
            <w:tcW w:w="8914" w:type="dxa"/>
            <w:tcBorders>
              <w:top w:val="single" w:color="auto" w:sz="4" w:space="0"/>
              <w:left w:val="single" w:color="auto" w:sz="4" w:space="0"/>
              <w:bottom w:val="single" w:color="auto" w:sz="4" w:space="0"/>
              <w:right w:val="single" w:color="auto" w:sz="4" w:space="0"/>
            </w:tcBorders>
            <w:noWrap w:val="0"/>
            <w:vAlign w:val="center"/>
          </w:tcPr>
          <w:p w14:paraId="0EE40812">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sz w:val="24"/>
                <w:highlight w:val="none"/>
              </w:rPr>
            </w:pPr>
            <w:r>
              <w:rPr>
                <w:rFonts w:hint="eastAsia" w:ascii="宋体" w:hAnsi="宋体" w:eastAsia="宋体" w:cs="宋体"/>
                <w:color w:val="000000"/>
                <w:sz w:val="24"/>
                <w:highlight w:val="none"/>
              </w:rPr>
              <w:t>解释：本磋商文件的解释权属于招标人。</w:t>
            </w:r>
            <w:r>
              <w:rPr>
                <w:rFonts w:hint="eastAsia" w:ascii="宋体" w:hAnsi="宋体" w:eastAsia="宋体" w:cs="宋体"/>
                <w:b/>
                <w:bCs/>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7D6A4A8F">
      <w:pPr>
        <w:pStyle w:val="29"/>
        <w:snapToGrid w:val="0"/>
        <w:spacing w:beforeLines="0" w:afterLines="0" w:line="420" w:lineRule="exact"/>
        <w:ind w:firstLine="48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br w:type="page"/>
      </w:r>
    </w:p>
    <w:p w14:paraId="3F48EB15">
      <w:pPr>
        <w:pStyle w:val="29"/>
        <w:snapToGrid w:val="0"/>
        <w:spacing w:beforeLines="0" w:afterLines="0" w:line="420" w:lineRule="exact"/>
        <w:ind w:firstLine="48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一 、总  则</w:t>
      </w:r>
    </w:p>
    <w:p w14:paraId="1571B9F5">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（一）适用范围</w:t>
      </w:r>
    </w:p>
    <w:p w14:paraId="1A257E1B">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本磋商文件适用于本项目的招标、响应、磋商、定标、验收、合同履约、付款等行为。</w:t>
      </w:r>
    </w:p>
    <w:p w14:paraId="4FC4CB06">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（二）定义</w:t>
      </w:r>
    </w:p>
    <w:p w14:paraId="6E6C9BE3">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1.“招标人”系指组织本次招标的</w:t>
      </w:r>
      <w:r>
        <w:rPr>
          <w:rFonts w:hint="eastAsia" w:ascii="宋体" w:hAnsi="宋体" w:eastAsia="宋体" w:cs="宋体"/>
          <w:sz w:val="24"/>
          <w:highlight w:val="none"/>
        </w:rPr>
        <w:t>采购代理机构</w:t>
      </w:r>
      <w:r>
        <w:rPr>
          <w:rFonts w:hint="eastAsia" w:ascii="宋体" w:hAnsi="宋体" w:eastAsia="宋体" w:cs="宋体"/>
          <w:color w:val="000000"/>
          <w:sz w:val="24"/>
          <w:highlight w:val="none"/>
        </w:rPr>
        <w:t>和采购单位。</w:t>
      </w:r>
    </w:p>
    <w:p w14:paraId="2E66FF5F">
      <w:pPr>
        <w:spacing w:line="420" w:lineRule="exact"/>
        <w:ind w:firstLine="482" w:firstLineChars="200"/>
        <w:rPr>
          <w:rFonts w:hint="eastAsia" w:ascii="宋体" w:hAnsi="宋体" w:eastAsia="宋体" w:cs="宋体"/>
          <w:b/>
          <w:bCs/>
          <w:color w:val="000000"/>
          <w:sz w:val="24"/>
          <w:highlight w:val="none"/>
          <w:u w:val="single"/>
          <w:shd w:val="pct10" w:color="auto" w:fill="FFFFFF"/>
        </w:rPr>
      </w:pPr>
      <w:bookmarkStart w:id="38" w:name="_Hlk60996806"/>
      <w:r>
        <w:rPr>
          <w:rFonts w:hint="eastAsia" w:ascii="宋体" w:hAnsi="宋体" w:eastAsia="宋体" w:cs="宋体"/>
          <w:b/>
          <w:bCs/>
          <w:color w:val="000000"/>
          <w:sz w:val="24"/>
          <w:highlight w:val="none"/>
          <w:u w:val="single"/>
          <w:shd w:val="pct10" w:color="auto" w:fill="FFFFFF"/>
        </w:rPr>
        <w:t>2.“供应商”系指向招标人提交磋商响应文件的单位和组织。</w:t>
      </w:r>
    </w:p>
    <w:bookmarkEnd w:id="38"/>
    <w:p w14:paraId="783FC858">
      <w:pPr>
        <w:spacing w:line="420" w:lineRule="exact"/>
        <w:ind w:firstLine="482" w:firstLineChars="200"/>
        <w:rPr>
          <w:rFonts w:hint="eastAsia" w:ascii="宋体" w:hAnsi="宋体" w:eastAsia="宋体" w:cs="宋体"/>
          <w:b/>
          <w:bCs/>
          <w:color w:val="000000"/>
          <w:sz w:val="24"/>
          <w:highlight w:val="none"/>
          <w:u w:val="single"/>
          <w:shd w:val="pct10" w:color="auto" w:fill="FFFFFF"/>
        </w:rPr>
      </w:pPr>
      <w:r>
        <w:rPr>
          <w:rFonts w:hint="eastAsia" w:ascii="宋体" w:hAnsi="宋体" w:eastAsia="宋体" w:cs="宋体"/>
          <w:b/>
          <w:bCs/>
          <w:color w:val="000000"/>
          <w:sz w:val="24"/>
          <w:highlight w:val="none"/>
          <w:u w:val="single"/>
          <w:shd w:val="pct10" w:color="auto" w:fill="FFFFFF"/>
        </w:rPr>
        <w:t>3.“磋商响应文件”系指参与政府采购活动的供应商按照竞争性磋商文件要求编制的响应文件。</w:t>
      </w:r>
    </w:p>
    <w:p w14:paraId="61D639DA">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4.“产品”系指供方按竞争性磋商文件规定，须向采购单位提供的一切设备、保险、税金、备品备件、工具、手册及其它有关技术资料和材料。</w:t>
      </w:r>
    </w:p>
    <w:p w14:paraId="4B80A466">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5.“服务”系指竞争性磋商文件规定供应商须承担的安装、调试、技术协助、校准、培训、技术指导以及其他类似的义务。</w:t>
      </w:r>
    </w:p>
    <w:p w14:paraId="5137456A">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6.“项目”系指供应商按竞争性磋商文件规定向采购单位提供的产品和服务。</w:t>
      </w:r>
    </w:p>
    <w:p w14:paraId="3EC2E392">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7.“书面形式”包括信函、传真、电报等。</w:t>
      </w:r>
    </w:p>
    <w:p w14:paraId="0FCF627E">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8.“▲”系指实质性要求条款。</w:t>
      </w:r>
    </w:p>
    <w:p w14:paraId="3B7E0405">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（三）招标方式</w:t>
      </w:r>
    </w:p>
    <w:p w14:paraId="6011DE0E">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本次招标采用竞争性磋商方式进行。</w:t>
      </w:r>
    </w:p>
    <w:p w14:paraId="45D5ADF0">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（四）投标委托</w:t>
      </w:r>
    </w:p>
    <w:p w14:paraId="63040DC2">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供应商代表须携带有效身份证件。如供应商代表不是法定代表人，须有法定代表人出具的授权委托书，格式见第六章。</w:t>
      </w:r>
    </w:p>
    <w:p w14:paraId="2BB8D96F">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（五）投标费用及结算</w:t>
      </w:r>
    </w:p>
    <w:p w14:paraId="26C9A469">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1）不论投标结果如何，供应商均应自行承担所有与投标有关的全部费用。</w:t>
      </w:r>
    </w:p>
    <w:p w14:paraId="72B76F6C">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2）除业主要求或设计变更要求外不签署任何增加费用的联系单，工程量清单外可能增加的成本各供应商自行考虑并计入投标报价，成交后不予调整。投标时工程量按照磋商文件中提供的工程量进行投标报价，竣工决算时按实决算。</w:t>
      </w:r>
    </w:p>
    <w:p w14:paraId="776DEF9D">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（六）转包与分包</w:t>
      </w:r>
    </w:p>
    <w:p w14:paraId="2703A1B3">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本项目不允许转包与违法分包。</w:t>
      </w:r>
    </w:p>
    <w:p w14:paraId="43F34025">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（七）特别说明</w:t>
      </w:r>
    </w:p>
    <w:p w14:paraId="5858BBD6">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1.单位负责人为同一人或者存在直接控股、管理关系的不同投标人，不得参加同一合同项下的政府采购活动。如有上述行为的，相关投标均无效。</w:t>
      </w:r>
    </w:p>
    <w:p w14:paraId="20C25910">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2.供应商投标所使用的资格、信誉、荣誉、业绩必须为本法人所拥有。供应商投标所使用的采购项目实施人员须为本法人员工。</w:t>
      </w:r>
    </w:p>
    <w:p w14:paraId="395E0B1F">
      <w:pPr>
        <w:pStyle w:val="29"/>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3.供应商应仔细阅读磋商文件的所有内容，按照磋商文件的要求提交响应文件，并对所提供的全部资料的真实性承担法律责任。</w:t>
      </w:r>
    </w:p>
    <w:p w14:paraId="2FAAF7BF">
      <w:pPr>
        <w:pStyle w:val="29"/>
        <w:snapToGrid w:val="0"/>
        <w:spacing w:beforeLines="0" w:afterLines="0" w:line="420" w:lineRule="exact"/>
        <w:ind w:left="2" w:leftChars="1" w:firstLine="480" w:firstLineChars="200"/>
        <w:rPr>
          <w:rFonts w:hint="eastAsia" w:ascii="宋体" w:hAnsi="宋体" w:eastAsia="宋体" w:cs="宋体"/>
          <w:b/>
          <w:color w:val="000000"/>
          <w:highlight w:val="none"/>
        </w:rPr>
      </w:pPr>
      <w:r>
        <w:rPr>
          <w:rFonts w:hint="eastAsia" w:ascii="宋体" w:hAnsi="宋体" w:eastAsia="宋体" w:cs="宋体"/>
          <w:color w:val="000000"/>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50F33176">
      <w:pPr>
        <w:pStyle w:val="29"/>
        <w:snapToGrid w:val="0"/>
        <w:spacing w:beforeLines="0" w:afterLines="0" w:line="420" w:lineRule="exact"/>
        <w:ind w:left="2" w:leftChars="1" w:firstLine="482" w:firstLineChars="200"/>
        <w:rPr>
          <w:rFonts w:hint="eastAsia" w:ascii="宋体" w:hAnsi="宋体" w:eastAsia="宋体" w:cs="宋体"/>
          <w:b/>
          <w:bCs/>
          <w:color w:val="000000"/>
          <w:highlight w:val="none"/>
        </w:rPr>
      </w:pPr>
      <w:bookmarkStart w:id="39" w:name="_Hlk81829695"/>
      <w:r>
        <w:rPr>
          <w:rFonts w:hint="eastAsia" w:ascii="宋体" w:hAnsi="宋体" w:eastAsia="宋体" w:cs="宋体"/>
          <w:b/>
          <w:bCs/>
          <w:color w:val="000000"/>
          <w:highlight w:val="none"/>
        </w:rPr>
        <w:t>（八）质疑</w:t>
      </w:r>
    </w:p>
    <w:p w14:paraId="018E3C65">
      <w:pPr>
        <w:pStyle w:val="29"/>
        <w:snapToGrid w:val="0"/>
        <w:spacing w:beforeLines="0" w:afterLines="0" w:line="420" w:lineRule="exact"/>
        <w:ind w:left="2" w:leftChars="1" w:firstLine="480" w:firstLineChars="200"/>
        <w:rPr>
          <w:rFonts w:hint="eastAsia" w:ascii="宋体" w:hAnsi="宋体" w:eastAsia="宋体" w:cs="宋体"/>
          <w:highlight w:val="none"/>
        </w:rPr>
      </w:pPr>
      <w:r>
        <w:rPr>
          <w:rFonts w:hint="eastAsia" w:ascii="宋体" w:hAnsi="宋体" w:eastAsia="宋体" w:cs="宋体"/>
          <w:color w:val="000000"/>
          <w:highlight w:val="none"/>
        </w:rPr>
        <w:t>1.</w:t>
      </w:r>
      <w:bookmarkStart w:id="40" w:name="_Hlk81828896"/>
      <w:r>
        <w:rPr>
          <w:rFonts w:hint="eastAsia" w:ascii="宋体" w:hAnsi="宋体" w:eastAsia="宋体" w:cs="宋体"/>
          <w:color w:val="000000"/>
          <w:highlight w:val="none"/>
        </w:rPr>
        <w:t>供应商</w:t>
      </w:r>
      <w:bookmarkEnd w:id="40"/>
      <w:r>
        <w:rPr>
          <w:rFonts w:hint="eastAsia" w:ascii="宋体" w:hAnsi="宋体" w:eastAsia="宋体" w:cs="宋体"/>
          <w:color w:val="000000"/>
          <w:highlight w:val="none"/>
        </w:rPr>
        <w:t>认为磋商文件、磋商过程和成交结果使自己的权益受到损害的，以书面形式并在政采云平台</w:t>
      </w:r>
      <w:r>
        <w:rPr>
          <w:rFonts w:hint="eastAsia" w:ascii="宋体" w:hAnsi="宋体" w:eastAsia="宋体" w:cs="宋体"/>
          <w:highlight w:val="none"/>
        </w:rPr>
        <w:t>的质疑系统一次性向采购人或采购组织机构提出质疑：</w:t>
      </w:r>
    </w:p>
    <w:p w14:paraId="3F97C1A6">
      <w:pPr>
        <w:widowControl/>
        <w:spacing w:line="420" w:lineRule="exact"/>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color w:val="000000"/>
          <w:sz w:val="24"/>
          <w:highlight w:val="none"/>
        </w:rPr>
        <w:t>供应商</w:t>
      </w:r>
      <w:r>
        <w:rPr>
          <w:rFonts w:hint="eastAsia" w:ascii="宋体" w:hAnsi="宋体" w:eastAsia="宋体" w:cs="宋体"/>
          <w:kern w:val="0"/>
          <w:sz w:val="24"/>
          <w:highlight w:val="none"/>
        </w:rPr>
        <w:t>认为磋商文件的内容损害其权益的，应当自获取之日起（获取截止日之后收到磋商文件的，以获取截止日为准）7个工作日内提出质疑；</w:t>
      </w:r>
    </w:p>
    <w:p w14:paraId="40F17D26">
      <w:pPr>
        <w:widowControl/>
        <w:spacing w:line="420" w:lineRule="exact"/>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color w:val="000000"/>
          <w:sz w:val="24"/>
          <w:highlight w:val="none"/>
        </w:rPr>
        <w:t>供应商</w:t>
      </w:r>
      <w:r>
        <w:rPr>
          <w:rFonts w:hint="eastAsia" w:ascii="宋体" w:hAnsi="宋体" w:eastAsia="宋体" w:cs="宋体"/>
          <w:kern w:val="0"/>
          <w:sz w:val="24"/>
          <w:highlight w:val="none"/>
        </w:rPr>
        <w:t>对磋商过程提出质疑的，应当在各磋商程序环节结束之日起7个工作日内提出质疑；</w:t>
      </w:r>
    </w:p>
    <w:p w14:paraId="7688F425">
      <w:pPr>
        <w:widowControl/>
        <w:spacing w:line="420" w:lineRule="exact"/>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eastAsia="宋体" w:cs="宋体"/>
          <w:color w:val="000000"/>
          <w:sz w:val="24"/>
          <w:highlight w:val="none"/>
        </w:rPr>
        <w:t>供应商</w:t>
      </w:r>
      <w:r>
        <w:rPr>
          <w:rFonts w:hint="eastAsia" w:ascii="宋体" w:hAnsi="宋体" w:eastAsia="宋体" w:cs="宋体"/>
          <w:kern w:val="0"/>
          <w:sz w:val="24"/>
          <w:highlight w:val="none"/>
        </w:rPr>
        <w:t>对成交结果提出质疑的，</w:t>
      </w:r>
      <w:r>
        <w:rPr>
          <w:rFonts w:hint="eastAsia" w:ascii="宋体" w:hAnsi="宋体" w:eastAsia="宋体" w:cs="宋体"/>
          <w:b/>
          <w:kern w:val="0"/>
          <w:sz w:val="24"/>
          <w:highlight w:val="none"/>
        </w:rPr>
        <w:t>应当在成交结果公告之日起</w:t>
      </w:r>
      <w:r>
        <w:rPr>
          <w:rFonts w:hint="eastAsia" w:ascii="宋体" w:hAnsi="宋体" w:eastAsia="宋体" w:cs="宋体"/>
          <w:kern w:val="0"/>
          <w:sz w:val="24"/>
          <w:highlight w:val="none"/>
        </w:rPr>
        <w:t>7个工作日内提出质疑；</w:t>
      </w:r>
    </w:p>
    <w:p w14:paraId="655EA977">
      <w:pPr>
        <w:widowControl/>
        <w:spacing w:line="42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2.采购人或采购组织机构在收到供应商的书面质疑后7个工作日内作出答复，并以书面形式或政采云平台回复质疑供应商和其他有关供应商，但答复内容不涉及商业秘密。</w:t>
      </w:r>
    </w:p>
    <w:p w14:paraId="44AC100F">
      <w:pPr>
        <w:widowControl/>
        <w:spacing w:line="42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5EB5E72">
      <w:pPr>
        <w:widowControl/>
        <w:spacing w:line="42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（九）投诉</w:t>
      </w:r>
    </w:p>
    <w:p w14:paraId="3C5255B8">
      <w:pPr>
        <w:widowControl/>
        <w:spacing w:line="42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供应商对采购人或采购组织机构的质疑答复不满意或在规定时间内未得到答复的，可以在答复期满后15个工作日内，向同级政府采购监督管理机构投诉。</w:t>
      </w:r>
    </w:p>
    <w:bookmarkEnd w:id="39"/>
    <w:p w14:paraId="50983879">
      <w:pPr>
        <w:pStyle w:val="29"/>
        <w:snapToGrid w:val="0"/>
        <w:spacing w:beforeLines="0" w:afterLines="0" w:line="420" w:lineRule="exact"/>
        <w:ind w:firstLine="472" w:firstLineChars="196"/>
        <w:rPr>
          <w:rFonts w:hint="eastAsia" w:ascii="宋体" w:hAnsi="宋体" w:eastAsia="宋体" w:cs="宋体"/>
          <w:b/>
          <w:color w:val="000000"/>
          <w:highlight w:val="none"/>
        </w:rPr>
      </w:pPr>
      <w:r>
        <w:rPr>
          <w:rFonts w:hint="eastAsia" w:ascii="宋体" w:hAnsi="宋体" w:eastAsia="宋体" w:cs="宋体"/>
          <w:b/>
          <w:color w:val="000000"/>
          <w:highlight w:val="none"/>
        </w:rPr>
        <w:t>二、竞争性磋商文件</w:t>
      </w:r>
    </w:p>
    <w:p w14:paraId="714CA58D">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（一）磋商文件的构成</w:t>
      </w:r>
    </w:p>
    <w:p w14:paraId="42CE2791">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1.竞争性磋商公告</w:t>
      </w:r>
    </w:p>
    <w:p w14:paraId="2EFF7159">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2.采购需求</w:t>
      </w:r>
    </w:p>
    <w:p w14:paraId="2EB639FF">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3.供应商磋商须知</w:t>
      </w:r>
    </w:p>
    <w:p w14:paraId="72DE2BEA">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4.磋商原则及评标办法</w:t>
      </w:r>
    </w:p>
    <w:p w14:paraId="4540E9E7">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5.合同主要条款</w:t>
      </w:r>
    </w:p>
    <w:p w14:paraId="5686D2A4">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6.响应文件格式</w:t>
      </w:r>
    </w:p>
    <w:p w14:paraId="63973AE1">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7.本项目磋商文件的澄清、答复、修改、补充的内容（如有）</w:t>
      </w:r>
    </w:p>
    <w:p w14:paraId="496D27C3">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（二）供应商的风险</w:t>
      </w:r>
    </w:p>
    <w:p w14:paraId="12354343">
      <w:pPr>
        <w:snapToGrid w:val="0"/>
        <w:spacing w:line="420" w:lineRule="exact"/>
        <w:ind w:firstLine="420" w:firstLineChars="200"/>
        <w:jc w:val="left"/>
        <w:rPr>
          <w:rFonts w:hint="eastAsia" w:ascii="宋体" w:hAnsi="宋体" w:eastAsia="宋体" w:cs="宋体"/>
          <w:color w:val="000000"/>
          <w:sz w:val="24"/>
          <w:highlight w:val="none"/>
        </w:rPr>
      </w:pPr>
      <w:r>
        <w:rPr>
          <w:rFonts w:hint="eastAsia" w:ascii="宋体" w:hAnsi="宋体" w:eastAsia="宋体" w:cs="宋体"/>
          <w:highlight w:val="none"/>
        </w:rPr>
        <w:t>供应商没有按照磋商文件要求提供全部资料，或者供应商没有对磋商文件在各方面</w:t>
      </w:r>
      <w:r>
        <w:rPr>
          <w:rFonts w:hint="eastAsia" w:ascii="宋体" w:hAnsi="宋体" w:eastAsia="宋体" w:cs="宋体"/>
          <w:color w:val="000000"/>
          <w:sz w:val="24"/>
          <w:highlight w:val="none"/>
        </w:rPr>
        <w:t>作出实质性响应是供应商的风险，并可能导致其投标被拒绝。</w:t>
      </w:r>
    </w:p>
    <w:p w14:paraId="1806E6CA">
      <w:pPr>
        <w:snapToGrid w:val="0"/>
        <w:spacing w:line="420" w:lineRule="exact"/>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（三）磋商文件的澄清与修改 </w:t>
      </w:r>
    </w:p>
    <w:p w14:paraId="14A7C6D3">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应认真阅读本磋商文件，发现其中有误或有不合理要求的，供应商必须在前附表规定的时间前以书面形式要求招标人澄清。招标人对已发出的磋商文件进行必要澄清、答复、修改或补充的，应当在磋商文件要求提交响应文件截止时间前，在采购公告发布的网站予以发布。</w:t>
      </w:r>
    </w:p>
    <w:p w14:paraId="27FD8A38">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2.磋商文件澄清、答复、修改、补充的内容为磋商标文件的组成部分。当磋商文件与磋商文件的答复、澄清、修改、补充通知就同一内容的表述不一致时，以最后发出的公告为准。</w:t>
      </w:r>
    </w:p>
    <w:p w14:paraId="79FC128C">
      <w:pPr>
        <w:snapToGrid w:val="0"/>
        <w:spacing w:line="420" w:lineRule="exact"/>
        <w:ind w:firstLine="480" w:firstLineChars="200"/>
        <w:jc w:val="left"/>
        <w:rPr>
          <w:rFonts w:hint="eastAsia" w:ascii="宋体" w:hAnsi="宋体" w:eastAsia="宋体" w:cs="宋体"/>
          <w:color w:val="000000"/>
          <w:highlight w:val="none"/>
        </w:rPr>
      </w:pPr>
      <w:r>
        <w:rPr>
          <w:rFonts w:hint="eastAsia" w:ascii="宋体" w:hAnsi="宋体" w:eastAsia="宋体" w:cs="宋体"/>
          <w:color w:val="000000"/>
          <w:sz w:val="24"/>
          <w:highlight w:val="none"/>
        </w:rPr>
        <w:t>3.磋商文件的澄清、答复、修改或补充都应该通过招标</w:t>
      </w:r>
      <w:r>
        <w:rPr>
          <w:rFonts w:hint="eastAsia" w:ascii="宋体" w:hAnsi="宋体" w:eastAsia="宋体" w:cs="宋体"/>
          <w:color w:val="000000"/>
          <w:highlight w:val="none"/>
        </w:rPr>
        <w:t>人以法定形式发布，采购人没有通过招标人，不得擅自澄清、答复、修改或补充磋商文件。</w:t>
      </w:r>
    </w:p>
    <w:p w14:paraId="5C0FECF0">
      <w:pPr>
        <w:pStyle w:val="29"/>
        <w:snapToGrid w:val="0"/>
        <w:spacing w:beforeLines="0" w:afterLines="0" w:line="420" w:lineRule="exact"/>
        <w:ind w:firstLine="472" w:firstLineChars="196"/>
        <w:rPr>
          <w:rFonts w:hint="eastAsia" w:ascii="宋体" w:hAnsi="宋体" w:eastAsia="宋体" w:cs="宋体"/>
          <w:b/>
          <w:highlight w:val="none"/>
        </w:rPr>
      </w:pPr>
      <w:r>
        <w:rPr>
          <w:rFonts w:hint="eastAsia" w:ascii="宋体" w:hAnsi="宋体" w:eastAsia="宋体" w:cs="宋体"/>
          <w:b/>
          <w:highlight w:val="none"/>
        </w:rPr>
        <w:t>三、响应文件的编制</w:t>
      </w:r>
    </w:p>
    <w:p w14:paraId="4503E438">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本项目实行电子投标，供应商应准备电子响应文件，本项目线下无需提供任何备份响应文件。电子响应文件，按政采云平台项目采购--电子招投标操作指南及本磋商文件要求编制。</w:t>
      </w:r>
    </w:p>
    <w:p w14:paraId="2B11F62C">
      <w:pPr>
        <w:snapToGrid w:val="0"/>
        <w:spacing w:line="420" w:lineRule="exact"/>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（一）响应文件的组成</w:t>
      </w:r>
    </w:p>
    <w:p w14:paraId="3A8FFEA4">
      <w:pPr>
        <w:snapToGrid w:val="0"/>
        <w:spacing w:line="420" w:lineRule="exact"/>
        <w:ind w:firstLine="482" w:firstLineChars="200"/>
        <w:jc w:val="left"/>
        <w:rPr>
          <w:rFonts w:hint="eastAsia" w:ascii="宋体" w:hAnsi="宋体" w:eastAsia="宋体" w:cs="宋体"/>
          <w:sz w:val="24"/>
          <w:highlight w:val="none"/>
        </w:rPr>
      </w:pPr>
      <w:r>
        <w:rPr>
          <w:rFonts w:hint="eastAsia" w:ascii="宋体" w:hAnsi="宋体" w:eastAsia="宋体" w:cs="宋体"/>
          <w:b/>
          <w:sz w:val="24"/>
          <w:highlight w:val="none"/>
        </w:rPr>
        <w:t>响应文件由资格响应文件、商务技术文件、报价文件三部份组成。</w:t>
      </w:r>
      <w:r>
        <w:rPr>
          <w:rFonts w:hint="eastAsia" w:ascii="宋体" w:hAnsi="宋体" w:eastAsia="宋体" w:cs="宋体"/>
          <w:sz w:val="24"/>
          <w:highlight w:val="none"/>
        </w:rPr>
        <w:t>相关格式见附件，其余格式自拟。</w:t>
      </w:r>
    </w:p>
    <w:p w14:paraId="327C3791">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1.资格响应文件</w:t>
      </w:r>
    </w:p>
    <w:p w14:paraId="2B9EADE9">
      <w:pPr>
        <w:snapToGrid w:val="0"/>
        <w:spacing w:line="42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（1）营业执照</w:t>
      </w:r>
      <w:r>
        <w:rPr>
          <w:rFonts w:hint="eastAsia" w:ascii="宋体" w:hAnsi="宋体" w:eastAsia="宋体" w:cs="宋体"/>
          <w:b/>
          <w:sz w:val="24"/>
          <w:highlight w:val="none"/>
        </w:rPr>
        <w:t>（推荐使用电子营业执照）</w:t>
      </w:r>
      <w:r>
        <w:rPr>
          <w:rFonts w:hint="eastAsia" w:ascii="宋体" w:hAnsi="宋体" w:eastAsia="宋体" w:cs="宋体"/>
          <w:bCs/>
          <w:sz w:val="24"/>
          <w:highlight w:val="none"/>
        </w:rPr>
        <w:t>或事</w:t>
      </w:r>
      <w:r>
        <w:rPr>
          <w:rFonts w:hint="eastAsia" w:ascii="宋体" w:hAnsi="宋体" w:eastAsia="宋体" w:cs="宋体"/>
          <w:bCs/>
          <w:color w:val="000000"/>
          <w:sz w:val="24"/>
          <w:highlight w:val="none"/>
        </w:rPr>
        <w:t>业法人登记证或其他工商等登记证明材料原件扫描件或复印件；</w:t>
      </w:r>
    </w:p>
    <w:p w14:paraId="33B3A44C">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bCs/>
          <w:color w:val="000000"/>
          <w:sz w:val="24"/>
          <w:highlight w:val="none"/>
        </w:rPr>
        <w:t>（2）</w:t>
      </w:r>
      <w:r>
        <w:rPr>
          <w:rFonts w:hint="eastAsia" w:ascii="宋体" w:hAnsi="宋体" w:eastAsia="宋体" w:cs="宋体"/>
          <w:sz w:val="24"/>
          <w:highlight w:val="none"/>
        </w:rPr>
        <w:t>证书材料（仅提供证书扫描件或电子证书）：</w:t>
      </w:r>
    </w:p>
    <w:p w14:paraId="519AC13D">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 xml:space="preserve">①如投标人为浙江省省外企业的，应提供有效期内的省外企业进浙承接业务证书或在“浙江省建筑市场监管公共服务系统”已完成备案的证明材料； </w:t>
      </w:r>
    </w:p>
    <w:p w14:paraId="6A3054F8">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②《建筑业企业资质证书》（若为住房和城乡建设部同意企业资质电子化试点的省、市可提供企业电子资质证书）、安全生产许可证。</w:t>
      </w:r>
    </w:p>
    <w:p w14:paraId="1BA9B174">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③项目负责人的《项目负责人建造师注册证书》。</w:t>
      </w:r>
    </w:p>
    <w:p w14:paraId="4233321F">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14:paraId="550B1C99">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如为二级建造师证书：住房和城乡建设部同意的建设领域从业人员有关证书电子化试点的省、市或住房和城乡建设部同意开展二级建造师注册证书电子化试点的省、市，可提供从业人员的电子证书。</w:t>
      </w:r>
    </w:p>
    <w:p w14:paraId="4B812332">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14:paraId="6D96E8E1">
      <w:pPr>
        <w:numPr>
          <w:ilvl w:val="0"/>
          <w:numId w:val="5"/>
        </w:numPr>
        <w:snapToGrid w:val="0"/>
        <w:spacing w:line="420" w:lineRule="exact"/>
        <w:ind w:firstLine="482" w:firstLineChars="200"/>
        <w:jc w:val="left"/>
        <w:rPr>
          <w:rFonts w:hint="eastAsia" w:ascii="宋体" w:hAnsi="宋体" w:eastAsia="宋体"/>
          <w:b/>
          <w:color w:val="auto"/>
          <w:sz w:val="24"/>
          <w:szCs w:val="24"/>
          <w:highlight w:val="none"/>
          <w:u w:val="single"/>
          <w:shd w:val="pct10" w:color="auto" w:fill="FFFFFF"/>
          <w:lang w:eastAsia="zh-CN"/>
        </w:rPr>
      </w:pPr>
      <w:bookmarkStart w:id="41" w:name="_Hlk68075338"/>
      <w:r>
        <w:rPr>
          <w:rFonts w:hint="eastAsia" w:ascii="宋体" w:hAnsi="宋体" w:eastAsia="宋体"/>
          <w:b/>
          <w:color w:val="auto"/>
          <w:sz w:val="24"/>
          <w:szCs w:val="24"/>
          <w:highlight w:val="none"/>
          <w:u w:val="single"/>
          <w:shd w:val="pct10" w:color="auto" w:fill="FFFFFF"/>
          <w:lang w:eastAsia="zh-CN"/>
        </w:rPr>
        <w:t>中小企业声明函（供应商未提供《中小企业声明函》的、《中小企业声明函》中内容未填写齐全的、缺项的、填写内容出现错误的、未如实填写的，将不给予供应商享受中小企业扶持政策（即资格响应文件为无效）。</w:t>
      </w:r>
    </w:p>
    <w:bookmarkEnd w:id="41"/>
    <w:p w14:paraId="681765B2">
      <w:pPr>
        <w:numPr>
          <w:ilvl w:val="0"/>
          <w:numId w:val="5"/>
        </w:numPr>
        <w:snapToGrid w:val="0"/>
        <w:spacing w:line="420" w:lineRule="exact"/>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没有重大违法记录的承诺函</w:t>
      </w:r>
      <w:bookmarkStart w:id="42" w:name="_Hlk69365455"/>
      <w:r>
        <w:rPr>
          <w:rFonts w:hint="eastAsia" w:ascii="宋体" w:hAnsi="宋体" w:eastAsia="宋体" w:cs="宋体"/>
          <w:b/>
          <w:color w:val="auto"/>
          <w:sz w:val="24"/>
          <w:highlight w:val="none"/>
          <w:u w:val="single"/>
          <w:shd w:val="pct10" w:color="auto" w:fill="FFFFFF"/>
        </w:rPr>
        <w:t>（请供应商在资格响应文件中勿遗漏该表格）</w:t>
      </w:r>
      <w:r>
        <w:rPr>
          <w:rFonts w:hint="eastAsia" w:ascii="宋体" w:hAnsi="宋体" w:eastAsia="宋体" w:cs="宋体"/>
          <w:bCs/>
          <w:color w:val="auto"/>
          <w:sz w:val="24"/>
          <w:highlight w:val="none"/>
        </w:rPr>
        <w:t>；</w:t>
      </w:r>
    </w:p>
    <w:p w14:paraId="51ADB72E">
      <w:pPr>
        <w:spacing w:line="420" w:lineRule="exact"/>
        <w:ind w:firstLine="470" w:firstLineChars="196"/>
        <w:rPr>
          <w:rFonts w:hint="eastAsia"/>
          <w:color w:val="auto"/>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bookmarkEnd w:id="42"/>
    <w:p w14:paraId="42F634AB">
      <w:pPr>
        <w:snapToGrid w:val="0"/>
        <w:spacing w:line="420" w:lineRule="exact"/>
        <w:ind w:firstLine="482" w:firstLineChars="200"/>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2.</w:t>
      </w:r>
      <w:bookmarkStart w:id="43" w:name="_Hlk534200662"/>
      <w:r>
        <w:rPr>
          <w:rFonts w:hint="eastAsia" w:ascii="宋体" w:hAnsi="宋体" w:eastAsia="宋体" w:cs="宋体"/>
          <w:b/>
          <w:color w:val="000000"/>
          <w:sz w:val="24"/>
          <w:highlight w:val="none"/>
        </w:rPr>
        <w:t>商务</w:t>
      </w:r>
      <w:r>
        <w:rPr>
          <w:rFonts w:hint="eastAsia" w:ascii="宋体" w:hAnsi="宋体" w:eastAsia="宋体" w:cs="宋体"/>
          <w:b/>
          <w:bCs/>
          <w:color w:val="000000"/>
          <w:sz w:val="24"/>
          <w:highlight w:val="none"/>
        </w:rPr>
        <w:t>技术</w:t>
      </w:r>
      <w:r>
        <w:rPr>
          <w:rFonts w:hint="eastAsia" w:ascii="宋体" w:hAnsi="宋体" w:eastAsia="宋体" w:cs="宋体"/>
          <w:b/>
          <w:color w:val="000000"/>
          <w:sz w:val="24"/>
          <w:highlight w:val="none"/>
        </w:rPr>
        <w:t>文件</w:t>
      </w:r>
      <w:bookmarkEnd w:id="43"/>
    </w:p>
    <w:p w14:paraId="695AF14B">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（1）投标函；</w:t>
      </w:r>
    </w:p>
    <w:p w14:paraId="1AB60334">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（2）</w:t>
      </w:r>
      <w:bookmarkStart w:id="44" w:name="_Hlk534200539"/>
      <w:r>
        <w:rPr>
          <w:rFonts w:hint="eastAsia" w:ascii="宋体" w:hAnsi="宋体" w:eastAsia="宋体" w:cs="宋体"/>
          <w:sz w:val="24"/>
          <w:highlight w:val="none"/>
        </w:rPr>
        <w:t>法定代表人授权委托书</w:t>
      </w:r>
      <w:bookmarkEnd w:id="44"/>
      <w:r>
        <w:rPr>
          <w:rFonts w:hint="eastAsia" w:ascii="宋体" w:hAnsi="宋体" w:eastAsia="宋体" w:cs="宋体"/>
          <w:sz w:val="24"/>
          <w:highlight w:val="none"/>
        </w:rPr>
        <w:t>；</w:t>
      </w:r>
    </w:p>
    <w:p w14:paraId="5A49520E">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（3）项目负责人简历表；</w:t>
      </w:r>
    </w:p>
    <w:p w14:paraId="5DF36EFB">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（4）项目负责人在建项目承诺书；</w:t>
      </w:r>
    </w:p>
    <w:p w14:paraId="14830666">
      <w:pPr>
        <w:snapToGrid w:val="0"/>
        <w:spacing w:line="42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（5）项目技术负责人简历表</w:t>
      </w:r>
      <w:r>
        <w:rPr>
          <w:rFonts w:hint="eastAsia" w:ascii="宋体" w:hAnsi="宋体" w:eastAsia="宋体" w:cs="宋体"/>
          <w:sz w:val="24"/>
          <w:highlight w:val="none"/>
          <w:lang w:eastAsia="zh-CN"/>
        </w:rPr>
        <w:t>；</w:t>
      </w:r>
    </w:p>
    <w:p w14:paraId="6F22D691">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（6）项目实施人员一览表；</w:t>
      </w:r>
    </w:p>
    <w:p w14:paraId="3CE57EC1">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（7）主要施工机械设备表；</w:t>
      </w:r>
    </w:p>
    <w:p w14:paraId="63040056">
      <w:pPr>
        <w:snapToGrid w:val="0"/>
        <w:spacing w:line="420" w:lineRule="exact"/>
        <w:ind w:firstLine="470" w:firstLineChars="196"/>
        <w:jc w:val="left"/>
        <w:rPr>
          <w:rFonts w:hint="eastAsia"/>
          <w:highlight w:val="none"/>
        </w:rPr>
      </w:pPr>
      <w:r>
        <w:rPr>
          <w:rFonts w:hint="eastAsia" w:ascii="宋体" w:hAnsi="宋体"/>
          <w:sz w:val="24"/>
          <w:highlight w:val="none"/>
        </w:rPr>
        <w:t>（</w:t>
      </w:r>
      <w:r>
        <w:rPr>
          <w:rFonts w:ascii="宋体" w:hAnsi="宋体"/>
          <w:sz w:val="24"/>
          <w:highlight w:val="none"/>
        </w:rPr>
        <w:t>8</w:t>
      </w:r>
      <w:r>
        <w:rPr>
          <w:rFonts w:hint="eastAsia" w:ascii="宋体" w:hAnsi="宋体"/>
          <w:sz w:val="24"/>
          <w:highlight w:val="none"/>
        </w:rPr>
        <w:t>）供应商类似合同案例一览表</w:t>
      </w:r>
      <w:r>
        <w:rPr>
          <w:rFonts w:hint="eastAsia" w:ascii="宋体" w:hAnsi="宋体"/>
          <w:sz w:val="24"/>
          <w:highlight w:val="none"/>
          <w:lang w:eastAsia="zh-CN"/>
        </w:rPr>
        <w:t>；</w:t>
      </w:r>
    </w:p>
    <w:p w14:paraId="6352E276">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）商务技术响应表；</w:t>
      </w:r>
    </w:p>
    <w:p w14:paraId="2BE586F6">
      <w:pPr>
        <w:snapToGrid w:val="0"/>
        <w:spacing w:line="420" w:lineRule="exact"/>
        <w:ind w:firstLine="470" w:firstLineChars="196"/>
        <w:jc w:val="left"/>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cs="宋体"/>
          <w:sz w:val="24"/>
          <w:highlight w:val="none"/>
          <w:lang w:val="en-US" w:eastAsia="zh-CN"/>
        </w:rPr>
        <w:t>10</w:t>
      </w:r>
      <w:r>
        <w:rPr>
          <w:rFonts w:hint="eastAsia" w:ascii="宋体" w:hAnsi="宋体" w:eastAsia="宋体" w:cs="宋体"/>
          <w:sz w:val="24"/>
          <w:highlight w:val="none"/>
        </w:rPr>
        <w:t>）供应商按照评分标准要求提供的相应资料</w:t>
      </w:r>
      <w:r>
        <w:rPr>
          <w:rFonts w:hint="eastAsia" w:ascii="宋体" w:hAnsi="宋体" w:eastAsia="宋体" w:cs="宋体"/>
          <w:sz w:val="24"/>
          <w:highlight w:val="none"/>
          <w:lang w:eastAsia="zh-CN"/>
        </w:rPr>
        <w:t>；</w:t>
      </w:r>
    </w:p>
    <w:p w14:paraId="4789A357">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1</w:t>
      </w:r>
      <w:r>
        <w:rPr>
          <w:rFonts w:hint="eastAsia" w:ascii="宋体" w:hAnsi="宋体" w:eastAsia="宋体" w:cs="宋体"/>
          <w:sz w:val="24"/>
          <w:highlight w:val="none"/>
        </w:rPr>
        <w:t>）供应商认为需要提供的其他资料。</w:t>
      </w:r>
      <w:bookmarkStart w:id="45" w:name="_Hlk534294060"/>
    </w:p>
    <w:bookmarkEnd w:id="45"/>
    <w:p w14:paraId="3AF06C01">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3.报价文件</w:t>
      </w:r>
    </w:p>
    <w:p w14:paraId="6AE45828">
      <w:pPr>
        <w:snapToGrid w:val="0"/>
        <w:spacing w:line="420" w:lineRule="exact"/>
        <w:ind w:firstLine="472" w:firstLineChars="196"/>
        <w:jc w:val="left"/>
        <w:rPr>
          <w:rFonts w:hint="eastAsia" w:ascii="宋体" w:hAnsi="宋体" w:eastAsia="宋体" w:cs="宋体"/>
          <w:b/>
          <w:sz w:val="24"/>
          <w:highlight w:val="none"/>
          <w:u w:val="single"/>
          <w:shd w:val="pct10" w:color="auto" w:fill="FFFFFF"/>
        </w:rPr>
      </w:pPr>
      <w:r>
        <w:rPr>
          <w:rFonts w:hint="eastAsia" w:ascii="宋体" w:hAnsi="宋体" w:eastAsia="宋体" w:cs="宋体"/>
          <w:b/>
          <w:kern w:val="0"/>
          <w:sz w:val="24"/>
          <w:szCs w:val="24"/>
          <w:highlight w:val="none"/>
          <w:u w:val="single"/>
          <w:shd w:val="pct10" w:color="auto" w:fill="FFFFFF"/>
          <w:lang w:val="en-US" w:eastAsia="zh-CN" w:bidi="ar-SA"/>
        </w:rPr>
        <w:t>（1）开标一览表；</w:t>
      </w:r>
    </w:p>
    <w:p w14:paraId="7EE91161">
      <w:pPr>
        <w:spacing w:line="420" w:lineRule="exact"/>
        <w:ind w:firstLine="482" w:firstLineChars="200"/>
        <w:rPr>
          <w:rFonts w:hint="eastAsia" w:ascii="宋体" w:hAnsi="宋体" w:eastAsia="宋体" w:cs="宋体"/>
          <w:b/>
          <w:spacing w:val="-4"/>
          <w:sz w:val="24"/>
          <w:highlight w:val="none"/>
        </w:rPr>
      </w:pPr>
      <w:r>
        <w:rPr>
          <w:rFonts w:hint="eastAsia" w:ascii="宋体" w:hAnsi="宋体" w:eastAsia="宋体" w:cs="宋体"/>
          <w:b/>
          <w:sz w:val="24"/>
          <w:highlight w:val="none"/>
        </w:rPr>
        <w:t>（二）</w:t>
      </w:r>
      <w:r>
        <w:rPr>
          <w:rFonts w:hint="eastAsia" w:ascii="宋体" w:hAnsi="宋体" w:eastAsia="宋体" w:cs="宋体"/>
          <w:b/>
          <w:spacing w:val="-4"/>
          <w:sz w:val="24"/>
          <w:highlight w:val="none"/>
        </w:rPr>
        <w:t>采购项目评分索引表(该表格仅为方便评标之用，不涉及无效标条款，表格放置在商务技术文件目录的前页，以方便评委进行评审，格式见第四章)</w:t>
      </w:r>
    </w:p>
    <w:p w14:paraId="13BAFE1D">
      <w:pPr>
        <w:snapToGrid w:val="0"/>
        <w:spacing w:line="420" w:lineRule="exact"/>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（三）响应文件的语言及计量</w:t>
      </w:r>
    </w:p>
    <w:p w14:paraId="06B7C7FE">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1.响应文件以及供应商与招标人就有关投标事宜的所有来往函电，均应以中文汉语书写。除签名、盖章、专用名称等特殊情形外，以中文汉语以外的文字表述的响应文件视同未提供。</w:t>
      </w:r>
    </w:p>
    <w:p w14:paraId="29574E2B">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2.投标计量单位，磋商文件已有明确规定的，使用磋商文件规定的计量单位；磋商文件没有规定的，应采用中华人民共和国法定计量单位（货币单位：人民币元），否则视同未响应。</w:t>
      </w:r>
    </w:p>
    <w:p w14:paraId="129FCB25">
      <w:pPr>
        <w:snapToGrid w:val="0"/>
        <w:spacing w:line="420" w:lineRule="exact"/>
        <w:ind w:firstLine="361" w:firstLineChars="1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（四）投标报价</w:t>
      </w:r>
    </w:p>
    <w:p w14:paraId="1DFEA47F">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1.投标报价应按磋商文件中相关附表格式填写。</w:t>
      </w:r>
    </w:p>
    <w:p w14:paraId="08760A94">
      <w:pPr>
        <w:snapToGrid w:val="0"/>
        <w:spacing w:line="420" w:lineRule="exact"/>
        <w:ind w:firstLine="470" w:firstLineChars="196"/>
        <w:jc w:val="left"/>
        <w:rPr>
          <w:rFonts w:hint="default" w:ascii="宋体" w:hAnsi="宋体" w:eastAsia="宋体" w:cs="宋体"/>
          <w:bCs/>
          <w:sz w:val="24"/>
          <w:highlight w:val="none"/>
          <w:lang w:val="en-US" w:eastAsia="zh-CN"/>
        </w:rPr>
      </w:pPr>
      <w:r>
        <w:rPr>
          <w:rFonts w:hint="eastAsia" w:ascii="宋体" w:hAnsi="宋体" w:eastAsia="宋体" w:cs="宋体"/>
          <w:bCs/>
          <w:sz w:val="24"/>
          <w:highlight w:val="none"/>
        </w:rPr>
        <w:t>2.投标报价是履行合同的最终价格，应包括</w:t>
      </w:r>
      <w:r>
        <w:rPr>
          <w:rFonts w:hint="eastAsia" w:ascii="宋体" w:hAnsi="宋体" w:cs="宋体"/>
          <w:bCs/>
          <w:sz w:val="24"/>
          <w:highlight w:val="none"/>
          <w:lang w:val="en-US" w:eastAsia="zh-CN"/>
        </w:rPr>
        <w:t>工程费、措施项目费、其他项目费、规费、增值税、利润、保修、招标代理费等一切费用。</w:t>
      </w:r>
    </w:p>
    <w:p w14:paraId="1EC62AA4">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▲3.响应文件只允许有一个报价，有选择的或有条件的报价将不予接受。</w:t>
      </w:r>
    </w:p>
    <w:p w14:paraId="7C481FA2">
      <w:pPr>
        <w:tabs>
          <w:tab w:val="left" w:pos="525"/>
        </w:tabs>
        <w:snapToGrid w:val="0"/>
        <w:spacing w:line="420" w:lineRule="exact"/>
        <w:ind w:firstLine="480" w:firstLineChars="200"/>
        <w:jc w:val="left"/>
        <w:rPr>
          <w:rFonts w:hint="eastAsia" w:ascii="宋体" w:hAnsi="宋体" w:eastAsia="宋体" w:cs="宋体"/>
          <w:bCs/>
          <w:sz w:val="24"/>
          <w:highlight w:val="none"/>
        </w:rPr>
      </w:pPr>
      <w:r>
        <w:rPr>
          <w:rFonts w:hint="eastAsia" w:ascii="宋体" w:hAnsi="宋体" w:eastAsia="宋体" w:cs="Times New Roman"/>
          <w:color w:val="FF0000"/>
          <w:sz w:val="24"/>
          <w:lang w:eastAsia="zh-CN"/>
        </w:rPr>
        <w:t>（</w:t>
      </w:r>
      <w:r>
        <w:rPr>
          <w:rFonts w:hint="eastAsia" w:ascii="宋体" w:hAnsi="宋体" w:eastAsia="宋体" w:cs="Times New Roman"/>
          <w:color w:val="FF0000"/>
          <w:sz w:val="24"/>
          <w:lang w:val="en-US" w:eastAsia="zh-CN"/>
        </w:rPr>
        <w:t>此项符合性在报价文件中进行评审</w:t>
      </w:r>
      <w:r>
        <w:rPr>
          <w:rFonts w:hint="eastAsia" w:ascii="宋体" w:hAnsi="宋体" w:eastAsia="宋体" w:cs="Times New Roman"/>
          <w:color w:val="FF0000"/>
          <w:sz w:val="24"/>
          <w:lang w:eastAsia="zh-CN"/>
        </w:rPr>
        <w:t>）</w:t>
      </w:r>
    </w:p>
    <w:p w14:paraId="4F3928B0">
      <w:pPr>
        <w:snapToGrid w:val="0"/>
        <w:spacing w:line="420" w:lineRule="exact"/>
        <w:ind w:firstLine="361" w:firstLineChars="1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（五）投标有效期</w:t>
      </w:r>
    </w:p>
    <w:p w14:paraId="7C801BB5">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▲1.自投标截止日起</w:t>
      </w:r>
      <w:r>
        <w:rPr>
          <w:rFonts w:hint="eastAsia" w:ascii="宋体" w:hAnsi="宋体" w:eastAsia="宋体" w:cs="宋体"/>
          <w:bCs/>
          <w:sz w:val="24"/>
          <w:highlight w:val="none"/>
          <w:u w:val="single"/>
        </w:rPr>
        <w:t xml:space="preserve">  90  </w:t>
      </w:r>
      <w:r>
        <w:rPr>
          <w:rFonts w:hint="eastAsia" w:ascii="宋体" w:hAnsi="宋体" w:eastAsia="宋体" w:cs="宋体"/>
          <w:bCs/>
          <w:sz w:val="24"/>
          <w:highlight w:val="none"/>
        </w:rPr>
        <w:t>天响应文件应保持有效。</w:t>
      </w:r>
    </w:p>
    <w:p w14:paraId="69FCB78E">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2.在特殊情况下，招标人可与供应商协商延长响应文件的有效期，这种要求和答复均以书面形式进行。</w:t>
      </w:r>
    </w:p>
    <w:p w14:paraId="1E5504BA">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 xml:space="preserve">3.供应商可拒绝接受延期要求，同意延长有效期的供应商不能修改响应文件内容。 </w:t>
      </w:r>
    </w:p>
    <w:p w14:paraId="0386D13E">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4.成交供应商的响应文件自开标之日起至合同履行完毕止均应保持有效。</w:t>
      </w:r>
    </w:p>
    <w:p w14:paraId="542C2E79">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5.供应商有下列情形之一的，按有关规定进行处罚：</w:t>
      </w:r>
    </w:p>
    <w:p w14:paraId="254319DF">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（1）供应商在投标有效期内撤回响应文件的；</w:t>
      </w:r>
    </w:p>
    <w:p w14:paraId="06E1D75F">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（2）未按规定提交履约保证金的；</w:t>
      </w:r>
    </w:p>
    <w:p w14:paraId="1F4DC78E">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（3）供应商在投标过程中弄虚作假，提供虚假材料的；</w:t>
      </w:r>
    </w:p>
    <w:p w14:paraId="6FF76F87">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（4）成交供应商无正当理由不与采购人签订合同的；</w:t>
      </w:r>
    </w:p>
    <w:p w14:paraId="2B2BB93A">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（5）将成交项目转让给他人或者在响应文件中未说明且未经招标人同意，将成交项目分包给他人的；</w:t>
      </w:r>
    </w:p>
    <w:p w14:paraId="784523C8">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（6）拒绝履行合同义务的；</w:t>
      </w:r>
    </w:p>
    <w:p w14:paraId="44505E00">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（7）其他严重扰乱招投标程序的。</w:t>
      </w:r>
    </w:p>
    <w:p w14:paraId="68649593">
      <w:pPr>
        <w:snapToGrid w:val="0"/>
        <w:spacing w:line="420" w:lineRule="exact"/>
        <w:ind w:firstLine="361" w:firstLineChars="1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（六）响应文件的签署</w:t>
      </w:r>
    </w:p>
    <w:p w14:paraId="4D1DA405">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1.供应商应按本磋商文件规定的格式和顺序编制响应文件并标注页码，响应文件内容不完整、编排混乱而导致响应文件被误读、漏读或者查找不到相关内容的，供应商责任自负。</w:t>
      </w:r>
    </w:p>
    <w:p w14:paraId="4EB06148">
      <w:pPr>
        <w:snapToGrid w:val="0"/>
        <w:spacing w:line="420" w:lineRule="exact"/>
        <w:ind w:firstLine="470" w:firstLineChars="196"/>
        <w:jc w:val="left"/>
        <w:rPr>
          <w:rFonts w:hint="eastAsia" w:ascii="宋体" w:hAnsi="宋体" w:eastAsia="宋体" w:cs="宋体"/>
          <w:bCs/>
          <w:sz w:val="24"/>
          <w:highlight w:val="none"/>
          <w:u w:val="single"/>
        </w:rPr>
      </w:pPr>
      <w:r>
        <w:rPr>
          <w:rFonts w:hint="eastAsia" w:ascii="宋体" w:hAnsi="宋体" w:eastAsia="宋体" w:cs="宋体"/>
          <w:bCs/>
          <w:sz w:val="24"/>
          <w:highlight w:val="none"/>
        </w:rPr>
        <w:t>2.电子响应文件中公章采用CA签章，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eastAsia="宋体" w:cs="宋体"/>
          <w:bCs/>
          <w:sz w:val="24"/>
          <w:highlight w:val="none"/>
          <w:u w:val="single"/>
        </w:rPr>
        <w:t>如对磋商文件的某项要求，供应商的电子响应文件未能关联定位提供相应的内容与其对应，则磋商小组在评审时如做出对供应商不利的评审由供应商自行承担。</w:t>
      </w:r>
    </w:p>
    <w:p w14:paraId="07DD9902">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电子响应文件如内容不完整、编排混乱导致响应文件被误读、漏读，或者在按采购文件规定的部位查找不到相关内容的，由供应商自行承担。</w:t>
      </w:r>
    </w:p>
    <w:p w14:paraId="3D2694B0">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3.温馨提醒：</w:t>
      </w:r>
      <w:r>
        <w:rPr>
          <w:rFonts w:hint="eastAsia" w:ascii="宋体" w:hAnsi="宋体" w:eastAsia="宋体" w:cs="宋体"/>
          <w:bCs/>
          <w:sz w:val="24"/>
          <w:highlight w:val="none"/>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2CE36862">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4.响应文件不得涂改，若有修改错漏处，须加盖单位公章或者法定代表人或授权委托人签字或盖章。响应文件因字迹潦草或表达不清所引起的后果由供应商负责。</w:t>
      </w:r>
    </w:p>
    <w:p w14:paraId="305160B7">
      <w:pPr>
        <w:snapToGrid w:val="0"/>
        <w:spacing w:line="420" w:lineRule="exact"/>
        <w:ind w:firstLine="472" w:firstLineChars="196"/>
        <w:jc w:val="left"/>
        <w:rPr>
          <w:rFonts w:hint="eastAsia" w:ascii="宋体" w:hAnsi="宋体" w:eastAsia="宋体" w:cs="宋体"/>
          <w:b/>
          <w:bCs w:val="0"/>
          <w:sz w:val="24"/>
          <w:highlight w:val="none"/>
        </w:rPr>
      </w:pPr>
      <w:r>
        <w:rPr>
          <w:rFonts w:hint="eastAsia" w:ascii="宋体" w:hAnsi="宋体" w:eastAsia="宋体" w:cs="宋体"/>
          <w:b/>
          <w:bCs w:val="0"/>
          <w:sz w:val="24"/>
          <w:highlight w:val="none"/>
        </w:rPr>
        <w:t>（七）投标无效的情形</w:t>
      </w:r>
    </w:p>
    <w:p w14:paraId="00A1E2B4">
      <w:pPr>
        <w:snapToGrid w:val="0"/>
        <w:spacing w:line="420" w:lineRule="exact"/>
        <w:ind w:firstLine="470" w:firstLineChars="196"/>
        <w:jc w:val="left"/>
        <w:rPr>
          <w:rFonts w:hint="eastAsia" w:ascii="宋体" w:hAnsi="宋体" w:eastAsia="宋体" w:cs="宋体"/>
          <w:bCs/>
          <w:color w:val="000000"/>
          <w:sz w:val="24"/>
          <w:highlight w:val="none"/>
        </w:rPr>
      </w:pPr>
      <w:r>
        <w:rPr>
          <w:rFonts w:hint="eastAsia" w:ascii="宋体" w:hAnsi="宋体" w:eastAsia="宋体" w:cs="宋体"/>
          <w:bCs/>
          <w:sz w:val="24"/>
          <w:highlight w:val="none"/>
        </w:rPr>
        <w:t>实质上没有响应磋商文件要求的投标将被视为无效投标。供应商不得通过修正或撤消不合要求的偏离或保留从而使其投</w:t>
      </w:r>
      <w:r>
        <w:rPr>
          <w:rFonts w:hint="eastAsia" w:ascii="宋体" w:hAnsi="宋体" w:eastAsia="宋体" w:cs="宋体"/>
          <w:bCs/>
          <w:color w:val="000000"/>
          <w:sz w:val="24"/>
          <w:highlight w:val="none"/>
        </w:rPr>
        <w:t>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77BF8535">
      <w:pPr>
        <w:snapToGrid w:val="0"/>
        <w:spacing w:line="420" w:lineRule="exact"/>
        <w:ind w:firstLine="457" w:firstLineChars="196"/>
        <w:rPr>
          <w:rFonts w:hint="eastAsia" w:ascii="宋体" w:hAnsi="宋体" w:eastAsia="宋体" w:cs="宋体"/>
          <w:b/>
          <w:bCs/>
          <w:color w:val="auto"/>
          <w:spacing w:val="-4"/>
          <w:sz w:val="24"/>
          <w:highlight w:val="none"/>
        </w:rPr>
      </w:pPr>
      <w:bookmarkStart w:id="46" w:name="_Hlk59462445"/>
      <w:r>
        <w:rPr>
          <w:rFonts w:hint="eastAsia" w:ascii="宋体" w:hAnsi="宋体" w:eastAsia="宋体" w:cs="宋体"/>
          <w:b/>
          <w:bCs/>
          <w:color w:val="auto"/>
          <w:spacing w:val="-4"/>
          <w:sz w:val="24"/>
          <w:highlight w:val="none"/>
        </w:rPr>
        <w:t>1.</w:t>
      </w:r>
      <w:bookmarkStart w:id="47" w:name="_Hlk534294335"/>
      <w:r>
        <w:rPr>
          <w:rFonts w:hint="eastAsia" w:ascii="宋体" w:hAnsi="宋体" w:eastAsia="宋体" w:cs="宋体"/>
          <w:b/>
          <w:bCs/>
          <w:color w:val="auto"/>
          <w:spacing w:val="-4"/>
          <w:sz w:val="24"/>
          <w:highlight w:val="none"/>
        </w:rPr>
        <w:t>在符合性审查和商务技术评审时，如发现下列情形之一的，响应文件将被视为无效：</w:t>
      </w:r>
    </w:p>
    <w:bookmarkEnd w:id="47"/>
    <w:p w14:paraId="6BBBC7F3">
      <w:pPr>
        <w:snapToGrid w:val="0"/>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（1）资格响应文件未提供齐全的</w:t>
      </w:r>
      <w:r>
        <w:rPr>
          <w:rFonts w:hint="eastAsia" w:ascii="宋体" w:hAnsi="宋体" w:cs="宋体"/>
          <w:color w:val="auto"/>
          <w:sz w:val="24"/>
          <w:highlight w:val="none"/>
          <w:lang w:eastAsia="zh-CN"/>
        </w:rPr>
        <w:t>、</w:t>
      </w:r>
      <w:r>
        <w:rPr>
          <w:rFonts w:hint="eastAsia" w:ascii="宋体" w:hAnsi="宋体"/>
          <w:color w:val="auto"/>
          <w:sz w:val="24"/>
          <w:highlight w:val="none"/>
          <w:lang w:eastAsia="zh-CN"/>
        </w:rPr>
        <w:t>《中小企业声明函》</w:t>
      </w:r>
      <w:r>
        <w:rPr>
          <w:rFonts w:hint="eastAsia" w:ascii="宋体" w:hAnsi="宋体"/>
          <w:color w:val="auto"/>
          <w:sz w:val="24"/>
          <w:highlight w:val="none"/>
          <w:lang w:val="en-US" w:eastAsia="zh-CN"/>
        </w:rPr>
        <w:t>不符合竞争性磋商文件要求的、</w:t>
      </w:r>
      <w:r>
        <w:rPr>
          <w:rFonts w:hint="eastAsia" w:ascii="宋体" w:hAnsi="宋体" w:eastAsia="宋体" w:cs="宋体"/>
          <w:color w:val="auto"/>
          <w:sz w:val="24"/>
          <w:highlight w:val="none"/>
        </w:rPr>
        <w:t>资格响应文件存在过期的或者不符合磋商文件标明的资格要求的；</w:t>
      </w:r>
    </w:p>
    <w:p w14:paraId="54BCFBE0">
      <w:pPr>
        <w:snapToGrid w:val="0"/>
        <w:spacing w:line="420" w:lineRule="exact"/>
        <w:ind w:firstLine="470" w:firstLineChars="196"/>
        <w:rPr>
          <w:rFonts w:hint="eastAsia" w:ascii="宋体" w:hAnsi="宋体" w:eastAsia="宋体" w:cs="宋体"/>
          <w:bCs/>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电子响应文件</w:t>
      </w:r>
      <w:r>
        <w:rPr>
          <w:rFonts w:hint="eastAsia" w:ascii="宋体" w:hAnsi="宋体" w:eastAsia="宋体" w:cs="宋体"/>
          <w:b/>
          <w:bCs/>
          <w:color w:val="auto"/>
          <w:kern w:val="0"/>
          <w:sz w:val="24"/>
          <w:highlight w:val="none"/>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eastAsia="宋体" w:cs="宋体"/>
          <w:b/>
          <w:bCs/>
          <w:color w:val="auto"/>
          <w:kern w:val="0"/>
          <w:sz w:val="24"/>
          <w:highlight w:val="none"/>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eastAsia="宋体" w:cs="宋体"/>
          <w:b/>
          <w:bCs/>
          <w:color w:val="auto"/>
          <w:kern w:val="0"/>
          <w:sz w:val="24"/>
          <w:highlight w:val="none"/>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eastAsia="宋体" w:cs="宋体"/>
          <w:b/>
          <w:bCs/>
          <w:color w:val="auto"/>
          <w:kern w:val="0"/>
          <w:sz w:val="24"/>
          <w:highlight w:val="none"/>
          <w:u w:val="single"/>
          <w:shd w:val="pct10" w:color="auto" w:fill="FFFFFF"/>
        </w:rPr>
        <w:t>指定页面无被授权人签字（打字无效）</w:t>
      </w:r>
      <w:r>
        <w:rPr>
          <w:rFonts w:hint="eastAsia" w:ascii="宋体" w:hAnsi="宋体" w:eastAsia="宋体" w:cs="宋体"/>
          <w:b/>
          <w:bCs/>
          <w:color w:val="auto"/>
          <w:kern w:val="0"/>
          <w:sz w:val="24"/>
          <w:highlight w:val="none"/>
          <w:u w:val="single"/>
        </w:rPr>
        <w:t>、</w:t>
      </w:r>
      <w:r>
        <w:rPr>
          <w:rFonts w:hint="eastAsia" w:ascii="宋体" w:hAnsi="宋体" w:eastAsia="宋体" w:cs="宋体"/>
          <w:b/>
          <w:bCs/>
          <w:kern w:val="0"/>
          <w:sz w:val="24"/>
          <w:highlight w:val="none"/>
        </w:rPr>
        <w:t>未提供法定代表人授权委托书、未提供投标函、未提供《没有重大违法记录的承诺函》或者投标函、《没有重大违法记录的承诺函》格式不符合竞争性磋商文件要求或填写项目不齐全的；</w:t>
      </w:r>
    </w:p>
    <w:p w14:paraId="1504A5AD">
      <w:pPr>
        <w:pStyle w:val="23"/>
        <w:snapToGrid w:val="0"/>
        <w:spacing w:line="420" w:lineRule="exact"/>
        <w:ind w:firstLine="454" w:firstLineChars="196"/>
        <w:rPr>
          <w:rFonts w:hint="eastAsia" w:ascii="宋体" w:hAnsi="宋体" w:eastAsia="宋体" w:cs="宋体"/>
          <w:b/>
          <w:bCs/>
          <w:sz w:val="24"/>
          <w:szCs w:val="24"/>
          <w:highlight w:val="none"/>
        </w:rPr>
      </w:pPr>
      <w:r>
        <w:rPr>
          <w:rFonts w:hint="eastAsia" w:ascii="宋体" w:hAnsi="宋体" w:eastAsia="宋体" w:cs="宋体"/>
          <w:sz w:val="24"/>
          <w:szCs w:val="24"/>
          <w:highlight w:val="none"/>
        </w:rPr>
        <w:t>（3）多项主要服务响应或者主要设备功能响应不满足磋商文件要求或</w:t>
      </w:r>
      <w:r>
        <w:rPr>
          <w:rFonts w:hint="eastAsia" w:ascii="宋体" w:hAnsi="宋体" w:eastAsia="宋体" w:cs="宋体"/>
          <w:sz w:val="24"/>
          <w:highlight w:val="none"/>
        </w:rPr>
        <w:t>缺项的，</w:t>
      </w:r>
      <w:r>
        <w:rPr>
          <w:rFonts w:hint="eastAsia" w:ascii="宋体" w:hAnsi="宋体" w:eastAsia="宋体" w:cs="宋体"/>
          <w:b/>
          <w:bCs/>
          <w:sz w:val="24"/>
          <w:szCs w:val="24"/>
          <w:highlight w:val="none"/>
        </w:rPr>
        <w:t>主要设备尺寸严重不满足磋商文件要求的。</w:t>
      </w:r>
    </w:p>
    <w:p w14:paraId="70F8CA42">
      <w:pPr>
        <w:pStyle w:val="23"/>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napToGrid w:val="0"/>
          <w:sz w:val="24"/>
          <w:szCs w:val="24"/>
          <w:highlight w:val="none"/>
        </w:rPr>
        <w:t>与</w:t>
      </w:r>
      <w:r>
        <w:rPr>
          <w:rFonts w:hint="eastAsia" w:ascii="宋体" w:hAnsi="宋体" w:eastAsia="宋体" w:cs="宋体"/>
          <w:sz w:val="24"/>
          <w:szCs w:val="24"/>
          <w:highlight w:val="none"/>
        </w:rPr>
        <w:t>磋商文件中标“▲”的技术指标、主要功能参数、服务响应发生实质性负偏离</w:t>
      </w:r>
      <w:r>
        <w:rPr>
          <w:rFonts w:hint="eastAsia" w:ascii="宋体" w:hAnsi="宋体" w:eastAsia="宋体" w:cs="宋体"/>
          <w:snapToGrid w:val="0"/>
          <w:sz w:val="24"/>
          <w:szCs w:val="24"/>
          <w:highlight w:val="none"/>
        </w:rPr>
        <w:t>或内容缺失</w:t>
      </w:r>
      <w:r>
        <w:rPr>
          <w:rFonts w:hint="eastAsia" w:ascii="宋体" w:hAnsi="宋体" w:eastAsia="宋体" w:cs="宋体"/>
          <w:sz w:val="24"/>
          <w:szCs w:val="24"/>
          <w:highlight w:val="none"/>
        </w:rPr>
        <w:t>的；</w:t>
      </w:r>
    </w:p>
    <w:p w14:paraId="1BA82545">
      <w:pPr>
        <w:pStyle w:val="23"/>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（5）未如实提供投标货物的技术参数，或者响应文件标明的响应或偏离存在虚假的；</w:t>
      </w:r>
    </w:p>
    <w:p w14:paraId="05E43263">
      <w:pPr>
        <w:pStyle w:val="23"/>
        <w:snapToGrid w:val="0"/>
        <w:spacing w:line="420" w:lineRule="exact"/>
        <w:ind w:firstLine="454" w:firstLineChars="196"/>
        <w:rPr>
          <w:rFonts w:hint="eastAsia" w:ascii="宋体" w:hAnsi="宋体" w:eastAsia="宋体" w:cs="宋体"/>
          <w:snapToGrid w:val="0"/>
          <w:sz w:val="24"/>
          <w:szCs w:val="24"/>
          <w:highlight w:val="none"/>
        </w:rPr>
      </w:pPr>
      <w:r>
        <w:rPr>
          <w:rFonts w:hint="eastAsia" w:ascii="宋体" w:hAnsi="宋体" w:eastAsia="宋体" w:cs="宋体"/>
          <w:sz w:val="24"/>
          <w:szCs w:val="24"/>
          <w:highlight w:val="none"/>
        </w:rPr>
        <w:t>（6）投标有效期、工期（供货期、交货时间、服务期）、保修期（质保期）、付款方式等商务条款不能满足磋商文件要求或缺失的</w:t>
      </w:r>
      <w:r>
        <w:rPr>
          <w:rFonts w:hint="eastAsia" w:ascii="宋体" w:hAnsi="宋体" w:eastAsia="宋体" w:cs="宋体"/>
          <w:snapToGrid w:val="0"/>
          <w:sz w:val="24"/>
          <w:szCs w:val="24"/>
          <w:highlight w:val="none"/>
        </w:rPr>
        <w:t>；</w:t>
      </w:r>
    </w:p>
    <w:bookmarkEnd w:id="46"/>
    <w:p w14:paraId="5C6BD458">
      <w:pPr>
        <w:pStyle w:val="23"/>
        <w:snapToGrid w:val="0"/>
        <w:spacing w:line="420" w:lineRule="exact"/>
        <w:ind w:firstLine="454" w:firstLineChars="196"/>
        <w:rPr>
          <w:rFonts w:hint="eastAsia" w:ascii="宋体" w:hAnsi="宋体" w:eastAsia="宋体" w:cs="宋体"/>
          <w:snapToGrid w:val="0"/>
          <w:sz w:val="24"/>
          <w:szCs w:val="24"/>
          <w:highlight w:val="none"/>
        </w:rPr>
      </w:pPr>
      <w:r>
        <w:rPr>
          <w:rFonts w:hint="eastAsia" w:ascii="宋体" w:hAnsi="宋体" w:eastAsia="宋体" w:cs="宋体"/>
          <w:sz w:val="24"/>
          <w:szCs w:val="24"/>
          <w:highlight w:val="none"/>
        </w:rPr>
        <w:t>（7）</w:t>
      </w:r>
      <w:r>
        <w:rPr>
          <w:rFonts w:hint="eastAsia" w:ascii="宋体" w:hAnsi="宋体" w:eastAsia="宋体" w:cs="宋体"/>
          <w:snapToGrid w:val="0"/>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3F58C568">
      <w:pPr>
        <w:pStyle w:val="23"/>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（8）投标文件有招标方不能接受的附加条件的；</w:t>
      </w:r>
    </w:p>
    <w:p w14:paraId="3F2CF323">
      <w:pPr>
        <w:pStyle w:val="23"/>
        <w:snapToGrid w:val="0"/>
        <w:spacing w:line="420" w:lineRule="exact"/>
        <w:ind w:firstLine="46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（9）商务技术文件中出现投标总报价的；</w:t>
      </w:r>
    </w:p>
    <w:p w14:paraId="657C4F5B">
      <w:pPr>
        <w:pStyle w:val="23"/>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（10）不同投标人的投标文件,</w:t>
      </w:r>
      <w:r>
        <w:rPr>
          <w:rFonts w:hint="eastAsia" w:hAnsi="宋体" w:cs="宋体"/>
          <w:sz w:val="24"/>
          <w:szCs w:val="24"/>
          <w:highlight w:val="none"/>
          <w:lang w:eastAsia="zh-CN"/>
        </w:rPr>
        <w:t>存在</w:t>
      </w:r>
      <w:r>
        <w:rPr>
          <w:rFonts w:hint="eastAsia" w:hAnsi="宋体" w:cs="宋体"/>
          <w:sz w:val="24"/>
          <w:szCs w:val="24"/>
          <w:highlight w:val="none"/>
          <w:lang w:val="en-US" w:eastAsia="zh-CN"/>
        </w:rPr>
        <w:t>IP地址重复或硬件设备信息异常的</w:t>
      </w:r>
      <w:r>
        <w:rPr>
          <w:rFonts w:hint="eastAsia" w:ascii="宋体" w:hAnsi="宋体" w:eastAsia="宋体" w:cs="宋体"/>
          <w:sz w:val="24"/>
          <w:szCs w:val="24"/>
          <w:highlight w:val="none"/>
        </w:rPr>
        <w:t>。</w:t>
      </w:r>
    </w:p>
    <w:p w14:paraId="1096AA3A">
      <w:pPr>
        <w:pStyle w:val="23"/>
        <w:snapToGrid w:val="0"/>
        <w:spacing w:line="420" w:lineRule="exact"/>
        <w:ind w:firstLine="457"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2.在报价评审时，如发现下列情形之一的，响应文件将被视为无效：</w:t>
      </w:r>
    </w:p>
    <w:p w14:paraId="5F2BC37C">
      <w:pPr>
        <w:pStyle w:val="23"/>
        <w:snapToGrid w:val="0"/>
        <w:spacing w:line="420" w:lineRule="exact"/>
        <w:ind w:firstLine="454"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（1）未采用人民币报价或者未按照磋商文件标明的币种报价的；</w:t>
      </w:r>
    </w:p>
    <w:p w14:paraId="225B9A91">
      <w:pPr>
        <w:pStyle w:val="23"/>
        <w:snapToGrid w:val="0"/>
        <w:spacing w:line="420" w:lineRule="exact"/>
        <w:ind w:firstLine="454"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（2）投标报价具有选择性，或者开标价格与响应文件承诺的优惠（折扣）价格不一致的；</w:t>
      </w:r>
    </w:p>
    <w:p w14:paraId="26812153">
      <w:pPr>
        <w:pStyle w:val="23"/>
        <w:snapToGrid w:val="0"/>
        <w:spacing w:line="420" w:lineRule="exact"/>
        <w:ind w:firstLine="454" w:firstLineChars="19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（3）报价超过磋商文件中规定的预算金额或者最高限价的；</w:t>
      </w:r>
    </w:p>
    <w:p w14:paraId="12D22C30">
      <w:pPr>
        <w:pStyle w:val="23"/>
        <w:snapToGrid w:val="0"/>
        <w:spacing w:line="420" w:lineRule="exact"/>
        <w:ind w:firstLine="454" w:firstLineChars="19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（4）未填写投标报价的、《报价明细表》中工程量少于磋商文件中提供的工程量数量的。</w:t>
      </w:r>
    </w:p>
    <w:p w14:paraId="44415EEE">
      <w:pPr>
        <w:pStyle w:val="23"/>
        <w:snapToGrid w:val="0"/>
        <w:spacing w:line="420" w:lineRule="exact"/>
        <w:ind w:firstLine="454" w:firstLineChars="19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（5）未提交最后报价的。</w:t>
      </w:r>
    </w:p>
    <w:p w14:paraId="179E7D85">
      <w:pPr>
        <w:pStyle w:val="23"/>
        <w:snapToGrid w:val="0"/>
        <w:spacing w:line="420" w:lineRule="exact"/>
        <w:ind w:firstLine="457"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3.被拒绝的响应文件为无效。</w:t>
      </w:r>
    </w:p>
    <w:p w14:paraId="4FBCC55D">
      <w:pPr>
        <w:spacing w:line="420" w:lineRule="exact"/>
        <w:ind w:firstLine="354" w:firstLineChars="147"/>
        <w:rPr>
          <w:rFonts w:hint="eastAsia" w:ascii="宋体" w:hAnsi="宋体" w:eastAsia="宋体" w:cs="宋体"/>
          <w:b/>
          <w:color w:val="000000"/>
          <w:sz w:val="24"/>
          <w:highlight w:val="none"/>
          <w:u w:val="single"/>
        </w:rPr>
      </w:pPr>
      <w:r>
        <w:rPr>
          <w:rFonts w:hint="eastAsia" w:ascii="宋体" w:hAnsi="宋体" w:eastAsia="宋体" w:cs="宋体"/>
          <w:b/>
          <w:color w:val="000000"/>
          <w:sz w:val="24"/>
          <w:highlight w:val="none"/>
        </w:rPr>
        <w:t>（八）在招标采购中，出现下列情形之一的，应予废标</w:t>
      </w:r>
    </w:p>
    <w:p w14:paraId="2DB0DC21">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1、出现影响采购公正的违法、违规行为的；</w:t>
      </w:r>
    </w:p>
    <w:p w14:paraId="6AACFEB1">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2、因重大变故，采购任务取消的；</w:t>
      </w:r>
    </w:p>
    <w:p w14:paraId="3A681B91">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3、供应商的报价均超过了采购预算价，采购人不能支付的。</w:t>
      </w:r>
    </w:p>
    <w:p w14:paraId="11D7A585">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sz w:val="24"/>
          <w:highlight w:val="none"/>
        </w:rPr>
        <w:t>4.其他法律法规规定应予以废标的情形。</w:t>
      </w:r>
    </w:p>
    <w:p w14:paraId="5348FA8D">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四、磋商</w:t>
      </w:r>
    </w:p>
    <w:p w14:paraId="4FAD4083">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招标人将根据本次磋商采购的特点按照《中华人民共和国政府采购法》、《政府采购竞争性磋商采购方式管理暂行办法》等规定组建磋商小组，磋商工作由磋商小组负责。</w:t>
      </w:r>
    </w:p>
    <w:p w14:paraId="4DD90EDA">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bookmarkStart w:id="48" w:name="_Hlk81829719"/>
      <w:r>
        <w:rPr>
          <w:rFonts w:hint="eastAsia" w:ascii="宋体" w:hAnsi="宋体" w:eastAsia="宋体" w:cs="宋体"/>
          <w:b/>
          <w:bCs/>
          <w:color w:val="000000"/>
          <w:sz w:val="24"/>
          <w:highlight w:val="none"/>
        </w:rPr>
        <w:t>（一）组建磋商小组</w:t>
      </w:r>
    </w:p>
    <w:p w14:paraId="302D8FED">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（1）本项目磋商小组由招标人依法组建。</w:t>
      </w:r>
    </w:p>
    <w:p w14:paraId="68A8464A">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（2）磋商小组成员与参与投标的供应商有下列情形之一的，应当回避：</w:t>
      </w:r>
    </w:p>
    <w:p w14:paraId="4E000A4F">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①参加采购活动前3年内与供应商存在劳动关系；</w:t>
      </w:r>
    </w:p>
    <w:p w14:paraId="1547B659">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②参加采购活动前3年内担任供应商的董事、监事；</w:t>
      </w:r>
    </w:p>
    <w:p w14:paraId="62AF1ED9">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③参加采购活动前3年内是供应商的控股股东或者实际控制人；</w:t>
      </w:r>
    </w:p>
    <w:p w14:paraId="00869EAA">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④与供应商的法定代表人或者负责人有夫妻、直系血亲、三代以内旁系血亲或者近姻亲关系；</w:t>
      </w:r>
    </w:p>
    <w:p w14:paraId="01456476">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⑤与供应商有其他可能影响政府采购活动公平、公正进行的关系。</w:t>
      </w:r>
    </w:p>
    <w:p w14:paraId="0088E14C">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（3）磋商小组负责具体评标事务，并独立履行下列职责：</w:t>
      </w:r>
    </w:p>
    <w:p w14:paraId="722C2FD9">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1.审查、评价响应文件是否符合磋商文件的商务、技术等实质性要求；</w:t>
      </w:r>
    </w:p>
    <w:p w14:paraId="5CDF22DB">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2.要求供应商对响应文件有关事项作出澄清或者说明；</w:t>
      </w:r>
    </w:p>
    <w:p w14:paraId="460EAC9F">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3.对响应文件进行比较和评价；</w:t>
      </w:r>
    </w:p>
    <w:p w14:paraId="2D649E63">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4.确定成交候选人名单，以及根据采购人委托直接确定成交人；</w:t>
      </w:r>
    </w:p>
    <w:p w14:paraId="75F3D967">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5.向采购人、采购组织机构或者有关部门报告评标中发现的违法行为；</w:t>
      </w:r>
    </w:p>
    <w:p w14:paraId="1CC29661">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6.法律法规规定的其他职责。</w:t>
      </w:r>
    </w:p>
    <w:bookmarkEnd w:id="48"/>
    <w:p w14:paraId="7B502091">
      <w:pPr>
        <w:pStyle w:val="29"/>
        <w:snapToGrid w:val="0"/>
        <w:spacing w:beforeLines="0" w:afterLines="0" w:line="420" w:lineRule="exact"/>
        <w:ind w:firstLine="48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（二）磋商准备</w:t>
      </w:r>
    </w:p>
    <w:p w14:paraId="30191D3D">
      <w:pPr>
        <w:pStyle w:val="29"/>
        <w:snapToGrid w:val="0"/>
        <w:spacing w:beforeLines="0" w:afterLines="0" w:line="420" w:lineRule="exact"/>
        <w:ind w:firstLine="472" w:firstLineChars="196"/>
        <w:rPr>
          <w:rFonts w:hint="eastAsia" w:ascii="宋体" w:hAnsi="宋体" w:eastAsia="宋体" w:cs="宋体"/>
          <w:b/>
          <w:highlight w:val="none"/>
          <w:u w:val="single"/>
          <w:shd w:val="pct10" w:color="auto" w:fill="FFFFFF"/>
        </w:rPr>
      </w:pPr>
      <w:r>
        <w:rPr>
          <w:rFonts w:hint="eastAsia" w:ascii="宋体" w:hAnsi="宋体" w:eastAsia="宋体" w:cs="宋体"/>
          <w:b/>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14C422E1">
      <w:pPr>
        <w:pStyle w:val="29"/>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采购过程中出现以下情形，导致电子交易平台无法正常运行，或者无法保证电子交易的公平、公正和安全时，采购组织机构可中止电子交易活动：</w:t>
      </w:r>
    </w:p>
    <w:p w14:paraId="60C231B1">
      <w:pPr>
        <w:pStyle w:val="29"/>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 xml:space="preserve">（1）电子交易平台发生故障、停电而无法登录访问的； </w:t>
      </w:r>
    </w:p>
    <w:p w14:paraId="43570A0E">
      <w:pPr>
        <w:pStyle w:val="29"/>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（2）电子交易平台应用或数据库出现错误，不能进行正常操作的；</w:t>
      </w:r>
    </w:p>
    <w:p w14:paraId="55B75DFC">
      <w:pPr>
        <w:pStyle w:val="29"/>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（3）电子交易平台发现严重安全漏洞，有潜在泄密危险的；</w:t>
      </w:r>
    </w:p>
    <w:p w14:paraId="313002F1">
      <w:pPr>
        <w:pStyle w:val="29"/>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 xml:space="preserve">（4）病毒发作导致不能进行正常操作的； </w:t>
      </w:r>
    </w:p>
    <w:p w14:paraId="2B07E2CD">
      <w:pPr>
        <w:pStyle w:val="29"/>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（5）其他无法保证电子交易的公平、公正和安全的情况。</w:t>
      </w:r>
    </w:p>
    <w:p w14:paraId="132DD096">
      <w:pPr>
        <w:pStyle w:val="29"/>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出现前款规定情形，不影响采购公平、公正性的，采购组织机构可以待上述情形消除后继续组织电子交易活动，影响或可能影响采购公平、公正性的，应当重新采购。</w:t>
      </w:r>
    </w:p>
    <w:p w14:paraId="430D775C">
      <w:pPr>
        <w:pStyle w:val="29"/>
        <w:snapToGrid w:val="0"/>
        <w:spacing w:beforeLines="0" w:afterLines="0" w:line="420" w:lineRule="exact"/>
        <w:ind w:firstLine="472" w:firstLineChars="196"/>
        <w:rPr>
          <w:rFonts w:hint="eastAsia" w:ascii="宋体" w:hAnsi="宋体" w:eastAsia="宋体" w:cs="宋体"/>
          <w:b/>
          <w:color w:val="000000"/>
          <w:highlight w:val="none"/>
        </w:rPr>
      </w:pPr>
      <w:r>
        <w:rPr>
          <w:rFonts w:hint="eastAsia" w:ascii="宋体" w:hAnsi="宋体" w:eastAsia="宋体" w:cs="宋体"/>
          <w:b/>
          <w:highlight w:val="none"/>
        </w:rPr>
        <w:t xml:space="preserve">（三）磋商程序   </w:t>
      </w:r>
      <w:r>
        <w:rPr>
          <w:rFonts w:hint="eastAsia" w:ascii="宋体" w:hAnsi="宋体" w:eastAsia="宋体" w:cs="宋体"/>
          <w:b/>
          <w:color w:val="000000"/>
          <w:highlight w:val="none"/>
        </w:rPr>
        <w:t xml:space="preserve"> </w:t>
      </w:r>
    </w:p>
    <w:p w14:paraId="346FD60B">
      <w:pPr>
        <w:pStyle w:val="29"/>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1.开标会由招标人主持，</w:t>
      </w:r>
      <w:bookmarkStart w:id="49" w:name="_Hlk59694585"/>
      <w:r>
        <w:rPr>
          <w:rFonts w:hint="eastAsia" w:ascii="宋体" w:hAnsi="宋体" w:eastAsia="宋体" w:cs="宋体"/>
          <w:b/>
          <w:bCs/>
          <w:highlight w:val="none"/>
          <w:u w:val="single"/>
          <w:shd w:val="pct10" w:color="auto" w:fill="FFFFFF"/>
        </w:rPr>
        <w:t>并通过临海市公共资源交易中心网站--每日直播平台进行现场直播，各供应商请准时在线参加。</w:t>
      </w:r>
      <w:bookmarkStart w:id="50" w:name="_Hlk59690176"/>
      <w:r>
        <w:rPr>
          <w:rFonts w:hint="eastAsia" w:ascii="宋体" w:hAnsi="宋体" w:eastAsia="宋体" w:cs="宋体"/>
          <w:b/>
          <w:bCs/>
          <w:highlight w:val="none"/>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49"/>
      <w:r>
        <w:rPr>
          <w:rFonts w:hint="eastAsia" w:ascii="宋体" w:hAnsi="宋体" w:eastAsia="宋体" w:cs="宋体"/>
          <w:b/>
          <w:bCs/>
          <w:highlight w:val="none"/>
          <w:u w:val="single"/>
          <w:shd w:val="pct10" w:color="auto" w:fill="FFFFFF"/>
        </w:rPr>
        <w:t>；</w:t>
      </w:r>
    </w:p>
    <w:bookmarkEnd w:id="50"/>
    <w:p w14:paraId="41F18785">
      <w:pPr>
        <w:pStyle w:val="29"/>
        <w:snapToGrid w:val="0"/>
        <w:spacing w:beforeLines="0" w:afterLines="0" w:line="420" w:lineRule="exact"/>
        <w:ind w:firstLine="480" w:firstLineChars="200"/>
        <w:rPr>
          <w:rFonts w:hint="eastAsia" w:ascii="宋体" w:hAnsi="宋体" w:eastAsia="宋体" w:cs="宋体"/>
          <w:highlight w:val="none"/>
          <w:u w:val="single"/>
        </w:rPr>
      </w:pPr>
      <w:r>
        <w:rPr>
          <w:rFonts w:hint="eastAsia" w:ascii="宋体" w:hAnsi="宋体" w:eastAsia="宋体" w:cs="宋体"/>
          <w:highlight w:val="none"/>
        </w:rPr>
        <w:t>2. 招标人点击政采云系统--【开始解密】按钮，</w:t>
      </w:r>
      <w:bookmarkStart w:id="51" w:name="_Hlk59625783"/>
      <w:r>
        <w:rPr>
          <w:rFonts w:hint="eastAsia" w:ascii="宋体" w:hAnsi="宋体" w:eastAsia="宋体" w:cs="宋体"/>
          <w:highlight w:val="none"/>
        </w:rPr>
        <w:t>由供应商按磋商文件规定的时间</w:t>
      </w:r>
      <w:bookmarkStart w:id="52" w:name="_Hlk60946168"/>
      <w:r>
        <w:rPr>
          <w:rFonts w:hint="eastAsia" w:ascii="宋体" w:hAnsi="宋体" w:eastAsia="宋体" w:cs="宋体"/>
          <w:highlight w:val="none"/>
        </w:rPr>
        <w:t>及</w:t>
      </w:r>
      <w:bookmarkStart w:id="53" w:name="_Hlk59626264"/>
      <w:r>
        <w:rPr>
          <w:rFonts w:hint="eastAsia" w:ascii="宋体" w:hAnsi="宋体" w:eastAsia="宋体" w:cs="宋体"/>
          <w:highlight w:val="none"/>
        </w:rPr>
        <w:t>政采云平台</w:t>
      </w:r>
      <w:bookmarkEnd w:id="53"/>
      <w:r>
        <w:rPr>
          <w:rFonts w:hint="eastAsia" w:ascii="宋体" w:hAnsi="宋体" w:eastAsia="宋体" w:cs="宋体"/>
          <w:highlight w:val="none"/>
        </w:rPr>
        <w:t>显示的时间内自行进行响应文件解密。</w:t>
      </w:r>
      <w:bookmarkEnd w:id="51"/>
      <w:r>
        <w:rPr>
          <w:rFonts w:hint="eastAsia" w:ascii="宋体" w:hAnsi="宋体" w:eastAsia="宋体" w:cs="宋体"/>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54" w:name="_Hlk59805375"/>
      <w:r>
        <w:rPr>
          <w:rFonts w:hint="eastAsia" w:ascii="宋体" w:hAnsi="宋体" w:eastAsia="宋体" w:cs="宋体"/>
          <w:highlight w:val="none"/>
          <w:u w:val="single"/>
        </w:rPr>
        <w:t>供应商未按时解密或解密失败的，其响应文件为无效标。</w:t>
      </w:r>
      <w:bookmarkEnd w:id="54"/>
    </w:p>
    <w:p w14:paraId="0CCCC886">
      <w:pPr>
        <w:pStyle w:val="29"/>
        <w:snapToGrid w:val="0"/>
        <w:spacing w:beforeLines="0" w:afterLines="0" w:line="420" w:lineRule="exact"/>
        <w:rPr>
          <w:rFonts w:hint="eastAsia" w:ascii="宋体" w:hAnsi="宋体" w:eastAsia="宋体" w:cs="宋体"/>
          <w:b/>
          <w:bCs/>
          <w:highlight w:val="none"/>
          <w:u w:val="single"/>
          <w:shd w:val="pct10" w:color="auto" w:fill="FFFFFF"/>
        </w:rPr>
      </w:pPr>
      <w:r>
        <w:rPr>
          <w:rFonts w:hint="eastAsia" w:ascii="宋体" w:hAnsi="宋体" w:eastAsia="宋体" w:cs="宋体"/>
          <w:b/>
          <w:bCs/>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2"/>
    <w:p w14:paraId="7D4C5E1A">
      <w:pPr>
        <w:pStyle w:val="29"/>
        <w:snapToGrid w:val="0"/>
        <w:spacing w:beforeLines="0" w:afterLines="0" w:line="420" w:lineRule="exact"/>
        <w:ind w:firstLine="480" w:firstLineChars="200"/>
        <w:rPr>
          <w:rFonts w:hint="eastAsia" w:ascii="宋体" w:hAnsi="宋体" w:eastAsia="宋体" w:cs="宋体"/>
          <w:b/>
          <w:bCs/>
          <w:highlight w:val="none"/>
          <w:u w:val="single"/>
          <w:shd w:val="pct10" w:color="auto" w:fill="FFFFFF"/>
        </w:rPr>
      </w:pPr>
      <w:r>
        <w:rPr>
          <w:rFonts w:hint="eastAsia" w:ascii="宋体" w:hAnsi="宋体" w:eastAsia="宋体" w:cs="宋体"/>
          <w:highlight w:val="none"/>
        </w:rPr>
        <w:t>3.解密结束后，主持人介绍参加开标会的采购代理机构人员名单、供应商名称，并告知是否有需要回避的情况；</w:t>
      </w:r>
    </w:p>
    <w:p w14:paraId="0939260E">
      <w:pPr>
        <w:pStyle w:val="29"/>
        <w:snapToGrid w:val="0"/>
        <w:spacing w:beforeLines="0" w:afterLines="0" w:line="420" w:lineRule="exact"/>
        <w:ind w:firstLine="480" w:firstLineChars="200"/>
        <w:rPr>
          <w:rFonts w:hint="eastAsia" w:ascii="宋体" w:hAnsi="宋体" w:eastAsia="宋体" w:cs="宋体"/>
          <w:highlight w:val="none"/>
          <w:u w:val="single"/>
        </w:rPr>
      </w:pPr>
      <w:r>
        <w:rPr>
          <w:rFonts w:hint="eastAsia" w:ascii="宋体" w:hAnsi="宋体" w:eastAsia="宋体" w:cs="宋体"/>
          <w:highlight w:val="none"/>
        </w:rPr>
        <w:t>4.响应文件结束解密后，供应商应当通过邮件形式，将经授权代表签署的《政府采购活动现场确认声明书》</w:t>
      </w:r>
      <w:r>
        <w:rPr>
          <w:rFonts w:hint="eastAsia" w:ascii="宋体" w:hAnsi="宋体" w:eastAsia="宋体" w:cs="宋体"/>
          <w:b/>
          <w:bCs/>
          <w:highlight w:val="none"/>
          <w:u w:val="single"/>
        </w:rPr>
        <w:t>（格式见磋商文件最后一页.政府采购活动现场确认声明书</w:t>
      </w:r>
      <w:r>
        <w:rPr>
          <w:rFonts w:hint="eastAsia" w:ascii="宋体" w:hAnsi="宋体" w:eastAsia="宋体" w:cs="宋体"/>
          <w:highlight w:val="none"/>
        </w:rPr>
        <w:t>）扫描件发至代理机构电子邮箱（</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"mailto:%202327607041@qq.com）,联系人" </w:instrText>
      </w:r>
      <w:r>
        <w:rPr>
          <w:rFonts w:hint="eastAsia" w:ascii="宋体" w:hAnsi="宋体" w:eastAsia="宋体" w:cs="宋体"/>
          <w:highlight w:val="none"/>
          <w:u w:val="single"/>
        </w:rPr>
        <w:fldChar w:fldCharType="separate"/>
      </w:r>
      <w:r>
        <w:rPr>
          <w:rStyle w:val="58"/>
          <w:rFonts w:hint="eastAsia" w:hAnsi="宋体" w:cs="宋体"/>
          <w:highlight w:val="none"/>
          <w:u w:val="single"/>
          <w:lang w:val="en-US" w:eastAsia="zh-CN"/>
        </w:rPr>
        <w:t>tzlkzx@163.com</w:t>
      </w:r>
      <w:r>
        <w:rPr>
          <w:rStyle w:val="58"/>
          <w:rFonts w:hint="eastAsia" w:ascii="宋体" w:hAnsi="宋体" w:eastAsia="宋体" w:cs="宋体"/>
          <w:highlight w:val="none"/>
          <w:u w:val="single"/>
        </w:rPr>
        <w:t>）,</w:t>
      </w:r>
      <w:r>
        <w:rPr>
          <w:rStyle w:val="58"/>
          <w:rFonts w:hint="eastAsia" w:ascii="宋体" w:hAnsi="宋体" w:eastAsia="宋体" w:cs="宋体"/>
          <w:color w:val="auto"/>
          <w:highlight w:val="none"/>
          <w:u w:val="single"/>
        </w:rPr>
        <w:t>联系人</w:t>
      </w:r>
      <w:r>
        <w:rPr>
          <w:rFonts w:hint="eastAsia" w:ascii="宋体" w:hAnsi="宋体" w:eastAsia="宋体" w:cs="宋体"/>
          <w:color w:val="auto"/>
          <w:highlight w:val="none"/>
          <w:u w:val="single"/>
        </w:rPr>
        <w:fldChar w:fldCharType="end"/>
      </w:r>
      <w:r>
        <w:rPr>
          <w:rFonts w:hint="eastAsia" w:ascii="宋体" w:hAnsi="宋体" w:eastAsia="宋体" w:cs="宋体"/>
          <w:highlight w:val="none"/>
          <w:u w:val="single"/>
        </w:rPr>
        <w:t>：</w:t>
      </w:r>
      <w:r>
        <w:rPr>
          <w:rFonts w:hint="eastAsia" w:hAnsi="宋体" w:cs="宋体"/>
          <w:highlight w:val="none"/>
          <w:u w:val="single"/>
          <w:lang w:val="en-US" w:eastAsia="zh-CN"/>
        </w:rPr>
        <w:t>谢先生</w:t>
      </w:r>
      <w:r>
        <w:rPr>
          <w:rFonts w:hint="eastAsia" w:ascii="宋体" w:hAnsi="宋体" w:eastAsia="宋体" w:cs="宋体"/>
          <w:highlight w:val="none"/>
          <w:u w:val="single"/>
        </w:rPr>
        <w:t>，电话：</w:t>
      </w:r>
      <w:r>
        <w:rPr>
          <w:rFonts w:hint="eastAsia" w:hAnsi="宋体" w:cs="宋体"/>
          <w:highlight w:val="none"/>
          <w:u w:val="single"/>
          <w:lang w:eastAsia="zh-CN"/>
        </w:rPr>
        <w:t>0576-85308885</w:t>
      </w:r>
      <w:r>
        <w:rPr>
          <w:rFonts w:hint="eastAsia" w:ascii="宋体" w:hAnsi="宋体" w:eastAsia="宋体" w:cs="宋体"/>
          <w:highlight w:val="none"/>
          <w:u w:val="single"/>
        </w:rPr>
        <w:t>；</w:t>
      </w:r>
    </w:p>
    <w:p w14:paraId="1FDAE387">
      <w:pPr>
        <w:pStyle w:val="29"/>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5.采购组织机构点击【</w:t>
      </w:r>
      <w:bookmarkStart w:id="55" w:name="_Hlk59371589"/>
      <w:r>
        <w:rPr>
          <w:rFonts w:hint="eastAsia" w:ascii="宋体" w:hAnsi="宋体" w:eastAsia="宋体" w:cs="宋体"/>
          <w:highlight w:val="none"/>
        </w:rPr>
        <w:t>开启标书信息</w:t>
      </w:r>
      <w:bookmarkEnd w:id="55"/>
      <w:r>
        <w:rPr>
          <w:rFonts w:hint="eastAsia" w:ascii="宋体" w:hAnsi="宋体" w:eastAsia="宋体" w:cs="宋体"/>
          <w:highlight w:val="none"/>
        </w:rPr>
        <w:t>】，开启标书成功后进行磋商文件评审；</w:t>
      </w:r>
    </w:p>
    <w:p w14:paraId="0D138C4A">
      <w:pPr>
        <w:pStyle w:val="29"/>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6.磋商小组全体成员通过“政采云视频询标（视频讲标）系统”分别与单一供应商进行磋</w:t>
      </w:r>
      <w:r>
        <w:rPr>
          <w:rFonts w:hint="eastAsia" w:ascii="宋体" w:hAnsi="宋体" w:eastAsia="宋体" w:cs="宋体"/>
          <w:color w:val="000000"/>
          <w:highlight w:val="none"/>
        </w:rPr>
        <w:t>商，</w:t>
      </w:r>
      <w:r>
        <w:rPr>
          <w:rFonts w:hint="eastAsia" w:ascii="宋体" w:hAnsi="宋体" w:eastAsia="宋体" w:cs="宋体"/>
          <w:color w:val="000000"/>
          <w:highlight w:val="none"/>
          <w:u w:val="single"/>
        </w:rPr>
        <w:t>磋商顺序可按照磋商响应文件解密顺序进行</w:t>
      </w:r>
      <w:r>
        <w:rPr>
          <w:rFonts w:hint="eastAsia" w:ascii="宋体" w:hAnsi="宋体" w:eastAsia="宋体" w:cs="宋体"/>
          <w:color w:val="000000"/>
          <w:highlight w:val="none"/>
        </w:rPr>
        <w:t>。</w:t>
      </w:r>
      <w:r>
        <w:rPr>
          <w:rFonts w:hint="eastAsia" w:ascii="宋体" w:hAnsi="宋体" w:eastAsia="宋体" w:cs="宋体"/>
          <w:highlight w:val="none"/>
        </w:rPr>
        <w:t>“政采云视频询标（视频讲标）系统”通过音视频的方式进行评委和供应商的实时音视频对话。</w:t>
      </w:r>
    </w:p>
    <w:p w14:paraId="64F02E47">
      <w:pPr>
        <w:spacing w:line="420" w:lineRule="exact"/>
        <w:ind w:firstLine="482" w:firstLineChars="200"/>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246C9858">
      <w:pPr>
        <w:spacing w:line="42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t>7.</w:t>
      </w:r>
      <w:r>
        <w:rPr>
          <w:rFonts w:hint="eastAsia" w:ascii="宋体" w:hAnsi="宋体" w:eastAsia="宋体" w:cs="宋体"/>
          <w:sz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2FCA765C">
      <w:pPr>
        <w:spacing w:line="420" w:lineRule="exact"/>
        <w:ind w:firstLine="480" w:firstLineChars="200"/>
        <w:rPr>
          <w:rFonts w:hint="eastAsia" w:ascii="宋体" w:hAnsi="宋体" w:eastAsia="宋体" w:cs="宋体"/>
          <w:b/>
          <w:bCs/>
          <w:sz w:val="24"/>
          <w:highlight w:val="none"/>
          <w:u w:val="single"/>
          <w:shd w:val="pct10" w:color="auto" w:fill="FFFFFF"/>
        </w:rPr>
      </w:pPr>
      <w:r>
        <w:rPr>
          <w:rFonts w:hint="eastAsia" w:ascii="宋体" w:hAnsi="宋体" w:eastAsia="宋体" w:cs="宋体"/>
          <w:kern w:val="0"/>
          <w:sz w:val="24"/>
          <w:szCs w:val="24"/>
          <w:highlight w:val="none"/>
          <w:lang w:val="en-US" w:eastAsia="zh-CN" w:bidi="ar-SA"/>
        </w:rPr>
        <w:t>8.</w:t>
      </w:r>
      <w:r>
        <w:rPr>
          <w:rFonts w:hint="eastAsia" w:ascii="宋体" w:hAnsi="宋体" w:eastAsia="宋体" w:cs="宋体"/>
          <w:sz w:val="24"/>
          <w:highlight w:val="none"/>
        </w:rPr>
        <w:t>磋商文件能够详细列明采购标的的技术、服务要求的，磋商结束后，磋商小组将要求所有实质性响应的供应商在规定时间内</w:t>
      </w:r>
      <w:r>
        <w:rPr>
          <w:rFonts w:hint="eastAsia" w:ascii="宋体" w:hAnsi="宋体" w:eastAsia="宋体" w:cs="宋体"/>
          <w:b/>
          <w:bCs/>
          <w:sz w:val="24"/>
          <w:highlight w:val="none"/>
          <w:u w:val="single"/>
          <w:shd w:val="pct10" w:color="auto" w:fill="FFFFFF"/>
        </w:rPr>
        <w:t>（时间为30分钟，具体时间以政采云系统上显示的时间为准）</w:t>
      </w:r>
      <w:r>
        <w:rPr>
          <w:rFonts w:hint="eastAsia" w:ascii="宋体" w:hAnsi="宋体" w:eastAsia="宋体" w:cs="宋体"/>
          <w:sz w:val="24"/>
          <w:highlight w:val="none"/>
        </w:rPr>
        <w:t>在政采云系统上提交</w:t>
      </w:r>
      <w:bookmarkStart w:id="56" w:name="_Hlk4055646"/>
      <w:r>
        <w:rPr>
          <w:rFonts w:hint="eastAsia" w:ascii="宋体" w:hAnsi="宋体" w:eastAsia="宋体" w:cs="宋体"/>
          <w:sz w:val="24"/>
          <w:highlight w:val="none"/>
        </w:rPr>
        <w:t>最后报价，</w:t>
      </w:r>
      <w:bookmarkEnd w:id="56"/>
      <w:bookmarkStart w:id="57" w:name="_Hlk4055866"/>
      <w:r>
        <w:rPr>
          <w:rFonts w:hint="eastAsia" w:ascii="宋体" w:hAnsi="宋体" w:eastAsia="宋体" w:cs="宋体"/>
          <w:sz w:val="24"/>
          <w:highlight w:val="none"/>
        </w:rPr>
        <w:t>最后报价</w:t>
      </w:r>
      <w:bookmarkEnd w:id="57"/>
      <w:r>
        <w:rPr>
          <w:rFonts w:hint="eastAsia" w:ascii="宋体" w:hAnsi="宋体" w:eastAsia="宋体" w:cs="宋体"/>
          <w:sz w:val="24"/>
          <w:highlight w:val="none"/>
        </w:rPr>
        <w:t>是供应商响应文件的有效组成部分。</w:t>
      </w:r>
      <w:r>
        <w:rPr>
          <w:rFonts w:hint="eastAsia" w:ascii="宋体" w:hAnsi="宋体" w:eastAsia="宋体" w:cs="宋体"/>
          <w:b/>
          <w:bCs/>
          <w:sz w:val="24"/>
          <w:highlight w:val="none"/>
          <w:u w:val="single"/>
          <w:shd w:val="pct10" w:color="auto" w:fill="FFFFFF"/>
        </w:rPr>
        <w:t>未在规定时间内提交最后报价的为无效标；</w:t>
      </w:r>
    </w:p>
    <w:p w14:paraId="0AB40C12">
      <w:pPr>
        <w:spacing w:line="420" w:lineRule="exact"/>
        <w:rPr>
          <w:rFonts w:hint="eastAsia" w:ascii="宋体" w:hAnsi="宋体" w:eastAsia="宋体" w:cs="宋体"/>
          <w:sz w:val="24"/>
          <w:highlight w:val="none"/>
        </w:rPr>
      </w:pPr>
      <w:r>
        <w:rPr>
          <w:rFonts w:hint="eastAsia" w:ascii="宋体" w:hAnsi="宋体" w:eastAsia="宋体" w:cs="宋体"/>
          <w:b/>
          <w:bCs/>
          <w:sz w:val="24"/>
          <w:highlight w:val="none"/>
          <w:u w:val="single"/>
          <w:shd w:val="pct10" w:color="auto" w:fill="FFFFFF"/>
        </w:rPr>
        <w:t>报价明细表中的最终单价根据初次总报价和最后总报价之间的下浮率作相应的下浮。</w:t>
      </w:r>
    </w:p>
    <w:p w14:paraId="11C93A3D">
      <w:pPr>
        <w:pStyle w:val="29"/>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9</w:t>
      </w:r>
      <w:r>
        <w:rPr>
          <w:rFonts w:hint="eastAsia" w:ascii="宋体" w:hAnsi="宋体" w:eastAsia="宋体" w:cs="宋体"/>
          <w:highlight w:val="none"/>
          <w:lang w:val="en-US" w:eastAsia="zh-CN"/>
        </w:rPr>
        <w:t>.</w:t>
      </w:r>
      <w:r>
        <w:rPr>
          <w:rFonts w:hint="eastAsia" w:ascii="宋体" w:hAnsi="宋体" w:eastAsia="宋体" w:cs="宋体"/>
          <w:highlight w:val="none"/>
        </w:rPr>
        <w:t>磋商小组</w:t>
      </w:r>
      <w:bookmarkStart w:id="58" w:name="_Hlk4052304"/>
      <w:r>
        <w:rPr>
          <w:rFonts w:hint="eastAsia" w:ascii="宋体" w:hAnsi="宋体" w:eastAsia="宋体" w:cs="宋体"/>
          <w:highlight w:val="none"/>
        </w:rPr>
        <w:t>对提交最后报价</w:t>
      </w:r>
      <w:bookmarkStart w:id="59" w:name="_Hlk4052265"/>
      <w:r>
        <w:rPr>
          <w:rFonts w:hint="eastAsia" w:ascii="宋体" w:hAnsi="宋体" w:eastAsia="宋体" w:cs="宋体"/>
          <w:highlight w:val="none"/>
        </w:rPr>
        <w:t>供应商的</w:t>
      </w:r>
      <w:bookmarkStart w:id="60" w:name="_Hlk61427018"/>
      <w:r>
        <w:rPr>
          <w:rFonts w:hint="eastAsia" w:ascii="宋体" w:hAnsi="宋体" w:eastAsia="宋体" w:cs="宋体"/>
          <w:highlight w:val="none"/>
        </w:rPr>
        <w:t>商务技术文件</w:t>
      </w:r>
      <w:bookmarkEnd w:id="60"/>
      <w:r>
        <w:rPr>
          <w:rFonts w:hint="eastAsia" w:ascii="宋体" w:hAnsi="宋体" w:eastAsia="宋体" w:cs="宋体"/>
          <w:highlight w:val="none"/>
        </w:rPr>
        <w:t>进行</w:t>
      </w:r>
      <w:bookmarkEnd w:id="59"/>
      <w:r>
        <w:rPr>
          <w:rFonts w:hint="eastAsia" w:ascii="宋体" w:hAnsi="宋体" w:eastAsia="宋体" w:cs="宋体"/>
          <w:highlight w:val="none"/>
        </w:rPr>
        <w:t>综合评分</w:t>
      </w:r>
      <w:bookmarkEnd w:id="58"/>
      <w:r>
        <w:rPr>
          <w:rFonts w:hint="eastAsia" w:ascii="宋体" w:hAnsi="宋体" w:eastAsia="宋体" w:cs="宋体"/>
          <w:highlight w:val="none"/>
        </w:rPr>
        <w:t>；</w:t>
      </w:r>
    </w:p>
    <w:p w14:paraId="3E3E1D63">
      <w:pPr>
        <w:pStyle w:val="29"/>
        <w:snapToGrid w:val="0"/>
        <w:spacing w:beforeLines="0" w:afterLines="0" w:line="420" w:lineRule="exact"/>
        <w:ind w:firstLine="480" w:firstLineChars="200"/>
        <w:rPr>
          <w:rFonts w:hint="eastAsia" w:ascii="宋体" w:hAnsi="宋体" w:eastAsia="宋体" w:cs="宋体"/>
          <w:b/>
          <w:bCs/>
          <w:highlight w:val="none"/>
          <w:u w:val="single"/>
        </w:rPr>
      </w:pPr>
      <w:r>
        <w:rPr>
          <w:rFonts w:hint="eastAsia" w:ascii="宋体" w:hAnsi="宋体" w:eastAsia="宋体" w:cs="宋体"/>
          <w:highlight w:val="none"/>
        </w:rPr>
        <w:t>10.由主持人公布商务技术文件无效的供应商名单、投标无效的原因及其他有效投标的商务技术文件评分汇总分；</w:t>
      </w:r>
      <w:r>
        <w:rPr>
          <w:rFonts w:hint="eastAsia" w:ascii="宋体" w:hAnsi="宋体" w:eastAsia="宋体" w:cs="宋体"/>
          <w:b/>
          <w:bCs/>
          <w:highlight w:val="none"/>
          <w:u w:val="single"/>
          <w:shd w:val="pct10" w:color="auto" w:fill="FFFFFF"/>
        </w:rPr>
        <w:t>供应商可通过政采云平台及临海市公共资源交易中心视频直播平台查看评审结果，请各供应商注意收看；</w:t>
      </w:r>
    </w:p>
    <w:p w14:paraId="14B85E14">
      <w:pPr>
        <w:pStyle w:val="29"/>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11.开启报价响应文件，</w:t>
      </w:r>
      <w:r>
        <w:rPr>
          <w:rFonts w:hint="eastAsia" w:ascii="宋体" w:hAnsi="宋体" w:eastAsia="宋体" w:cs="宋体"/>
          <w:b/>
          <w:bCs/>
          <w:highlight w:val="none"/>
          <w:u w:val="single"/>
        </w:rPr>
        <w:t>代理机构在线公布开标一览表有关内容，供应商应在10分钟内在线签字确认（不予确认或超时确认的应说明原因，否则视为无异议）；</w:t>
      </w:r>
    </w:p>
    <w:p w14:paraId="0493DF45">
      <w:pPr>
        <w:pStyle w:val="29"/>
        <w:snapToGrid w:val="0"/>
        <w:spacing w:beforeLines="0" w:afterLines="0" w:line="420" w:lineRule="exact"/>
        <w:ind w:left="719" w:leftChars="228" w:hanging="240" w:hangingChars="100"/>
        <w:rPr>
          <w:rFonts w:hint="eastAsia" w:ascii="宋体" w:hAnsi="宋体" w:eastAsia="宋体" w:cs="宋体"/>
          <w:highlight w:val="none"/>
        </w:rPr>
      </w:pPr>
      <w:r>
        <w:rPr>
          <w:rFonts w:hint="eastAsia" w:ascii="宋体" w:hAnsi="宋体" w:eastAsia="宋体" w:cs="宋体"/>
          <w:highlight w:val="none"/>
        </w:rPr>
        <w:t>12.报价文件评审,</w:t>
      </w:r>
      <w:r>
        <w:rPr>
          <w:rFonts w:hint="eastAsia" w:ascii="宋体" w:hAnsi="宋体" w:eastAsia="宋体" w:cs="宋体"/>
          <w:b/>
          <w:bCs/>
          <w:highlight w:val="none"/>
        </w:rPr>
        <w:t>审核各供应商小微企业情况；</w:t>
      </w:r>
    </w:p>
    <w:p w14:paraId="408BD63B">
      <w:pPr>
        <w:pStyle w:val="29"/>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13．由主持人公布报价文件无效的供应商名单、投标无效的原因及其他有效投标的报价文件得分；</w:t>
      </w:r>
    </w:p>
    <w:p w14:paraId="2E394333">
      <w:pPr>
        <w:pStyle w:val="29"/>
        <w:snapToGrid w:val="0"/>
        <w:spacing w:beforeLines="0" w:afterLines="0" w:line="420" w:lineRule="exact"/>
        <w:ind w:firstLine="480" w:firstLineChars="200"/>
        <w:rPr>
          <w:rFonts w:hint="eastAsia" w:ascii="宋体" w:hAnsi="宋体" w:eastAsia="宋体" w:cs="宋体"/>
          <w:b/>
          <w:bCs/>
          <w:highlight w:val="none"/>
          <w:u w:val="single"/>
        </w:rPr>
      </w:pPr>
      <w:r>
        <w:rPr>
          <w:rFonts w:hint="eastAsia" w:ascii="宋体" w:hAnsi="宋体" w:eastAsia="宋体" w:cs="宋体"/>
          <w:highlight w:val="none"/>
        </w:rPr>
        <w:t>14．宣布综合</w:t>
      </w:r>
      <w:bookmarkStart w:id="61" w:name="_Hlk59371720"/>
      <w:r>
        <w:rPr>
          <w:rFonts w:hint="eastAsia" w:ascii="宋体" w:hAnsi="宋体" w:eastAsia="宋体" w:cs="宋体"/>
          <w:highlight w:val="none"/>
        </w:rPr>
        <w:t>得分结果</w:t>
      </w:r>
      <w:bookmarkEnd w:id="61"/>
      <w:r>
        <w:rPr>
          <w:rFonts w:hint="eastAsia" w:ascii="宋体" w:hAnsi="宋体" w:eastAsia="宋体" w:cs="宋体"/>
          <w:highlight w:val="none"/>
        </w:rPr>
        <w:t>及成交候选人名单。</w:t>
      </w:r>
      <w:r>
        <w:rPr>
          <w:rFonts w:hint="eastAsia" w:ascii="宋体" w:hAnsi="宋体" w:eastAsia="宋体" w:cs="宋体"/>
          <w:b/>
          <w:bCs/>
          <w:highlight w:val="none"/>
          <w:u w:val="single"/>
          <w:shd w:val="pct10" w:color="auto" w:fill="FFFFFF"/>
        </w:rPr>
        <w:t>供应商可通过</w:t>
      </w:r>
      <w:bookmarkStart w:id="62" w:name="_Hlk59626287"/>
      <w:r>
        <w:rPr>
          <w:rFonts w:hint="eastAsia" w:ascii="宋体" w:hAnsi="宋体" w:eastAsia="宋体" w:cs="宋体"/>
          <w:b/>
          <w:bCs/>
          <w:highlight w:val="none"/>
          <w:u w:val="single"/>
          <w:shd w:val="pct10" w:color="auto" w:fill="FFFFFF"/>
        </w:rPr>
        <w:t>政采云平台及</w:t>
      </w:r>
      <w:bookmarkEnd w:id="62"/>
      <w:r>
        <w:rPr>
          <w:rFonts w:hint="eastAsia" w:ascii="宋体" w:hAnsi="宋体" w:eastAsia="宋体" w:cs="宋体"/>
          <w:b/>
          <w:bCs/>
          <w:highlight w:val="none"/>
          <w:u w:val="single"/>
          <w:shd w:val="pct10" w:color="auto" w:fill="FFFFFF"/>
        </w:rPr>
        <w:t>临海市公共资源交易中心视频直播平台查看评审结果，请各供应商注意收看；</w:t>
      </w:r>
    </w:p>
    <w:p w14:paraId="4C50E997">
      <w:pPr>
        <w:pStyle w:val="29"/>
        <w:snapToGrid w:val="0"/>
        <w:spacing w:beforeLines="0" w:afterLines="0" w:line="420" w:lineRule="exact"/>
        <w:ind w:left="719" w:leftChars="228" w:hanging="240" w:hangingChars="100"/>
        <w:rPr>
          <w:rFonts w:hint="eastAsia" w:ascii="宋体" w:hAnsi="宋体" w:eastAsia="宋体" w:cs="宋体"/>
          <w:highlight w:val="none"/>
        </w:rPr>
      </w:pPr>
      <w:r>
        <w:rPr>
          <w:rFonts w:hint="eastAsia" w:ascii="宋体" w:hAnsi="宋体" w:eastAsia="宋体" w:cs="宋体"/>
          <w:highlight w:val="none"/>
        </w:rPr>
        <w:t>15．磋商会议结束。</w:t>
      </w:r>
    </w:p>
    <w:p w14:paraId="6261D9E9">
      <w:pPr>
        <w:snapToGrid w:val="0"/>
        <w:spacing w:line="420" w:lineRule="exact"/>
        <w:ind w:firstLine="241" w:firstLineChars="100"/>
        <w:rPr>
          <w:rFonts w:hint="eastAsia" w:ascii="宋体" w:hAnsi="宋体" w:eastAsia="宋体" w:cs="宋体"/>
          <w:b/>
          <w:sz w:val="24"/>
          <w:highlight w:val="none"/>
        </w:rPr>
      </w:pPr>
      <w:bookmarkStart w:id="63" w:name="_Hlk60950411"/>
      <w:r>
        <w:rPr>
          <w:rFonts w:hint="eastAsia" w:ascii="宋体" w:hAnsi="宋体" w:eastAsia="宋体" w:cs="宋体"/>
          <w:b/>
          <w:sz w:val="24"/>
          <w:highlight w:val="none"/>
        </w:rPr>
        <w:t>（四）澄清问题的形式</w:t>
      </w:r>
    </w:p>
    <w:p w14:paraId="6F06B0BB">
      <w:pPr>
        <w:pStyle w:val="29"/>
        <w:snapToGrid w:val="0"/>
        <w:spacing w:beforeLines="0" w:afterLines="0" w:line="420" w:lineRule="exact"/>
        <w:ind w:firstLine="480" w:firstLineChars="200"/>
        <w:rPr>
          <w:rFonts w:hint="eastAsia" w:ascii="宋体" w:hAnsi="宋体" w:eastAsia="宋体" w:cs="宋体"/>
          <w:b/>
          <w:bCs/>
          <w:highlight w:val="none"/>
          <w:u w:val="single"/>
        </w:rPr>
      </w:pPr>
      <w:r>
        <w:rPr>
          <w:rFonts w:hint="eastAsia" w:ascii="宋体" w:hAnsi="宋体" w:eastAsia="宋体" w:cs="宋体"/>
          <w:color w:val="000000"/>
          <w:highlight w:val="none"/>
        </w:rPr>
        <w:t>对响应文件中含义不明确、同类问题表述不一致或者有明显文字和计算错误的内容，</w:t>
      </w:r>
      <w:r>
        <w:rPr>
          <w:rFonts w:hint="eastAsia" w:ascii="宋体" w:hAnsi="宋体" w:eastAsia="宋体" w:cs="宋体"/>
          <w:highlight w:val="none"/>
        </w:rPr>
        <w:t>磋商小组可要求供应商作出必要的</w:t>
      </w:r>
      <w:bookmarkStart w:id="64" w:name="_Hlk59372079"/>
      <w:r>
        <w:rPr>
          <w:rFonts w:hint="eastAsia" w:ascii="宋体" w:hAnsi="宋体" w:eastAsia="宋体" w:cs="宋体"/>
          <w:highlight w:val="none"/>
        </w:rPr>
        <w:t>澄清、说明</w:t>
      </w:r>
      <w:bookmarkEnd w:id="64"/>
      <w:r>
        <w:rPr>
          <w:rFonts w:hint="eastAsia" w:ascii="宋体" w:hAnsi="宋体" w:eastAsia="宋体" w:cs="宋体"/>
          <w:highlight w:val="none"/>
        </w:rPr>
        <w:t>或者补正。磋商小组的澄清内容及供应商的澄清、说明或者补正均通过</w:t>
      </w:r>
      <w:bookmarkStart w:id="65" w:name="_Hlk59371846"/>
      <w:r>
        <w:rPr>
          <w:rFonts w:hint="eastAsia" w:ascii="宋体" w:hAnsi="宋体" w:eastAsia="宋体" w:cs="宋体"/>
          <w:highlight w:val="none"/>
        </w:rPr>
        <w:t>政采云电子交易平台交换数据电文。</w:t>
      </w:r>
      <w:bookmarkEnd w:id="65"/>
      <w:bookmarkStart w:id="66" w:name="_Hlk59700505"/>
      <w:r>
        <w:rPr>
          <w:rFonts w:hint="eastAsia" w:ascii="宋体" w:hAnsi="宋体" w:eastAsia="宋体" w:cs="宋体"/>
          <w:b/>
          <w:bCs/>
          <w:highlight w:val="none"/>
        </w:rPr>
        <w:t>同时采购代理机构也将通过临海市公共资源交易中心视频直播平台、</w:t>
      </w:r>
      <w:bookmarkStart w:id="67" w:name="_Hlk59371920"/>
      <w:r>
        <w:rPr>
          <w:rFonts w:hint="eastAsia" w:ascii="宋体" w:hAnsi="宋体" w:eastAsia="宋体" w:cs="宋体"/>
          <w:b/>
          <w:bCs/>
          <w:highlight w:val="none"/>
        </w:rPr>
        <w:t>政采云视频询标（视频讲标）系统协助进行问题澄清。</w:t>
      </w:r>
      <w:r>
        <w:rPr>
          <w:rFonts w:hint="eastAsia" w:ascii="宋体" w:hAnsi="宋体" w:eastAsia="宋体" w:cs="宋体"/>
          <w:b/>
          <w:bCs/>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66"/>
    </w:p>
    <w:bookmarkEnd w:id="67"/>
    <w:p w14:paraId="5B7D4B52">
      <w:pPr>
        <w:snapToGrid w:val="0"/>
        <w:spacing w:line="420" w:lineRule="exact"/>
        <w:ind w:firstLine="420" w:firstLineChars="200"/>
        <w:rPr>
          <w:rFonts w:hint="eastAsia" w:ascii="宋体" w:hAnsi="宋体" w:eastAsia="宋体" w:cs="宋体"/>
          <w:color w:val="FF0000"/>
          <w:sz w:val="24"/>
          <w:highlight w:val="none"/>
        </w:rPr>
      </w:pPr>
      <w:r>
        <w:rPr>
          <w:rFonts w:hint="eastAsia" w:ascii="宋体" w:hAnsi="宋体" w:eastAsia="宋体" w:cs="宋体"/>
          <w:highlight w:val="none"/>
        </w:rPr>
        <w:t>磋商小组</w:t>
      </w:r>
      <w:r>
        <w:rPr>
          <w:rFonts w:hint="eastAsia" w:ascii="宋体" w:hAnsi="宋体" w:eastAsia="宋体" w:cs="宋体"/>
          <w:sz w:val="24"/>
          <w:highlight w:val="none"/>
        </w:rPr>
        <w:t>发出澄清内容后，供应商应当在采购代理机构及政采云平台上</w:t>
      </w:r>
      <w:r>
        <w:rPr>
          <w:rFonts w:hint="eastAsia" w:ascii="宋体" w:hAnsi="宋体" w:eastAsia="宋体" w:cs="宋体"/>
          <w:b/>
          <w:bCs/>
          <w:sz w:val="24"/>
          <w:highlight w:val="none"/>
          <w:u w:val="single"/>
          <w:shd w:val="pct10" w:color="auto" w:fill="FFFFFF"/>
        </w:rPr>
        <w:t>规定的时间内（30分钟，具体时间以政采云系统上显示的时间为准）</w:t>
      </w:r>
      <w:r>
        <w:rPr>
          <w:rFonts w:hint="eastAsia" w:ascii="宋体" w:hAnsi="宋体" w:eastAsia="宋体" w:cs="宋体"/>
          <w:b/>
          <w:bCs/>
          <w:sz w:val="24"/>
          <w:highlight w:val="none"/>
        </w:rPr>
        <w:t>，</w:t>
      </w:r>
      <w:r>
        <w:rPr>
          <w:rFonts w:hint="eastAsia" w:ascii="宋体" w:hAnsi="宋体" w:eastAsia="宋体" w:cs="宋体"/>
          <w:sz w:val="24"/>
          <w:highlight w:val="none"/>
        </w:rPr>
        <w:t>提交澄清说明或补正，否则视为供应商放弃答复，并自行承担因此而产生的不利后果。澄清、说明或者补正不得超出响应文件的范围或者改变响应文件的实质性内容。</w:t>
      </w:r>
    </w:p>
    <w:p w14:paraId="6D8EA28B">
      <w:pPr>
        <w:snapToGrid w:val="0"/>
        <w:spacing w:line="420" w:lineRule="exact"/>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（五）错误修正</w:t>
      </w:r>
    </w:p>
    <w:p w14:paraId="41BE6597">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磋商响应文件报价出现前后不一致的，按照下列规定修正：</w:t>
      </w:r>
    </w:p>
    <w:p w14:paraId="5CD467F0">
      <w:pPr>
        <w:snapToGrid w:val="0"/>
        <w:spacing w:line="420" w:lineRule="exact"/>
        <w:ind w:firstLine="480" w:firstLineChars="200"/>
        <w:rPr>
          <w:rFonts w:hint="eastAsia" w:ascii="宋体" w:hAnsi="宋体" w:eastAsia="宋体" w:cs="宋体"/>
          <w:b/>
          <w:bCs/>
          <w:sz w:val="24"/>
          <w:highlight w:val="none"/>
          <w:u w:val="single"/>
          <w:shd w:val="pct10" w:color="auto" w:fill="FFFFFF"/>
        </w:rPr>
      </w:pPr>
      <w:r>
        <w:rPr>
          <w:rFonts w:hint="eastAsia" w:ascii="宋体" w:hAnsi="宋体" w:eastAsia="宋体" w:cs="宋体"/>
          <w:sz w:val="24"/>
          <w:highlight w:val="none"/>
        </w:rPr>
        <w:t>（一）磋商响应文件中</w:t>
      </w:r>
      <w:bookmarkStart w:id="68" w:name="_Hlk61427222"/>
      <w:r>
        <w:rPr>
          <w:rFonts w:hint="eastAsia" w:ascii="宋体" w:hAnsi="宋体" w:eastAsia="宋体" w:cs="宋体"/>
          <w:sz w:val="24"/>
          <w:highlight w:val="none"/>
        </w:rPr>
        <w:t>开标一览表</w:t>
      </w:r>
      <w:bookmarkEnd w:id="68"/>
      <w:r>
        <w:rPr>
          <w:rFonts w:hint="eastAsia" w:ascii="宋体" w:hAnsi="宋体" w:eastAsia="宋体" w:cs="宋体"/>
          <w:sz w:val="24"/>
          <w:highlight w:val="none"/>
        </w:rPr>
        <w:t>内容与磋商响应文件中相应内容不一致的，以开标一览表为准；</w:t>
      </w:r>
      <w:bookmarkStart w:id="69" w:name="_Hlk78209380"/>
      <w:r>
        <w:rPr>
          <w:rFonts w:hint="eastAsia" w:ascii="宋体" w:hAnsi="宋体" w:eastAsia="宋体" w:cs="宋体"/>
          <w:b/>
          <w:bCs/>
          <w:sz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69"/>
    </w:p>
    <w:p w14:paraId="310743AB">
      <w:pPr>
        <w:snapToGrid w:val="0"/>
        <w:spacing w:line="420" w:lineRule="exact"/>
        <w:ind w:firstLine="480" w:firstLineChars="200"/>
        <w:rPr>
          <w:rFonts w:hint="eastAsia" w:ascii="宋体" w:hAnsi="宋体" w:eastAsia="宋体" w:cs="宋体"/>
          <w:sz w:val="24"/>
          <w:highlight w:val="none"/>
        </w:rPr>
      </w:pPr>
      <w:bookmarkStart w:id="70" w:name="_Hlk81829635"/>
      <w:r>
        <w:rPr>
          <w:rFonts w:hint="eastAsia" w:ascii="宋体" w:hAnsi="宋体" w:eastAsia="宋体" w:cs="宋体"/>
          <w:sz w:val="24"/>
          <w:highlight w:val="none"/>
        </w:rPr>
        <w:t>（二）</w:t>
      </w:r>
      <w:bookmarkEnd w:id="70"/>
      <w:r>
        <w:rPr>
          <w:rFonts w:hint="eastAsia" w:ascii="宋体" w:hAnsi="宋体" w:eastAsia="宋体" w:cs="宋体"/>
          <w:sz w:val="24"/>
          <w:highlight w:val="none"/>
        </w:rPr>
        <w:t>大写金额和小写金额不一致的，以大写金额为准；</w:t>
      </w:r>
    </w:p>
    <w:p w14:paraId="11D06D5C">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（三）单价金额小数点或者百分比有明显错位的，以开标一览表的总价为准，并修改单价；</w:t>
      </w:r>
    </w:p>
    <w:p w14:paraId="2BC13A4A">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（四）总价金额与按单价汇总金额不一致的，以单价金额计算结果为准。</w:t>
      </w:r>
    </w:p>
    <w:p w14:paraId="0EF4E21E">
      <w:pPr>
        <w:pStyle w:val="46"/>
        <w:spacing w:before="0" w:beforeAutospacing="0" w:after="0" w:afterAutospacing="0" w:line="420" w:lineRule="exact"/>
        <w:ind w:firstLine="480"/>
        <w:jc w:val="both"/>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63"/>
    <w:p w14:paraId="0CE61EBA">
      <w:pPr>
        <w:pStyle w:val="29"/>
        <w:tabs>
          <w:tab w:val="left" w:pos="630"/>
        </w:tabs>
        <w:snapToGrid w:val="0"/>
        <w:spacing w:beforeLines="0" w:afterLines="0" w:line="420" w:lineRule="exact"/>
        <w:ind w:firstLine="241" w:firstLineChars="100"/>
        <w:rPr>
          <w:rFonts w:hint="eastAsia" w:ascii="宋体" w:hAnsi="宋体" w:eastAsia="宋体" w:cs="宋体"/>
          <w:b/>
          <w:highlight w:val="none"/>
        </w:rPr>
      </w:pPr>
      <w:r>
        <w:rPr>
          <w:rFonts w:hint="eastAsia" w:ascii="宋体" w:hAnsi="宋体" w:eastAsia="宋体" w:cs="宋体"/>
          <w:b/>
          <w:highlight w:val="none"/>
        </w:rPr>
        <w:t>（六）评标原则和评标办法</w:t>
      </w:r>
    </w:p>
    <w:p w14:paraId="5DCB5FEC">
      <w:pPr>
        <w:pStyle w:val="29"/>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460E50AA">
      <w:pPr>
        <w:pStyle w:val="29"/>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2.评标办法。本项目评标办法是</w:t>
      </w:r>
      <w:r>
        <w:rPr>
          <w:rFonts w:hint="eastAsia" w:ascii="宋体" w:hAnsi="宋体" w:eastAsia="宋体" w:cs="宋体"/>
          <w:b/>
          <w:highlight w:val="none"/>
          <w:u w:val="single"/>
        </w:rPr>
        <w:t>综合评分法</w:t>
      </w:r>
      <w:r>
        <w:rPr>
          <w:rFonts w:hint="eastAsia" w:ascii="宋体" w:hAnsi="宋体" w:eastAsia="宋体" w:cs="宋体"/>
          <w:highlight w:val="none"/>
        </w:rPr>
        <w:t>，具体评标内容及评分标准等详见《第四章：评标办法及评分标准》。</w:t>
      </w:r>
    </w:p>
    <w:p w14:paraId="158F160E">
      <w:pPr>
        <w:spacing w:line="4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五、成交结果确定</w:t>
      </w:r>
    </w:p>
    <w:p w14:paraId="2BE1BAD0">
      <w:pPr>
        <w:spacing w:line="4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（一）确定成交供应商</w:t>
      </w:r>
    </w:p>
    <w:p w14:paraId="7CF22057">
      <w:pPr>
        <w:spacing w:line="420" w:lineRule="exact"/>
        <w:ind w:firstLine="480" w:firstLineChars="200"/>
        <w:rPr>
          <w:rFonts w:hint="eastAsia" w:ascii="宋体" w:hAnsi="宋体" w:eastAsia="宋体" w:cs="宋体"/>
          <w:b/>
          <w:bCs/>
          <w:sz w:val="24"/>
          <w:highlight w:val="none"/>
        </w:rPr>
      </w:pPr>
      <w:r>
        <w:rPr>
          <w:rFonts w:hint="eastAsia" w:ascii="宋体" w:hAnsi="宋体" w:eastAsia="宋体" w:cs="宋体"/>
          <w:bCs/>
          <w:sz w:val="24"/>
          <w:highlight w:val="none"/>
        </w:rPr>
        <w:t>1.招标人在评标结束后2</w:t>
      </w:r>
      <w:r>
        <w:rPr>
          <w:rFonts w:hint="eastAsia" w:ascii="宋体" w:hAnsi="宋体" w:eastAsia="宋体" w:cs="宋体"/>
          <w:sz w:val="24"/>
          <w:highlight w:val="none"/>
        </w:rPr>
        <w:t>个工作日内将评标报告交采购单位确认</w:t>
      </w:r>
      <w:r>
        <w:rPr>
          <w:rFonts w:hint="eastAsia" w:ascii="宋体" w:hAnsi="宋体" w:eastAsia="宋体" w:cs="宋体"/>
          <w:b/>
          <w:bCs/>
          <w:sz w:val="24"/>
          <w:highlight w:val="none"/>
        </w:rPr>
        <w:t>，</w:t>
      </w:r>
      <w:r>
        <w:rPr>
          <w:rFonts w:hint="eastAsia" w:ascii="宋体" w:hAnsi="宋体" w:eastAsia="宋体" w:cs="宋体"/>
          <w:sz w:val="24"/>
          <w:highlight w:val="none"/>
        </w:rPr>
        <w:t>采购单位应在收到评标报告后5个工作日内对评标结果进行确认。如有磋商供应商对评标结果提出质疑的，采购单位可在质疑处理完毕后确定成交供应商。</w:t>
      </w:r>
    </w:p>
    <w:p w14:paraId="592D5F71">
      <w:pPr>
        <w:snapToGrid w:val="0"/>
        <w:spacing w:line="420" w:lineRule="exact"/>
        <w:ind w:firstLine="480" w:firstLineChars="200"/>
        <w:rPr>
          <w:rFonts w:hint="eastAsia" w:ascii="宋体" w:hAnsi="宋体" w:eastAsia="宋体" w:cs="宋体"/>
          <w:b/>
          <w:bCs/>
          <w:color w:val="FF0000"/>
          <w:sz w:val="24"/>
          <w:highlight w:val="none"/>
          <w:u w:val="single"/>
          <w:shd w:val="pct10" w:color="auto" w:fill="FFFFFF"/>
        </w:rPr>
      </w:pPr>
      <w:r>
        <w:rPr>
          <w:rFonts w:hint="eastAsia" w:ascii="宋体" w:hAnsi="宋体" w:eastAsia="宋体" w:cs="宋体"/>
          <w:sz w:val="24"/>
          <w:highlight w:val="none"/>
        </w:rPr>
        <w:t>2.采购单位依法确定成交供应商后2个工作日内，招标人以</w:t>
      </w:r>
      <w:r>
        <w:rPr>
          <w:rFonts w:hint="eastAsia" w:ascii="宋体" w:hAnsi="宋体" w:eastAsia="宋体" w:cs="宋体"/>
          <w:color w:val="auto"/>
          <w:sz w:val="24"/>
          <w:highlight w:val="none"/>
        </w:rPr>
        <w:t>书面形式发出《成交通知书》,并同时在竞争性磋商公告发布的网站上发布成交结果公告。</w:t>
      </w:r>
      <w:r>
        <w:rPr>
          <w:rFonts w:hint="eastAsia" w:ascii="宋体" w:hAnsi="宋体"/>
          <w:b/>
          <w:bCs/>
          <w:color w:val="auto"/>
          <w:sz w:val="24"/>
          <w:u w:val="single"/>
          <w:shd w:val="pct10" w:color="auto" w:fill="FFFFFF"/>
        </w:rPr>
        <w:t>成交供应商享受中小企业扶持政策的</w:t>
      </w:r>
      <w:r>
        <w:rPr>
          <w:rFonts w:hint="eastAsia" w:ascii="宋体" w:hAnsi="宋体" w:eastAsia="宋体" w:cs="宋体"/>
          <w:b/>
          <w:bCs/>
          <w:color w:val="auto"/>
          <w:sz w:val="24"/>
          <w:highlight w:val="none"/>
          <w:u w:val="single"/>
          <w:shd w:val="pct10" w:color="auto" w:fill="FFFFFF"/>
        </w:rPr>
        <w:t>，将在成交结果公告中公开成交供应商的《中小企业声明函》</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成交结果公告期间,供应商不得通过非正当途径，更不得通过非正当手段获取法律法规规定磋商小组(包括其他相关人员)应当保密的相关内容。即使由此获得资料并作为向采购</w:t>
      </w:r>
      <w:r>
        <w:rPr>
          <w:rFonts w:hint="eastAsia" w:ascii="宋体" w:hAnsi="宋体" w:eastAsia="宋体" w:cs="宋体"/>
          <w:b/>
          <w:bCs/>
          <w:sz w:val="24"/>
          <w:highlight w:val="none"/>
          <w:u w:val="single"/>
        </w:rPr>
        <w:t>人（采购代理机构）或监督管理部门提出异议、质疑、投诉或法院起诉的依据，均属于非法获取的依据。</w:t>
      </w:r>
    </w:p>
    <w:p w14:paraId="00A042BD">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3.定标中，应坚持第一成交候选人为首选成交供应商，但出现其它原因的，采购单位可以确定排名第二的候选人为成交供应商，</w:t>
      </w:r>
      <w:r>
        <w:rPr>
          <w:rFonts w:hint="eastAsia" w:ascii="宋体" w:hAnsi="宋体" w:eastAsia="宋体" w:cs="宋体"/>
          <w:b/>
          <w:sz w:val="24"/>
          <w:highlight w:val="none"/>
        </w:rPr>
        <w:t>或重新组织招标。</w:t>
      </w:r>
      <w:r>
        <w:rPr>
          <w:rFonts w:hint="eastAsia" w:ascii="宋体" w:hAnsi="宋体" w:eastAsia="宋体" w:cs="宋体"/>
          <w:sz w:val="24"/>
          <w:highlight w:val="none"/>
        </w:rPr>
        <w:t>采购单位如确定第二成交候选人为成交供应商的，应当在确定前向</w:t>
      </w:r>
      <w:r>
        <w:rPr>
          <w:rFonts w:hint="eastAsia" w:ascii="宋体" w:hAnsi="宋体" w:eastAsia="宋体" w:cs="宋体"/>
          <w:b/>
          <w:sz w:val="24"/>
          <w:highlight w:val="none"/>
        </w:rPr>
        <w:t>临海市财政局</w:t>
      </w:r>
      <w:r>
        <w:rPr>
          <w:rFonts w:hint="eastAsia" w:ascii="宋体" w:hAnsi="宋体" w:eastAsia="宋体" w:cs="宋体"/>
          <w:sz w:val="24"/>
          <w:highlight w:val="none"/>
        </w:rPr>
        <w:t>报告说明。</w:t>
      </w:r>
    </w:p>
    <w:p w14:paraId="41833C58">
      <w:pPr>
        <w:spacing w:line="42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2210C6C">
      <w:pPr>
        <w:spacing w:line="42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67C6C494">
      <w:pPr>
        <w:spacing w:line="42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5.</w:t>
      </w:r>
      <w:bookmarkStart w:id="71" w:name="_Hlk59369379"/>
      <w:bookmarkStart w:id="72" w:name="_Hlk59627548"/>
      <w:r>
        <w:rPr>
          <w:rFonts w:hint="eastAsia" w:ascii="宋体" w:hAnsi="宋体" w:eastAsia="宋体" w:cs="宋体"/>
          <w:b/>
          <w:bCs/>
          <w:sz w:val="24"/>
          <w:highlight w:val="none"/>
        </w:rPr>
        <w:t>为营造更优质的营商环境，</w:t>
      </w:r>
      <w:bookmarkStart w:id="73" w:name="_Hlk59708763"/>
      <w:r>
        <w:rPr>
          <w:rFonts w:hint="eastAsia" w:ascii="宋体" w:hAnsi="宋体" w:eastAsia="宋体" w:cs="宋体"/>
          <w:b/>
          <w:bCs/>
          <w:sz w:val="24"/>
          <w:highlight w:val="none"/>
        </w:rPr>
        <w:t>成交人可选择采购代理机构以邮寄方式向其寄达《成交通知书》（邮寄地址、收件人等信息请在“投标函”中详细写明，邮费可到付）。</w:t>
      </w:r>
      <w:bookmarkEnd w:id="73"/>
      <w:bookmarkStart w:id="74" w:name="_Hlk59708451"/>
      <w:r>
        <w:rPr>
          <w:rFonts w:hint="eastAsia" w:ascii="宋体" w:hAnsi="宋体" w:eastAsia="宋体" w:cs="宋体"/>
          <w:b/>
          <w:bCs/>
          <w:sz w:val="24"/>
          <w:highlight w:val="none"/>
        </w:rPr>
        <w:t>同时成交人应在成交后</w:t>
      </w:r>
      <w:bookmarkStart w:id="75" w:name="_Hlk59521069"/>
      <w:r>
        <w:rPr>
          <w:rFonts w:hint="eastAsia" w:ascii="宋体" w:hAnsi="宋体" w:eastAsia="宋体" w:cs="宋体"/>
          <w:b/>
          <w:bCs/>
          <w:sz w:val="24"/>
          <w:highlight w:val="none"/>
        </w:rPr>
        <w:t>以邮寄</w:t>
      </w:r>
      <w:bookmarkEnd w:id="75"/>
      <w:r>
        <w:rPr>
          <w:rFonts w:hint="eastAsia" w:ascii="宋体" w:hAnsi="宋体" w:eastAsia="宋体" w:cs="宋体"/>
          <w:b/>
          <w:bCs/>
          <w:sz w:val="24"/>
          <w:highlight w:val="none"/>
        </w:rPr>
        <w:t>或其他方式向</w:t>
      </w:r>
      <w:bookmarkStart w:id="76" w:name="_Hlk59521051"/>
      <w:r>
        <w:rPr>
          <w:rFonts w:hint="eastAsia" w:ascii="宋体" w:hAnsi="宋体" w:eastAsia="宋体" w:cs="宋体"/>
          <w:b/>
          <w:bCs/>
          <w:sz w:val="24"/>
          <w:highlight w:val="none"/>
        </w:rPr>
        <w:t>采购代理机构</w:t>
      </w:r>
      <w:bookmarkEnd w:id="76"/>
      <w:r>
        <w:rPr>
          <w:rFonts w:hint="eastAsia" w:ascii="宋体" w:hAnsi="宋体" w:eastAsia="宋体" w:cs="宋体"/>
          <w:b/>
          <w:bCs/>
          <w:sz w:val="24"/>
          <w:highlight w:val="none"/>
        </w:rPr>
        <w:t>提供3套与电子版响应文件相同的胶装版本磋商响应文件。</w:t>
      </w:r>
      <w:bookmarkEnd w:id="71"/>
      <w:bookmarkEnd w:id="72"/>
      <w:bookmarkEnd w:id="74"/>
    </w:p>
    <w:p w14:paraId="5690E19B">
      <w:pPr>
        <w:spacing w:line="4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六、合同授予</w:t>
      </w:r>
    </w:p>
    <w:p w14:paraId="060EF452">
      <w:pPr>
        <w:snapToGrid w:val="0"/>
        <w:spacing w:line="420" w:lineRule="exact"/>
        <w:ind w:firstLine="472" w:firstLineChars="196"/>
        <w:rPr>
          <w:rFonts w:hint="eastAsia" w:ascii="宋体" w:hAnsi="宋体" w:eastAsia="宋体" w:cs="宋体"/>
          <w:b/>
          <w:bCs/>
          <w:sz w:val="24"/>
          <w:highlight w:val="none"/>
        </w:rPr>
      </w:pPr>
      <w:r>
        <w:rPr>
          <w:rFonts w:hint="eastAsia" w:ascii="宋体" w:hAnsi="宋体" w:eastAsia="宋体" w:cs="宋体"/>
          <w:b/>
          <w:bCs/>
          <w:sz w:val="24"/>
          <w:highlight w:val="none"/>
        </w:rPr>
        <w:t>（一）签订合同</w:t>
      </w:r>
    </w:p>
    <w:p w14:paraId="49EB4319">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1.采购人与成交供应商</w:t>
      </w:r>
      <w:r>
        <w:rPr>
          <w:rFonts w:hint="eastAsia" w:ascii="宋体" w:hAnsi="宋体" w:eastAsia="宋体" w:cs="宋体"/>
          <w:b/>
          <w:sz w:val="24"/>
          <w:highlight w:val="none"/>
        </w:rPr>
        <w:t>应当在《成交通知书》发出之日起30日内签订政府采</w:t>
      </w:r>
      <w:r>
        <w:rPr>
          <w:rFonts w:hint="eastAsia" w:ascii="宋体" w:hAnsi="宋体" w:eastAsia="宋体" w:cs="宋体"/>
          <w:sz w:val="24"/>
          <w:highlight w:val="none"/>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eastAsia="宋体" w:cs="宋体"/>
          <w:b/>
          <w:bCs/>
          <w:sz w:val="24"/>
          <w:highlight w:val="none"/>
          <w:u w:val="single"/>
          <w:shd w:val="pct10" w:color="auto" w:fill="FFFFFF"/>
        </w:rPr>
        <w:t>为营造更优质的营商环境，</w:t>
      </w:r>
      <w:bookmarkStart w:id="77" w:name="_Hlk59627623"/>
      <w:r>
        <w:rPr>
          <w:rFonts w:hint="eastAsia" w:ascii="宋体" w:hAnsi="宋体" w:eastAsia="宋体" w:cs="宋体"/>
          <w:b/>
          <w:bCs/>
          <w:sz w:val="24"/>
          <w:highlight w:val="none"/>
          <w:u w:val="single"/>
          <w:shd w:val="pct10" w:color="auto" w:fill="FFFFFF"/>
        </w:rPr>
        <w:t>成交人可选择采购代理机构以邮寄方式向其寄达</w:t>
      </w:r>
      <w:bookmarkStart w:id="78" w:name="_Hlk59708805"/>
      <w:r>
        <w:rPr>
          <w:rFonts w:hint="eastAsia" w:ascii="宋体" w:hAnsi="宋体" w:eastAsia="宋体" w:cs="宋体"/>
          <w:b/>
          <w:bCs/>
          <w:sz w:val="24"/>
          <w:highlight w:val="none"/>
          <w:u w:val="single"/>
          <w:shd w:val="pct10" w:color="auto" w:fill="FFFFFF"/>
        </w:rPr>
        <w:t>《政府采购合同》</w:t>
      </w:r>
      <w:bookmarkEnd w:id="78"/>
      <w:r>
        <w:rPr>
          <w:rFonts w:hint="eastAsia" w:ascii="宋体" w:hAnsi="宋体" w:eastAsia="宋体" w:cs="宋体"/>
          <w:b/>
          <w:bCs/>
          <w:sz w:val="24"/>
          <w:highlight w:val="none"/>
          <w:u w:val="single"/>
          <w:shd w:val="pct10" w:color="auto" w:fill="FFFFFF"/>
        </w:rPr>
        <w:t>。</w:t>
      </w:r>
      <w:bookmarkEnd w:id="77"/>
    </w:p>
    <w:p w14:paraId="5FC2140C">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2.成交供应商拒绝与采购人签订合同的，采购人可以按照评审报告推荐的成交候选人名单排序，确定下一候选人为成交供应商，也可以重新开展政府采购活动。</w:t>
      </w:r>
      <w:bookmarkStart w:id="79" w:name="_Hlk52994129"/>
      <w:r>
        <w:rPr>
          <w:rFonts w:hint="eastAsia" w:ascii="宋体" w:hAnsi="宋体" w:eastAsia="宋体" w:cs="宋体"/>
          <w:sz w:val="24"/>
          <w:highlight w:val="none"/>
        </w:rPr>
        <w:t>拒绝签订政府采购合同的成交供应商不得参加对该项目重新开展的采购活动。</w:t>
      </w:r>
    </w:p>
    <w:bookmarkEnd w:id="79"/>
    <w:p w14:paraId="3C6120AF">
      <w:pPr>
        <w:snapToGrid w:val="0"/>
        <w:spacing w:line="420" w:lineRule="exact"/>
        <w:ind w:firstLine="472" w:firstLineChars="196"/>
        <w:rPr>
          <w:rFonts w:hint="eastAsia" w:ascii="宋体" w:hAnsi="宋体" w:eastAsia="宋体" w:cs="宋体"/>
          <w:b/>
          <w:bCs/>
          <w:sz w:val="24"/>
          <w:highlight w:val="none"/>
        </w:rPr>
      </w:pPr>
      <w:r>
        <w:rPr>
          <w:rFonts w:hint="eastAsia" w:ascii="宋体" w:hAnsi="宋体" w:eastAsia="宋体" w:cs="宋体"/>
          <w:b/>
          <w:bCs/>
          <w:sz w:val="24"/>
          <w:highlight w:val="none"/>
        </w:rPr>
        <w:t>（二）履约保证金</w:t>
      </w:r>
    </w:p>
    <w:p w14:paraId="5A88896C">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1.签订合同前，成交供应商应根据磋商文件确定的履约保证金的金额，交纳履约保证金：</w:t>
      </w:r>
    </w:p>
    <w:p w14:paraId="79F9EE2B">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201000102293922000003。财务咨询电话：0576-85280673）。</w:t>
      </w:r>
    </w:p>
    <w:p w14:paraId="51B082F4">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1B8514CB">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2.签订合同后，如成交供应商不按双方合同约定履约，则其履约保证金将不予退回，履约保证金不足以赔偿损失的，按实际损失赔偿。</w:t>
      </w:r>
    </w:p>
    <w:p w14:paraId="3F0663D1">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3.履约保证金在成交供应商履行合同义务后且经验收合格，凭《临海市政府采购验收单》向临海市公共资源交易中心</w:t>
      </w:r>
      <w:r>
        <w:rPr>
          <w:rFonts w:hint="eastAsia" w:ascii="宋体" w:hAnsi="宋体" w:cs="宋体"/>
          <w:bCs/>
          <w:sz w:val="24"/>
          <w:highlight w:val="none"/>
          <w:lang w:val="en-US" w:eastAsia="zh-CN"/>
        </w:rPr>
        <w:t>申请</w:t>
      </w:r>
      <w:r>
        <w:rPr>
          <w:rFonts w:hint="eastAsia" w:ascii="宋体" w:hAnsi="宋体" w:eastAsia="宋体" w:cs="宋体"/>
          <w:bCs/>
          <w:sz w:val="24"/>
          <w:highlight w:val="none"/>
          <w:lang w:val="en-US" w:eastAsia="zh-CN"/>
        </w:rPr>
        <w:t>退还。</w:t>
      </w:r>
    </w:p>
    <w:p w14:paraId="076B44D4">
      <w:pPr>
        <w:spacing w:line="420" w:lineRule="exact"/>
        <w:rPr>
          <w:rFonts w:hint="eastAsia" w:ascii="宋体" w:hAnsi="宋体" w:eastAsia="宋体" w:cs="宋体"/>
          <w:b/>
          <w:color w:val="000000"/>
          <w:sz w:val="30"/>
          <w:szCs w:val="30"/>
          <w:highlight w:val="none"/>
        </w:rPr>
      </w:pPr>
    </w:p>
    <w:p w14:paraId="5DC04042">
      <w:pPr>
        <w:pStyle w:val="42"/>
        <w:rPr>
          <w:rFonts w:hint="eastAsia" w:ascii="宋体" w:hAnsi="宋体" w:eastAsia="宋体" w:cs="宋体"/>
          <w:b/>
          <w:color w:val="000000"/>
          <w:sz w:val="30"/>
          <w:szCs w:val="30"/>
          <w:highlight w:val="none"/>
        </w:rPr>
      </w:pPr>
    </w:p>
    <w:p w14:paraId="662A7847">
      <w:pPr>
        <w:rPr>
          <w:rFonts w:hint="eastAsia" w:ascii="宋体" w:hAnsi="宋体" w:eastAsia="宋体" w:cs="宋体"/>
          <w:b/>
          <w:color w:val="000000"/>
          <w:sz w:val="30"/>
          <w:szCs w:val="30"/>
          <w:highlight w:val="none"/>
        </w:rPr>
      </w:pPr>
    </w:p>
    <w:p w14:paraId="3D8E1B4B">
      <w:pPr>
        <w:pStyle w:val="42"/>
        <w:rPr>
          <w:rFonts w:hint="eastAsia" w:ascii="宋体" w:hAnsi="宋体" w:eastAsia="宋体" w:cs="宋体"/>
          <w:b/>
          <w:color w:val="000000"/>
          <w:sz w:val="30"/>
          <w:szCs w:val="30"/>
          <w:highlight w:val="none"/>
        </w:rPr>
      </w:pPr>
    </w:p>
    <w:p w14:paraId="327B6D13">
      <w:pPr>
        <w:rPr>
          <w:rFonts w:hint="eastAsia" w:ascii="宋体" w:hAnsi="宋体" w:eastAsia="宋体" w:cs="宋体"/>
          <w:b/>
          <w:color w:val="000000"/>
          <w:sz w:val="30"/>
          <w:szCs w:val="30"/>
          <w:highlight w:val="none"/>
        </w:rPr>
      </w:pPr>
    </w:p>
    <w:p w14:paraId="3C255D65">
      <w:pPr>
        <w:pStyle w:val="42"/>
        <w:rPr>
          <w:rFonts w:hint="eastAsia" w:ascii="宋体" w:hAnsi="宋体" w:eastAsia="宋体" w:cs="宋体"/>
          <w:b/>
          <w:color w:val="000000"/>
          <w:sz w:val="30"/>
          <w:szCs w:val="30"/>
          <w:highlight w:val="none"/>
        </w:rPr>
      </w:pPr>
    </w:p>
    <w:p w14:paraId="1AEBB4A3">
      <w:pPr>
        <w:rPr>
          <w:rFonts w:hint="eastAsia" w:ascii="宋体" w:hAnsi="宋体" w:eastAsia="宋体" w:cs="宋体"/>
          <w:b/>
          <w:color w:val="000000"/>
          <w:sz w:val="30"/>
          <w:szCs w:val="30"/>
          <w:highlight w:val="none"/>
        </w:rPr>
      </w:pPr>
    </w:p>
    <w:p w14:paraId="6FC0D315">
      <w:pPr>
        <w:pStyle w:val="42"/>
        <w:rPr>
          <w:rFonts w:hint="eastAsia" w:ascii="宋体" w:hAnsi="宋体" w:eastAsia="宋体" w:cs="宋体"/>
          <w:b/>
          <w:color w:val="000000"/>
          <w:sz w:val="30"/>
          <w:szCs w:val="30"/>
          <w:highlight w:val="none"/>
        </w:rPr>
      </w:pPr>
    </w:p>
    <w:p w14:paraId="3258946A">
      <w:pPr>
        <w:rPr>
          <w:rFonts w:hint="eastAsia" w:ascii="宋体" w:hAnsi="宋体" w:eastAsia="宋体" w:cs="宋体"/>
          <w:b/>
          <w:color w:val="000000"/>
          <w:sz w:val="30"/>
          <w:szCs w:val="30"/>
          <w:highlight w:val="none"/>
        </w:rPr>
      </w:pPr>
    </w:p>
    <w:p w14:paraId="58394AA5">
      <w:pPr>
        <w:pStyle w:val="42"/>
        <w:rPr>
          <w:rFonts w:hint="eastAsia" w:ascii="宋体" w:hAnsi="宋体" w:eastAsia="宋体" w:cs="宋体"/>
          <w:b/>
          <w:color w:val="000000"/>
          <w:sz w:val="30"/>
          <w:szCs w:val="30"/>
          <w:highlight w:val="none"/>
        </w:rPr>
      </w:pPr>
    </w:p>
    <w:p w14:paraId="7176EBE2">
      <w:pPr>
        <w:rPr>
          <w:rFonts w:hint="eastAsia" w:ascii="宋体" w:hAnsi="宋体" w:eastAsia="宋体" w:cs="宋体"/>
          <w:b/>
          <w:color w:val="000000"/>
          <w:sz w:val="30"/>
          <w:szCs w:val="30"/>
          <w:highlight w:val="none"/>
        </w:rPr>
      </w:pPr>
    </w:p>
    <w:p w14:paraId="4C822564">
      <w:pPr>
        <w:pStyle w:val="42"/>
        <w:rPr>
          <w:rFonts w:hint="eastAsia" w:ascii="宋体" w:hAnsi="宋体" w:eastAsia="宋体" w:cs="宋体"/>
          <w:b/>
          <w:color w:val="000000"/>
          <w:sz w:val="30"/>
          <w:szCs w:val="30"/>
          <w:highlight w:val="none"/>
        </w:rPr>
      </w:pPr>
    </w:p>
    <w:p w14:paraId="25F95FFE">
      <w:pPr>
        <w:rPr>
          <w:rFonts w:hint="eastAsia" w:ascii="宋体" w:hAnsi="宋体" w:eastAsia="宋体" w:cs="宋体"/>
          <w:b/>
          <w:color w:val="000000"/>
          <w:sz w:val="30"/>
          <w:szCs w:val="30"/>
          <w:highlight w:val="none"/>
        </w:rPr>
      </w:pPr>
    </w:p>
    <w:p w14:paraId="7730571F">
      <w:pPr>
        <w:pStyle w:val="42"/>
        <w:rPr>
          <w:rFonts w:hint="eastAsia" w:ascii="宋体" w:hAnsi="宋体" w:eastAsia="宋体" w:cs="宋体"/>
          <w:highlight w:val="none"/>
        </w:rPr>
      </w:pPr>
    </w:p>
    <w:p w14:paraId="3359D7C1">
      <w:pPr>
        <w:pStyle w:val="29"/>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pPr>
      <w:bookmarkStart w:id="80" w:name="_Toc0"/>
      <w:bookmarkStart w:id="81" w:name="_Toc466534750"/>
      <w:r>
        <w:rPr>
          <w:rFonts w:hint="eastAsia" w:ascii="宋体" w:hAnsi="宋体" w:eastAsia="宋体" w:cs="宋体"/>
          <w:b/>
          <w:color w:val="000000"/>
          <w:sz w:val="30"/>
          <w:szCs w:val="30"/>
          <w:highlight w:val="none"/>
        </w:rPr>
        <w:t>第四章 评标办法及评分标准</w:t>
      </w:r>
      <w:bookmarkEnd w:id="80"/>
      <w:bookmarkEnd w:id="81"/>
    </w:p>
    <w:p w14:paraId="7935A229">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为公正、公平、科学地选择成交供应商，根据《中华人民共和国政府采购法》等有关法律法规的规定，并结合本项目的实际，制定本办法。</w:t>
      </w:r>
    </w:p>
    <w:p w14:paraId="3A17F5A8">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本办法适用于本项目的评标。</w:t>
      </w:r>
    </w:p>
    <w:p w14:paraId="1FF72137">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一、总则</w:t>
      </w:r>
    </w:p>
    <w:p w14:paraId="689C2012">
      <w:pPr>
        <w:spacing w:line="42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sz w:val="24"/>
          <w:highlight w:val="none"/>
          <w:lang w:val="en-US" w:eastAsia="zh-CN"/>
        </w:rPr>
        <w:t>本次评标采用综合评分法，总分为100分，其中价格分</w:t>
      </w:r>
      <w:r>
        <w:rPr>
          <w:rFonts w:hint="eastAsia" w:ascii="宋体" w:hAnsi="宋体" w:cs="宋体"/>
          <w:b w:val="0"/>
          <w:bCs/>
          <w:sz w:val="24"/>
          <w:highlight w:val="none"/>
          <w:lang w:val="en-US" w:eastAsia="zh-CN"/>
        </w:rPr>
        <w:t>20</w:t>
      </w:r>
      <w:r>
        <w:rPr>
          <w:rFonts w:hint="eastAsia" w:ascii="宋体" w:hAnsi="宋体" w:eastAsia="宋体" w:cs="宋体"/>
          <w:b w:val="0"/>
          <w:bCs/>
          <w:sz w:val="24"/>
          <w:highlight w:val="none"/>
          <w:lang w:val="en-US" w:eastAsia="zh-CN"/>
        </w:rPr>
        <w:t>分、商务技术分</w:t>
      </w:r>
      <w:r>
        <w:rPr>
          <w:rFonts w:hint="eastAsia" w:ascii="宋体" w:hAnsi="宋体" w:cs="宋体"/>
          <w:b w:val="0"/>
          <w:bCs/>
          <w:sz w:val="24"/>
          <w:highlight w:val="none"/>
          <w:lang w:val="en-US" w:eastAsia="zh-CN"/>
        </w:rPr>
        <w:t>80</w:t>
      </w:r>
      <w:r>
        <w:rPr>
          <w:rFonts w:hint="eastAsia" w:ascii="宋体" w:hAnsi="宋体" w:eastAsia="宋体" w:cs="宋体"/>
          <w:b w:val="0"/>
          <w:bCs/>
          <w:sz w:val="24"/>
          <w:highlight w:val="none"/>
          <w:lang w:val="en-US" w:eastAsia="zh-CN"/>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eastAsia="宋体" w:cs="宋体"/>
          <w:b/>
          <w:bCs w:val="0"/>
          <w:sz w:val="24"/>
          <w:highlight w:val="none"/>
          <w:lang w:val="en-US" w:eastAsia="zh-CN"/>
        </w:rPr>
        <w:t>排名第一的供应</w:t>
      </w:r>
      <w:r>
        <w:rPr>
          <w:rFonts w:hint="eastAsia" w:ascii="宋体" w:hAnsi="宋体" w:eastAsia="宋体" w:cs="宋体"/>
          <w:b/>
          <w:bCs w:val="0"/>
          <w:color w:val="auto"/>
          <w:sz w:val="24"/>
          <w:highlight w:val="none"/>
          <w:lang w:val="en-US" w:eastAsia="zh-CN"/>
        </w:rPr>
        <w:t>商为</w:t>
      </w:r>
      <w:r>
        <w:rPr>
          <w:rFonts w:hint="eastAsia" w:ascii="宋体" w:hAnsi="宋体"/>
          <w:b w:val="0"/>
          <w:bCs w:val="0"/>
          <w:color w:val="auto"/>
          <w:sz w:val="24"/>
          <w:lang w:val="en-US" w:eastAsia="zh-CN"/>
        </w:rPr>
        <w:t>第一</w:t>
      </w:r>
      <w:r>
        <w:rPr>
          <w:rFonts w:hint="eastAsia" w:ascii="宋体" w:hAnsi="宋体" w:eastAsia="宋体" w:cs="宋体"/>
          <w:b/>
          <w:bCs w:val="0"/>
          <w:color w:val="auto"/>
          <w:sz w:val="24"/>
          <w:highlight w:val="none"/>
          <w:lang w:val="en-US" w:eastAsia="zh-CN"/>
        </w:rPr>
        <w:t>成交候选人,排名第二的供应商为</w:t>
      </w:r>
      <w:r>
        <w:rPr>
          <w:rFonts w:hint="eastAsia" w:ascii="宋体" w:hAnsi="宋体"/>
          <w:b w:val="0"/>
          <w:bCs w:val="0"/>
          <w:color w:val="auto"/>
          <w:sz w:val="24"/>
          <w:lang w:val="en-US" w:eastAsia="zh-CN"/>
        </w:rPr>
        <w:t>第二</w:t>
      </w:r>
      <w:r>
        <w:rPr>
          <w:rFonts w:hint="eastAsia" w:ascii="宋体" w:hAnsi="宋体" w:eastAsia="宋体" w:cs="宋体"/>
          <w:b/>
          <w:bCs w:val="0"/>
          <w:color w:val="auto"/>
          <w:sz w:val="24"/>
          <w:highlight w:val="none"/>
          <w:lang w:val="en-US" w:eastAsia="zh-CN"/>
        </w:rPr>
        <w:t>成交候选人</w:t>
      </w:r>
      <w:r>
        <w:rPr>
          <w:rFonts w:hint="eastAsia" w:ascii="宋体" w:hAnsi="宋体" w:eastAsia="宋体" w:cs="宋体"/>
          <w:b w:val="0"/>
          <w:bCs/>
          <w:color w:val="auto"/>
          <w:sz w:val="24"/>
          <w:highlight w:val="none"/>
          <w:lang w:val="en-US" w:eastAsia="zh-CN"/>
        </w:rPr>
        <w:t>。评分过程中采用四舍五入法，并保留小数2位。</w:t>
      </w:r>
    </w:p>
    <w:p w14:paraId="36DEB2A8">
      <w:pPr>
        <w:spacing w:line="42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节能环保产品，不发达地区、少数民族地区、监狱企业、残疾人企业、制造精品产品的政府采购优惠政策按相关文件规定执行。</w:t>
      </w:r>
    </w:p>
    <w:p w14:paraId="63DBD7A6">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供应商评标综合得分=价格分+商务技术分</w:t>
      </w:r>
    </w:p>
    <w:p w14:paraId="4712818E">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二、评标内容及标准</w:t>
      </w:r>
    </w:p>
    <w:p w14:paraId="12A57282">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（一）价格分（</w:t>
      </w:r>
      <w:r>
        <w:rPr>
          <w:rFonts w:hint="eastAsia" w:ascii="宋体" w:hAnsi="宋体" w:cs="宋体"/>
          <w:b/>
          <w:bCs w:val="0"/>
          <w:sz w:val="24"/>
          <w:highlight w:val="none"/>
          <w:lang w:val="en-US" w:eastAsia="zh-CN"/>
        </w:rPr>
        <w:t>20</w:t>
      </w:r>
      <w:r>
        <w:rPr>
          <w:rFonts w:hint="eastAsia" w:ascii="宋体" w:hAnsi="宋体" w:eastAsia="宋体" w:cs="宋体"/>
          <w:b/>
          <w:bCs w:val="0"/>
          <w:sz w:val="24"/>
          <w:highlight w:val="none"/>
          <w:lang w:val="en-US" w:eastAsia="zh-CN"/>
        </w:rPr>
        <w:t>分）</w:t>
      </w:r>
    </w:p>
    <w:p w14:paraId="49581842">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1.价格分采用低价优先法计算，即满足磋商文件要求且投标价格最低的投标报价为评标基准价，其他供应商的价格分按照下列公式计算：</w:t>
      </w:r>
    </w:p>
    <w:p w14:paraId="05211367">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价格分=（评标基准价/投标报价）×</w:t>
      </w:r>
      <w:r>
        <w:rPr>
          <w:rFonts w:hint="eastAsia" w:ascii="宋体" w:hAnsi="宋体" w:cs="宋体"/>
          <w:bCs/>
          <w:sz w:val="24"/>
          <w:highlight w:val="none"/>
          <w:lang w:val="en-US" w:eastAsia="zh-CN"/>
        </w:rPr>
        <w:t>20</w:t>
      </w:r>
      <w:r>
        <w:rPr>
          <w:rFonts w:hint="eastAsia" w:ascii="宋体" w:hAnsi="宋体" w:eastAsia="宋体" w:cs="宋体"/>
          <w:bCs/>
          <w:sz w:val="24"/>
          <w:highlight w:val="none"/>
          <w:lang w:val="en-US" w:eastAsia="zh-CN"/>
        </w:rPr>
        <w:t>%×100</w:t>
      </w:r>
    </w:p>
    <w:p w14:paraId="1D436DEC">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（二）商务技术分（</w:t>
      </w:r>
      <w:r>
        <w:rPr>
          <w:rFonts w:hint="eastAsia" w:ascii="宋体" w:hAnsi="宋体" w:cs="宋体"/>
          <w:b/>
          <w:bCs w:val="0"/>
          <w:sz w:val="24"/>
          <w:highlight w:val="none"/>
          <w:lang w:val="en-US" w:eastAsia="zh-CN"/>
        </w:rPr>
        <w:t>80</w:t>
      </w:r>
      <w:r>
        <w:rPr>
          <w:rFonts w:hint="eastAsia" w:ascii="宋体" w:hAnsi="宋体" w:eastAsia="宋体" w:cs="宋体"/>
          <w:b/>
          <w:bCs w:val="0"/>
          <w:sz w:val="24"/>
          <w:highlight w:val="none"/>
          <w:lang w:val="en-US" w:eastAsia="zh-CN"/>
        </w:rPr>
        <w:t>分）</w:t>
      </w:r>
    </w:p>
    <w:p w14:paraId="0E388D5F">
      <w:pPr>
        <w:spacing w:line="420" w:lineRule="exact"/>
        <w:ind w:firstLine="480" w:firstLineChars="200"/>
        <w:rPr>
          <w:rFonts w:hint="eastAsia" w:ascii="宋体" w:hAnsi="宋体" w:eastAsia="宋体" w:cs="宋体"/>
          <w:bCs/>
          <w:sz w:val="24"/>
          <w:highlight w:val="none"/>
          <w:lang w:val="zh-CN" w:eastAsia="zh-CN"/>
        </w:rPr>
      </w:pPr>
      <w:r>
        <w:rPr>
          <w:rFonts w:hint="eastAsia" w:ascii="宋体" w:hAnsi="宋体" w:eastAsia="宋体" w:cs="宋体"/>
          <w:bCs/>
          <w:sz w:val="24"/>
          <w:highlight w:val="none"/>
          <w:lang w:val="zh-CN" w:eastAsia="zh-CN"/>
        </w:rPr>
        <w:t>磋商小组对通过符合性审查的供应商的投标技术参数或方案充分审核后，进行综合评定独立打分。</w:t>
      </w:r>
    </w:p>
    <w:tbl>
      <w:tblPr>
        <w:tblStyle w:val="51"/>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35"/>
        <w:gridCol w:w="707"/>
        <w:gridCol w:w="901"/>
        <w:gridCol w:w="758"/>
        <w:gridCol w:w="6782"/>
      </w:tblGrid>
      <w:tr w14:paraId="3A3F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14:paraId="031F43E3">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0C617EFF">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评审内容</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5F0B313">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6782" w:type="dxa"/>
            <w:tcBorders>
              <w:top w:val="single" w:color="auto" w:sz="4" w:space="0"/>
              <w:left w:val="single" w:color="auto" w:sz="4" w:space="0"/>
              <w:bottom w:val="single" w:color="auto" w:sz="4" w:space="0"/>
              <w:right w:val="single" w:color="auto" w:sz="4" w:space="0"/>
            </w:tcBorders>
            <w:noWrap w:val="0"/>
            <w:vAlign w:val="center"/>
          </w:tcPr>
          <w:p w14:paraId="7B4EB443">
            <w:pPr>
              <w:ind w:firstLine="405" w:firstLineChars="19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评分细则及要求</w:t>
            </w:r>
          </w:p>
        </w:tc>
      </w:tr>
      <w:tr w14:paraId="5B64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24" w:hRule="atLeast"/>
          <w:jc w:val="center"/>
        </w:trPr>
        <w:tc>
          <w:tcPr>
            <w:tcW w:w="635" w:type="dxa"/>
            <w:tcBorders>
              <w:top w:val="single" w:color="auto" w:sz="4" w:space="0"/>
              <w:left w:val="single" w:color="auto" w:sz="4" w:space="0"/>
              <w:right w:val="single" w:color="auto" w:sz="4" w:space="0"/>
            </w:tcBorders>
            <w:noWrap w:val="0"/>
            <w:vAlign w:val="center"/>
          </w:tcPr>
          <w:p w14:paraId="09B3D87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08" w:type="dxa"/>
            <w:gridSpan w:val="2"/>
            <w:tcBorders>
              <w:top w:val="single" w:color="auto" w:sz="4" w:space="0"/>
              <w:left w:val="single" w:color="auto" w:sz="4" w:space="0"/>
              <w:right w:val="single" w:color="auto" w:sz="4" w:space="0"/>
            </w:tcBorders>
            <w:noWrap w:val="0"/>
            <w:vAlign w:val="center"/>
          </w:tcPr>
          <w:p w14:paraId="10451C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投标人综合实力</w:t>
            </w:r>
          </w:p>
        </w:tc>
        <w:tc>
          <w:tcPr>
            <w:tcW w:w="758" w:type="dxa"/>
            <w:tcBorders>
              <w:top w:val="single" w:color="auto" w:sz="4" w:space="0"/>
              <w:left w:val="single" w:color="auto" w:sz="4" w:space="0"/>
              <w:right w:val="single" w:color="auto" w:sz="4" w:space="0"/>
            </w:tcBorders>
            <w:noWrap w:val="0"/>
            <w:vAlign w:val="center"/>
          </w:tcPr>
          <w:p w14:paraId="469B312B">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4分</w:t>
            </w:r>
          </w:p>
        </w:tc>
        <w:tc>
          <w:tcPr>
            <w:tcW w:w="6782" w:type="dxa"/>
            <w:tcBorders>
              <w:top w:val="single" w:color="auto" w:sz="4" w:space="0"/>
              <w:left w:val="single" w:color="auto" w:sz="4" w:space="0"/>
              <w:right w:val="single" w:color="auto" w:sz="4" w:space="0"/>
            </w:tcBorders>
            <w:noWrap w:val="0"/>
            <w:vAlign w:val="center"/>
          </w:tcPr>
          <w:p w14:paraId="65997FCA">
            <w:pPr>
              <w:jc w:val="left"/>
              <w:rPr>
                <w:rFonts w:hint="eastAsia" w:ascii="宋体" w:hAnsi="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根据投标人的企业情况、信用情况、专业能力、履约能力及获荣誉情况等由评标委员会进行打分。（0-</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tc>
      </w:tr>
      <w:tr w14:paraId="138A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35" w:type="dxa"/>
            <w:tcBorders>
              <w:left w:val="single" w:color="auto" w:sz="4" w:space="0"/>
              <w:right w:val="single" w:color="auto" w:sz="4" w:space="0"/>
            </w:tcBorders>
            <w:noWrap w:val="0"/>
            <w:vAlign w:val="center"/>
          </w:tcPr>
          <w:p w14:paraId="11B63EFC">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608" w:type="dxa"/>
            <w:gridSpan w:val="2"/>
            <w:tcBorders>
              <w:left w:val="single" w:color="auto" w:sz="4" w:space="0"/>
              <w:right w:val="single" w:color="auto" w:sz="4" w:space="0"/>
            </w:tcBorders>
            <w:noWrap w:val="0"/>
            <w:vAlign w:val="center"/>
          </w:tcPr>
          <w:p w14:paraId="3A4065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企业业绩</w:t>
            </w:r>
          </w:p>
        </w:tc>
        <w:tc>
          <w:tcPr>
            <w:tcW w:w="758" w:type="dxa"/>
            <w:tcBorders>
              <w:top w:val="single" w:color="auto" w:sz="4" w:space="0"/>
              <w:left w:val="single" w:color="auto" w:sz="4" w:space="0"/>
              <w:right w:val="single" w:color="auto" w:sz="4" w:space="0"/>
            </w:tcBorders>
            <w:noWrap w:val="0"/>
            <w:vAlign w:val="center"/>
          </w:tcPr>
          <w:p w14:paraId="6A6752BC">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2分</w:t>
            </w:r>
          </w:p>
        </w:tc>
        <w:tc>
          <w:tcPr>
            <w:tcW w:w="6782" w:type="dxa"/>
            <w:tcBorders>
              <w:top w:val="single" w:color="auto" w:sz="4" w:space="0"/>
              <w:left w:val="single" w:color="auto" w:sz="4" w:space="0"/>
              <w:bottom w:val="single" w:color="auto" w:sz="4" w:space="0"/>
              <w:right w:val="single" w:color="auto" w:sz="4" w:space="0"/>
            </w:tcBorders>
            <w:noWrap w:val="0"/>
            <w:vAlign w:val="center"/>
          </w:tcPr>
          <w:p w14:paraId="1A9EF4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供应商自2022年1月1日 以来（以合同签订时间为准）完成过类似项目施工业绩的，每提供一个得1分，此项最高得2分。</w:t>
            </w:r>
          </w:p>
          <w:p w14:paraId="39E33A1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注</w:t>
            </w:r>
            <w:r>
              <w:rPr>
                <w:rFonts w:hint="eastAsia" w:ascii="宋体" w:hAnsi="宋体" w:eastAsia="宋体" w:cs="宋体"/>
                <w:b/>
                <w:color w:val="auto"/>
                <w:sz w:val="24"/>
                <w:szCs w:val="24"/>
                <w:highlight w:val="none"/>
                <w:u w:val="single"/>
                <w:shd w:val="pct10" w:color="auto" w:fill="FFFFFF"/>
              </w:rPr>
              <w:t>：</w:t>
            </w:r>
          </w:p>
          <w:p w14:paraId="6652E79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14:paraId="21AB81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cs="宋体"/>
                <w:b w:val="0"/>
                <w:bCs w:val="0"/>
                <w:sz w:val="24"/>
                <w:szCs w:val="24"/>
                <w:highlight w:val="none"/>
                <w:lang w:val="en-US" w:eastAsia="zh-CN"/>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合同扫描件、竣工验收合格证明</w:t>
            </w:r>
            <w:r>
              <w:rPr>
                <w:rFonts w:hint="eastAsia" w:ascii="宋体" w:hAnsi="宋体" w:eastAsia="宋体" w:cs="宋体"/>
                <w:b/>
                <w:color w:val="auto"/>
                <w:sz w:val="24"/>
                <w:szCs w:val="24"/>
                <w:highlight w:val="none"/>
                <w:u w:val="single"/>
                <w:shd w:val="pct10" w:color="auto" w:fill="FFFFFF"/>
                <w:lang w:val="en-US" w:eastAsia="zh-CN"/>
              </w:rPr>
              <w:t>扫描件</w:t>
            </w:r>
            <w:r>
              <w:rPr>
                <w:rFonts w:hint="eastAsia" w:ascii="宋体" w:hAnsi="宋体" w:eastAsia="宋体" w:cs="宋体"/>
                <w:b/>
                <w:color w:val="auto"/>
                <w:spacing w:val="-4"/>
                <w:kern w:val="0"/>
                <w:sz w:val="24"/>
                <w:szCs w:val="24"/>
                <w:highlight w:val="none"/>
                <w:u w:val="single"/>
                <w:shd w:val="pct10" w:color="auto" w:fill="FFFFFF"/>
              </w:rPr>
              <w:t>加盖投标人公章。未按上述规定提供资料</w:t>
            </w:r>
            <w:r>
              <w:rPr>
                <w:rFonts w:hint="eastAsia" w:ascii="宋体" w:hAnsi="宋体" w:eastAsia="宋体" w:cs="宋体"/>
                <w:b/>
                <w:color w:val="auto"/>
                <w:spacing w:val="-4"/>
                <w:kern w:val="0"/>
                <w:sz w:val="24"/>
                <w:szCs w:val="24"/>
                <w:highlight w:val="none"/>
                <w:u w:val="single"/>
                <w:shd w:val="pct10" w:color="auto" w:fill="FFFFFF"/>
                <w:lang w:val="en-US" w:eastAsia="zh-CN"/>
              </w:rPr>
              <w:t>或提供资料不全</w:t>
            </w:r>
            <w:r>
              <w:rPr>
                <w:rFonts w:hint="eastAsia" w:ascii="宋体" w:hAnsi="宋体" w:eastAsia="宋体" w:cs="宋体"/>
                <w:b/>
                <w:color w:val="auto"/>
                <w:spacing w:val="-4"/>
                <w:kern w:val="0"/>
                <w:sz w:val="24"/>
                <w:szCs w:val="24"/>
                <w:highlight w:val="none"/>
                <w:u w:val="single"/>
                <w:shd w:val="pct10" w:color="auto" w:fill="FFFFFF"/>
              </w:rPr>
              <w:t>的不得分。</w:t>
            </w:r>
          </w:p>
        </w:tc>
      </w:tr>
      <w:tr w14:paraId="1A2C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5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14:paraId="292F2A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14EFF4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lang w:eastAsia="zh-CN"/>
              </w:rPr>
              <w:t>技术负责人</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9BA76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bottom w:val="single" w:color="auto" w:sz="4" w:space="0"/>
              <w:right w:val="single" w:color="auto" w:sz="4" w:space="0"/>
            </w:tcBorders>
            <w:noWrap w:val="0"/>
            <w:vAlign w:val="center"/>
          </w:tcPr>
          <w:p w14:paraId="32282AA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拟派项目技术负责人具有</w:t>
            </w:r>
            <w:r>
              <w:rPr>
                <w:rFonts w:hint="eastAsia" w:ascii="宋体" w:hAnsi="宋体" w:cs="宋体"/>
                <w:sz w:val="24"/>
                <w:szCs w:val="24"/>
                <w:highlight w:val="none"/>
                <w:lang w:val="en-US" w:eastAsia="zh-CN"/>
              </w:rPr>
              <w:t>一级建造师（市政工程）或者市政工程相关专业</w:t>
            </w:r>
            <w:r>
              <w:rPr>
                <w:rFonts w:hint="eastAsia" w:ascii="宋体" w:hAnsi="宋体" w:eastAsia="宋体" w:cs="宋体"/>
                <w:sz w:val="24"/>
                <w:szCs w:val="24"/>
                <w:highlight w:val="none"/>
                <w:lang w:val="en-US" w:eastAsia="zh-CN"/>
              </w:rPr>
              <w:t>高级</w:t>
            </w:r>
            <w:r>
              <w:rPr>
                <w:rFonts w:hint="eastAsia" w:ascii="宋体" w:hAnsi="宋体" w:cs="宋体"/>
                <w:sz w:val="24"/>
                <w:szCs w:val="24"/>
                <w:highlight w:val="none"/>
                <w:lang w:val="en-US" w:eastAsia="zh-CN"/>
              </w:rPr>
              <w:t>及以上</w:t>
            </w:r>
            <w:r>
              <w:rPr>
                <w:rFonts w:hint="eastAsia" w:ascii="宋体" w:hAnsi="宋体" w:eastAsia="宋体" w:cs="宋体"/>
                <w:sz w:val="24"/>
                <w:szCs w:val="24"/>
                <w:highlight w:val="none"/>
                <w:lang w:val="en-US" w:eastAsia="zh-CN"/>
              </w:rPr>
              <w:t>职称证书得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具有二级建造师（市政工程）或者市政工程相关专业</w:t>
            </w:r>
            <w:r>
              <w:rPr>
                <w:rFonts w:hint="eastAsia" w:ascii="宋体" w:hAnsi="宋体" w:eastAsia="宋体" w:cs="宋体"/>
                <w:sz w:val="24"/>
                <w:szCs w:val="24"/>
                <w:highlight w:val="none"/>
                <w:lang w:val="en-US" w:eastAsia="zh-CN"/>
              </w:rPr>
              <w:t>中级</w:t>
            </w:r>
            <w:r>
              <w:rPr>
                <w:rFonts w:hint="eastAsia" w:ascii="宋体" w:hAnsi="宋体" w:cs="宋体"/>
                <w:sz w:val="24"/>
                <w:szCs w:val="24"/>
                <w:highlight w:val="none"/>
                <w:lang w:val="en-US" w:eastAsia="zh-CN"/>
              </w:rPr>
              <w:t>及以上</w:t>
            </w:r>
            <w:r>
              <w:rPr>
                <w:rFonts w:hint="eastAsia" w:ascii="宋体" w:hAnsi="宋体" w:eastAsia="宋体" w:cs="宋体"/>
                <w:sz w:val="24"/>
                <w:szCs w:val="24"/>
                <w:highlight w:val="none"/>
                <w:lang w:val="en-US" w:eastAsia="zh-CN"/>
              </w:rPr>
              <w:t>职称证书的得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分。本项最高得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517A5D1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color w:val="auto"/>
                <w:spacing w:val="-4"/>
                <w:kern w:val="0"/>
                <w:sz w:val="24"/>
                <w:szCs w:val="24"/>
                <w:highlight w:val="none"/>
                <w:u w:val="single"/>
                <w:shd w:val="pct10" w:color="auto" w:fill="FFFFFF"/>
              </w:rPr>
              <w:t>注</w:t>
            </w:r>
            <w:r>
              <w:rPr>
                <w:rFonts w:hint="eastAsia" w:ascii="宋体" w:hAnsi="宋体" w:eastAsia="宋体" w:cs="宋体"/>
                <w:b/>
                <w:color w:val="auto"/>
                <w:spacing w:val="-4"/>
                <w:kern w:val="0"/>
                <w:sz w:val="24"/>
                <w:szCs w:val="24"/>
                <w:highlight w:val="none"/>
                <w:u w:val="single"/>
                <w:shd w:val="pct10" w:color="auto" w:fill="FFFFFF"/>
                <w:lang w:eastAsia="zh-CN"/>
              </w:rPr>
              <w:t>：</w:t>
            </w:r>
          </w:p>
          <w:p w14:paraId="4EEC48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1、须提供清晰可辨的</w:t>
            </w:r>
            <w:r>
              <w:rPr>
                <w:rFonts w:hint="eastAsia" w:ascii="宋体" w:hAnsi="宋体" w:eastAsia="宋体" w:cs="宋体"/>
                <w:b/>
                <w:color w:val="auto"/>
                <w:spacing w:val="-4"/>
                <w:kern w:val="0"/>
                <w:sz w:val="24"/>
                <w:szCs w:val="24"/>
                <w:highlight w:val="none"/>
                <w:u w:val="single"/>
                <w:shd w:val="pct10" w:color="auto" w:fill="FFFFFF"/>
                <w:lang w:val="en-US" w:eastAsia="zh-CN"/>
              </w:rPr>
              <w:t>原件</w:t>
            </w:r>
            <w:r>
              <w:rPr>
                <w:rFonts w:hint="eastAsia" w:ascii="宋体" w:hAnsi="宋体" w:eastAsia="宋体" w:cs="宋体"/>
                <w:b/>
                <w:color w:val="auto"/>
                <w:spacing w:val="-4"/>
                <w:kern w:val="0"/>
                <w:sz w:val="24"/>
                <w:szCs w:val="24"/>
                <w:highlight w:val="none"/>
                <w:u w:val="single"/>
                <w:shd w:val="pct10" w:color="auto" w:fill="FFFFFF"/>
              </w:rPr>
              <w:t>证书扫描件，所有证书必须真实、合规，在有效期内。</w:t>
            </w:r>
          </w:p>
          <w:p w14:paraId="7BF939B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lang w:val="en-US" w:eastAsia="zh-CN"/>
              </w:rPr>
              <w:t>2</w:t>
            </w:r>
            <w:r>
              <w:rPr>
                <w:rFonts w:hint="eastAsia" w:ascii="宋体" w:hAnsi="宋体" w:eastAsia="宋体" w:cs="宋体"/>
                <w:b/>
                <w:color w:val="auto"/>
                <w:spacing w:val="-4"/>
                <w:kern w:val="0"/>
                <w:sz w:val="24"/>
                <w:szCs w:val="24"/>
                <w:highlight w:val="none"/>
                <w:u w:val="single"/>
                <w:shd w:val="pct10" w:color="auto" w:fill="FFFFFF"/>
              </w:rPr>
              <w:t>、提供由投标人为</w:t>
            </w:r>
            <w:r>
              <w:rPr>
                <w:rFonts w:hint="eastAsia" w:ascii="宋体" w:hAnsi="宋体" w:eastAsia="宋体" w:cs="宋体"/>
                <w:b/>
                <w:color w:val="auto"/>
                <w:spacing w:val="-4"/>
                <w:kern w:val="0"/>
                <w:sz w:val="24"/>
                <w:szCs w:val="24"/>
                <w:highlight w:val="none"/>
                <w:u w:val="single"/>
                <w:shd w:val="pct10" w:color="auto" w:fill="FFFFFF"/>
                <w:lang w:eastAsia="zh-CN"/>
              </w:rPr>
              <w:t>其</w:t>
            </w:r>
            <w:r>
              <w:rPr>
                <w:rFonts w:hint="eastAsia" w:ascii="宋体" w:hAnsi="宋体" w:eastAsia="宋体" w:cs="宋体"/>
                <w:b/>
                <w:color w:val="auto"/>
                <w:spacing w:val="-4"/>
                <w:kern w:val="0"/>
                <w:sz w:val="24"/>
                <w:szCs w:val="24"/>
                <w:highlight w:val="none"/>
                <w:u w:val="single"/>
                <w:shd w:val="pct10" w:color="auto" w:fill="FFFFFF"/>
              </w:rPr>
              <w:t>缴纳的</w:t>
            </w:r>
            <w:r>
              <w:rPr>
                <w:rFonts w:hint="eastAsia" w:ascii="宋体" w:hAnsi="宋体" w:eastAsia="宋体" w:cs="宋体"/>
                <w:b/>
                <w:color w:val="auto"/>
                <w:spacing w:val="-4"/>
                <w:kern w:val="0"/>
                <w:sz w:val="24"/>
                <w:szCs w:val="24"/>
                <w:highlight w:val="none"/>
                <w:u w:val="single"/>
                <w:shd w:val="pct10" w:color="auto" w:fill="FFFFFF"/>
                <w:lang w:val="en-US" w:eastAsia="zh-CN"/>
              </w:rPr>
              <w:t>近三个月</w:t>
            </w:r>
            <w:r>
              <w:rPr>
                <w:rFonts w:hint="eastAsia" w:ascii="宋体" w:hAnsi="宋体" w:eastAsia="宋体" w:cs="宋体"/>
                <w:b/>
                <w:color w:val="auto"/>
                <w:spacing w:val="-4"/>
                <w:kern w:val="0"/>
                <w:sz w:val="24"/>
                <w:szCs w:val="24"/>
                <w:highlight w:val="none"/>
                <w:u w:val="single"/>
                <w:shd w:val="pct10" w:color="auto" w:fill="FFFFFF"/>
              </w:rPr>
              <w:t>社保缴纳证明材料（如为社会保险机构盖章的网上打印件亦可），无社保的退休人员须提供与投标人签订的劳动合同，未按上述规定提供资料的不得分。</w:t>
            </w:r>
          </w:p>
          <w:p w14:paraId="3D14622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lang w:val="en-US" w:eastAsia="zh-CN"/>
              </w:rPr>
              <w:t>3</w:t>
            </w:r>
            <w:r>
              <w:rPr>
                <w:rFonts w:hint="eastAsia" w:ascii="宋体" w:hAnsi="宋体" w:eastAsia="宋体" w:cs="宋体"/>
                <w:b/>
                <w:color w:val="auto"/>
                <w:spacing w:val="-4"/>
                <w:kern w:val="0"/>
                <w:sz w:val="24"/>
                <w:szCs w:val="24"/>
                <w:highlight w:val="none"/>
                <w:u w:val="single"/>
                <w:shd w:val="pct10" w:color="auto" w:fill="FFFFFF"/>
              </w:rPr>
              <w:t>、投标人提供的证书资料是否符合评分标准要求由评标委员会评审后综合评判。</w:t>
            </w:r>
          </w:p>
          <w:p w14:paraId="6D3785F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color w:val="auto"/>
                <w:spacing w:val="-4"/>
                <w:kern w:val="0"/>
                <w:sz w:val="24"/>
                <w:szCs w:val="24"/>
                <w:highlight w:val="none"/>
                <w:u w:val="single"/>
                <w:shd w:val="pct10" w:color="auto" w:fill="FFFFFF"/>
                <w:lang w:val="en-US" w:eastAsia="zh-CN"/>
              </w:rPr>
              <w:t>4</w:t>
            </w:r>
            <w:r>
              <w:rPr>
                <w:rFonts w:hint="eastAsia" w:ascii="宋体" w:hAnsi="宋体" w:eastAsia="宋体" w:cs="宋体"/>
                <w:b/>
                <w:color w:val="auto"/>
                <w:spacing w:val="-4"/>
                <w:kern w:val="0"/>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5AD1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83" w:hRule="atLeast"/>
          <w:jc w:val="center"/>
        </w:trPr>
        <w:tc>
          <w:tcPr>
            <w:tcW w:w="635" w:type="dxa"/>
            <w:tcBorders>
              <w:top w:val="single" w:color="auto" w:sz="4" w:space="0"/>
              <w:left w:val="single" w:color="auto" w:sz="4" w:space="0"/>
              <w:bottom w:val="single" w:color="auto" w:sz="4" w:space="0"/>
              <w:right w:val="single" w:color="auto" w:sz="4" w:space="0"/>
            </w:tcBorders>
            <w:noWrap w:val="0"/>
            <w:vAlign w:val="center"/>
          </w:tcPr>
          <w:p w14:paraId="01F605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4</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35C834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eastAsia="zh-CN"/>
              </w:rPr>
              <w:t>、技术负责人</w:t>
            </w:r>
            <w:r>
              <w:rPr>
                <w:rFonts w:hint="eastAsia" w:ascii="宋体" w:hAnsi="宋体" w:eastAsia="宋体" w:cs="宋体"/>
                <w:bCs/>
                <w:color w:val="auto"/>
                <w:sz w:val="24"/>
                <w:szCs w:val="24"/>
                <w:highlight w:val="none"/>
              </w:rPr>
              <w:t>）</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2CC177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bottom w:val="single" w:color="auto" w:sz="4" w:space="0"/>
              <w:right w:val="single" w:color="auto" w:sz="4" w:space="0"/>
            </w:tcBorders>
            <w:noWrap w:val="0"/>
            <w:vAlign w:val="center"/>
          </w:tcPr>
          <w:p w14:paraId="2A5074D0">
            <w:pPr>
              <w:snapToGrid w:val="0"/>
              <w:spacing w:line="288"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1、施工员具有住房和城乡建设领域施工现场专业人员（施工员）职业培训合格证得</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，每提供1名得1分，最多得2分。</w:t>
            </w:r>
          </w:p>
          <w:p w14:paraId="3CAE241F">
            <w:pPr>
              <w:snapToGrid w:val="0"/>
              <w:spacing w:line="288" w:lineRule="auto"/>
              <w:jc w:val="left"/>
              <w:rPr>
                <w:rFonts w:hint="eastAsia" w:ascii="宋体" w:hAnsi="宋体" w:eastAsia="宋体" w:cs="宋体"/>
                <w:b w:val="0"/>
                <w:bCs/>
                <w:color w:val="auto"/>
                <w:sz w:val="24"/>
                <w:szCs w:val="24"/>
                <w:highlight w:val="none"/>
                <w:lang w:val="fr" w:eastAsia="zh-CN"/>
              </w:rPr>
            </w:pPr>
            <w:r>
              <w:rPr>
                <w:rFonts w:hint="eastAsia" w:ascii="宋体" w:hAnsi="宋体" w:eastAsia="宋体" w:cs="宋体"/>
                <w:b w:val="0"/>
                <w:bCs/>
                <w:color w:val="auto"/>
                <w:sz w:val="24"/>
                <w:szCs w:val="24"/>
                <w:highlight w:val="none"/>
                <w:lang w:val="fr" w:eastAsia="zh-CN"/>
              </w:rPr>
              <w:t>2、</w:t>
            </w:r>
            <w:r>
              <w:rPr>
                <w:rFonts w:hint="eastAsia" w:ascii="宋体" w:hAnsi="宋体" w:eastAsia="宋体" w:cs="宋体"/>
                <w:b w:val="0"/>
                <w:bCs/>
                <w:color w:val="auto"/>
                <w:sz w:val="24"/>
                <w:szCs w:val="24"/>
                <w:highlight w:val="none"/>
              </w:rPr>
              <w:t>质量员</w:t>
            </w:r>
            <w:r>
              <w:rPr>
                <w:rFonts w:hint="eastAsia" w:ascii="宋体" w:hAnsi="宋体" w:eastAsia="宋体" w:cs="宋体"/>
                <w:b w:val="0"/>
                <w:bCs/>
                <w:color w:val="auto"/>
                <w:sz w:val="24"/>
                <w:szCs w:val="24"/>
                <w:highlight w:val="none"/>
                <w:lang w:val="en-US" w:eastAsia="zh-CN"/>
              </w:rPr>
              <w:t>具有住房和城乡建设领域施工现场专业人员（质量员）职业培训合格证的得</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，每提供1名得1分，最多得2分。</w:t>
            </w:r>
          </w:p>
          <w:p w14:paraId="60FCBA81">
            <w:pPr>
              <w:snapToGrid w:val="0"/>
              <w:spacing w:line="288"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fr" w:eastAsia="zh-CN"/>
              </w:rPr>
              <w:t>专职安全生产管理人员</w:t>
            </w:r>
            <w:r>
              <w:rPr>
                <w:rFonts w:hint="eastAsia" w:ascii="宋体" w:hAnsi="宋体" w:eastAsia="宋体" w:cs="宋体"/>
                <w:b w:val="0"/>
                <w:bCs/>
                <w:color w:val="auto"/>
                <w:sz w:val="24"/>
                <w:szCs w:val="24"/>
                <w:highlight w:val="none"/>
                <w:lang w:val="en-US" w:eastAsia="zh-CN"/>
              </w:rPr>
              <w:t>具有安全生产考核合格证书（C类证书）的得</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，每提供1名得2分，最多得2分。</w:t>
            </w:r>
          </w:p>
          <w:p w14:paraId="5974D73E">
            <w:pPr>
              <w:snapToGrid w:val="0"/>
              <w:spacing w:line="288" w:lineRule="auto"/>
              <w:jc w:val="left"/>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val="en-US" w:eastAsia="zh-CN"/>
              </w:rPr>
              <w:t>材料员</w:t>
            </w:r>
            <w:r>
              <w:rPr>
                <w:rFonts w:hint="eastAsia" w:ascii="宋体" w:hAnsi="宋体" w:eastAsia="宋体" w:cs="宋体"/>
                <w:b w:val="0"/>
                <w:bCs/>
                <w:color w:val="auto"/>
                <w:sz w:val="24"/>
                <w:szCs w:val="24"/>
                <w:highlight w:val="none"/>
                <w:lang w:val="en-US" w:eastAsia="zh-CN"/>
              </w:rPr>
              <w:t>具有住房和城乡建设领域施工现场专业人员（材料员）职业培训合格证的得</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，每提供1名得2分，最多得2分。</w:t>
            </w:r>
          </w:p>
          <w:p w14:paraId="549CB4C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pacing w:val="-4"/>
                <w:kern w:val="0"/>
                <w:sz w:val="24"/>
                <w:szCs w:val="24"/>
                <w:highlight w:val="none"/>
                <w:u w:val="single"/>
                <w:shd w:val="pct10" w:color="auto" w:fill="FFFFFF"/>
              </w:rPr>
              <w:t>注</w:t>
            </w:r>
            <w:r>
              <w:rPr>
                <w:rFonts w:hint="eastAsia" w:ascii="宋体" w:hAnsi="宋体" w:eastAsia="宋体" w:cs="宋体"/>
                <w:b/>
                <w:color w:val="auto"/>
                <w:spacing w:val="-4"/>
                <w:kern w:val="0"/>
                <w:sz w:val="24"/>
                <w:szCs w:val="24"/>
                <w:highlight w:val="none"/>
                <w:u w:val="single"/>
                <w:shd w:val="pct10" w:color="auto" w:fill="FFFFFF"/>
                <w:lang w:eastAsia="zh-CN"/>
              </w:rPr>
              <w:t>：</w:t>
            </w:r>
          </w:p>
          <w:p w14:paraId="4292A50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val="en-US" w:eastAsia="zh-CN"/>
              </w:rPr>
            </w:pPr>
            <w:r>
              <w:rPr>
                <w:rFonts w:hint="eastAsia" w:ascii="宋体" w:hAnsi="宋体" w:eastAsia="宋体" w:cs="宋体"/>
                <w:b/>
                <w:color w:val="auto"/>
                <w:spacing w:val="-4"/>
                <w:kern w:val="0"/>
                <w:sz w:val="24"/>
                <w:szCs w:val="24"/>
                <w:highlight w:val="none"/>
                <w:u w:val="single"/>
                <w:shd w:val="pct10" w:color="auto" w:fill="FFFFFF"/>
                <w:lang w:val="en-US" w:eastAsia="zh-CN"/>
              </w:rPr>
              <w:t>1、上述所有证书必须真实、合规，在有效期内。</w:t>
            </w:r>
          </w:p>
          <w:p w14:paraId="5A4F14D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lang w:val="en-US" w:eastAsia="zh-CN"/>
              </w:rPr>
              <w:t>2</w:t>
            </w:r>
            <w:r>
              <w:rPr>
                <w:rFonts w:hint="eastAsia" w:ascii="宋体" w:hAnsi="宋体" w:eastAsia="宋体" w:cs="宋体"/>
                <w:b/>
                <w:color w:val="auto"/>
                <w:spacing w:val="-4"/>
                <w:kern w:val="0"/>
                <w:sz w:val="24"/>
                <w:szCs w:val="24"/>
                <w:highlight w:val="none"/>
                <w:u w:val="single"/>
                <w:shd w:val="pct10" w:color="auto" w:fill="FFFFFF"/>
              </w:rPr>
              <w:t>、须提供清晰可辨的</w:t>
            </w:r>
            <w:r>
              <w:rPr>
                <w:rFonts w:hint="eastAsia" w:ascii="宋体" w:hAnsi="宋体" w:eastAsia="宋体" w:cs="宋体"/>
                <w:b/>
                <w:color w:val="auto"/>
                <w:spacing w:val="-4"/>
                <w:kern w:val="0"/>
                <w:sz w:val="24"/>
                <w:szCs w:val="24"/>
                <w:highlight w:val="none"/>
                <w:u w:val="single"/>
                <w:shd w:val="pct10" w:color="auto" w:fill="FFFFFF"/>
                <w:lang w:val="en-US" w:eastAsia="zh-CN"/>
              </w:rPr>
              <w:t>原件</w:t>
            </w:r>
            <w:r>
              <w:rPr>
                <w:rFonts w:hint="eastAsia" w:ascii="宋体" w:hAnsi="宋体" w:eastAsia="宋体" w:cs="宋体"/>
                <w:b/>
                <w:color w:val="auto"/>
                <w:spacing w:val="-4"/>
                <w:kern w:val="0"/>
                <w:sz w:val="24"/>
                <w:szCs w:val="24"/>
                <w:highlight w:val="none"/>
                <w:u w:val="single"/>
                <w:shd w:val="pct10" w:color="auto" w:fill="FFFFFF"/>
              </w:rPr>
              <w:t>证书扫描件，所有证书必须真实、合规，在有效期内。</w:t>
            </w:r>
          </w:p>
          <w:p w14:paraId="260CC78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lang w:val="en-US" w:eastAsia="zh-CN"/>
              </w:rPr>
              <w:t>3</w:t>
            </w:r>
            <w:r>
              <w:rPr>
                <w:rFonts w:hint="eastAsia" w:ascii="宋体" w:hAnsi="宋体" w:eastAsia="宋体" w:cs="宋体"/>
                <w:b/>
                <w:color w:val="auto"/>
                <w:spacing w:val="-4"/>
                <w:kern w:val="0"/>
                <w:sz w:val="24"/>
                <w:szCs w:val="24"/>
                <w:highlight w:val="none"/>
                <w:u w:val="single"/>
                <w:shd w:val="pct10" w:color="auto" w:fill="FFFFFF"/>
              </w:rPr>
              <w:t>、提供由投标人为</w:t>
            </w:r>
            <w:r>
              <w:rPr>
                <w:rFonts w:hint="eastAsia" w:ascii="宋体" w:hAnsi="宋体" w:eastAsia="宋体" w:cs="宋体"/>
                <w:b/>
                <w:color w:val="auto"/>
                <w:spacing w:val="-4"/>
                <w:kern w:val="0"/>
                <w:sz w:val="24"/>
                <w:szCs w:val="24"/>
                <w:highlight w:val="none"/>
                <w:u w:val="single"/>
                <w:shd w:val="pct10" w:color="auto" w:fill="FFFFFF"/>
                <w:lang w:eastAsia="zh-CN"/>
              </w:rPr>
              <w:t>其</w:t>
            </w:r>
            <w:r>
              <w:rPr>
                <w:rFonts w:hint="eastAsia" w:ascii="宋体" w:hAnsi="宋体" w:eastAsia="宋体" w:cs="宋体"/>
                <w:b/>
                <w:color w:val="auto"/>
                <w:spacing w:val="-4"/>
                <w:kern w:val="0"/>
                <w:sz w:val="24"/>
                <w:szCs w:val="24"/>
                <w:highlight w:val="none"/>
                <w:u w:val="single"/>
                <w:shd w:val="pct10" w:color="auto" w:fill="FFFFFF"/>
              </w:rPr>
              <w:t>缴纳的</w:t>
            </w:r>
            <w:r>
              <w:rPr>
                <w:rFonts w:hint="eastAsia" w:ascii="宋体" w:hAnsi="宋体" w:eastAsia="宋体" w:cs="宋体"/>
                <w:b/>
                <w:color w:val="auto"/>
                <w:spacing w:val="-4"/>
                <w:kern w:val="0"/>
                <w:sz w:val="24"/>
                <w:szCs w:val="24"/>
                <w:highlight w:val="none"/>
                <w:u w:val="single"/>
                <w:shd w:val="pct10" w:color="auto" w:fill="FFFFFF"/>
                <w:lang w:val="en-US" w:eastAsia="zh-CN"/>
              </w:rPr>
              <w:t>近三个月</w:t>
            </w:r>
            <w:r>
              <w:rPr>
                <w:rFonts w:hint="eastAsia" w:ascii="宋体" w:hAnsi="宋体" w:eastAsia="宋体" w:cs="宋体"/>
                <w:b/>
                <w:color w:val="auto"/>
                <w:spacing w:val="-4"/>
                <w:kern w:val="0"/>
                <w:sz w:val="24"/>
                <w:szCs w:val="24"/>
                <w:highlight w:val="none"/>
                <w:u w:val="single"/>
                <w:shd w:val="pct10" w:color="auto" w:fill="FFFFFF"/>
              </w:rPr>
              <w:t>社保缴纳证明材料（如为社会保险机构盖章的网上打印件亦可），无社保的退休人员须提供与投标人签订的劳动合同，未按上述规定提供资料的不得分。</w:t>
            </w:r>
          </w:p>
          <w:p w14:paraId="45CB105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lang w:val="en-US" w:eastAsia="zh-CN"/>
              </w:rPr>
              <w:t>4</w:t>
            </w:r>
            <w:r>
              <w:rPr>
                <w:rFonts w:hint="eastAsia" w:ascii="宋体" w:hAnsi="宋体" w:eastAsia="宋体" w:cs="宋体"/>
                <w:b/>
                <w:color w:val="auto"/>
                <w:spacing w:val="-4"/>
                <w:kern w:val="0"/>
                <w:sz w:val="24"/>
                <w:szCs w:val="24"/>
                <w:highlight w:val="none"/>
                <w:u w:val="single"/>
                <w:shd w:val="pct10" w:color="auto" w:fill="FFFFFF"/>
              </w:rPr>
              <w:t>、投标人提供的证书资料是否符合评分标准要求由评标委员会评审后综合评判。</w:t>
            </w:r>
          </w:p>
          <w:p w14:paraId="48ABE4A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sz w:val="24"/>
                <w:szCs w:val="24"/>
                <w:highlight w:val="none"/>
                <w:lang w:val="en-US" w:eastAsia="zh-CN"/>
              </w:rPr>
            </w:pPr>
            <w:r>
              <w:rPr>
                <w:rFonts w:hint="eastAsia" w:ascii="宋体" w:hAnsi="宋体" w:eastAsia="宋体" w:cs="宋体"/>
                <w:b/>
                <w:color w:val="auto"/>
                <w:spacing w:val="-4"/>
                <w:kern w:val="0"/>
                <w:sz w:val="24"/>
                <w:szCs w:val="24"/>
                <w:highlight w:val="none"/>
                <w:u w:val="single"/>
                <w:shd w:val="pct10" w:color="auto" w:fill="FFFFFF"/>
                <w:lang w:val="en-US" w:eastAsia="zh-CN"/>
              </w:rPr>
              <w:t>5</w:t>
            </w:r>
            <w:r>
              <w:rPr>
                <w:rFonts w:hint="eastAsia" w:ascii="宋体" w:hAnsi="宋体" w:eastAsia="宋体" w:cs="宋体"/>
                <w:b/>
                <w:color w:val="auto"/>
                <w:spacing w:val="-4"/>
                <w:kern w:val="0"/>
                <w:sz w:val="24"/>
                <w:szCs w:val="24"/>
                <w:highlight w:val="none"/>
                <w:u w:val="single"/>
                <w:shd w:val="pct10" w:color="auto" w:fill="FFFFFF"/>
              </w:rPr>
              <w:t>、如投标人提供的证书扫描件因模糊不清或一些影响评分的重要内容缺失或不够明确而造成评标委员会在评审时做出对投标人不利的评审由投标人自行承担。</w:t>
            </w:r>
          </w:p>
        </w:tc>
      </w:tr>
      <w:tr w14:paraId="4F61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35" w:type="dxa"/>
            <w:vMerge w:val="restart"/>
            <w:tcBorders>
              <w:top w:val="single" w:color="auto" w:sz="4" w:space="0"/>
              <w:left w:val="single" w:color="auto" w:sz="4" w:space="0"/>
              <w:right w:val="single" w:color="auto" w:sz="4" w:space="0"/>
            </w:tcBorders>
            <w:noWrap w:val="0"/>
            <w:vAlign w:val="center"/>
          </w:tcPr>
          <w:p w14:paraId="6DEE33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707" w:type="dxa"/>
            <w:vMerge w:val="restart"/>
            <w:tcBorders>
              <w:top w:val="single" w:color="auto" w:sz="4" w:space="0"/>
              <w:left w:val="single" w:color="auto" w:sz="4" w:space="0"/>
              <w:right w:val="single" w:color="auto" w:sz="4" w:space="0"/>
            </w:tcBorders>
            <w:noWrap w:val="0"/>
            <w:vAlign w:val="center"/>
          </w:tcPr>
          <w:p w14:paraId="2578CC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w:t>
            </w:r>
          </w:p>
          <w:p w14:paraId="114A40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w:t>
            </w:r>
          </w:p>
          <w:p w14:paraId="4D304A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方</w:t>
            </w:r>
          </w:p>
          <w:p w14:paraId="568EF4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案</w:t>
            </w:r>
          </w:p>
          <w:p w14:paraId="083309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p>
        </w:tc>
        <w:tc>
          <w:tcPr>
            <w:tcW w:w="901" w:type="dxa"/>
            <w:vMerge w:val="restart"/>
            <w:tcBorders>
              <w:top w:val="single" w:color="auto" w:sz="4" w:space="0"/>
              <w:left w:val="single" w:color="auto" w:sz="4" w:space="0"/>
              <w:right w:val="single" w:color="auto" w:sz="4" w:space="0"/>
            </w:tcBorders>
            <w:noWrap w:val="0"/>
            <w:vAlign w:val="center"/>
          </w:tcPr>
          <w:p w14:paraId="4CA274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施工总体部署</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5337B6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6782" w:type="dxa"/>
            <w:tcBorders>
              <w:top w:val="single" w:color="auto" w:sz="4" w:space="0"/>
              <w:left w:val="single" w:color="auto" w:sz="4" w:space="0"/>
              <w:bottom w:val="single" w:color="auto" w:sz="4" w:space="0"/>
              <w:right w:val="single" w:color="auto" w:sz="4" w:space="0"/>
            </w:tcBorders>
            <w:noWrap w:val="0"/>
            <w:vAlign w:val="center"/>
          </w:tcPr>
          <w:p w14:paraId="7568F8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cs="宋体"/>
                <w:sz w:val="24"/>
                <w:szCs w:val="24"/>
                <w:highlight w:val="none"/>
                <w:lang w:eastAsia="zh-CN"/>
              </w:rPr>
              <w:t>供应商提供的针对</w:t>
            </w:r>
            <w:r>
              <w:rPr>
                <w:rFonts w:hint="eastAsia" w:ascii="宋体" w:hAnsi="宋体" w:eastAsia="宋体" w:cs="宋体"/>
                <w:sz w:val="24"/>
                <w:szCs w:val="24"/>
                <w:highlight w:val="none"/>
              </w:rPr>
              <w:t>本项目的特点提出合理的项目总体施工方案、总体目标进行打分。（0-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2D72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35" w:type="dxa"/>
            <w:vMerge w:val="continue"/>
            <w:tcBorders>
              <w:left w:val="single" w:color="auto" w:sz="4" w:space="0"/>
              <w:right w:val="single" w:color="auto" w:sz="4" w:space="0"/>
            </w:tcBorders>
            <w:noWrap w:val="0"/>
            <w:vAlign w:val="center"/>
          </w:tcPr>
          <w:p w14:paraId="410A28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07" w:type="dxa"/>
            <w:vMerge w:val="continue"/>
            <w:tcBorders>
              <w:left w:val="single" w:color="auto" w:sz="4" w:space="0"/>
              <w:right w:val="single" w:color="auto" w:sz="4" w:space="0"/>
            </w:tcBorders>
            <w:noWrap w:val="0"/>
            <w:vAlign w:val="top"/>
          </w:tcPr>
          <w:p w14:paraId="47E53A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901" w:type="dxa"/>
            <w:vMerge w:val="continue"/>
            <w:tcBorders>
              <w:left w:val="single" w:color="auto" w:sz="4" w:space="0"/>
              <w:right w:val="single" w:color="auto" w:sz="4" w:space="0"/>
            </w:tcBorders>
            <w:noWrap w:val="0"/>
            <w:vAlign w:val="top"/>
          </w:tcPr>
          <w:p w14:paraId="418111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58" w:type="dxa"/>
            <w:tcBorders>
              <w:top w:val="single" w:color="auto" w:sz="4" w:space="0"/>
              <w:left w:val="single" w:color="auto" w:sz="4" w:space="0"/>
              <w:bottom w:val="single" w:color="auto" w:sz="4" w:space="0"/>
              <w:right w:val="single" w:color="auto" w:sz="4" w:space="0"/>
            </w:tcBorders>
            <w:noWrap w:val="0"/>
            <w:vAlign w:val="center"/>
          </w:tcPr>
          <w:p w14:paraId="4284A2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6782" w:type="dxa"/>
            <w:tcBorders>
              <w:top w:val="single" w:color="auto" w:sz="4" w:space="0"/>
              <w:left w:val="single" w:color="auto" w:sz="4" w:space="0"/>
              <w:bottom w:val="single" w:color="auto" w:sz="4" w:space="0"/>
              <w:right w:val="single" w:color="auto" w:sz="4" w:space="0"/>
            </w:tcBorders>
            <w:noWrap w:val="0"/>
            <w:vAlign w:val="center"/>
          </w:tcPr>
          <w:p w14:paraId="03CE09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cs="宋体"/>
                <w:sz w:val="24"/>
                <w:szCs w:val="24"/>
                <w:highlight w:val="none"/>
                <w:lang w:eastAsia="zh-CN"/>
              </w:rPr>
              <w:t>供应商提供的针对</w:t>
            </w:r>
            <w:r>
              <w:rPr>
                <w:rFonts w:hint="eastAsia" w:ascii="宋体" w:hAnsi="宋体" w:eastAsia="宋体" w:cs="宋体"/>
                <w:sz w:val="24"/>
                <w:szCs w:val="24"/>
                <w:highlight w:val="none"/>
              </w:rPr>
              <w:t>本项目的项目施工管理制度</w:t>
            </w:r>
            <w:r>
              <w:rPr>
                <w:rFonts w:hint="eastAsia" w:ascii="宋体" w:hAnsi="宋体" w:eastAsia="宋体" w:cs="宋体"/>
                <w:sz w:val="24"/>
                <w:szCs w:val="24"/>
                <w:highlight w:val="none"/>
                <w:lang w:eastAsia="zh-CN"/>
              </w:rPr>
              <w:t>、组织架构</w:t>
            </w:r>
            <w:r>
              <w:rPr>
                <w:rFonts w:hint="eastAsia" w:ascii="宋体" w:hAnsi="宋体" w:eastAsia="宋体" w:cs="宋体"/>
                <w:sz w:val="24"/>
                <w:szCs w:val="24"/>
                <w:highlight w:val="none"/>
              </w:rPr>
              <w:t>的科学性、合理性进行打分。（0-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20AA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47" w:hRule="atLeast"/>
          <w:jc w:val="center"/>
        </w:trPr>
        <w:tc>
          <w:tcPr>
            <w:tcW w:w="635" w:type="dxa"/>
            <w:vMerge w:val="continue"/>
            <w:tcBorders>
              <w:left w:val="single" w:color="auto" w:sz="4" w:space="0"/>
              <w:right w:val="single" w:color="auto" w:sz="4" w:space="0"/>
            </w:tcBorders>
            <w:noWrap w:val="0"/>
            <w:vAlign w:val="center"/>
          </w:tcPr>
          <w:p w14:paraId="21D4B9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07" w:type="dxa"/>
            <w:vMerge w:val="continue"/>
            <w:tcBorders>
              <w:left w:val="single" w:color="auto" w:sz="4" w:space="0"/>
              <w:right w:val="single" w:color="auto" w:sz="4" w:space="0"/>
            </w:tcBorders>
            <w:noWrap w:val="0"/>
            <w:vAlign w:val="top"/>
          </w:tcPr>
          <w:p w14:paraId="43DB4B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901" w:type="dxa"/>
            <w:vMerge w:val="continue"/>
            <w:tcBorders>
              <w:left w:val="single" w:color="auto" w:sz="4" w:space="0"/>
              <w:right w:val="single" w:color="auto" w:sz="4" w:space="0"/>
            </w:tcBorders>
            <w:noWrap w:val="0"/>
            <w:vAlign w:val="center"/>
          </w:tcPr>
          <w:p w14:paraId="7E6C21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58" w:type="dxa"/>
            <w:tcBorders>
              <w:top w:val="single" w:color="auto" w:sz="4" w:space="0"/>
              <w:left w:val="single" w:color="auto" w:sz="4" w:space="0"/>
              <w:right w:val="single" w:color="auto" w:sz="4" w:space="0"/>
            </w:tcBorders>
            <w:noWrap w:val="0"/>
            <w:vAlign w:val="center"/>
          </w:tcPr>
          <w:p w14:paraId="634A9F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6782" w:type="dxa"/>
            <w:tcBorders>
              <w:top w:val="single" w:color="auto" w:sz="4" w:space="0"/>
              <w:left w:val="single" w:color="auto" w:sz="4" w:space="0"/>
              <w:right w:val="single" w:color="auto" w:sz="4" w:space="0"/>
            </w:tcBorders>
            <w:noWrap w:val="0"/>
            <w:vAlign w:val="center"/>
          </w:tcPr>
          <w:p w14:paraId="7C755C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根据供应商提供的</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本工程</w:t>
            </w:r>
            <w:r>
              <w:rPr>
                <w:rFonts w:hint="eastAsia" w:ascii="宋体" w:hAnsi="宋体" w:eastAsia="宋体" w:cs="宋体"/>
                <w:color w:val="auto"/>
                <w:sz w:val="24"/>
                <w:szCs w:val="24"/>
                <w:highlight w:val="none"/>
              </w:rPr>
              <w:t>施工总平面布置情况是否符合施工现场实际情况，施工总平面安排是否科学合理，是否符合</w:t>
            </w:r>
            <w:r>
              <w:rPr>
                <w:rFonts w:hint="eastAsia" w:ascii="宋体" w:hAnsi="宋体" w:eastAsia="宋体" w:cs="宋体"/>
                <w:color w:val="auto"/>
                <w:sz w:val="24"/>
                <w:szCs w:val="24"/>
                <w:highlight w:val="none"/>
                <w:lang w:eastAsia="zh-CN"/>
              </w:rPr>
              <w:t>本工程</w:t>
            </w:r>
            <w:r>
              <w:rPr>
                <w:rFonts w:hint="eastAsia" w:ascii="宋体" w:hAnsi="宋体" w:eastAsia="宋体" w:cs="宋体"/>
                <w:color w:val="auto"/>
                <w:sz w:val="24"/>
                <w:szCs w:val="24"/>
                <w:highlight w:val="none"/>
              </w:rPr>
              <w:t>施工实际要求。（0-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9D1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2" w:hRule="atLeast"/>
          <w:jc w:val="center"/>
        </w:trPr>
        <w:tc>
          <w:tcPr>
            <w:tcW w:w="635" w:type="dxa"/>
            <w:vMerge w:val="continue"/>
            <w:tcBorders>
              <w:left w:val="single" w:color="auto" w:sz="4" w:space="0"/>
              <w:right w:val="single" w:color="auto" w:sz="4" w:space="0"/>
            </w:tcBorders>
            <w:noWrap w:val="0"/>
            <w:vAlign w:val="center"/>
          </w:tcPr>
          <w:p w14:paraId="128B12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07" w:type="dxa"/>
            <w:vMerge w:val="continue"/>
            <w:tcBorders>
              <w:left w:val="single" w:color="auto" w:sz="4" w:space="0"/>
              <w:right w:val="single" w:color="auto" w:sz="4" w:space="0"/>
            </w:tcBorders>
            <w:noWrap w:val="0"/>
            <w:vAlign w:val="top"/>
          </w:tcPr>
          <w:p w14:paraId="3FD149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901" w:type="dxa"/>
            <w:vMerge w:val="restart"/>
            <w:tcBorders>
              <w:left w:val="single" w:color="auto" w:sz="4" w:space="0"/>
              <w:right w:val="single" w:color="auto" w:sz="4" w:space="0"/>
            </w:tcBorders>
            <w:noWrap w:val="0"/>
            <w:vAlign w:val="center"/>
          </w:tcPr>
          <w:p w14:paraId="3EB9CA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w:t>
            </w:r>
            <w:r>
              <w:rPr>
                <w:rFonts w:hint="eastAsia" w:ascii="宋体" w:hAnsi="宋体" w:eastAsia="宋体" w:cs="宋体"/>
                <w:sz w:val="24"/>
                <w:szCs w:val="24"/>
                <w:highlight w:val="none"/>
                <w:lang w:eastAsia="zh-CN"/>
              </w:rPr>
              <w:t>工进</w:t>
            </w:r>
            <w:r>
              <w:rPr>
                <w:rFonts w:hint="eastAsia" w:ascii="宋体" w:hAnsi="宋体" w:eastAsia="宋体" w:cs="宋体"/>
                <w:sz w:val="24"/>
                <w:szCs w:val="24"/>
                <w:highlight w:val="none"/>
              </w:rPr>
              <w:t>度</w:t>
            </w:r>
          </w:p>
          <w:p w14:paraId="3ED5E4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58" w:type="dxa"/>
            <w:tcBorders>
              <w:top w:val="single" w:color="auto" w:sz="4" w:space="0"/>
              <w:left w:val="single" w:color="auto" w:sz="4" w:space="0"/>
              <w:right w:val="single" w:color="auto" w:sz="4" w:space="0"/>
            </w:tcBorders>
            <w:noWrap w:val="0"/>
            <w:vAlign w:val="center"/>
          </w:tcPr>
          <w:p w14:paraId="231114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right w:val="single" w:color="auto" w:sz="4" w:space="0"/>
            </w:tcBorders>
            <w:noWrap w:val="0"/>
            <w:vAlign w:val="center"/>
          </w:tcPr>
          <w:p w14:paraId="23ED70D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根据供应商</w:t>
            </w:r>
            <w:r>
              <w:rPr>
                <w:rFonts w:hint="eastAsia" w:ascii="宋体" w:hAnsi="宋体" w:cs="宋体"/>
                <w:bCs/>
                <w:color w:val="auto"/>
                <w:sz w:val="24"/>
                <w:szCs w:val="24"/>
                <w:highlight w:val="none"/>
                <w:lang w:eastAsia="zh-CN"/>
              </w:rPr>
              <w:t>提供的</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本工程</w:t>
            </w:r>
            <w:r>
              <w:rPr>
                <w:rFonts w:hint="eastAsia" w:ascii="宋体" w:hAnsi="宋体" w:eastAsia="宋体" w:cs="宋体"/>
                <w:sz w:val="24"/>
                <w:szCs w:val="24"/>
                <w:highlight w:val="none"/>
              </w:rPr>
              <w:t>施工进度计划管理制度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施工工期、总进度计划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施工进度计划横道图进行打分。（0-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4839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35" w:type="dxa"/>
            <w:vMerge w:val="continue"/>
            <w:tcBorders>
              <w:left w:val="single" w:color="auto" w:sz="4" w:space="0"/>
              <w:right w:val="single" w:color="auto" w:sz="4" w:space="0"/>
            </w:tcBorders>
            <w:noWrap w:val="0"/>
            <w:vAlign w:val="center"/>
          </w:tcPr>
          <w:p w14:paraId="4CB2EA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07" w:type="dxa"/>
            <w:vMerge w:val="continue"/>
            <w:tcBorders>
              <w:left w:val="single" w:color="auto" w:sz="4" w:space="0"/>
              <w:right w:val="single" w:color="auto" w:sz="4" w:space="0"/>
            </w:tcBorders>
            <w:noWrap w:val="0"/>
            <w:vAlign w:val="top"/>
          </w:tcPr>
          <w:p w14:paraId="118609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901" w:type="dxa"/>
            <w:vMerge w:val="continue"/>
            <w:tcBorders>
              <w:left w:val="single" w:color="auto" w:sz="4" w:space="0"/>
              <w:right w:val="single" w:color="auto" w:sz="4" w:space="0"/>
            </w:tcBorders>
            <w:noWrap w:val="0"/>
            <w:vAlign w:val="top"/>
          </w:tcPr>
          <w:p w14:paraId="7B6B0C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58" w:type="dxa"/>
            <w:tcBorders>
              <w:top w:val="single" w:color="auto" w:sz="4" w:space="0"/>
              <w:left w:val="single" w:color="auto" w:sz="4" w:space="0"/>
              <w:right w:val="single" w:color="auto" w:sz="4" w:space="0"/>
            </w:tcBorders>
            <w:noWrap w:val="0"/>
            <w:vAlign w:val="center"/>
          </w:tcPr>
          <w:p w14:paraId="3890E1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right w:val="single" w:color="auto" w:sz="4" w:space="0"/>
            </w:tcBorders>
            <w:noWrap w:val="0"/>
            <w:vAlign w:val="center"/>
          </w:tcPr>
          <w:p w14:paraId="20A5863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w:t>
            </w:r>
            <w:r>
              <w:rPr>
                <w:rFonts w:hint="eastAsia" w:ascii="宋体" w:hAnsi="宋体" w:cs="宋体"/>
                <w:bCs/>
                <w:color w:val="auto"/>
                <w:sz w:val="24"/>
                <w:szCs w:val="24"/>
                <w:highlight w:val="none"/>
                <w:lang w:eastAsia="zh-CN"/>
              </w:rPr>
              <w:t>提供的</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本工程</w:t>
            </w:r>
            <w:r>
              <w:rPr>
                <w:rFonts w:hint="eastAsia" w:ascii="宋体" w:hAnsi="宋体" w:eastAsia="宋体" w:cs="宋体"/>
                <w:sz w:val="24"/>
                <w:szCs w:val="24"/>
                <w:highlight w:val="none"/>
                <w:lang w:val="en-US" w:eastAsia="zh-CN"/>
              </w:rPr>
              <w:t>施工劳动力安排计划</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为了保证施工进度，考虑施工特殊性会出居民阻扰、投诉等</w:t>
            </w:r>
            <w:r>
              <w:rPr>
                <w:rFonts w:hint="eastAsia" w:ascii="宋体" w:hAnsi="宋体" w:eastAsia="宋体" w:cs="宋体"/>
                <w:sz w:val="24"/>
                <w:szCs w:val="24"/>
                <w:highlight w:val="none"/>
              </w:rPr>
              <w:t>情况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由磋商小组进行评分。（0-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125C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62" w:hRule="atLeast"/>
          <w:jc w:val="center"/>
        </w:trPr>
        <w:tc>
          <w:tcPr>
            <w:tcW w:w="635" w:type="dxa"/>
            <w:vMerge w:val="continue"/>
            <w:tcBorders>
              <w:left w:val="single" w:color="auto" w:sz="4" w:space="0"/>
              <w:right w:val="single" w:color="auto" w:sz="4" w:space="0"/>
            </w:tcBorders>
            <w:noWrap w:val="0"/>
            <w:vAlign w:val="center"/>
          </w:tcPr>
          <w:p w14:paraId="2D770A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07" w:type="dxa"/>
            <w:vMerge w:val="continue"/>
            <w:tcBorders>
              <w:left w:val="single" w:color="auto" w:sz="4" w:space="0"/>
              <w:right w:val="single" w:color="auto" w:sz="4" w:space="0"/>
            </w:tcBorders>
            <w:noWrap w:val="0"/>
            <w:vAlign w:val="top"/>
          </w:tcPr>
          <w:p w14:paraId="7FFF27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901" w:type="dxa"/>
            <w:tcBorders>
              <w:left w:val="single" w:color="auto" w:sz="4" w:space="0"/>
              <w:right w:val="single" w:color="auto" w:sz="4" w:space="0"/>
            </w:tcBorders>
            <w:noWrap w:val="0"/>
            <w:vAlign w:val="top"/>
          </w:tcPr>
          <w:p w14:paraId="378A7A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项目施工方法、技术措施</w:t>
            </w:r>
          </w:p>
        </w:tc>
        <w:tc>
          <w:tcPr>
            <w:tcW w:w="758" w:type="dxa"/>
            <w:tcBorders>
              <w:top w:val="single" w:color="auto" w:sz="4" w:space="0"/>
              <w:left w:val="single" w:color="auto" w:sz="4" w:space="0"/>
              <w:right w:val="single" w:color="auto" w:sz="4" w:space="0"/>
            </w:tcBorders>
            <w:noWrap w:val="0"/>
            <w:vAlign w:val="center"/>
          </w:tcPr>
          <w:p w14:paraId="21803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right w:val="single" w:color="auto" w:sz="4" w:space="0"/>
            </w:tcBorders>
            <w:noWrap w:val="0"/>
            <w:vAlign w:val="center"/>
          </w:tcPr>
          <w:p w14:paraId="4FFDACB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根据供应商提供</w:t>
            </w:r>
            <w:r>
              <w:rPr>
                <w:rFonts w:hint="eastAsia" w:ascii="宋体" w:hAnsi="宋体" w:cs="宋体"/>
                <w:bCs/>
                <w:color w:val="auto"/>
                <w:sz w:val="24"/>
                <w:szCs w:val="24"/>
                <w:highlight w:val="none"/>
                <w:lang w:eastAsia="zh-CN"/>
              </w:rPr>
              <w:t>的</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本工程</w:t>
            </w:r>
            <w:r>
              <w:rPr>
                <w:rFonts w:hint="eastAsia" w:ascii="宋体" w:hAnsi="宋体" w:eastAsia="宋体" w:cs="宋体"/>
                <w:bCs/>
                <w:color w:val="auto"/>
                <w:sz w:val="24"/>
                <w:szCs w:val="24"/>
                <w:highlight w:val="none"/>
              </w:rPr>
              <w:t>的</w:t>
            </w:r>
            <w:r>
              <w:rPr>
                <w:rFonts w:hint="eastAsia" w:ascii="宋体" w:hAnsi="宋体" w:eastAsia="宋体" w:cs="宋体"/>
                <w:color w:val="auto"/>
                <w:sz w:val="24"/>
                <w:szCs w:val="24"/>
                <w:highlight w:val="none"/>
              </w:rPr>
              <w:t>施工方法及技术措施是否</w:t>
            </w:r>
            <w:r>
              <w:rPr>
                <w:rFonts w:hint="eastAsia" w:ascii="宋体" w:hAnsi="宋体" w:eastAsia="宋体" w:cs="宋体"/>
                <w:color w:val="auto"/>
                <w:sz w:val="24"/>
                <w:szCs w:val="24"/>
                <w:highlight w:val="none"/>
                <w:lang w:val="en-US" w:eastAsia="zh-CN"/>
              </w:rPr>
              <w:t>科学、</w:t>
            </w:r>
            <w:r>
              <w:rPr>
                <w:rFonts w:hint="eastAsia" w:ascii="宋体" w:hAnsi="宋体" w:eastAsia="宋体" w:cs="宋体"/>
                <w:color w:val="auto"/>
                <w:sz w:val="24"/>
                <w:szCs w:val="24"/>
                <w:highlight w:val="none"/>
              </w:rPr>
              <w:t>合理，满足</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要求等进行综合评分。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r w14:paraId="3884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97" w:hRule="atLeast"/>
          <w:jc w:val="center"/>
        </w:trPr>
        <w:tc>
          <w:tcPr>
            <w:tcW w:w="635" w:type="dxa"/>
            <w:vMerge w:val="continue"/>
            <w:tcBorders>
              <w:left w:val="single" w:color="auto" w:sz="4" w:space="0"/>
              <w:right w:val="single" w:color="auto" w:sz="4" w:space="0"/>
            </w:tcBorders>
            <w:noWrap w:val="0"/>
            <w:vAlign w:val="center"/>
          </w:tcPr>
          <w:p w14:paraId="65742C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07" w:type="dxa"/>
            <w:vMerge w:val="continue"/>
            <w:tcBorders>
              <w:left w:val="single" w:color="auto" w:sz="4" w:space="0"/>
              <w:right w:val="single" w:color="auto" w:sz="4" w:space="0"/>
            </w:tcBorders>
            <w:noWrap w:val="0"/>
            <w:vAlign w:val="top"/>
          </w:tcPr>
          <w:p w14:paraId="40C53F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901" w:type="dxa"/>
            <w:tcBorders>
              <w:left w:val="single" w:color="auto" w:sz="4" w:space="0"/>
              <w:right w:val="single" w:color="auto" w:sz="4" w:space="0"/>
            </w:tcBorders>
            <w:noWrap w:val="0"/>
            <w:vAlign w:val="top"/>
          </w:tcPr>
          <w:p w14:paraId="14977A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重点部位施工方案及安全保证措施</w:t>
            </w:r>
          </w:p>
        </w:tc>
        <w:tc>
          <w:tcPr>
            <w:tcW w:w="758" w:type="dxa"/>
            <w:tcBorders>
              <w:top w:val="single" w:color="auto" w:sz="4" w:space="0"/>
              <w:left w:val="single" w:color="auto" w:sz="4" w:space="0"/>
              <w:right w:val="single" w:color="auto" w:sz="4" w:space="0"/>
            </w:tcBorders>
            <w:noWrap w:val="0"/>
            <w:vAlign w:val="center"/>
          </w:tcPr>
          <w:p w14:paraId="4DE0C2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right w:val="single" w:color="auto" w:sz="4" w:space="0"/>
            </w:tcBorders>
            <w:noWrap w:val="0"/>
            <w:vAlign w:val="center"/>
          </w:tcPr>
          <w:p w14:paraId="53E0BD3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根据供应商</w:t>
            </w:r>
            <w:r>
              <w:rPr>
                <w:rFonts w:hint="eastAsia" w:ascii="宋体" w:hAnsi="宋体" w:cs="宋体"/>
                <w:color w:val="auto"/>
                <w:sz w:val="24"/>
                <w:szCs w:val="24"/>
                <w:highlight w:val="none"/>
                <w:lang w:eastAsia="zh-CN"/>
              </w:rPr>
              <w:t>提供的</w:t>
            </w:r>
            <w:r>
              <w:rPr>
                <w:rFonts w:hint="eastAsia" w:ascii="宋体" w:hAnsi="宋体" w:eastAsia="宋体" w:cs="宋体"/>
                <w:color w:val="auto"/>
                <w:sz w:val="24"/>
                <w:szCs w:val="24"/>
                <w:highlight w:val="none"/>
              </w:rPr>
              <w:t>针对本工程</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重点部位的施工方案及安全保证措施是否科学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有针对性</w:t>
            </w:r>
            <w:r>
              <w:rPr>
                <w:rFonts w:hint="eastAsia" w:ascii="宋体" w:hAnsi="宋体" w:eastAsia="宋体" w:cs="宋体"/>
                <w:color w:val="auto"/>
                <w:sz w:val="24"/>
                <w:szCs w:val="24"/>
                <w:highlight w:val="none"/>
              </w:rPr>
              <w:t>等进行综合评分。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r w14:paraId="4919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35" w:type="dxa"/>
            <w:vMerge w:val="continue"/>
            <w:tcBorders>
              <w:left w:val="single" w:color="auto" w:sz="4" w:space="0"/>
              <w:right w:val="single" w:color="auto" w:sz="4" w:space="0"/>
            </w:tcBorders>
            <w:noWrap w:val="0"/>
            <w:vAlign w:val="center"/>
          </w:tcPr>
          <w:p w14:paraId="16F40E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07" w:type="dxa"/>
            <w:vMerge w:val="continue"/>
            <w:tcBorders>
              <w:left w:val="single" w:color="auto" w:sz="4" w:space="0"/>
              <w:right w:val="single" w:color="auto" w:sz="4" w:space="0"/>
            </w:tcBorders>
            <w:noWrap w:val="0"/>
            <w:vAlign w:val="top"/>
          </w:tcPr>
          <w:p w14:paraId="25EC7A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901" w:type="dxa"/>
            <w:tcBorders>
              <w:left w:val="single" w:color="auto" w:sz="4" w:space="0"/>
              <w:right w:val="single" w:color="auto" w:sz="4" w:space="0"/>
            </w:tcBorders>
            <w:noWrap w:val="0"/>
            <w:vAlign w:val="center"/>
          </w:tcPr>
          <w:p w14:paraId="1DAA9C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施工质量保证</w:t>
            </w:r>
          </w:p>
        </w:tc>
        <w:tc>
          <w:tcPr>
            <w:tcW w:w="758" w:type="dxa"/>
            <w:tcBorders>
              <w:top w:val="single" w:color="auto" w:sz="4" w:space="0"/>
              <w:left w:val="single" w:color="auto" w:sz="4" w:space="0"/>
              <w:right w:val="single" w:color="auto" w:sz="4" w:space="0"/>
            </w:tcBorders>
            <w:noWrap w:val="0"/>
            <w:vAlign w:val="center"/>
          </w:tcPr>
          <w:p w14:paraId="265FB1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right w:val="single" w:color="auto" w:sz="4" w:space="0"/>
            </w:tcBorders>
            <w:noWrap w:val="0"/>
            <w:vAlign w:val="center"/>
          </w:tcPr>
          <w:p w14:paraId="1F05A2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根据供应商提供的针对本工程</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施工质量的控制和检验手段是否</w:t>
            </w:r>
            <w:r>
              <w:rPr>
                <w:rFonts w:hint="eastAsia" w:ascii="宋体" w:hAnsi="宋体" w:eastAsia="宋体" w:cs="宋体"/>
                <w:color w:val="auto"/>
                <w:sz w:val="24"/>
                <w:szCs w:val="24"/>
                <w:highlight w:val="none"/>
                <w:lang w:val="en-US" w:eastAsia="zh-CN"/>
              </w:rPr>
              <w:t>完善、全面、</w:t>
            </w:r>
            <w:r>
              <w:rPr>
                <w:rFonts w:hint="eastAsia" w:ascii="宋体" w:hAnsi="宋体" w:eastAsia="宋体" w:cs="宋体"/>
                <w:color w:val="auto"/>
                <w:sz w:val="24"/>
                <w:szCs w:val="24"/>
                <w:highlight w:val="none"/>
              </w:rPr>
              <w:t>科学、可靠，原材料、半成品的质量保证措施是否可靠等进行综合评分。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r w14:paraId="37FE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35" w:type="dxa"/>
            <w:vMerge w:val="continue"/>
            <w:tcBorders>
              <w:left w:val="single" w:color="auto" w:sz="4" w:space="0"/>
              <w:right w:val="single" w:color="auto" w:sz="4" w:space="0"/>
            </w:tcBorders>
            <w:noWrap w:val="0"/>
            <w:vAlign w:val="center"/>
          </w:tcPr>
          <w:p w14:paraId="57CC17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07" w:type="dxa"/>
            <w:vMerge w:val="continue"/>
            <w:tcBorders>
              <w:left w:val="single" w:color="auto" w:sz="4" w:space="0"/>
              <w:right w:val="single" w:color="auto" w:sz="4" w:space="0"/>
            </w:tcBorders>
            <w:noWrap w:val="0"/>
            <w:vAlign w:val="top"/>
          </w:tcPr>
          <w:p w14:paraId="719128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901" w:type="dxa"/>
            <w:tcBorders>
              <w:left w:val="single" w:color="auto" w:sz="4" w:space="0"/>
              <w:right w:val="single" w:color="auto" w:sz="4" w:space="0"/>
            </w:tcBorders>
            <w:noWrap w:val="0"/>
            <w:vAlign w:val="center"/>
          </w:tcPr>
          <w:p w14:paraId="3E52A4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安全生产方案</w:t>
            </w:r>
          </w:p>
        </w:tc>
        <w:tc>
          <w:tcPr>
            <w:tcW w:w="758" w:type="dxa"/>
            <w:tcBorders>
              <w:top w:val="single" w:color="auto" w:sz="4" w:space="0"/>
              <w:left w:val="single" w:color="auto" w:sz="4" w:space="0"/>
              <w:right w:val="single" w:color="auto" w:sz="4" w:space="0"/>
            </w:tcBorders>
            <w:noWrap w:val="0"/>
            <w:vAlign w:val="center"/>
          </w:tcPr>
          <w:p w14:paraId="175546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right w:val="single" w:color="auto" w:sz="4" w:space="0"/>
            </w:tcBorders>
            <w:noWrap w:val="0"/>
            <w:vAlign w:val="center"/>
          </w:tcPr>
          <w:p w14:paraId="3EFD499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根据供应商提供的针对本工程</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确保安全生产方案是否具有合理性、可行性等进行综合评分。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r w14:paraId="2F27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35" w:type="dxa"/>
            <w:vMerge w:val="continue"/>
            <w:tcBorders>
              <w:left w:val="single" w:color="auto" w:sz="4" w:space="0"/>
              <w:right w:val="single" w:color="auto" w:sz="4" w:space="0"/>
            </w:tcBorders>
            <w:noWrap w:val="0"/>
            <w:vAlign w:val="center"/>
          </w:tcPr>
          <w:p w14:paraId="6257E3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07" w:type="dxa"/>
            <w:vMerge w:val="continue"/>
            <w:tcBorders>
              <w:left w:val="single" w:color="auto" w:sz="4" w:space="0"/>
              <w:right w:val="single" w:color="auto" w:sz="4" w:space="0"/>
            </w:tcBorders>
            <w:noWrap w:val="0"/>
            <w:vAlign w:val="top"/>
          </w:tcPr>
          <w:p w14:paraId="142A6D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901" w:type="dxa"/>
            <w:tcBorders>
              <w:left w:val="single" w:color="auto" w:sz="4" w:space="0"/>
              <w:right w:val="single" w:color="auto" w:sz="4" w:space="0"/>
            </w:tcBorders>
            <w:noWrap w:val="0"/>
            <w:vAlign w:val="center"/>
          </w:tcPr>
          <w:p w14:paraId="6C5EA5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文明施工方案</w:t>
            </w:r>
          </w:p>
        </w:tc>
        <w:tc>
          <w:tcPr>
            <w:tcW w:w="758" w:type="dxa"/>
            <w:tcBorders>
              <w:top w:val="single" w:color="auto" w:sz="4" w:space="0"/>
              <w:left w:val="single" w:color="auto" w:sz="4" w:space="0"/>
              <w:right w:val="single" w:color="auto" w:sz="4" w:space="0"/>
            </w:tcBorders>
            <w:noWrap w:val="0"/>
            <w:vAlign w:val="center"/>
          </w:tcPr>
          <w:p w14:paraId="0D0A62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right w:val="single" w:color="auto" w:sz="4" w:space="0"/>
            </w:tcBorders>
            <w:noWrap w:val="0"/>
            <w:vAlign w:val="center"/>
          </w:tcPr>
          <w:p w14:paraId="4A6678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根据供应商提供的针对本工程</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文明施工方案是否具有合理性、可行性等进行综合评分。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r w14:paraId="3F4E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35" w:type="dxa"/>
            <w:vMerge w:val="restart"/>
            <w:tcBorders>
              <w:top w:val="single" w:color="auto" w:sz="4" w:space="0"/>
              <w:left w:val="single" w:color="auto" w:sz="4" w:space="0"/>
              <w:right w:val="single" w:color="auto" w:sz="4" w:space="0"/>
            </w:tcBorders>
            <w:noWrap w:val="0"/>
            <w:vAlign w:val="center"/>
          </w:tcPr>
          <w:p w14:paraId="2CE85D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1608" w:type="dxa"/>
            <w:gridSpan w:val="2"/>
            <w:vMerge w:val="restart"/>
            <w:tcBorders>
              <w:top w:val="single" w:color="auto" w:sz="4" w:space="0"/>
              <w:left w:val="single" w:color="auto" w:sz="4" w:space="0"/>
              <w:right w:val="single" w:color="auto" w:sz="4" w:space="0"/>
            </w:tcBorders>
            <w:noWrap w:val="0"/>
            <w:vAlign w:val="center"/>
          </w:tcPr>
          <w:p w14:paraId="104114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项目重点、难点分析</w:t>
            </w:r>
          </w:p>
        </w:tc>
        <w:tc>
          <w:tcPr>
            <w:tcW w:w="758" w:type="dxa"/>
            <w:tcBorders>
              <w:top w:val="single" w:color="auto" w:sz="4" w:space="0"/>
              <w:left w:val="single" w:color="auto" w:sz="4" w:space="0"/>
              <w:right w:val="single" w:color="auto" w:sz="4" w:space="0"/>
            </w:tcBorders>
            <w:noWrap w:val="0"/>
            <w:vAlign w:val="center"/>
          </w:tcPr>
          <w:p w14:paraId="15CB34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6782" w:type="dxa"/>
            <w:tcBorders>
              <w:top w:val="single" w:color="auto" w:sz="4" w:space="0"/>
              <w:left w:val="single" w:color="auto" w:sz="4" w:space="0"/>
              <w:bottom w:val="single" w:color="auto" w:sz="4" w:space="0"/>
              <w:right w:val="single" w:color="auto" w:sz="4" w:space="0"/>
            </w:tcBorders>
            <w:noWrap w:val="0"/>
            <w:vAlign w:val="center"/>
          </w:tcPr>
          <w:p w14:paraId="405941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w:t>
            </w:r>
            <w:r>
              <w:rPr>
                <w:rFonts w:hint="eastAsia" w:ascii="宋体" w:hAnsi="宋体" w:cs="宋体"/>
                <w:bCs/>
                <w:color w:val="auto"/>
                <w:sz w:val="24"/>
                <w:szCs w:val="24"/>
                <w:highlight w:val="none"/>
                <w:lang w:eastAsia="zh-CN"/>
              </w:rPr>
              <w:t>提供的</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本工程</w:t>
            </w:r>
            <w:r>
              <w:rPr>
                <w:rFonts w:hint="eastAsia" w:ascii="宋体" w:hAnsi="宋体" w:eastAsia="宋体" w:cs="宋体"/>
                <w:color w:val="auto"/>
                <w:sz w:val="24"/>
                <w:szCs w:val="24"/>
                <w:highlight w:val="none"/>
              </w:rPr>
              <w:t>特点和难点分析是否</w:t>
            </w:r>
            <w:r>
              <w:rPr>
                <w:rFonts w:hint="eastAsia" w:ascii="宋体" w:hAnsi="宋体" w:eastAsia="宋体" w:cs="宋体"/>
                <w:color w:val="auto"/>
                <w:sz w:val="24"/>
                <w:szCs w:val="24"/>
                <w:highlight w:val="none"/>
                <w:lang w:eastAsia="zh-CN"/>
              </w:rPr>
              <w:t>具有针对性，是否</w:t>
            </w:r>
            <w:r>
              <w:rPr>
                <w:rFonts w:hint="eastAsia" w:ascii="宋体" w:hAnsi="宋体" w:eastAsia="宋体" w:cs="宋体"/>
                <w:color w:val="auto"/>
                <w:sz w:val="24"/>
                <w:szCs w:val="24"/>
                <w:highlight w:val="none"/>
              </w:rPr>
              <w:t>科学合理等进行综合评分。（0-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4CA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11" w:hRule="atLeast"/>
          <w:jc w:val="center"/>
        </w:trPr>
        <w:tc>
          <w:tcPr>
            <w:tcW w:w="635" w:type="dxa"/>
            <w:vMerge w:val="continue"/>
            <w:tcBorders>
              <w:left w:val="single" w:color="auto" w:sz="4" w:space="0"/>
              <w:bottom w:val="single" w:color="auto" w:sz="4" w:space="0"/>
              <w:right w:val="single" w:color="auto" w:sz="4" w:space="0"/>
            </w:tcBorders>
            <w:noWrap w:val="0"/>
            <w:vAlign w:val="center"/>
          </w:tcPr>
          <w:p w14:paraId="74E899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highlight w:val="none"/>
                <w:lang w:val="en-US" w:eastAsia="zh-CN" w:bidi="ar-SA"/>
              </w:rPr>
            </w:pPr>
          </w:p>
        </w:tc>
        <w:tc>
          <w:tcPr>
            <w:tcW w:w="1608" w:type="dxa"/>
            <w:gridSpan w:val="2"/>
            <w:vMerge w:val="continue"/>
            <w:tcBorders>
              <w:left w:val="single" w:color="auto" w:sz="4" w:space="0"/>
              <w:bottom w:val="single" w:color="auto" w:sz="4" w:space="0"/>
              <w:right w:val="single" w:color="auto" w:sz="4" w:space="0"/>
            </w:tcBorders>
            <w:noWrap w:val="0"/>
            <w:vAlign w:val="center"/>
          </w:tcPr>
          <w:p w14:paraId="5297EC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p>
        </w:tc>
        <w:tc>
          <w:tcPr>
            <w:tcW w:w="758" w:type="dxa"/>
            <w:tcBorders>
              <w:left w:val="single" w:color="auto" w:sz="4" w:space="0"/>
              <w:bottom w:val="single" w:color="auto" w:sz="4" w:space="0"/>
              <w:right w:val="single" w:color="auto" w:sz="4" w:space="0"/>
            </w:tcBorders>
            <w:noWrap w:val="0"/>
            <w:vAlign w:val="center"/>
          </w:tcPr>
          <w:p w14:paraId="110FD4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6782" w:type="dxa"/>
            <w:tcBorders>
              <w:top w:val="single" w:color="auto" w:sz="4" w:space="0"/>
              <w:left w:val="single" w:color="auto" w:sz="4" w:space="0"/>
              <w:bottom w:val="single" w:color="auto" w:sz="4" w:space="0"/>
              <w:right w:val="single" w:color="auto" w:sz="4" w:space="0"/>
            </w:tcBorders>
            <w:noWrap w:val="0"/>
            <w:vAlign w:val="center"/>
          </w:tcPr>
          <w:p w14:paraId="1C746A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rPr>
              <w:t>根据供应商提供的</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本工程</w:t>
            </w:r>
            <w:r>
              <w:rPr>
                <w:rFonts w:hint="eastAsia" w:ascii="宋体" w:hAnsi="宋体" w:eastAsia="宋体" w:cs="宋体"/>
                <w:color w:val="auto"/>
                <w:sz w:val="24"/>
                <w:szCs w:val="24"/>
                <w:highlight w:val="none"/>
              </w:rPr>
              <w:t>的特点和难点</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解决措施</w:t>
            </w:r>
            <w:r>
              <w:rPr>
                <w:rFonts w:hint="eastAsia" w:ascii="宋体" w:hAnsi="宋体" w:eastAsia="宋体" w:cs="宋体"/>
                <w:color w:val="auto"/>
                <w:sz w:val="24"/>
                <w:szCs w:val="24"/>
                <w:highlight w:val="none"/>
                <w:lang w:eastAsia="zh-CN"/>
              </w:rPr>
              <w:t>内容是否完整，是否具有针对性、</w:t>
            </w:r>
            <w:r>
              <w:rPr>
                <w:rFonts w:hint="eastAsia" w:ascii="宋体" w:hAnsi="宋体" w:eastAsia="宋体" w:cs="宋体"/>
                <w:color w:val="auto"/>
                <w:sz w:val="24"/>
                <w:szCs w:val="24"/>
                <w:highlight w:val="none"/>
              </w:rPr>
              <w:t>是否科学合理等进行综合评分。（0-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3FF7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35" w:type="dxa"/>
            <w:tcBorders>
              <w:left w:val="single" w:color="auto" w:sz="4" w:space="0"/>
              <w:bottom w:val="single" w:color="auto" w:sz="4" w:space="0"/>
              <w:right w:val="single" w:color="auto" w:sz="4" w:space="0"/>
            </w:tcBorders>
            <w:noWrap w:val="0"/>
            <w:vAlign w:val="center"/>
          </w:tcPr>
          <w:p w14:paraId="699883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7</w:t>
            </w:r>
          </w:p>
        </w:tc>
        <w:tc>
          <w:tcPr>
            <w:tcW w:w="1608" w:type="dxa"/>
            <w:gridSpan w:val="2"/>
            <w:tcBorders>
              <w:left w:val="single" w:color="auto" w:sz="4" w:space="0"/>
              <w:bottom w:val="single" w:color="auto" w:sz="4" w:space="0"/>
              <w:right w:val="single" w:color="auto" w:sz="4" w:space="0"/>
            </w:tcBorders>
            <w:noWrap w:val="0"/>
            <w:vAlign w:val="center"/>
          </w:tcPr>
          <w:p w14:paraId="54B2BE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廉政保证措施</w:t>
            </w:r>
          </w:p>
        </w:tc>
        <w:tc>
          <w:tcPr>
            <w:tcW w:w="758" w:type="dxa"/>
            <w:tcBorders>
              <w:left w:val="single" w:color="auto" w:sz="4" w:space="0"/>
              <w:bottom w:val="single" w:color="auto" w:sz="4" w:space="0"/>
              <w:right w:val="single" w:color="auto" w:sz="4" w:space="0"/>
            </w:tcBorders>
            <w:noWrap w:val="0"/>
            <w:vAlign w:val="center"/>
          </w:tcPr>
          <w:p w14:paraId="69CB47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6782" w:type="dxa"/>
            <w:tcBorders>
              <w:top w:val="single" w:color="auto" w:sz="4" w:space="0"/>
              <w:left w:val="single" w:color="auto" w:sz="4" w:space="0"/>
              <w:bottom w:val="single" w:color="auto" w:sz="4" w:space="0"/>
              <w:right w:val="single" w:color="auto" w:sz="4" w:space="0"/>
            </w:tcBorders>
            <w:noWrap w:val="0"/>
            <w:vAlign w:val="center"/>
          </w:tcPr>
          <w:p w14:paraId="245E08B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针对本项目的廉政保证措施进行打分。（0-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6008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35" w:type="dxa"/>
            <w:tcBorders>
              <w:top w:val="single" w:color="auto" w:sz="4" w:space="0"/>
              <w:left w:val="single" w:color="auto" w:sz="4" w:space="0"/>
              <w:right w:val="single" w:color="auto" w:sz="4" w:space="0"/>
            </w:tcBorders>
            <w:noWrap w:val="0"/>
            <w:vAlign w:val="center"/>
          </w:tcPr>
          <w:p w14:paraId="02C510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608" w:type="dxa"/>
            <w:gridSpan w:val="2"/>
            <w:tcBorders>
              <w:top w:val="single" w:color="auto" w:sz="4" w:space="0"/>
              <w:left w:val="single" w:color="auto" w:sz="4" w:space="0"/>
              <w:right w:val="single" w:color="auto" w:sz="4" w:space="0"/>
            </w:tcBorders>
            <w:noWrap w:val="0"/>
            <w:vAlign w:val="center"/>
          </w:tcPr>
          <w:p w14:paraId="1B3AE9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应急处置方案</w:t>
            </w:r>
          </w:p>
        </w:tc>
        <w:tc>
          <w:tcPr>
            <w:tcW w:w="758" w:type="dxa"/>
            <w:tcBorders>
              <w:top w:val="single" w:color="auto" w:sz="4" w:space="0"/>
              <w:left w:val="single" w:color="auto" w:sz="4" w:space="0"/>
              <w:right w:val="single" w:color="auto" w:sz="4" w:space="0"/>
            </w:tcBorders>
            <w:noWrap w:val="0"/>
            <w:vAlign w:val="center"/>
          </w:tcPr>
          <w:p w14:paraId="38ADA7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c>
          <w:tcPr>
            <w:tcW w:w="6782" w:type="dxa"/>
            <w:tcBorders>
              <w:top w:val="single" w:color="auto" w:sz="4" w:space="0"/>
              <w:left w:val="single" w:color="auto" w:sz="4" w:space="0"/>
              <w:right w:val="single" w:color="auto" w:sz="4" w:space="0"/>
            </w:tcBorders>
            <w:noWrap w:val="0"/>
            <w:vAlign w:val="center"/>
          </w:tcPr>
          <w:p w14:paraId="68A91B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根据供应商提供的</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本工程</w:t>
            </w:r>
            <w:r>
              <w:rPr>
                <w:rFonts w:hint="eastAsia" w:ascii="宋体" w:hAnsi="宋体" w:eastAsia="宋体" w:cs="宋体"/>
                <w:sz w:val="24"/>
                <w:szCs w:val="24"/>
                <w:highlight w:val="none"/>
              </w:rPr>
              <w:t>突发性事件应急响应方案的先进性、科学性等由进行</w:t>
            </w:r>
            <w:r>
              <w:rPr>
                <w:rFonts w:hint="eastAsia" w:ascii="宋体" w:hAnsi="宋体" w:eastAsia="宋体" w:cs="宋体"/>
                <w:color w:val="auto"/>
                <w:sz w:val="24"/>
                <w:szCs w:val="24"/>
                <w:highlight w:val="none"/>
              </w:rPr>
              <w:t>综合评分</w:t>
            </w: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3E09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35" w:type="dxa"/>
            <w:tcBorders>
              <w:top w:val="single" w:color="auto" w:sz="4" w:space="0"/>
              <w:left w:val="single" w:color="auto" w:sz="4" w:space="0"/>
              <w:right w:val="single" w:color="auto" w:sz="4" w:space="0"/>
            </w:tcBorders>
            <w:noWrap w:val="0"/>
            <w:vAlign w:val="center"/>
          </w:tcPr>
          <w:p w14:paraId="236B10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9</w:t>
            </w:r>
          </w:p>
        </w:tc>
        <w:tc>
          <w:tcPr>
            <w:tcW w:w="1608" w:type="dxa"/>
            <w:gridSpan w:val="2"/>
            <w:tcBorders>
              <w:top w:val="single" w:color="auto" w:sz="4" w:space="0"/>
              <w:left w:val="single" w:color="auto" w:sz="4" w:space="0"/>
              <w:right w:val="single" w:color="auto" w:sz="4" w:space="0"/>
            </w:tcBorders>
            <w:noWrap w:val="0"/>
            <w:vAlign w:val="center"/>
          </w:tcPr>
          <w:p w14:paraId="6B6FFF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合理化建议</w:t>
            </w:r>
          </w:p>
        </w:tc>
        <w:tc>
          <w:tcPr>
            <w:tcW w:w="758" w:type="dxa"/>
            <w:tcBorders>
              <w:top w:val="single" w:color="auto" w:sz="4" w:space="0"/>
              <w:left w:val="single" w:color="auto" w:sz="4" w:space="0"/>
              <w:right w:val="single" w:color="auto" w:sz="4" w:space="0"/>
            </w:tcBorders>
            <w:noWrap w:val="0"/>
            <w:vAlign w:val="center"/>
          </w:tcPr>
          <w:p w14:paraId="084907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right w:val="single" w:color="auto" w:sz="4" w:space="0"/>
            </w:tcBorders>
            <w:noWrap w:val="0"/>
            <w:vAlign w:val="center"/>
          </w:tcPr>
          <w:p w14:paraId="35A52C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bCs/>
                <w:color w:val="auto"/>
                <w:sz w:val="24"/>
                <w:szCs w:val="24"/>
                <w:highlight w:val="none"/>
              </w:rPr>
              <w:t>供应商提供的</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本工程</w:t>
            </w:r>
            <w:r>
              <w:rPr>
                <w:rFonts w:hint="eastAsia" w:ascii="宋体" w:hAnsi="宋体" w:eastAsia="宋体" w:cs="宋体"/>
                <w:sz w:val="24"/>
                <w:szCs w:val="24"/>
                <w:highlight w:val="none"/>
              </w:rPr>
              <w:t>的合理化建议，建议是否完整全面、可执行性强、建议创造的价值等进行</w:t>
            </w:r>
            <w:r>
              <w:rPr>
                <w:rFonts w:hint="eastAsia" w:ascii="宋体" w:hAnsi="宋体" w:eastAsia="宋体" w:cs="宋体"/>
                <w:color w:val="auto"/>
                <w:sz w:val="24"/>
                <w:szCs w:val="24"/>
                <w:highlight w:val="none"/>
              </w:rPr>
              <w:t>综合评分</w:t>
            </w: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1BC2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8" w:hRule="atLeast"/>
          <w:jc w:val="center"/>
        </w:trPr>
        <w:tc>
          <w:tcPr>
            <w:tcW w:w="635" w:type="dxa"/>
            <w:tcBorders>
              <w:left w:val="single" w:color="auto" w:sz="4" w:space="0"/>
              <w:right w:val="single" w:color="auto" w:sz="4" w:space="0"/>
            </w:tcBorders>
            <w:noWrap w:val="0"/>
            <w:vAlign w:val="center"/>
          </w:tcPr>
          <w:p w14:paraId="46672C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10</w:t>
            </w:r>
          </w:p>
        </w:tc>
        <w:tc>
          <w:tcPr>
            <w:tcW w:w="1608" w:type="dxa"/>
            <w:gridSpan w:val="2"/>
            <w:tcBorders>
              <w:left w:val="single" w:color="auto" w:sz="4" w:space="0"/>
              <w:right w:val="single" w:color="auto" w:sz="4" w:space="0"/>
            </w:tcBorders>
            <w:noWrap w:val="0"/>
            <w:vAlign w:val="center"/>
          </w:tcPr>
          <w:p w14:paraId="38C694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保修期</w:t>
            </w:r>
            <w:r>
              <w:rPr>
                <w:rFonts w:hint="eastAsia" w:ascii="宋体" w:hAnsi="宋体" w:eastAsia="宋体" w:cs="宋体"/>
                <w:sz w:val="24"/>
                <w:szCs w:val="24"/>
                <w:highlight w:val="none"/>
              </w:rPr>
              <w:t>服务方案</w:t>
            </w:r>
          </w:p>
        </w:tc>
        <w:tc>
          <w:tcPr>
            <w:tcW w:w="758" w:type="dxa"/>
            <w:tcBorders>
              <w:left w:val="single" w:color="auto" w:sz="4" w:space="0"/>
              <w:right w:val="single" w:color="auto" w:sz="4" w:space="0"/>
            </w:tcBorders>
            <w:noWrap w:val="0"/>
            <w:vAlign w:val="center"/>
          </w:tcPr>
          <w:p w14:paraId="70D62D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c>
          <w:tcPr>
            <w:tcW w:w="6782" w:type="dxa"/>
            <w:tcBorders>
              <w:top w:val="single" w:color="auto" w:sz="4" w:space="0"/>
              <w:left w:val="single" w:color="auto" w:sz="4" w:space="0"/>
              <w:bottom w:val="single" w:color="auto" w:sz="4" w:space="0"/>
              <w:right w:val="single" w:color="auto" w:sz="4" w:space="0"/>
            </w:tcBorders>
            <w:noWrap w:val="0"/>
            <w:vAlign w:val="center"/>
          </w:tcPr>
          <w:p w14:paraId="051E64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rPr>
            </w:pPr>
            <w:r>
              <w:rPr>
                <w:rFonts w:hint="eastAsia" w:ascii="宋体" w:hAnsi="宋体" w:cs="宋体"/>
                <w:bCs/>
                <w:color w:val="auto"/>
                <w:sz w:val="24"/>
                <w:szCs w:val="24"/>
                <w:highlight w:val="none"/>
                <w:lang w:eastAsia="zh-CN"/>
              </w:rPr>
              <w:t>根据</w:t>
            </w:r>
            <w:r>
              <w:rPr>
                <w:rFonts w:hint="eastAsia" w:ascii="宋体" w:hAnsi="宋体" w:eastAsia="宋体" w:cs="宋体"/>
                <w:bCs/>
                <w:color w:val="auto"/>
                <w:sz w:val="24"/>
                <w:szCs w:val="24"/>
                <w:highlight w:val="none"/>
              </w:rPr>
              <w:t>供应商提供的</w:t>
            </w:r>
            <w:r>
              <w:rPr>
                <w:rFonts w:hint="eastAsia" w:ascii="宋体" w:hAnsi="宋体" w:eastAsia="宋体" w:cs="宋体"/>
                <w:color w:val="auto"/>
                <w:sz w:val="24"/>
                <w:szCs w:val="24"/>
                <w:highlight w:val="none"/>
              </w:rPr>
              <w:t>针对</w:t>
            </w:r>
            <w:r>
              <w:rPr>
                <w:rFonts w:hint="eastAsia" w:ascii="宋体" w:hAnsi="宋体" w:eastAsia="宋体" w:cs="宋体"/>
                <w:color w:val="auto"/>
                <w:sz w:val="24"/>
                <w:szCs w:val="24"/>
                <w:highlight w:val="none"/>
                <w:lang w:eastAsia="zh-CN"/>
              </w:rPr>
              <w:t>本工程</w:t>
            </w:r>
            <w:r>
              <w:rPr>
                <w:rFonts w:hint="eastAsia" w:ascii="宋体" w:hAnsi="宋体" w:eastAsia="宋体" w:cs="宋体"/>
                <w:color w:val="auto"/>
                <w:sz w:val="24"/>
                <w:szCs w:val="24"/>
                <w:highlight w:val="none"/>
                <w:lang w:val="en-US" w:eastAsia="zh-CN"/>
              </w:rPr>
              <w:t>保修期</w:t>
            </w:r>
            <w:r>
              <w:rPr>
                <w:rFonts w:hint="eastAsia" w:ascii="宋体" w:hAnsi="宋体" w:eastAsia="宋体" w:cs="宋体"/>
                <w:color w:val="auto"/>
                <w:sz w:val="24"/>
                <w:szCs w:val="24"/>
                <w:highlight w:val="none"/>
              </w:rPr>
              <w:t>服务方案、服务承诺、服务网点便捷情况、优惠措施进行综合评分。（0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bl>
    <w:p w14:paraId="5D2BF7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highlight w:val="none"/>
        </w:rPr>
      </w:pPr>
    </w:p>
    <w:p w14:paraId="502CDA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4"/>
          <w:highlight w:val="none"/>
        </w:rPr>
      </w:pPr>
      <w:r>
        <w:rPr>
          <w:rFonts w:hint="eastAsia" w:ascii="宋体" w:hAnsi="宋体" w:eastAsia="宋体" w:cs="宋体"/>
          <w:sz w:val="24"/>
          <w:highlight w:val="none"/>
        </w:rPr>
        <w:t>提示：</w:t>
      </w:r>
    </w:p>
    <w:p w14:paraId="05A5006B">
      <w:pPr>
        <w:spacing w:line="400" w:lineRule="exact"/>
        <w:ind w:firstLine="482" w:firstLineChars="20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7B3903ED">
      <w:pPr>
        <w:spacing w:line="400" w:lineRule="exact"/>
        <w:ind w:firstLine="482" w:firstLineChars="20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2、供应商提交的所有响应文件、资料（包括所有证书、合同、报告等）都是准确、真实、合规的，如提供虚假资料，供应商需承担一切后果。</w:t>
      </w:r>
    </w:p>
    <w:p w14:paraId="1E2FC37C">
      <w:pPr>
        <w:spacing w:line="400" w:lineRule="exact"/>
        <w:ind w:firstLine="482" w:firstLineChars="20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3、为了评审工作更加优质、高效，响应文件张数建议不要超过</w:t>
      </w:r>
      <w:r>
        <w:rPr>
          <w:rFonts w:hint="eastAsia" w:ascii="宋体" w:hAnsi="宋体" w:cs="宋体"/>
          <w:b/>
          <w:bCs/>
          <w:sz w:val="24"/>
          <w:highlight w:val="none"/>
          <w:u w:val="single"/>
          <w:lang w:val="en-US" w:eastAsia="zh-CN"/>
        </w:rPr>
        <w:t>300</w:t>
      </w:r>
      <w:r>
        <w:rPr>
          <w:rFonts w:hint="eastAsia" w:ascii="宋体" w:hAnsi="宋体" w:eastAsia="宋体" w:cs="宋体"/>
          <w:b/>
          <w:bCs/>
          <w:sz w:val="24"/>
          <w:highlight w:val="none"/>
          <w:u w:val="single"/>
        </w:rPr>
        <w:t>张。</w:t>
      </w:r>
    </w:p>
    <w:p w14:paraId="0E020AC4">
      <w:pPr>
        <w:spacing w:line="400" w:lineRule="exact"/>
        <w:ind w:firstLine="482" w:firstLineChars="200"/>
        <w:rPr>
          <w:rFonts w:hint="eastAsia" w:ascii="宋体" w:hAnsi="宋体" w:eastAsia="宋体" w:cs="宋体"/>
          <w:b/>
          <w:bCs/>
          <w:sz w:val="24"/>
          <w:highlight w:val="none"/>
          <w:u w:val="single"/>
          <w:lang w:val="zh-CN"/>
        </w:rPr>
      </w:pPr>
      <w:r>
        <w:rPr>
          <w:rFonts w:hint="eastAsia" w:ascii="宋体" w:hAnsi="宋体" w:eastAsia="宋体" w:cs="宋体"/>
          <w:b/>
          <w:bCs/>
          <w:sz w:val="24"/>
          <w:highlight w:val="none"/>
          <w:u w:val="single"/>
        </w:rPr>
        <w:t>4、各投标人请将本采购项目评分索引表放在商务技术文件目录的前页，投标人自评分值（客观分部分）请投标人将应得分值准确自评（请勿不填写也请勿错误填写），以方便评委进行更加优质、高效的评审。</w:t>
      </w:r>
    </w:p>
    <w:p w14:paraId="7B21B7F3">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（三）商务技术分的计算方式</w:t>
      </w:r>
    </w:p>
    <w:p w14:paraId="3186C381">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商务技术分按照磋商小组成员的独立评分结果汇总后，取全部磋商小组成员评分值的算术平均分，计算公式为：</w:t>
      </w:r>
    </w:p>
    <w:p w14:paraId="38FD03C7">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商务技术分=（磋商小组所有成员评分合计数）/（磋商小组组成人员数）</w:t>
      </w:r>
    </w:p>
    <w:p w14:paraId="73210B10">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三、供应商义务</w:t>
      </w:r>
    </w:p>
    <w:p w14:paraId="2C5374C1">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评标期间，供应商应随时随地答复磋商小组的询标，解答包括有关的商务、技术问题等</w:t>
      </w:r>
    </w:p>
    <w:p w14:paraId="7E56984E">
      <w:pPr>
        <w:jc w:val="center"/>
        <w:rPr>
          <w:rFonts w:hint="eastAsia" w:ascii="宋体" w:hAnsi="宋体" w:eastAsia="宋体" w:cs="宋体"/>
          <w:b/>
          <w:sz w:val="30"/>
          <w:szCs w:val="30"/>
          <w:highlight w:val="none"/>
        </w:rPr>
      </w:pPr>
    </w:p>
    <w:p w14:paraId="4971CD01">
      <w:pPr>
        <w:jc w:val="center"/>
        <w:rPr>
          <w:rFonts w:hint="eastAsia" w:ascii="宋体" w:hAnsi="宋体" w:eastAsia="宋体" w:cs="宋体"/>
          <w:b/>
          <w:sz w:val="30"/>
          <w:szCs w:val="30"/>
          <w:highlight w:val="none"/>
        </w:rPr>
      </w:pPr>
    </w:p>
    <w:p w14:paraId="48C448E8">
      <w:pPr>
        <w:jc w:val="center"/>
        <w:rPr>
          <w:rFonts w:hint="eastAsia" w:ascii="宋体" w:hAnsi="宋体" w:eastAsia="宋体" w:cs="宋体"/>
          <w:b/>
          <w:sz w:val="30"/>
          <w:szCs w:val="30"/>
          <w:highlight w:val="none"/>
        </w:rPr>
      </w:pPr>
    </w:p>
    <w:p w14:paraId="4F86D65C">
      <w:pPr>
        <w:jc w:val="center"/>
        <w:rPr>
          <w:rFonts w:hint="eastAsia" w:ascii="宋体" w:hAnsi="宋体" w:eastAsia="宋体" w:cs="宋体"/>
          <w:b/>
          <w:sz w:val="30"/>
          <w:szCs w:val="30"/>
          <w:highlight w:val="none"/>
        </w:rPr>
      </w:pPr>
    </w:p>
    <w:p w14:paraId="58A83FEA">
      <w:pPr>
        <w:jc w:val="center"/>
        <w:rPr>
          <w:rFonts w:hint="eastAsia" w:ascii="宋体" w:hAnsi="宋体" w:eastAsia="宋体" w:cs="宋体"/>
          <w:b/>
          <w:sz w:val="30"/>
          <w:szCs w:val="30"/>
          <w:highlight w:val="none"/>
        </w:rPr>
      </w:pPr>
    </w:p>
    <w:p w14:paraId="4491FC0D">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sz w:val="24"/>
          <w:highlight w:val="none"/>
        </w:rPr>
      </w:pPr>
      <w:r>
        <w:rPr>
          <w:rFonts w:hint="eastAsia" w:ascii="宋体" w:hAnsi="宋体" w:eastAsia="宋体" w:cs="宋体"/>
          <w:b/>
          <w:sz w:val="30"/>
          <w:szCs w:val="30"/>
          <w:highlight w:val="none"/>
        </w:rPr>
        <w:t>采购项目评分索引表</w:t>
      </w:r>
    </w:p>
    <w:p w14:paraId="1CED0E6B">
      <w:pPr>
        <w:snapToGrid w:val="0"/>
        <w:spacing w:before="100" w:beforeAutospacing="1" w:after="100" w:afterAutospacing="1" w:line="400" w:lineRule="exact"/>
        <w:rPr>
          <w:rFonts w:hint="eastAsia" w:ascii="宋体" w:hAnsi="宋体" w:eastAsia="宋体" w:cs="宋体"/>
          <w:b/>
          <w:spacing w:val="-4"/>
          <w:sz w:val="24"/>
          <w:highlight w:val="none"/>
          <w:shd w:val="pct10" w:color="auto" w:fill="FFFFFF"/>
        </w:rPr>
      </w:pPr>
      <w:r>
        <w:rPr>
          <w:rFonts w:hint="eastAsia" w:ascii="宋体" w:hAnsi="宋体" w:eastAsia="宋体" w:cs="宋体"/>
          <w:b/>
          <w:spacing w:val="-4"/>
          <w:sz w:val="24"/>
          <w:highlight w:val="none"/>
        </w:rPr>
        <w:t>（</w:t>
      </w:r>
      <w:r>
        <w:rPr>
          <w:rFonts w:hint="eastAsia" w:ascii="宋体" w:hAnsi="宋体" w:eastAsia="宋体" w:cs="宋体"/>
          <w:b/>
          <w:spacing w:val="-4"/>
          <w:sz w:val="24"/>
          <w:highlight w:val="none"/>
          <w:shd w:val="pct10" w:color="auto" w:fill="FFFFFF"/>
        </w:rPr>
        <w:t>重要提示：本采购项目评分索引表放在商务技术文件目录的前页，</w:t>
      </w:r>
      <w:r>
        <w:rPr>
          <w:rFonts w:hint="eastAsia" w:ascii="宋体" w:hAnsi="宋体" w:eastAsia="宋体" w:cs="宋体"/>
          <w:b/>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eastAsia="宋体" w:cs="宋体"/>
          <w:b/>
          <w:spacing w:val="-4"/>
          <w:sz w:val="24"/>
          <w:highlight w:val="none"/>
          <w:shd w:val="pct10" w:color="auto" w:fill="FFFFFF"/>
        </w:rPr>
        <w:t>)</w:t>
      </w:r>
    </w:p>
    <w:p w14:paraId="61298C55">
      <w:pPr>
        <w:pStyle w:val="20"/>
        <w:rPr>
          <w:rFonts w:hint="eastAsia"/>
          <w:highlight w:val="none"/>
        </w:rPr>
      </w:pPr>
    </w:p>
    <w:p w14:paraId="7E3962DD">
      <w:pPr>
        <w:rPr>
          <w:rFonts w:hint="eastAsia" w:ascii="宋体" w:hAnsi="宋体" w:eastAsia="宋体" w:cs="宋体"/>
          <w:b/>
          <w:sz w:val="24"/>
          <w:highlight w:val="none"/>
        </w:rPr>
      </w:pPr>
      <w:r>
        <w:rPr>
          <w:rFonts w:hint="eastAsia" w:ascii="宋体" w:hAnsi="宋体" w:eastAsia="宋体" w:cs="宋体"/>
          <w:b/>
          <w:sz w:val="24"/>
          <w:highlight w:val="none"/>
        </w:rPr>
        <w:t>项目名称：                               供应商名称：</w:t>
      </w:r>
    </w:p>
    <w:tbl>
      <w:tblPr>
        <w:tblStyle w:val="51"/>
        <w:tblW w:w="95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100"/>
        <w:gridCol w:w="2058"/>
        <w:gridCol w:w="839"/>
        <w:gridCol w:w="1244"/>
        <w:gridCol w:w="2419"/>
        <w:gridCol w:w="1371"/>
      </w:tblGrid>
      <w:tr w14:paraId="34B4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707" w:type="dxa"/>
            <w:gridSpan w:val="3"/>
            <w:noWrap w:val="0"/>
            <w:vAlign w:val="center"/>
          </w:tcPr>
          <w:p w14:paraId="07AC196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评标内容</w:t>
            </w:r>
          </w:p>
        </w:tc>
        <w:tc>
          <w:tcPr>
            <w:tcW w:w="839" w:type="dxa"/>
            <w:noWrap w:val="0"/>
            <w:vAlign w:val="center"/>
          </w:tcPr>
          <w:p w14:paraId="6F2FDB3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1244" w:type="dxa"/>
            <w:noWrap w:val="0"/>
            <w:vAlign w:val="center"/>
          </w:tcPr>
          <w:p w14:paraId="53E6952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响应文件响应页码</w:t>
            </w:r>
          </w:p>
        </w:tc>
        <w:tc>
          <w:tcPr>
            <w:tcW w:w="2419" w:type="dxa"/>
            <w:tcBorders>
              <w:top w:val="single" w:color="auto" w:sz="4" w:space="0"/>
              <w:left w:val="nil"/>
              <w:bottom w:val="single" w:color="auto" w:sz="4" w:space="0"/>
              <w:right w:val="single" w:color="auto" w:sz="4" w:space="0"/>
            </w:tcBorders>
            <w:noWrap w:val="0"/>
            <w:vAlign w:val="center"/>
          </w:tcPr>
          <w:p w14:paraId="2F12D80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供应商</w:t>
            </w:r>
          </w:p>
          <w:p w14:paraId="0EA4748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应标情况</w:t>
            </w:r>
          </w:p>
        </w:tc>
        <w:tc>
          <w:tcPr>
            <w:tcW w:w="1371" w:type="dxa"/>
            <w:tcBorders>
              <w:top w:val="single" w:color="auto" w:sz="4" w:space="0"/>
              <w:left w:val="nil"/>
              <w:bottom w:val="single" w:color="auto" w:sz="4" w:space="0"/>
              <w:right w:val="single" w:color="auto" w:sz="4" w:space="0"/>
            </w:tcBorders>
            <w:noWrap w:val="0"/>
            <w:vAlign w:val="center"/>
          </w:tcPr>
          <w:p w14:paraId="3A38F5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供应商自评分值</w:t>
            </w:r>
          </w:p>
        </w:tc>
      </w:tr>
      <w:tr w14:paraId="5A91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549" w:type="dxa"/>
            <w:noWrap w:val="0"/>
            <w:vAlign w:val="center"/>
          </w:tcPr>
          <w:p w14:paraId="4AA7E0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3158" w:type="dxa"/>
            <w:gridSpan w:val="2"/>
            <w:noWrap w:val="0"/>
            <w:vAlign w:val="center"/>
          </w:tcPr>
          <w:p w14:paraId="101974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投标人综合实力</w:t>
            </w:r>
          </w:p>
        </w:tc>
        <w:tc>
          <w:tcPr>
            <w:tcW w:w="839" w:type="dxa"/>
            <w:noWrap w:val="0"/>
            <w:vAlign w:val="center"/>
          </w:tcPr>
          <w:p w14:paraId="2526F56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0-4</w:t>
            </w:r>
          </w:p>
        </w:tc>
        <w:tc>
          <w:tcPr>
            <w:tcW w:w="1244" w:type="dxa"/>
            <w:noWrap w:val="0"/>
            <w:vAlign w:val="center"/>
          </w:tcPr>
          <w:p w14:paraId="31F355C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top w:val="nil"/>
              <w:left w:val="nil"/>
              <w:right w:val="single" w:color="auto" w:sz="4" w:space="0"/>
            </w:tcBorders>
            <w:noWrap w:val="0"/>
            <w:vAlign w:val="center"/>
          </w:tcPr>
          <w:p w14:paraId="1CDCE8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bCs/>
                <w:sz w:val="21"/>
                <w:szCs w:val="21"/>
                <w:highlight w:val="none"/>
                <w:lang w:val="en-US" w:eastAsia="zh-CN"/>
              </w:rPr>
            </w:pPr>
            <w:r>
              <w:rPr>
                <w:rFonts w:hint="eastAsia" w:ascii="宋体" w:hAnsi="宋体" w:eastAsia="宋体" w:cs="宋体"/>
                <w:b w:val="0"/>
                <w:bCs w:val="0"/>
                <w:sz w:val="21"/>
                <w:szCs w:val="21"/>
                <w:highlight w:val="none"/>
                <w:lang w:eastAsia="zh-CN"/>
              </w:rPr>
              <w:t>/</w:t>
            </w:r>
          </w:p>
        </w:tc>
        <w:tc>
          <w:tcPr>
            <w:tcW w:w="1371" w:type="dxa"/>
            <w:tcBorders>
              <w:top w:val="nil"/>
              <w:left w:val="nil"/>
              <w:bottom w:val="single" w:color="auto" w:sz="4" w:space="0"/>
              <w:right w:val="single" w:color="auto" w:sz="4" w:space="0"/>
            </w:tcBorders>
            <w:noWrap w:val="0"/>
            <w:vAlign w:val="center"/>
          </w:tcPr>
          <w:p w14:paraId="72155D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val="0"/>
                <w:bCs w:val="0"/>
                <w:sz w:val="21"/>
                <w:szCs w:val="21"/>
                <w:highlight w:val="none"/>
                <w:lang w:eastAsia="zh-CN"/>
              </w:rPr>
              <w:t>/</w:t>
            </w:r>
          </w:p>
        </w:tc>
      </w:tr>
      <w:tr w14:paraId="46C9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549" w:type="dxa"/>
            <w:noWrap w:val="0"/>
            <w:vAlign w:val="center"/>
          </w:tcPr>
          <w:p w14:paraId="651950B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p>
        </w:tc>
        <w:tc>
          <w:tcPr>
            <w:tcW w:w="3158" w:type="dxa"/>
            <w:gridSpan w:val="2"/>
            <w:noWrap w:val="0"/>
            <w:vAlign w:val="center"/>
          </w:tcPr>
          <w:p w14:paraId="364B63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rPr>
            </w:pPr>
            <w:r>
              <w:rPr>
                <w:rFonts w:hint="eastAsia" w:ascii="宋体" w:hAnsi="宋体" w:cs="宋体"/>
                <w:sz w:val="21"/>
                <w:szCs w:val="21"/>
                <w:highlight w:val="none"/>
                <w:lang w:eastAsia="zh-CN"/>
              </w:rPr>
              <w:t>企业业绩</w:t>
            </w:r>
          </w:p>
        </w:tc>
        <w:tc>
          <w:tcPr>
            <w:tcW w:w="839" w:type="dxa"/>
            <w:noWrap w:val="0"/>
            <w:vAlign w:val="center"/>
          </w:tcPr>
          <w:p w14:paraId="3BFF63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0-2</w:t>
            </w:r>
          </w:p>
        </w:tc>
        <w:tc>
          <w:tcPr>
            <w:tcW w:w="1244" w:type="dxa"/>
            <w:noWrap w:val="0"/>
            <w:vAlign w:val="center"/>
          </w:tcPr>
          <w:p w14:paraId="347BE50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top w:val="nil"/>
              <w:left w:val="nil"/>
              <w:right w:val="single" w:color="auto" w:sz="4" w:space="0"/>
            </w:tcBorders>
            <w:noWrap w:val="0"/>
            <w:vAlign w:val="center"/>
          </w:tcPr>
          <w:p w14:paraId="1ACAEB4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供应商务必将应标证书内容逐项详细填写齐全，以方便评委进行更加优质、高效的评审</w:t>
            </w:r>
          </w:p>
        </w:tc>
        <w:tc>
          <w:tcPr>
            <w:tcW w:w="1371" w:type="dxa"/>
            <w:tcBorders>
              <w:top w:val="nil"/>
              <w:left w:val="nil"/>
              <w:bottom w:val="single" w:color="auto" w:sz="4" w:space="0"/>
              <w:right w:val="single" w:color="auto" w:sz="4" w:space="0"/>
            </w:tcBorders>
            <w:noWrap w:val="0"/>
            <w:vAlign w:val="center"/>
          </w:tcPr>
          <w:p w14:paraId="71C5BE4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供应商将应得分值填写准确</w:t>
            </w:r>
          </w:p>
        </w:tc>
      </w:tr>
      <w:tr w14:paraId="3B42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549" w:type="dxa"/>
            <w:noWrap w:val="0"/>
            <w:vAlign w:val="center"/>
          </w:tcPr>
          <w:p w14:paraId="7E5BA4E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p>
        </w:tc>
        <w:tc>
          <w:tcPr>
            <w:tcW w:w="3158" w:type="dxa"/>
            <w:gridSpan w:val="2"/>
            <w:noWrap w:val="0"/>
            <w:vAlign w:val="center"/>
          </w:tcPr>
          <w:p w14:paraId="6C9FD1E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cs="宋体"/>
                <w:b w:val="0"/>
                <w:bCs w:val="0"/>
                <w:color w:val="auto"/>
                <w:sz w:val="21"/>
                <w:szCs w:val="21"/>
                <w:highlight w:val="none"/>
                <w:lang w:eastAsia="zh-CN"/>
              </w:rPr>
              <w:t>项目</w:t>
            </w:r>
            <w:r>
              <w:rPr>
                <w:rFonts w:hint="eastAsia" w:ascii="宋体" w:hAnsi="宋体" w:eastAsia="宋体" w:cs="宋体"/>
                <w:b w:val="0"/>
                <w:bCs w:val="0"/>
                <w:color w:val="auto"/>
                <w:sz w:val="21"/>
                <w:szCs w:val="21"/>
                <w:highlight w:val="none"/>
                <w:lang w:eastAsia="zh-CN"/>
              </w:rPr>
              <w:t>技术负责人</w:t>
            </w:r>
          </w:p>
        </w:tc>
        <w:tc>
          <w:tcPr>
            <w:tcW w:w="839" w:type="dxa"/>
            <w:noWrap w:val="0"/>
            <w:vAlign w:val="center"/>
          </w:tcPr>
          <w:p w14:paraId="01C8585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0-4</w:t>
            </w:r>
          </w:p>
        </w:tc>
        <w:tc>
          <w:tcPr>
            <w:tcW w:w="1244" w:type="dxa"/>
            <w:noWrap w:val="0"/>
            <w:vAlign w:val="center"/>
          </w:tcPr>
          <w:p w14:paraId="7431069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top w:val="nil"/>
              <w:left w:val="nil"/>
              <w:right w:val="single" w:color="auto" w:sz="4" w:space="0"/>
            </w:tcBorders>
            <w:noWrap w:val="0"/>
            <w:vAlign w:val="center"/>
          </w:tcPr>
          <w:p w14:paraId="3021B7A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供应商务必将应标证书内容逐项详细填写齐全，以方便评委进行更加优质、高效的评审</w:t>
            </w:r>
          </w:p>
        </w:tc>
        <w:tc>
          <w:tcPr>
            <w:tcW w:w="1371" w:type="dxa"/>
            <w:tcBorders>
              <w:top w:val="nil"/>
              <w:left w:val="nil"/>
              <w:bottom w:val="single" w:color="auto" w:sz="4" w:space="0"/>
              <w:right w:val="single" w:color="auto" w:sz="4" w:space="0"/>
            </w:tcBorders>
            <w:noWrap w:val="0"/>
            <w:vAlign w:val="center"/>
          </w:tcPr>
          <w:p w14:paraId="71BB93A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供应商将应得分值填写准确</w:t>
            </w:r>
          </w:p>
        </w:tc>
      </w:tr>
      <w:tr w14:paraId="7027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549" w:type="dxa"/>
            <w:noWrap w:val="0"/>
            <w:vAlign w:val="center"/>
          </w:tcPr>
          <w:p w14:paraId="358C68B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p>
        </w:tc>
        <w:tc>
          <w:tcPr>
            <w:tcW w:w="3158" w:type="dxa"/>
            <w:gridSpan w:val="2"/>
            <w:noWrap w:val="0"/>
            <w:vAlign w:val="center"/>
          </w:tcPr>
          <w:p w14:paraId="3F5B97B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项目组人员配备（</w:t>
            </w:r>
            <w:r>
              <w:rPr>
                <w:rFonts w:hint="eastAsia" w:ascii="宋体" w:hAnsi="宋体" w:eastAsia="宋体" w:cs="宋体"/>
                <w:b w:val="0"/>
                <w:bCs w:val="0"/>
                <w:color w:val="auto"/>
                <w:sz w:val="21"/>
                <w:szCs w:val="21"/>
                <w:highlight w:val="none"/>
                <w:lang w:eastAsia="zh-CN"/>
              </w:rPr>
              <w:t>不含</w:t>
            </w:r>
            <w:r>
              <w:rPr>
                <w:rFonts w:hint="eastAsia" w:ascii="宋体" w:hAnsi="宋体" w:eastAsia="宋体" w:cs="宋体"/>
                <w:b w:val="0"/>
                <w:bCs w:val="0"/>
                <w:color w:val="auto"/>
                <w:sz w:val="21"/>
                <w:szCs w:val="21"/>
                <w:highlight w:val="none"/>
              </w:rPr>
              <w:t>项目负责人</w:t>
            </w:r>
            <w:r>
              <w:rPr>
                <w:rFonts w:hint="eastAsia" w:ascii="宋体" w:hAnsi="宋体" w:eastAsia="宋体" w:cs="宋体"/>
                <w:b w:val="0"/>
                <w:bCs w:val="0"/>
                <w:color w:val="auto"/>
                <w:sz w:val="21"/>
                <w:szCs w:val="21"/>
                <w:highlight w:val="none"/>
                <w:lang w:eastAsia="zh-CN"/>
              </w:rPr>
              <w:t>、技术负责人</w:t>
            </w:r>
            <w:r>
              <w:rPr>
                <w:rFonts w:hint="eastAsia" w:ascii="宋体" w:hAnsi="宋体" w:eastAsia="宋体" w:cs="宋体"/>
                <w:b w:val="0"/>
                <w:bCs w:val="0"/>
                <w:color w:val="auto"/>
                <w:sz w:val="21"/>
                <w:szCs w:val="21"/>
                <w:highlight w:val="none"/>
              </w:rPr>
              <w:t>）</w:t>
            </w:r>
          </w:p>
        </w:tc>
        <w:tc>
          <w:tcPr>
            <w:tcW w:w="839" w:type="dxa"/>
            <w:noWrap w:val="0"/>
            <w:vAlign w:val="center"/>
          </w:tcPr>
          <w:p w14:paraId="69ADF69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0-8</w:t>
            </w:r>
          </w:p>
        </w:tc>
        <w:tc>
          <w:tcPr>
            <w:tcW w:w="1244" w:type="dxa"/>
            <w:noWrap w:val="0"/>
            <w:vAlign w:val="center"/>
          </w:tcPr>
          <w:p w14:paraId="255DDD3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top w:val="nil"/>
              <w:left w:val="nil"/>
              <w:bottom w:val="single" w:color="auto" w:sz="4" w:space="0"/>
              <w:right w:val="single" w:color="auto" w:sz="4" w:space="0"/>
            </w:tcBorders>
            <w:noWrap w:val="0"/>
            <w:vAlign w:val="center"/>
          </w:tcPr>
          <w:p w14:paraId="0DC82C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供应商务必将应标证书内容逐项详细填写齐全，以方便评委进行更加优质、高效的评审</w:t>
            </w:r>
          </w:p>
        </w:tc>
        <w:tc>
          <w:tcPr>
            <w:tcW w:w="1371" w:type="dxa"/>
            <w:tcBorders>
              <w:top w:val="nil"/>
              <w:left w:val="nil"/>
              <w:bottom w:val="single" w:color="auto" w:sz="4" w:space="0"/>
              <w:right w:val="single" w:color="auto" w:sz="4" w:space="0"/>
            </w:tcBorders>
            <w:noWrap w:val="0"/>
            <w:vAlign w:val="center"/>
          </w:tcPr>
          <w:p w14:paraId="35305C6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供应商将应得分值填写准确</w:t>
            </w:r>
          </w:p>
        </w:tc>
      </w:tr>
      <w:tr w14:paraId="3F24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49" w:type="dxa"/>
            <w:vMerge w:val="restart"/>
            <w:noWrap w:val="0"/>
            <w:vAlign w:val="center"/>
          </w:tcPr>
          <w:p w14:paraId="6AF280A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lang w:val="en-US" w:eastAsia="zh-CN"/>
              </w:rPr>
              <w:t>5</w:t>
            </w:r>
          </w:p>
        </w:tc>
        <w:tc>
          <w:tcPr>
            <w:tcW w:w="1100" w:type="dxa"/>
            <w:vMerge w:val="restart"/>
            <w:noWrap w:val="0"/>
            <w:vAlign w:val="center"/>
          </w:tcPr>
          <w:p w14:paraId="0A02CE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施</w:t>
            </w:r>
          </w:p>
          <w:p w14:paraId="46FBDC0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工</w:t>
            </w:r>
          </w:p>
          <w:p w14:paraId="2003585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方</w:t>
            </w:r>
          </w:p>
          <w:p w14:paraId="5C7BC5F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案</w:t>
            </w:r>
          </w:p>
          <w:p w14:paraId="5636447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058" w:type="dxa"/>
            <w:noWrap w:val="0"/>
            <w:vAlign w:val="center"/>
          </w:tcPr>
          <w:p w14:paraId="79CF6CB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施工总体部署</w:t>
            </w:r>
          </w:p>
        </w:tc>
        <w:tc>
          <w:tcPr>
            <w:tcW w:w="839" w:type="dxa"/>
            <w:noWrap w:val="0"/>
            <w:vAlign w:val="center"/>
          </w:tcPr>
          <w:p w14:paraId="6A1410D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12</w:t>
            </w:r>
          </w:p>
        </w:tc>
        <w:tc>
          <w:tcPr>
            <w:tcW w:w="1244" w:type="dxa"/>
            <w:tcBorders>
              <w:right w:val="single" w:color="auto" w:sz="4" w:space="0"/>
            </w:tcBorders>
            <w:noWrap w:val="0"/>
            <w:vAlign w:val="center"/>
          </w:tcPr>
          <w:p w14:paraId="5046A7B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top w:val="single" w:color="auto" w:sz="4" w:space="0"/>
              <w:left w:val="single" w:color="auto" w:sz="4" w:space="0"/>
              <w:right w:val="single" w:color="auto" w:sz="4" w:space="0"/>
            </w:tcBorders>
            <w:noWrap w:val="0"/>
            <w:vAlign w:val="center"/>
          </w:tcPr>
          <w:p w14:paraId="665809E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tcBorders>
              <w:top w:val="single" w:color="auto" w:sz="4" w:space="0"/>
              <w:left w:val="single" w:color="auto" w:sz="4" w:space="0"/>
              <w:right w:val="single" w:color="auto" w:sz="4" w:space="0"/>
            </w:tcBorders>
            <w:noWrap w:val="0"/>
            <w:vAlign w:val="center"/>
          </w:tcPr>
          <w:p w14:paraId="3AE7956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7EAE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49" w:type="dxa"/>
            <w:vMerge w:val="continue"/>
            <w:noWrap w:val="0"/>
            <w:vAlign w:val="center"/>
          </w:tcPr>
          <w:p w14:paraId="1FF0A51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1100" w:type="dxa"/>
            <w:vMerge w:val="continue"/>
            <w:noWrap w:val="0"/>
            <w:vAlign w:val="center"/>
          </w:tcPr>
          <w:p w14:paraId="1EB52E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058" w:type="dxa"/>
            <w:noWrap w:val="0"/>
            <w:vAlign w:val="center"/>
          </w:tcPr>
          <w:p w14:paraId="25D2529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施工进度</w:t>
            </w:r>
          </w:p>
        </w:tc>
        <w:tc>
          <w:tcPr>
            <w:tcW w:w="839" w:type="dxa"/>
            <w:noWrap w:val="0"/>
            <w:vAlign w:val="center"/>
          </w:tcPr>
          <w:p w14:paraId="22073A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8</w:t>
            </w:r>
          </w:p>
        </w:tc>
        <w:tc>
          <w:tcPr>
            <w:tcW w:w="1244" w:type="dxa"/>
            <w:noWrap w:val="0"/>
            <w:vAlign w:val="center"/>
          </w:tcPr>
          <w:p w14:paraId="1CEDD51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left w:val="nil"/>
              <w:right w:val="single" w:color="auto" w:sz="4" w:space="0"/>
            </w:tcBorders>
            <w:noWrap w:val="0"/>
            <w:vAlign w:val="center"/>
          </w:tcPr>
          <w:p w14:paraId="530FB78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tcBorders>
              <w:left w:val="nil"/>
              <w:right w:val="single" w:color="auto" w:sz="4" w:space="0"/>
            </w:tcBorders>
            <w:noWrap w:val="0"/>
            <w:vAlign w:val="center"/>
          </w:tcPr>
          <w:p w14:paraId="3087C84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1C25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49" w:type="dxa"/>
            <w:vMerge w:val="continue"/>
            <w:noWrap w:val="0"/>
            <w:vAlign w:val="center"/>
          </w:tcPr>
          <w:p w14:paraId="18487CE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1100" w:type="dxa"/>
            <w:vMerge w:val="continue"/>
            <w:noWrap w:val="0"/>
            <w:vAlign w:val="center"/>
          </w:tcPr>
          <w:p w14:paraId="480AC5A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058" w:type="dxa"/>
            <w:noWrap w:val="0"/>
            <w:vAlign w:val="center"/>
          </w:tcPr>
          <w:p w14:paraId="6BDB98D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项目施工方法、技术措施</w:t>
            </w:r>
          </w:p>
        </w:tc>
        <w:tc>
          <w:tcPr>
            <w:tcW w:w="839" w:type="dxa"/>
            <w:noWrap w:val="0"/>
            <w:vAlign w:val="center"/>
          </w:tcPr>
          <w:p w14:paraId="1A9984B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4</w:t>
            </w:r>
          </w:p>
        </w:tc>
        <w:tc>
          <w:tcPr>
            <w:tcW w:w="1244" w:type="dxa"/>
            <w:noWrap w:val="0"/>
            <w:vAlign w:val="center"/>
          </w:tcPr>
          <w:p w14:paraId="4C67507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left w:val="nil"/>
              <w:right w:val="single" w:color="auto" w:sz="4" w:space="0"/>
            </w:tcBorders>
            <w:noWrap w:val="0"/>
            <w:vAlign w:val="center"/>
          </w:tcPr>
          <w:p w14:paraId="03F37E4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tcBorders>
              <w:left w:val="nil"/>
              <w:right w:val="single" w:color="auto" w:sz="4" w:space="0"/>
            </w:tcBorders>
            <w:noWrap w:val="0"/>
            <w:vAlign w:val="center"/>
          </w:tcPr>
          <w:p w14:paraId="5964FC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12C4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49" w:type="dxa"/>
            <w:vMerge w:val="continue"/>
            <w:noWrap w:val="0"/>
            <w:vAlign w:val="center"/>
          </w:tcPr>
          <w:p w14:paraId="6724612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1100" w:type="dxa"/>
            <w:vMerge w:val="continue"/>
            <w:noWrap w:val="0"/>
            <w:vAlign w:val="center"/>
          </w:tcPr>
          <w:p w14:paraId="614A696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058" w:type="dxa"/>
            <w:noWrap w:val="0"/>
            <w:vAlign w:val="center"/>
          </w:tcPr>
          <w:p w14:paraId="10FD18F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重点部位施工方案及安全保证措施</w:t>
            </w:r>
          </w:p>
        </w:tc>
        <w:tc>
          <w:tcPr>
            <w:tcW w:w="839" w:type="dxa"/>
            <w:noWrap w:val="0"/>
            <w:vAlign w:val="center"/>
          </w:tcPr>
          <w:p w14:paraId="5DB1EE3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4</w:t>
            </w:r>
          </w:p>
        </w:tc>
        <w:tc>
          <w:tcPr>
            <w:tcW w:w="1244" w:type="dxa"/>
            <w:noWrap w:val="0"/>
            <w:vAlign w:val="center"/>
          </w:tcPr>
          <w:p w14:paraId="0B15CBD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left w:val="nil"/>
              <w:right w:val="single" w:color="auto" w:sz="4" w:space="0"/>
            </w:tcBorders>
            <w:noWrap w:val="0"/>
            <w:vAlign w:val="center"/>
          </w:tcPr>
          <w:p w14:paraId="130D8CB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tcBorders>
              <w:left w:val="nil"/>
              <w:right w:val="single" w:color="auto" w:sz="4" w:space="0"/>
            </w:tcBorders>
            <w:noWrap w:val="0"/>
            <w:vAlign w:val="center"/>
          </w:tcPr>
          <w:p w14:paraId="025EE5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77EA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49" w:type="dxa"/>
            <w:vMerge w:val="continue"/>
            <w:noWrap w:val="0"/>
            <w:vAlign w:val="center"/>
          </w:tcPr>
          <w:p w14:paraId="0D54655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1100" w:type="dxa"/>
            <w:vMerge w:val="continue"/>
            <w:noWrap w:val="0"/>
            <w:vAlign w:val="center"/>
          </w:tcPr>
          <w:p w14:paraId="35B215D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058" w:type="dxa"/>
            <w:noWrap w:val="0"/>
            <w:vAlign w:val="center"/>
          </w:tcPr>
          <w:p w14:paraId="13E7635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施工质量保证</w:t>
            </w:r>
          </w:p>
        </w:tc>
        <w:tc>
          <w:tcPr>
            <w:tcW w:w="839" w:type="dxa"/>
            <w:noWrap w:val="0"/>
            <w:vAlign w:val="center"/>
          </w:tcPr>
          <w:p w14:paraId="7AC413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4</w:t>
            </w:r>
          </w:p>
        </w:tc>
        <w:tc>
          <w:tcPr>
            <w:tcW w:w="1244" w:type="dxa"/>
            <w:noWrap w:val="0"/>
            <w:vAlign w:val="center"/>
          </w:tcPr>
          <w:p w14:paraId="7E4BC2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left w:val="nil"/>
              <w:right w:val="single" w:color="auto" w:sz="4" w:space="0"/>
            </w:tcBorders>
            <w:noWrap w:val="0"/>
            <w:vAlign w:val="center"/>
          </w:tcPr>
          <w:p w14:paraId="0AF49FD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tcBorders>
              <w:left w:val="nil"/>
              <w:right w:val="single" w:color="auto" w:sz="4" w:space="0"/>
            </w:tcBorders>
            <w:noWrap w:val="0"/>
            <w:vAlign w:val="center"/>
          </w:tcPr>
          <w:p w14:paraId="7448BCF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7219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49" w:type="dxa"/>
            <w:vMerge w:val="continue"/>
            <w:noWrap w:val="0"/>
            <w:vAlign w:val="center"/>
          </w:tcPr>
          <w:p w14:paraId="4180D3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1100" w:type="dxa"/>
            <w:vMerge w:val="continue"/>
            <w:noWrap w:val="0"/>
            <w:vAlign w:val="center"/>
          </w:tcPr>
          <w:p w14:paraId="583AED1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058" w:type="dxa"/>
            <w:noWrap w:val="0"/>
            <w:vAlign w:val="center"/>
          </w:tcPr>
          <w:p w14:paraId="315F9D2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安全生产方案</w:t>
            </w:r>
          </w:p>
        </w:tc>
        <w:tc>
          <w:tcPr>
            <w:tcW w:w="839" w:type="dxa"/>
            <w:noWrap w:val="0"/>
            <w:vAlign w:val="center"/>
          </w:tcPr>
          <w:p w14:paraId="2F335DE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4</w:t>
            </w:r>
          </w:p>
        </w:tc>
        <w:tc>
          <w:tcPr>
            <w:tcW w:w="1244" w:type="dxa"/>
            <w:noWrap w:val="0"/>
            <w:vAlign w:val="center"/>
          </w:tcPr>
          <w:p w14:paraId="00BE0F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left w:val="nil"/>
              <w:right w:val="single" w:color="auto" w:sz="4" w:space="0"/>
            </w:tcBorders>
            <w:noWrap w:val="0"/>
            <w:vAlign w:val="center"/>
          </w:tcPr>
          <w:p w14:paraId="100CDE5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tcBorders>
              <w:left w:val="nil"/>
              <w:right w:val="single" w:color="auto" w:sz="4" w:space="0"/>
            </w:tcBorders>
            <w:noWrap w:val="0"/>
            <w:vAlign w:val="center"/>
          </w:tcPr>
          <w:p w14:paraId="1C253D5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6F24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49" w:type="dxa"/>
            <w:vMerge w:val="continue"/>
            <w:noWrap w:val="0"/>
            <w:vAlign w:val="center"/>
          </w:tcPr>
          <w:p w14:paraId="045E4F7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1100" w:type="dxa"/>
            <w:vMerge w:val="continue"/>
            <w:noWrap w:val="0"/>
            <w:vAlign w:val="center"/>
          </w:tcPr>
          <w:p w14:paraId="1CCB72A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058" w:type="dxa"/>
            <w:noWrap w:val="0"/>
            <w:vAlign w:val="center"/>
          </w:tcPr>
          <w:p w14:paraId="7CC832A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文明施工方案</w:t>
            </w:r>
          </w:p>
        </w:tc>
        <w:tc>
          <w:tcPr>
            <w:tcW w:w="839" w:type="dxa"/>
            <w:noWrap w:val="0"/>
            <w:vAlign w:val="center"/>
          </w:tcPr>
          <w:p w14:paraId="75B92CE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4</w:t>
            </w:r>
          </w:p>
        </w:tc>
        <w:tc>
          <w:tcPr>
            <w:tcW w:w="1244" w:type="dxa"/>
            <w:noWrap w:val="0"/>
            <w:vAlign w:val="center"/>
          </w:tcPr>
          <w:p w14:paraId="72065DD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left w:val="nil"/>
              <w:right w:val="single" w:color="auto" w:sz="4" w:space="0"/>
            </w:tcBorders>
            <w:noWrap w:val="0"/>
            <w:vAlign w:val="center"/>
          </w:tcPr>
          <w:p w14:paraId="7CA950E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tcBorders>
              <w:left w:val="nil"/>
              <w:right w:val="single" w:color="auto" w:sz="4" w:space="0"/>
            </w:tcBorders>
            <w:noWrap w:val="0"/>
            <w:vAlign w:val="center"/>
          </w:tcPr>
          <w:p w14:paraId="7C39A92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2FF4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49" w:type="dxa"/>
            <w:noWrap w:val="0"/>
            <w:vAlign w:val="center"/>
          </w:tcPr>
          <w:p w14:paraId="0F241A1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p>
        </w:tc>
        <w:tc>
          <w:tcPr>
            <w:tcW w:w="3158" w:type="dxa"/>
            <w:gridSpan w:val="2"/>
            <w:noWrap w:val="0"/>
            <w:vAlign w:val="center"/>
          </w:tcPr>
          <w:p w14:paraId="30D0E68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项目重点、难点分析</w:t>
            </w:r>
          </w:p>
        </w:tc>
        <w:tc>
          <w:tcPr>
            <w:tcW w:w="839" w:type="dxa"/>
            <w:noWrap w:val="0"/>
            <w:vAlign w:val="center"/>
          </w:tcPr>
          <w:p w14:paraId="79604D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8</w:t>
            </w:r>
          </w:p>
        </w:tc>
        <w:tc>
          <w:tcPr>
            <w:tcW w:w="1244" w:type="dxa"/>
            <w:noWrap w:val="0"/>
            <w:vAlign w:val="center"/>
          </w:tcPr>
          <w:p w14:paraId="1CBC893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left w:val="nil"/>
              <w:right w:val="single" w:color="auto" w:sz="4" w:space="0"/>
            </w:tcBorders>
            <w:noWrap w:val="0"/>
            <w:vAlign w:val="center"/>
          </w:tcPr>
          <w:p w14:paraId="3B3F285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tcBorders>
              <w:left w:val="nil"/>
              <w:right w:val="single" w:color="auto" w:sz="4" w:space="0"/>
            </w:tcBorders>
            <w:noWrap w:val="0"/>
            <w:vAlign w:val="center"/>
          </w:tcPr>
          <w:p w14:paraId="53D0EE9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146B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49" w:type="dxa"/>
            <w:noWrap w:val="0"/>
            <w:vAlign w:val="center"/>
          </w:tcPr>
          <w:p w14:paraId="05DC02A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p>
        </w:tc>
        <w:tc>
          <w:tcPr>
            <w:tcW w:w="3158" w:type="dxa"/>
            <w:gridSpan w:val="2"/>
            <w:noWrap w:val="0"/>
            <w:vAlign w:val="center"/>
          </w:tcPr>
          <w:p w14:paraId="774D41B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廉政保证措施</w:t>
            </w:r>
          </w:p>
        </w:tc>
        <w:tc>
          <w:tcPr>
            <w:tcW w:w="839" w:type="dxa"/>
            <w:noWrap w:val="0"/>
            <w:vAlign w:val="center"/>
          </w:tcPr>
          <w:p w14:paraId="1B78743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0-4</w:t>
            </w:r>
          </w:p>
        </w:tc>
        <w:tc>
          <w:tcPr>
            <w:tcW w:w="1244" w:type="dxa"/>
            <w:noWrap w:val="0"/>
            <w:vAlign w:val="center"/>
          </w:tcPr>
          <w:p w14:paraId="278D2E6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left w:val="nil"/>
              <w:right w:val="single" w:color="auto" w:sz="4" w:space="0"/>
            </w:tcBorders>
            <w:noWrap w:val="0"/>
            <w:vAlign w:val="center"/>
          </w:tcPr>
          <w:p w14:paraId="31665FE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tcBorders>
              <w:left w:val="nil"/>
              <w:right w:val="single" w:color="auto" w:sz="4" w:space="0"/>
            </w:tcBorders>
            <w:noWrap w:val="0"/>
            <w:vAlign w:val="center"/>
          </w:tcPr>
          <w:p w14:paraId="2EF905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251D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49" w:type="dxa"/>
            <w:noWrap w:val="0"/>
            <w:vAlign w:val="center"/>
          </w:tcPr>
          <w:p w14:paraId="44F590F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w:t>
            </w:r>
          </w:p>
        </w:tc>
        <w:tc>
          <w:tcPr>
            <w:tcW w:w="3158" w:type="dxa"/>
            <w:gridSpan w:val="2"/>
            <w:noWrap w:val="0"/>
            <w:vAlign w:val="center"/>
          </w:tcPr>
          <w:p w14:paraId="6452884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应急处置方案</w:t>
            </w:r>
          </w:p>
        </w:tc>
        <w:tc>
          <w:tcPr>
            <w:tcW w:w="839" w:type="dxa"/>
            <w:noWrap w:val="0"/>
            <w:vAlign w:val="center"/>
          </w:tcPr>
          <w:p w14:paraId="203052B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w:t>
            </w:r>
            <w:r>
              <w:rPr>
                <w:rFonts w:hint="eastAsia" w:ascii="宋体" w:hAnsi="宋体" w:cs="宋体"/>
                <w:b w:val="0"/>
                <w:bCs w:val="0"/>
                <w:sz w:val="21"/>
                <w:szCs w:val="21"/>
                <w:highlight w:val="none"/>
                <w:lang w:val="en-US" w:eastAsia="zh-CN"/>
              </w:rPr>
              <w:t>4</w:t>
            </w:r>
          </w:p>
        </w:tc>
        <w:tc>
          <w:tcPr>
            <w:tcW w:w="1244" w:type="dxa"/>
            <w:noWrap w:val="0"/>
            <w:vAlign w:val="center"/>
          </w:tcPr>
          <w:p w14:paraId="70276D6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tcBorders>
              <w:left w:val="nil"/>
              <w:right w:val="single" w:color="auto" w:sz="4" w:space="0"/>
            </w:tcBorders>
            <w:noWrap w:val="0"/>
            <w:vAlign w:val="center"/>
          </w:tcPr>
          <w:p w14:paraId="6993B09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tcBorders>
              <w:left w:val="nil"/>
              <w:right w:val="single" w:color="auto" w:sz="4" w:space="0"/>
            </w:tcBorders>
            <w:noWrap w:val="0"/>
            <w:vAlign w:val="center"/>
          </w:tcPr>
          <w:p w14:paraId="36993B9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282F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49" w:type="dxa"/>
            <w:noWrap w:val="0"/>
            <w:vAlign w:val="center"/>
          </w:tcPr>
          <w:p w14:paraId="56A7C84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w:t>
            </w:r>
          </w:p>
        </w:tc>
        <w:tc>
          <w:tcPr>
            <w:tcW w:w="3158" w:type="dxa"/>
            <w:gridSpan w:val="2"/>
            <w:noWrap w:val="0"/>
            <w:vAlign w:val="center"/>
          </w:tcPr>
          <w:p w14:paraId="0395CC1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合理化建议</w:t>
            </w:r>
          </w:p>
        </w:tc>
        <w:tc>
          <w:tcPr>
            <w:tcW w:w="839" w:type="dxa"/>
            <w:noWrap w:val="0"/>
            <w:vAlign w:val="center"/>
          </w:tcPr>
          <w:p w14:paraId="6FDF533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0-3</w:t>
            </w:r>
          </w:p>
        </w:tc>
        <w:tc>
          <w:tcPr>
            <w:tcW w:w="1244" w:type="dxa"/>
            <w:noWrap w:val="0"/>
            <w:vAlign w:val="center"/>
          </w:tcPr>
          <w:p w14:paraId="66CEB3C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noWrap w:val="0"/>
            <w:vAlign w:val="center"/>
          </w:tcPr>
          <w:p w14:paraId="11C4DE9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noWrap w:val="0"/>
            <w:vAlign w:val="center"/>
          </w:tcPr>
          <w:p w14:paraId="09D168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2EF2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49" w:type="dxa"/>
            <w:noWrap w:val="0"/>
            <w:vAlign w:val="center"/>
          </w:tcPr>
          <w:p w14:paraId="5A2AF32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10</w:t>
            </w:r>
          </w:p>
        </w:tc>
        <w:tc>
          <w:tcPr>
            <w:tcW w:w="3158" w:type="dxa"/>
            <w:gridSpan w:val="2"/>
            <w:noWrap w:val="0"/>
            <w:vAlign w:val="center"/>
          </w:tcPr>
          <w:p w14:paraId="5890988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保修期</w:t>
            </w:r>
            <w:r>
              <w:rPr>
                <w:rFonts w:hint="eastAsia" w:ascii="宋体" w:hAnsi="宋体" w:eastAsia="宋体" w:cs="宋体"/>
                <w:b w:val="0"/>
                <w:bCs w:val="0"/>
                <w:sz w:val="21"/>
                <w:szCs w:val="21"/>
                <w:highlight w:val="none"/>
                <w:lang w:eastAsia="zh-CN"/>
              </w:rPr>
              <w:t>服务方案</w:t>
            </w:r>
          </w:p>
        </w:tc>
        <w:tc>
          <w:tcPr>
            <w:tcW w:w="839" w:type="dxa"/>
            <w:noWrap w:val="0"/>
            <w:vAlign w:val="center"/>
          </w:tcPr>
          <w:p w14:paraId="5BF9796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0-3</w:t>
            </w:r>
          </w:p>
        </w:tc>
        <w:tc>
          <w:tcPr>
            <w:tcW w:w="1244" w:type="dxa"/>
            <w:noWrap w:val="0"/>
            <w:vAlign w:val="center"/>
          </w:tcPr>
          <w:p w14:paraId="47C781B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p>
        </w:tc>
        <w:tc>
          <w:tcPr>
            <w:tcW w:w="2419" w:type="dxa"/>
            <w:noWrap w:val="0"/>
            <w:vAlign w:val="center"/>
          </w:tcPr>
          <w:p w14:paraId="34BBDA8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c>
          <w:tcPr>
            <w:tcW w:w="1371" w:type="dxa"/>
            <w:noWrap w:val="0"/>
            <w:vAlign w:val="center"/>
          </w:tcPr>
          <w:p w14:paraId="65F8A15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w:t>
            </w:r>
          </w:p>
        </w:tc>
      </w:tr>
      <w:tr w14:paraId="6E04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707" w:type="dxa"/>
            <w:gridSpan w:val="3"/>
            <w:noWrap w:val="0"/>
            <w:vAlign w:val="center"/>
          </w:tcPr>
          <w:p w14:paraId="5C071AB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合计</w:t>
            </w:r>
          </w:p>
        </w:tc>
        <w:tc>
          <w:tcPr>
            <w:tcW w:w="839" w:type="dxa"/>
            <w:noWrap w:val="0"/>
            <w:vAlign w:val="center"/>
          </w:tcPr>
          <w:p w14:paraId="49E48A6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80</w:t>
            </w:r>
            <w:r>
              <w:rPr>
                <w:rFonts w:hint="eastAsia" w:ascii="宋体" w:hAnsi="宋体" w:eastAsia="宋体" w:cs="宋体"/>
                <w:b/>
                <w:bCs/>
                <w:sz w:val="21"/>
                <w:szCs w:val="21"/>
                <w:highlight w:val="none"/>
                <w:lang w:eastAsia="zh-CN"/>
              </w:rPr>
              <w:t>分</w:t>
            </w:r>
          </w:p>
        </w:tc>
        <w:tc>
          <w:tcPr>
            <w:tcW w:w="1244" w:type="dxa"/>
            <w:noWrap w:val="0"/>
            <w:vAlign w:val="center"/>
          </w:tcPr>
          <w:p w14:paraId="02BC67F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zh-CN" w:eastAsia="zh-CN"/>
              </w:rPr>
            </w:pPr>
          </w:p>
        </w:tc>
        <w:tc>
          <w:tcPr>
            <w:tcW w:w="2419" w:type="dxa"/>
            <w:tcBorders>
              <w:top w:val="nil"/>
              <w:left w:val="nil"/>
              <w:bottom w:val="single" w:color="auto" w:sz="4" w:space="0"/>
              <w:right w:val="single" w:color="auto" w:sz="4" w:space="0"/>
            </w:tcBorders>
            <w:noWrap w:val="0"/>
            <w:vAlign w:val="center"/>
          </w:tcPr>
          <w:p w14:paraId="559D2D4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eastAsia="zh-CN"/>
              </w:rPr>
              <w:t>/</w:t>
            </w:r>
          </w:p>
        </w:tc>
        <w:tc>
          <w:tcPr>
            <w:tcW w:w="1371" w:type="dxa"/>
            <w:tcBorders>
              <w:top w:val="nil"/>
              <w:left w:val="nil"/>
              <w:bottom w:val="single" w:color="auto" w:sz="4" w:space="0"/>
              <w:right w:val="single" w:color="auto" w:sz="4" w:space="0"/>
            </w:tcBorders>
            <w:noWrap w:val="0"/>
            <w:vAlign w:val="center"/>
          </w:tcPr>
          <w:p w14:paraId="6246503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eastAsia="zh-CN"/>
              </w:rPr>
              <w:t>/</w:t>
            </w:r>
          </w:p>
        </w:tc>
      </w:tr>
    </w:tbl>
    <w:p w14:paraId="77477EBD">
      <w:pPr>
        <w:pStyle w:val="2"/>
        <w:keepNext w:val="0"/>
        <w:keepLines/>
        <w:pageBreakBefore/>
        <w:widowControl w:val="0"/>
        <w:kinsoku/>
        <w:wordWrap/>
        <w:overflowPunct/>
        <w:topLinePunct w:val="0"/>
        <w:autoSpaceDE/>
        <w:autoSpaceDN/>
        <w:bidi w:val="0"/>
        <w:adjustRightInd/>
        <w:snapToGrid/>
        <w:spacing w:before="340" w:after="330" w:line="240" w:lineRule="auto"/>
        <w:ind w:left="0" w:leftChars="0" w:right="0" w:rightChars="0" w:firstLine="0" w:firstLineChars="0"/>
        <w:jc w:val="center"/>
        <w:textAlignment w:val="auto"/>
        <w:outlineLvl w:val="0"/>
        <w:rPr>
          <w:rFonts w:hint="eastAsia" w:ascii="宋体" w:hAnsi="宋体" w:eastAsia="宋体" w:cs="宋体"/>
          <w:color w:val="auto"/>
          <w:highlight w:val="none"/>
        </w:rPr>
      </w:pPr>
      <w:bookmarkStart w:id="82" w:name="_Toc1140"/>
      <w:bookmarkStart w:id="83" w:name="_Toc561"/>
      <w:bookmarkStart w:id="84" w:name="_Toc466534751"/>
      <w:r>
        <w:rPr>
          <w:rFonts w:hint="eastAsia" w:ascii="宋体" w:hAnsi="宋体" w:eastAsia="宋体" w:cs="宋体"/>
          <w:b/>
          <w:bCs w:val="0"/>
          <w:color w:val="000000"/>
          <w:kern w:val="0"/>
          <w:sz w:val="30"/>
          <w:szCs w:val="30"/>
          <w:highlight w:val="none"/>
          <w:lang w:val="en-US" w:eastAsia="zh-CN" w:bidi="ar-SA"/>
        </w:rPr>
        <w:t>第五章  合同主要条款</w:t>
      </w:r>
      <w:bookmarkEnd w:id="82"/>
      <w:bookmarkEnd w:id="83"/>
    </w:p>
    <w:p w14:paraId="53801BD1">
      <w:pPr>
        <w:adjustRightInd w:val="0"/>
        <w:spacing w:line="360" w:lineRule="auto"/>
        <w:jc w:val="center"/>
        <w:rPr>
          <w:rFonts w:hint="eastAsia" w:ascii="宋体" w:hAnsi="宋体" w:eastAsia="宋体" w:cs="宋体"/>
          <w:color w:val="000000"/>
          <w:sz w:val="24"/>
          <w:szCs w:val="24"/>
          <w:highlight w:val="none"/>
          <w:shd w:val="pct10" w:color="auto" w:fill="FFFFFF"/>
        </w:rPr>
      </w:pPr>
      <w:r>
        <w:rPr>
          <w:rFonts w:hint="eastAsia" w:ascii="宋体" w:hAnsi="宋体" w:eastAsia="宋体" w:cs="宋体"/>
          <w:color w:val="000000"/>
          <w:sz w:val="24"/>
          <w:szCs w:val="24"/>
          <w:highlight w:val="none"/>
          <w:shd w:val="pct10" w:color="auto" w:fill="FFFFFF"/>
        </w:rPr>
        <w:t>（此稿为合同样本，最终定稿待双方协商后商定）</w:t>
      </w:r>
    </w:p>
    <w:p w14:paraId="01F6B2D2">
      <w:pPr>
        <w:adjustRightInd w:val="0"/>
        <w:spacing w:line="360" w:lineRule="auto"/>
        <w:jc w:val="left"/>
        <w:rPr>
          <w:rFonts w:hint="eastAsia" w:ascii="宋体" w:hAnsi="宋体" w:eastAsia="宋体" w:cs="宋体"/>
          <w:color w:val="000000"/>
          <w:sz w:val="24"/>
          <w:szCs w:val="24"/>
          <w:highlight w:val="none"/>
          <w:shd w:val="pct10" w:color="auto" w:fill="FFFFFF"/>
          <w:lang w:eastAsia="zh-CN"/>
        </w:rPr>
      </w:pPr>
      <w:r>
        <w:rPr>
          <w:rFonts w:hint="eastAsia" w:ascii="宋体" w:hAnsi="宋体" w:eastAsia="宋体" w:cs="宋体"/>
          <w:color w:val="000000"/>
          <w:sz w:val="24"/>
          <w:szCs w:val="24"/>
          <w:highlight w:val="none"/>
          <w:shd w:val="pct10" w:color="auto" w:fill="FFFFFF"/>
          <w:lang w:eastAsia="zh-CN"/>
        </w:rPr>
        <w:t>合同文本采用</w:t>
      </w:r>
      <w:bookmarkStart w:id="85" w:name="OLE_LINK2"/>
      <w:r>
        <w:rPr>
          <w:rFonts w:hint="eastAsia" w:ascii="宋体" w:hAnsi="宋体" w:eastAsia="宋体" w:cs="宋体"/>
          <w:color w:val="000000"/>
          <w:sz w:val="24"/>
          <w:szCs w:val="24"/>
          <w:highlight w:val="none"/>
          <w:shd w:val="pct10" w:color="auto" w:fill="FFFFFF"/>
          <w:lang w:eastAsia="zh-CN"/>
        </w:rPr>
        <w:t>《建设工程施工合同（示范文本）》（GF-2017-0201）</w:t>
      </w:r>
      <w:bookmarkEnd w:id="85"/>
      <w:r>
        <w:rPr>
          <w:rFonts w:hint="eastAsia" w:ascii="宋体" w:hAnsi="宋体" w:eastAsia="宋体" w:cs="宋体"/>
          <w:color w:val="000000"/>
          <w:sz w:val="24"/>
          <w:szCs w:val="24"/>
          <w:highlight w:val="none"/>
          <w:shd w:val="pct10" w:color="auto" w:fill="FFFFFF"/>
          <w:lang w:eastAsia="zh-CN"/>
        </w:rPr>
        <w:t>。</w:t>
      </w:r>
    </w:p>
    <w:p w14:paraId="38FE02E9">
      <w:pPr>
        <w:adjustRightInd w:val="0"/>
        <w:spacing w:line="360" w:lineRule="auto"/>
        <w:jc w:val="left"/>
        <w:rPr>
          <w:rFonts w:hint="eastAsia" w:ascii="宋体" w:hAnsi="宋体" w:eastAsia="宋体" w:cs="宋体"/>
          <w:color w:val="000000"/>
          <w:sz w:val="24"/>
          <w:szCs w:val="24"/>
          <w:highlight w:val="none"/>
          <w:shd w:val="pct10" w:color="auto" w:fill="FFFFFF"/>
          <w:lang w:eastAsia="zh-CN"/>
        </w:rPr>
      </w:pPr>
      <w:r>
        <w:rPr>
          <w:rFonts w:hint="eastAsia" w:ascii="宋体" w:hAnsi="宋体" w:eastAsia="宋体" w:cs="宋体"/>
          <w:color w:val="000000"/>
          <w:sz w:val="24"/>
          <w:szCs w:val="24"/>
          <w:highlight w:val="none"/>
          <w:shd w:val="pct10" w:color="auto" w:fill="FFFFFF"/>
          <w:lang w:eastAsia="zh-CN"/>
        </w:rPr>
        <w:t>合同通用条款采用《建设工程施工合同（示范文本）》的通用条款（GF-2017-0201）。</w:t>
      </w:r>
    </w:p>
    <w:p w14:paraId="561F7511">
      <w:pPr>
        <w:adjustRightInd w:val="0"/>
        <w:spacing w:line="360" w:lineRule="auto"/>
        <w:jc w:val="left"/>
        <w:rPr>
          <w:rFonts w:hint="eastAsia" w:ascii="宋体" w:hAnsi="宋体" w:eastAsia="宋体" w:cs="宋体"/>
          <w:color w:val="000000"/>
          <w:sz w:val="24"/>
          <w:szCs w:val="24"/>
          <w:highlight w:val="none"/>
          <w:shd w:val="pct10" w:color="auto" w:fill="FFFFFF"/>
          <w:lang w:eastAsia="zh-CN"/>
        </w:rPr>
      </w:pPr>
      <w:r>
        <w:rPr>
          <w:rFonts w:hint="eastAsia" w:ascii="宋体" w:hAnsi="宋体" w:eastAsia="宋体" w:cs="宋体"/>
          <w:color w:val="000000"/>
          <w:sz w:val="24"/>
          <w:szCs w:val="24"/>
          <w:highlight w:val="none"/>
          <w:shd w:val="pct10" w:color="auto" w:fill="FFFFFF"/>
          <w:lang w:eastAsia="zh-CN"/>
        </w:rPr>
        <w:t>合同专用条款中的主要条款将由招标人（发包人）与中标人（承包人）根据投标文件签订。</w:t>
      </w:r>
    </w:p>
    <w:p w14:paraId="39305DF7">
      <w:pPr>
        <w:adjustRightInd w:val="0"/>
        <w:spacing w:line="360" w:lineRule="auto"/>
        <w:jc w:val="left"/>
        <w:rPr>
          <w:rFonts w:hint="eastAsia" w:ascii="宋体" w:hAnsi="宋体" w:eastAsia="宋体" w:cs="宋体"/>
          <w:color w:val="000000"/>
          <w:sz w:val="24"/>
          <w:szCs w:val="24"/>
          <w:highlight w:val="none"/>
          <w:shd w:val="pct10" w:color="auto" w:fill="FFFFFF"/>
        </w:rPr>
      </w:pPr>
    </w:p>
    <w:p w14:paraId="4ACE3083">
      <w:pPr>
        <w:pStyle w:val="42"/>
        <w:rPr>
          <w:rFonts w:hint="eastAsia" w:ascii="宋体" w:hAnsi="宋体" w:eastAsia="宋体" w:cs="宋体"/>
          <w:color w:val="000000"/>
          <w:sz w:val="24"/>
          <w:szCs w:val="24"/>
          <w:highlight w:val="none"/>
          <w:shd w:val="pct10" w:color="auto" w:fill="FFFFFF"/>
        </w:rPr>
      </w:pPr>
    </w:p>
    <w:p w14:paraId="12DD5B8C">
      <w:pPr>
        <w:rPr>
          <w:rFonts w:hint="eastAsia" w:ascii="宋体" w:hAnsi="宋体" w:eastAsia="宋体" w:cs="宋体"/>
          <w:color w:val="000000"/>
          <w:sz w:val="24"/>
          <w:szCs w:val="24"/>
          <w:highlight w:val="none"/>
          <w:shd w:val="pct10" w:color="auto" w:fill="FFFFFF"/>
        </w:rPr>
      </w:pPr>
    </w:p>
    <w:p w14:paraId="4717A7F6">
      <w:pPr>
        <w:pStyle w:val="42"/>
        <w:rPr>
          <w:rFonts w:hint="eastAsia" w:ascii="宋体" w:hAnsi="宋体" w:eastAsia="宋体" w:cs="宋体"/>
          <w:color w:val="000000"/>
          <w:sz w:val="24"/>
          <w:szCs w:val="24"/>
          <w:highlight w:val="none"/>
          <w:shd w:val="pct10" w:color="auto" w:fill="FFFFFF"/>
        </w:rPr>
      </w:pPr>
    </w:p>
    <w:p w14:paraId="6D1D2B62">
      <w:pPr>
        <w:rPr>
          <w:rFonts w:hint="eastAsia" w:ascii="宋体" w:hAnsi="宋体" w:eastAsia="宋体" w:cs="宋体"/>
          <w:color w:val="000000"/>
          <w:sz w:val="24"/>
          <w:szCs w:val="24"/>
          <w:highlight w:val="none"/>
          <w:shd w:val="pct10" w:color="auto" w:fill="FFFFFF"/>
        </w:rPr>
      </w:pPr>
    </w:p>
    <w:p w14:paraId="0883D3D9">
      <w:pPr>
        <w:pStyle w:val="42"/>
        <w:rPr>
          <w:rFonts w:hint="eastAsia" w:ascii="宋体" w:hAnsi="宋体" w:eastAsia="宋体" w:cs="宋体"/>
          <w:color w:val="000000"/>
          <w:sz w:val="24"/>
          <w:szCs w:val="24"/>
          <w:highlight w:val="none"/>
          <w:shd w:val="pct10" w:color="auto" w:fill="FFFFFF"/>
        </w:rPr>
      </w:pPr>
    </w:p>
    <w:p w14:paraId="67890D5D">
      <w:pPr>
        <w:rPr>
          <w:rFonts w:hint="eastAsia" w:ascii="宋体" w:hAnsi="宋体" w:eastAsia="宋体" w:cs="宋体"/>
          <w:color w:val="000000"/>
          <w:sz w:val="24"/>
          <w:szCs w:val="24"/>
          <w:highlight w:val="none"/>
          <w:shd w:val="pct10" w:color="auto" w:fill="FFFFFF"/>
        </w:rPr>
      </w:pPr>
    </w:p>
    <w:p w14:paraId="31DA3B3B">
      <w:pPr>
        <w:pStyle w:val="42"/>
        <w:rPr>
          <w:rFonts w:hint="eastAsia" w:ascii="宋体" w:hAnsi="宋体" w:eastAsia="宋体" w:cs="宋体"/>
          <w:color w:val="000000"/>
          <w:sz w:val="24"/>
          <w:szCs w:val="24"/>
          <w:highlight w:val="none"/>
          <w:shd w:val="pct10" w:color="auto" w:fill="FFFFFF"/>
        </w:rPr>
      </w:pPr>
    </w:p>
    <w:p w14:paraId="54C3B106">
      <w:pPr>
        <w:rPr>
          <w:rFonts w:hint="eastAsia" w:ascii="宋体" w:hAnsi="宋体" w:eastAsia="宋体" w:cs="宋体"/>
          <w:color w:val="000000"/>
          <w:sz w:val="24"/>
          <w:szCs w:val="24"/>
          <w:highlight w:val="none"/>
          <w:shd w:val="pct10" w:color="auto" w:fill="FFFFFF"/>
        </w:rPr>
      </w:pPr>
    </w:p>
    <w:p w14:paraId="78EC4776">
      <w:pPr>
        <w:pStyle w:val="42"/>
        <w:rPr>
          <w:rFonts w:hint="eastAsia" w:ascii="宋体" w:hAnsi="宋体" w:eastAsia="宋体" w:cs="宋体"/>
          <w:color w:val="000000"/>
          <w:sz w:val="24"/>
          <w:szCs w:val="24"/>
          <w:highlight w:val="none"/>
          <w:shd w:val="pct10" w:color="auto" w:fill="FFFFFF"/>
        </w:rPr>
      </w:pPr>
    </w:p>
    <w:p w14:paraId="42EF6B59">
      <w:pPr>
        <w:rPr>
          <w:rFonts w:hint="eastAsia" w:ascii="宋体" w:hAnsi="宋体" w:eastAsia="宋体" w:cs="宋体"/>
          <w:color w:val="000000"/>
          <w:sz w:val="24"/>
          <w:szCs w:val="24"/>
          <w:highlight w:val="none"/>
          <w:shd w:val="pct10" w:color="auto" w:fill="FFFFFF"/>
        </w:rPr>
      </w:pPr>
    </w:p>
    <w:p w14:paraId="297C118A">
      <w:pPr>
        <w:pStyle w:val="42"/>
        <w:rPr>
          <w:rFonts w:hint="eastAsia" w:ascii="宋体" w:hAnsi="宋体" w:eastAsia="宋体" w:cs="宋体"/>
          <w:color w:val="000000"/>
          <w:sz w:val="24"/>
          <w:szCs w:val="24"/>
          <w:highlight w:val="none"/>
          <w:shd w:val="pct10" w:color="auto" w:fill="FFFFFF"/>
        </w:rPr>
      </w:pPr>
    </w:p>
    <w:p w14:paraId="7AD5FEAC">
      <w:pPr>
        <w:rPr>
          <w:rFonts w:hint="eastAsia" w:ascii="宋体" w:hAnsi="宋体" w:eastAsia="宋体" w:cs="宋体"/>
          <w:color w:val="000000"/>
          <w:sz w:val="24"/>
          <w:szCs w:val="24"/>
          <w:highlight w:val="none"/>
          <w:shd w:val="pct10" w:color="auto" w:fill="FFFFFF"/>
        </w:rPr>
      </w:pPr>
    </w:p>
    <w:p w14:paraId="6D1E98BE">
      <w:pPr>
        <w:pStyle w:val="42"/>
        <w:rPr>
          <w:rFonts w:hint="eastAsia" w:ascii="宋体" w:hAnsi="宋体" w:eastAsia="宋体" w:cs="宋体"/>
          <w:color w:val="000000"/>
          <w:sz w:val="24"/>
          <w:szCs w:val="24"/>
          <w:highlight w:val="none"/>
          <w:shd w:val="pct10" w:color="auto" w:fill="FFFFFF"/>
        </w:rPr>
      </w:pPr>
    </w:p>
    <w:p w14:paraId="523F5730">
      <w:pPr>
        <w:rPr>
          <w:rFonts w:hint="eastAsia" w:ascii="宋体" w:hAnsi="宋体" w:eastAsia="宋体" w:cs="宋体"/>
          <w:color w:val="000000"/>
          <w:sz w:val="24"/>
          <w:szCs w:val="24"/>
          <w:highlight w:val="none"/>
          <w:shd w:val="pct10" w:color="auto" w:fill="FFFFFF"/>
        </w:rPr>
      </w:pPr>
    </w:p>
    <w:p w14:paraId="046BC811">
      <w:pPr>
        <w:pStyle w:val="42"/>
        <w:rPr>
          <w:rFonts w:hint="eastAsia" w:ascii="宋体" w:hAnsi="宋体" w:eastAsia="宋体" w:cs="宋体"/>
          <w:color w:val="000000"/>
          <w:sz w:val="24"/>
          <w:szCs w:val="24"/>
          <w:highlight w:val="none"/>
          <w:shd w:val="pct10" w:color="auto" w:fill="FFFFFF"/>
        </w:rPr>
      </w:pPr>
    </w:p>
    <w:p w14:paraId="665CC422">
      <w:pPr>
        <w:rPr>
          <w:rFonts w:hint="eastAsia" w:ascii="宋体" w:hAnsi="宋体" w:eastAsia="宋体" w:cs="宋体"/>
          <w:color w:val="000000"/>
          <w:sz w:val="24"/>
          <w:szCs w:val="24"/>
          <w:highlight w:val="none"/>
          <w:shd w:val="pct10" w:color="auto" w:fill="FFFFFF"/>
        </w:rPr>
      </w:pPr>
    </w:p>
    <w:p w14:paraId="7A7ABAAB">
      <w:pPr>
        <w:pStyle w:val="42"/>
        <w:rPr>
          <w:rFonts w:hint="eastAsia" w:ascii="宋体" w:hAnsi="宋体" w:eastAsia="宋体" w:cs="宋体"/>
          <w:color w:val="000000"/>
          <w:sz w:val="24"/>
          <w:szCs w:val="24"/>
          <w:highlight w:val="none"/>
          <w:shd w:val="pct10" w:color="auto" w:fill="FFFFFF"/>
        </w:rPr>
      </w:pPr>
    </w:p>
    <w:p w14:paraId="3F2FCFD8">
      <w:pPr>
        <w:pStyle w:val="4"/>
        <w:numPr>
          <w:ilvl w:val="0"/>
          <w:numId w:val="0"/>
        </w:numPr>
        <w:tabs>
          <w:tab w:val="left" w:pos="287"/>
        </w:tabs>
        <w:spacing w:line="400" w:lineRule="exact"/>
        <w:ind w:left="574"/>
        <w:jc w:val="center"/>
        <w:rPr>
          <w:rFonts w:hint="eastAsia" w:ascii="宋体" w:hAnsi="宋体" w:eastAsia="宋体" w:cs="宋体"/>
          <w:sz w:val="32"/>
          <w:szCs w:val="32"/>
          <w:highlight w:val="none"/>
        </w:rPr>
      </w:pPr>
      <w:bookmarkStart w:id="86" w:name="_Toc27050"/>
      <w:bookmarkStart w:id="87" w:name="_Toc29597"/>
      <w:bookmarkStart w:id="88" w:name="_Toc477340068"/>
      <w:bookmarkStart w:id="89" w:name="_Toc201383231"/>
      <w:r>
        <w:rPr>
          <w:rFonts w:hint="eastAsia" w:ascii="宋体" w:hAnsi="宋体" w:eastAsia="宋体" w:cs="宋体"/>
          <w:sz w:val="32"/>
          <w:szCs w:val="32"/>
          <w:highlight w:val="none"/>
        </w:rPr>
        <w:t>第一部分  合同协议书</w:t>
      </w:r>
      <w:bookmarkEnd w:id="86"/>
      <w:bookmarkEnd w:id="87"/>
    </w:p>
    <w:p w14:paraId="2F1DDA45">
      <w:pPr>
        <w:spacing w:line="400" w:lineRule="exact"/>
        <w:rPr>
          <w:rFonts w:hint="eastAsia" w:ascii="宋体" w:hAnsi="宋体" w:eastAsia="宋体" w:cs="宋体"/>
          <w:sz w:val="21"/>
          <w:szCs w:val="21"/>
          <w:highlight w:val="none"/>
        </w:rPr>
      </w:pPr>
    </w:p>
    <w:p w14:paraId="795DC1D5">
      <w:pPr>
        <w:pageBreakBefore w:val="0"/>
        <w:widowControl w:val="0"/>
        <w:kinsoku/>
        <w:wordWrap/>
        <w:overflowPunct/>
        <w:topLinePunct w:val="0"/>
        <w:bidi w:val="0"/>
        <w:snapToGrid w:val="0"/>
        <w:spacing w:line="420" w:lineRule="exact"/>
        <w:textAlignment w:val="auto"/>
        <w:rPr>
          <w:rFonts w:hint="eastAsia" w:ascii="宋体" w:hAnsi="宋体" w:eastAsia="宋体" w:cs="宋体"/>
          <w:b/>
          <w:sz w:val="21"/>
          <w:szCs w:val="21"/>
          <w:highlight w:val="none"/>
          <w:u w:val="single"/>
          <w:lang w:eastAsia="zh-CN"/>
        </w:rPr>
      </w:pPr>
      <w:r>
        <w:rPr>
          <w:rFonts w:hint="eastAsia" w:ascii="宋体" w:hAnsi="宋体" w:eastAsia="宋体" w:cs="宋体"/>
          <w:sz w:val="21"/>
          <w:szCs w:val="21"/>
          <w:highlight w:val="none"/>
        </w:rPr>
        <w:t>发包人（全称）：</w:t>
      </w:r>
      <w:r>
        <w:rPr>
          <w:rFonts w:hint="eastAsia" w:ascii="宋体" w:hAnsi="宋体" w:cs="宋体"/>
          <w:b/>
          <w:bCs/>
          <w:sz w:val="21"/>
          <w:szCs w:val="21"/>
          <w:highlight w:val="none"/>
          <w:u w:val="single"/>
          <w:lang w:eastAsia="zh-CN"/>
        </w:rPr>
        <w:t>临海市人民政府大田街道办事处</w:t>
      </w:r>
    </w:p>
    <w:p w14:paraId="7C9FBE5E">
      <w:pPr>
        <w:pageBreakBefore w:val="0"/>
        <w:widowControl w:val="0"/>
        <w:kinsoku/>
        <w:wordWrap/>
        <w:overflowPunct/>
        <w:topLinePunct w:val="0"/>
        <w:bidi w:val="0"/>
        <w:snapToGrid w:val="0"/>
        <w:spacing w:line="420" w:lineRule="exact"/>
        <w:textAlignment w:val="auto"/>
        <w:rPr>
          <w:rFonts w:hint="eastAsia" w:ascii="宋体" w:hAnsi="宋体" w:eastAsia="宋体" w:cs="宋体"/>
          <w:b/>
          <w:sz w:val="21"/>
          <w:szCs w:val="21"/>
          <w:highlight w:val="none"/>
          <w:u w:val="singl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rPr>
        <w:t xml:space="preserve">                </w:t>
      </w:r>
    </w:p>
    <w:p w14:paraId="45ABBA2E">
      <w:pPr>
        <w:pageBreakBefore w:val="0"/>
        <w:widowControl w:val="0"/>
        <w:kinsoku/>
        <w:wordWrap/>
        <w:overflowPunct/>
        <w:topLinePunct w:val="0"/>
        <w:bidi w:val="0"/>
        <w:snapToGrid w:val="0"/>
        <w:spacing w:line="42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b/>
          <w:bCs/>
          <w:sz w:val="21"/>
          <w:szCs w:val="21"/>
          <w:highlight w:val="none"/>
          <w:u w:val="single"/>
        </w:rPr>
        <w:t xml:space="preserve"> </w:t>
      </w:r>
      <w:r>
        <w:rPr>
          <w:rFonts w:hint="eastAsia" w:ascii="宋体" w:hAnsi="宋体" w:cs="宋体"/>
          <w:b/>
          <w:bCs/>
          <w:sz w:val="21"/>
          <w:szCs w:val="21"/>
          <w:highlight w:val="none"/>
          <w:u w:val="single"/>
          <w:lang w:eastAsia="zh-CN"/>
        </w:rPr>
        <w:t>大田街道星都府周边道路工程</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rPr>
        <w:t>施工及有关事项协商一致，共同达成如下协议：</w:t>
      </w:r>
    </w:p>
    <w:p w14:paraId="2DB9FCE1">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一、工程概况</w:t>
      </w:r>
    </w:p>
    <w:p w14:paraId="3598E87E">
      <w:pPr>
        <w:pageBreakBefore w:val="0"/>
        <w:widowControl w:val="0"/>
        <w:kinsoku/>
        <w:wordWrap/>
        <w:overflowPunct/>
        <w:topLinePunct w:val="0"/>
        <w:bidi w:val="0"/>
        <w:snapToGrid w:val="0"/>
        <w:spacing w:line="420" w:lineRule="exact"/>
        <w:ind w:firstLine="411" w:firstLineChars="196"/>
        <w:textAlignment w:val="auto"/>
        <w:rPr>
          <w:rFonts w:hint="eastAsia" w:ascii="宋体" w:hAnsi="宋体" w:eastAsia="宋体" w:cs="宋体"/>
          <w:sz w:val="21"/>
          <w:szCs w:val="21"/>
          <w:highlight w:val="none"/>
          <w:u w:val="single"/>
          <w:lang w:eastAsia="zh-CN"/>
        </w:rPr>
      </w:pPr>
      <w:r>
        <w:rPr>
          <w:rFonts w:hint="eastAsia" w:ascii="宋体" w:hAnsi="宋体" w:eastAsia="宋体" w:cs="宋体"/>
          <w:bCs/>
          <w:sz w:val="21"/>
          <w:szCs w:val="21"/>
          <w:highlight w:val="none"/>
        </w:rPr>
        <w:t>1．工程名称</w:t>
      </w:r>
      <w:r>
        <w:rPr>
          <w:rFonts w:hint="eastAsia" w:ascii="宋体" w:hAnsi="宋体" w:eastAsia="宋体" w:cs="宋体"/>
          <w:sz w:val="21"/>
          <w:szCs w:val="21"/>
          <w:highlight w:val="none"/>
        </w:rPr>
        <w:t>：</w:t>
      </w:r>
      <w:r>
        <w:rPr>
          <w:rFonts w:hint="eastAsia" w:ascii="宋体" w:hAnsi="宋体" w:cs="宋体"/>
          <w:sz w:val="21"/>
          <w:szCs w:val="21"/>
          <w:highlight w:val="none"/>
          <w:u w:val="single"/>
          <w:lang w:eastAsia="zh-CN"/>
        </w:rPr>
        <w:t>大田街道星都府周边道路工程</w:t>
      </w:r>
    </w:p>
    <w:p w14:paraId="07C5A7AC">
      <w:pPr>
        <w:pageBreakBefore w:val="0"/>
        <w:widowControl w:val="0"/>
        <w:kinsoku/>
        <w:wordWrap/>
        <w:overflowPunct/>
        <w:topLinePunct w:val="0"/>
        <w:bidi w:val="0"/>
        <w:snapToGrid w:val="0"/>
        <w:spacing w:line="420" w:lineRule="exact"/>
        <w:ind w:firstLine="411" w:firstLineChars="196"/>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2．工程地点：</w:t>
      </w:r>
      <w:r>
        <w:rPr>
          <w:rFonts w:hint="eastAsia" w:ascii="宋体" w:hAnsi="宋体" w:cs="宋体"/>
          <w:bCs/>
          <w:sz w:val="21"/>
          <w:szCs w:val="21"/>
          <w:highlight w:val="none"/>
          <w:u w:val="single"/>
          <w:lang w:eastAsia="zh-CN"/>
        </w:rPr>
        <w:t>临海市</w:t>
      </w:r>
      <w:r>
        <w:rPr>
          <w:rFonts w:hint="eastAsia" w:ascii="宋体" w:hAnsi="宋体" w:cs="宋体"/>
          <w:sz w:val="21"/>
          <w:szCs w:val="21"/>
          <w:highlight w:val="none"/>
          <w:u w:val="single"/>
          <w:lang w:eastAsia="zh-CN"/>
        </w:rPr>
        <w:t>大田街道星都府</w:t>
      </w:r>
    </w:p>
    <w:p w14:paraId="7626BBA4">
      <w:pPr>
        <w:pageBreakBefore w:val="0"/>
        <w:widowControl w:val="0"/>
        <w:kinsoku/>
        <w:wordWrap/>
        <w:overflowPunct/>
        <w:topLinePunct w:val="0"/>
        <w:bidi w:val="0"/>
        <w:snapToGrid w:val="0"/>
        <w:spacing w:line="420" w:lineRule="exact"/>
        <w:ind w:firstLine="411" w:firstLineChars="196"/>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3．工程立项批准文号：</w:t>
      </w:r>
      <w:r>
        <w:rPr>
          <w:rFonts w:hint="eastAsia" w:ascii="宋体" w:hAnsi="宋体" w:cs="宋体"/>
          <w:bCs/>
          <w:sz w:val="21"/>
          <w:szCs w:val="21"/>
          <w:highlight w:val="none"/>
          <w:u w:val="single"/>
          <w:lang w:eastAsia="zh-CN"/>
        </w:rPr>
        <w:t>临发改投资〔2024〕</w:t>
      </w:r>
      <w:r>
        <w:rPr>
          <w:rFonts w:hint="eastAsia" w:ascii="宋体" w:hAnsi="宋体" w:cs="宋体"/>
          <w:bCs/>
          <w:sz w:val="21"/>
          <w:szCs w:val="21"/>
          <w:highlight w:val="none"/>
          <w:u w:val="single"/>
          <w:lang w:val="en-US" w:eastAsia="zh-CN"/>
        </w:rPr>
        <w:t>262</w:t>
      </w:r>
      <w:r>
        <w:rPr>
          <w:rFonts w:hint="eastAsia" w:ascii="宋体" w:hAnsi="宋体" w:cs="宋体"/>
          <w:bCs/>
          <w:sz w:val="21"/>
          <w:szCs w:val="21"/>
          <w:highlight w:val="none"/>
          <w:u w:val="single"/>
          <w:lang w:eastAsia="zh-CN"/>
        </w:rPr>
        <w:t>号</w:t>
      </w:r>
    </w:p>
    <w:p w14:paraId="33608793">
      <w:pPr>
        <w:pageBreakBefore w:val="0"/>
        <w:widowControl w:val="0"/>
        <w:kinsoku/>
        <w:wordWrap/>
        <w:overflowPunct/>
        <w:topLinePunct w:val="0"/>
        <w:bidi w:val="0"/>
        <w:snapToGrid w:val="0"/>
        <w:spacing w:line="420" w:lineRule="exact"/>
        <w:ind w:firstLine="411" w:firstLineChars="196"/>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4．资金来源：</w:t>
      </w:r>
      <w:r>
        <w:rPr>
          <w:rFonts w:hint="eastAsia" w:ascii="宋体" w:hAnsi="宋体" w:cs="宋体"/>
          <w:bCs/>
          <w:sz w:val="21"/>
          <w:szCs w:val="21"/>
          <w:highlight w:val="none"/>
          <w:u w:val="single"/>
          <w:lang w:val="en-US" w:eastAsia="zh-CN"/>
        </w:rPr>
        <w:t>财政拨款</w:t>
      </w:r>
      <w:r>
        <w:rPr>
          <w:rFonts w:hint="eastAsia" w:ascii="宋体" w:hAnsi="宋体" w:eastAsia="宋体" w:cs="宋体"/>
          <w:bCs/>
          <w:sz w:val="21"/>
          <w:szCs w:val="21"/>
          <w:highlight w:val="none"/>
        </w:rPr>
        <w:t>。</w:t>
      </w:r>
    </w:p>
    <w:p w14:paraId="5FA48173">
      <w:pPr>
        <w:pageBreakBefore w:val="0"/>
        <w:widowControl w:val="0"/>
        <w:kinsoku/>
        <w:wordWrap/>
        <w:overflowPunct/>
        <w:topLinePunct w:val="0"/>
        <w:bidi w:val="0"/>
        <w:snapToGrid w:val="0"/>
        <w:spacing w:line="420" w:lineRule="exact"/>
        <w:ind w:firstLine="411" w:firstLineChars="196"/>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5．工程内容：</w:t>
      </w:r>
      <w:r>
        <w:rPr>
          <w:rFonts w:hint="eastAsia" w:ascii="宋体" w:hAnsi="宋体" w:eastAsia="宋体" w:cs="宋体"/>
          <w:bCs/>
          <w:sz w:val="21"/>
          <w:szCs w:val="21"/>
          <w:highlight w:val="none"/>
          <w:u w:val="single"/>
          <w:lang w:val="en-US" w:eastAsia="zh-CN"/>
        </w:rPr>
        <w:t>本次大田街道星都府周边道路工程计划改造主要内容为新建混凝土路面、新建雨污水管网、景观绿化的种植、室外交通配套等。 招标人提供的图纸所包含的大田街道星都府周边道路工程，具体内容以招标人提供的施工图纸及工程量清单为准</w:t>
      </w:r>
      <w:r>
        <w:rPr>
          <w:rFonts w:hint="eastAsia" w:ascii="宋体" w:hAnsi="宋体" w:eastAsia="宋体" w:cs="宋体"/>
          <w:bCs/>
          <w:sz w:val="21"/>
          <w:szCs w:val="21"/>
          <w:highlight w:val="none"/>
          <w:u w:val="single"/>
        </w:rPr>
        <w:t>。</w:t>
      </w:r>
    </w:p>
    <w:p w14:paraId="6BB3D202">
      <w:pPr>
        <w:pageBreakBefore w:val="0"/>
        <w:widowControl w:val="0"/>
        <w:kinsoku/>
        <w:wordWrap/>
        <w:overflowPunct/>
        <w:topLinePunct w:val="0"/>
        <w:bidi w:val="0"/>
        <w:snapToGrid w:val="0"/>
        <w:spacing w:line="420" w:lineRule="exact"/>
        <w:ind w:firstLine="411" w:firstLineChars="196"/>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群体工程应附《承包人承揽工程项目一览表》（附件1）。</w:t>
      </w:r>
    </w:p>
    <w:p w14:paraId="01C16F5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6．工程承包范围：</w:t>
      </w:r>
    </w:p>
    <w:p w14:paraId="749C28E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发包人提供的图纸范围内的</w:t>
      </w:r>
      <w:r>
        <w:rPr>
          <w:rFonts w:hint="eastAsia" w:ascii="宋体" w:hAnsi="宋体" w:eastAsia="宋体" w:cs="宋体"/>
          <w:sz w:val="21"/>
          <w:szCs w:val="21"/>
          <w:highlight w:val="none"/>
          <w:u w:val="single"/>
          <w:lang w:eastAsia="zh-CN"/>
        </w:rPr>
        <w:t>大田街道星都府周边道路工程</w:t>
      </w:r>
      <w:r>
        <w:rPr>
          <w:rFonts w:hint="eastAsia" w:ascii="宋体" w:hAnsi="宋体" w:eastAsia="宋体" w:cs="宋体"/>
          <w:sz w:val="21"/>
          <w:szCs w:val="21"/>
          <w:highlight w:val="none"/>
          <w:u w:val="single"/>
        </w:rPr>
        <w:t>，具体内容以发包人提供的预算书为准；</w:t>
      </w:r>
    </w:p>
    <w:p w14:paraId="56B5DB31">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二、合同工期</w:t>
      </w:r>
    </w:p>
    <w:p w14:paraId="03BAFBC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w:t>
      </w:r>
      <w:r>
        <w:rPr>
          <w:rFonts w:hint="eastAsia" w:ascii="宋体" w:hAnsi="宋体" w:eastAsia="宋体" w:cs="宋体"/>
          <w:sz w:val="21"/>
          <w:szCs w:val="21"/>
          <w:highlight w:val="none"/>
          <w:u w:val="single"/>
        </w:rPr>
        <w:t>以发包人的开工通知为准。</w:t>
      </w:r>
    </w:p>
    <w:p w14:paraId="4088A75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r>
        <w:rPr>
          <w:rFonts w:hint="eastAsia" w:ascii="宋体" w:hAnsi="宋体" w:eastAsia="宋体" w:cs="宋体"/>
          <w:sz w:val="21"/>
          <w:szCs w:val="21"/>
          <w:highlight w:val="none"/>
          <w:u w:val="single"/>
        </w:rPr>
        <w:t>按合同工期顺推。</w:t>
      </w:r>
    </w:p>
    <w:p w14:paraId="0573FCB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工期总日历天数：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天。工期总日历天数与根据前述计划开、竣工日期计算的工期天数不一致的，以工期总日历天数为准。</w:t>
      </w:r>
    </w:p>
    <w:p w14:paraId="01D9D8CB">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三、质量标准</w:t>
      </w:r>
    </w:p>
    <w:p w14:paraId="52F31B45">
      <w:pPr>
        <w:pageBreakBefore w:val="0"/>
        <w:widowControl w:val="0"/>
        <w:kinsoku/>
        <w:wordWrap/>
        <w:overflowPunct/>
        <w:topLinePunct w:val="0"/>
        <w:bidi w:val="0"/>
        <w:snapToGrid w:val="0"/>
        <w:spacing w:line="420" w:lineRule="exact"/>
        <w:ind w:firstLine="459"/>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工程质量符合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标准。</w:t>
      </w:r>
    </w:p>
    <w:p w14:paraId="757A962D">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四、签约合同价与合同价格形式</w:t>
      </w:r>
    </w:p>
    <w:p w14:paraId="08A7CE2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1．签约合同价为：</w:t>
      </w:r>
    </w:p>
    <w:p w14:paraId="56ED872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4DFC29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2．合同价格形式：</w:t>
      </w:r>
      <w:r>
        <w:rPr>
          <w:rFonts w:hint="eastAsia" w:ascii="宋体" w:hAnsi="宋体" w:eastAsia="宋体" w:cs="宋体"/>
          <w:sz w:val="21"/>
          <w:szCs w:val="21"/>
          <w:highlight w:val="none"/>
          <w:u w:val="single"/>
        </w:rPr>
        <w:t>其他价格形式合同</w:t>
      </w:r>
      <w:r>
        <w:rPr>
          <w:rFonts w:hint="eastAsia" w:ascii="宋体" w:hAnsi="宋体" w:eastAsia="宋体" w:cs="宋体"/>
          <w:sz w:val="21"/>
          <w:szCs w:val="21"/>
          <w:highlight w:val="none"/>
        </w:rPr>
        <w:t>。</w:t>
      </w:r>
    </w:p>
    <w:p w14:paraId="553BEFF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3．发包人向承包人支付工程价款及其他应当支付的款项均须汇入承包人合同协议书中的银行账户（先开票后付款）。</w:t>
      </w:r>
    </w:p>
    <w:p w14:paraId="4A91BE21">
      <w:pPr>
        <w:pageBreakBefore w:val="0"/>
        <w:widowControl w:val="0"/>
        <w:kinsoku/>
        <w:wordWrap/>
        <w:overflowPunct/>
        <w:topLinePunct w:val="0"/>
        <w:bidi w:val="0"/>
        <w:snapToGrid w:val="0"/>
        <w:spacing w:line="420" w:lineRule="exact"/>
        <w:ind w:firstLine="352" w:firstLineChars="168"/>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承包人完成本合同项下应税行为的计税方式按</w:t>
      </w:r>
      <w:r>
        <w:rPr>
          <w:rFonts w:hint="eastAsia" w:ascii="宋体" w:hAnsi="宋体" w:eastAsia="宋体" w:cs="宋体"/>
          <w:sz w:val="21"/>
          <w:szCs w:val="21"/>
          <w:highlight w:val="none"/>
        </w:rPr>
        <w:t>以下第</w:t>
      </w:r>
      <w:r>
        <w:rPr>
          <w:rFonts w:hint="eastAsia" w:ascii="宋体" w:hAnsi="宋体" w:eastAsia="宋体" w:cs="宋体"/>
          <w:sz w:val="21"/>
          <w:szCs w:val="21"/>
          <w:highlight w:val="none"/>
          <w:u w:val="single"/>
          <w:shd w:val="clear" w:color="auto" w:fill="FFFFFF"/>
        </w:rPr>
        <w:t xml:space="preserve">  1  </w:t>
      </w:r>
      <w:r>
        <w:rPr>
          <w:rFonts w:hint="eastAsia" w:ascii="宋体" w:hAnsi="宋体" w:eastAsia="宋体" w:cs="宋体"/>
          <w:sz w:val="21"/>
          <w:szCs w:val="21"/>
          <w:highlight w:val="none"/>
          <w:shd w:val="clear" w:color="auto" w:fill="FFFFFF"/>
        </w:rPr>
        <w:t>种方法，并与</w:t>
      </w:r>
      <w:r>
        <w:rPr>
          <w:rFonts w:hint="eastAsia" w:ascii="宋体" w:hAnsi="宋体" w:eastAsia="宋体" w:cs="宋体"/>
          <w:sz w:val="21"/>
          <w:szCs w:val="21"/>
          <w:highlight w:val="none"/>
        </w:rPr>
        <w:t>工程计价时采用的计税方法一致。</w:t>
      </w:r>
    </w:p>
    <w:p w14:paraId="2E7F1663">
      <w:pPr>
        <w:pageBreakBefore w:val="0"/>
        <w:widowControl w:val="0"/>
        <w:kinsoku/>
        <w:wordWrap/>
        <w:overflowPunct/>
        <w:topLinePunct w:val="0"/>
        <w:bidi w:val="0"/>
        <w:snapToGrid w:val="0"/>
        <w:spacing w:line="420" w:lineRule="exact"/>
        <w:ind w:firstLine="352" w:firstLineChars="168"/>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（1）一般计税方法。</w:t>
      </w:r>
    </w:p>
    <w:p w14:paraId="593FD640">
      <w:pPr>
        <w:pageBreakBefore w:val="0"/>
        <w:widowControl w:val="0"/>
        <w:kinsoku/>
        <w:wordWrap/>
        <w:overflowPunct/>
        <w:topLinePunct w:val="0"/>
        <w:bidi w:val="0"/>
        <w:snapToGrid w:val="0"/>
        <w:spacing w:line="420" w:lineRule="exact"/>
        <w:ind w:firstLine="352" w:firstLineChars="168"/>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shd w:val="clear" w:color="auto" w:fill="FFFFFF"/>
        </w:rPr>
        <w:t>简易计税方法。</w:t>
      </w:r>
    </w:p>
    <w:p w14:paraId="6846ABED">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五、项目经理</w:t>
      </w:r>
    </w:p>
    <w:p w14:paraId="3212B81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w:t>
      </w:r>
      <w:r>
        <w:rPr>
          <w:rFonts w:hint="eastAsia" w:ascii="宋体" w:hAnsi="宋体" w:eastAsia="宋体" w:cs="宋体"/>
          <w:sz w:val="21"/>
          <w:szCs w:val="21"/>
          <w:highlight w:val="none"/>
          <w:u w:val="single"/>
        </w:rPr>
        <w:t>                     </w:t>
      </w:r>
      <w:r>
        <w:rPr>
          <w:rFonts w:hint="eastAsia" w:ascii="宋体" w:hAnsi="宋体" w:eastAsia="宋体" w:cs="宋体"/>
          <w:sz w:val="21"/>
          <w:szCs w:val="21"/>
          <w:highlight w:val="none"/>
        </w:rPr>
        <w:t>。</w:t>
      </w:r>
    </w:p>
    <w:p w14:paraId="277C49DE">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六、合同文件构成</w:t>
      </w:r>
    </w:p>
    <w:p w14:paraId="2BC16B6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本协议书与下列文件一起构成合同文件：</w:t>
      </w:r>
    </w:p>
    <w:p w14:paraId="14F5138E">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（1）中标通知书（如果有）；</w:t>
      </w:r>
    </w:p>
    <w:p w14:paraId="074A0A5E">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（2）投标函及其附录（如果有）；</w:t>
      </w:r>
    </w:p>
    <w:p w14:paraId="73B7D0A7">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250A8A1E">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0F440C7F">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0C8C9D01">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02113AA4">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19E04D91">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2BFCBAB1">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631D65DE">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69A507D5">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七、创优目标</w:t>
      </w:r>
    </w:p>
    <w:p w14:paraId="58E52658">
      <w:pPr>
        <w:pStyle w:val="6"/>
        <w:keepNext w:val="0"/>
        <w:keepLines w:val="0"/>
        <w:pageBreakBefore w:val="0"/>
        <w:widowControl w:val="0"/>
        <w:kinsoku/>
        <w:wordWrap/>
        <w:overflowPunct/>
        <w:topLinePunct w:val="0"/>
        <w:bidi w:val="0"/>
        <w:snapToGrid w:val="0"/>
        <w:spacing w:before="0" w:after="0" w:line="420" w:lineRule="exact"/>
        <w:ind w:firstLine="420" w:firstLineChars="200"/>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本工程</w:t>
      </w:r>
      <w:r>
        <w:rPr>
          <w:rFonts w:hint="eastAsia" w:ascii="宋体" w:hAnsi="宋体" w:eastAsia="宋体" w:cs="宋体"/>
          <w:b w:val="0"/>
          <w:bCs w:val="0"/>
          <w:sz w:val="21"/>
          <w:szCs w:val="21"/>
          <w:highlight w:val="none"/>
          <w:u w:val="single"/>
        </w:rPr>
        <w:t>无创优质工程目标</w:t>
      </w:r>
      <w:r>
        <w:rPr>
          <w:rFonts w:hint="eastAsia" w:ascii="宋体" w:hAnsi="宋体" w:eastAsia="宋体" w:cs="宋体"/>
          <w:b w:val="0"/>
          <w:bCs w:val="0"/>
          <w:sz w:val="21"/>
          <w:szCs w:val="21"/>
          <w:highlight w:val="none"/>
        </w:rPr>
        <w:t>。</w:t>
      </w:r>
    </w:p>
    <w:p w14:paraId="7A37F041">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bCs w:val="0"/>
          <w:sz w:val="21"/>
          <w:szCs w:val="21"/>
          <w:highlight w:val="none"/>
        </w:rPr>
      </w:pPr>
      <w:r>
        <w:rPr>
          <w:rFonts w:hint="eastAsia" w:ascii="宋体" w:hAnsi="宋体" w:eastAsia="宋体" w:cs="宋体"/>
          <w:b w:val="0"/>
          <w:sz w:val="21"/>
          <w:szCs w:val="21"/>
          <w:highlight w:val="none"/>
        </w:rPr>
        <w:t>八、承诺</w:t>
      </w:r>
    </w:p>
    <w:p w14:paraId="706F5DC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1．发包人承诺按照法律规定履行项目审批手续、筹集工程建设资金并按照合同约定的期限和方式支付合同价款。</w:t>
      </w:r>
    </w:p>
    <w:p w14:paraId="1125251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2．承包人承诺按照法律规定及合同约定组织完成工程施工，确保工程质量和安全，不进行转包及违法分包，并在缺陷责任期及保修期内承担相应的工程维修责任。</w:t>
      </w:r>
    </w:p>
    <w:p w14:paraId="4B6DF37A">
      <w:pPr>
        <w:pageBreakBefore w:val="0"/>
        <w:widowControl w:val="0"/>
        <w:tabs>
          <w:tab w:val="left" w:pos="0"/>
        </w:tabs>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kern w:val="0"/>
          <w:sz w:val="21"/>
          <w:szCs w:val="21"/>
          <w:highlight w:val="none"/>
        </w:rPr>
        <w:t>承包人</w:t>
      </w:r>
      <w:r>
        <w:rPr>
          <w:rFonts w:hint="eastAsia" w:ascii="宋体" w:hAnsi="宋体" w:eastAsia="宋体" w:cs="宋体"/>
          <w:bCs/>
          <w:sz w:val="21"/>
          <w:szCs w:val="21"/>
          <w:highlight w:val="none"/>
        </w:rPr>
        <w:t>承诺</w:t>
      </w:r>
      <w:r>
        <w:rPr>
          <w:rFonts w:hint="eastAsia" w:ascii="宋体" w:hAnsi="宋体" w:eastAsia="宋体" w:cs="宋体"/>
          <w:kern w:val="0"/>
          <w:sz w:val="21"/>
          <w:szCs w:val="21"/>
          <w:highlight w:val="none"/>
        </w:rPr>
        <w:t>不拖欠工人工资，因拖欠工资造成的一切后果，均由承包人承担，发包人有权将应拔付的工程款，先代付工人工资。</w:t>
      </w:r>
    </w:p>
    <w:p w14:paraId="7A09FAB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4．发包人和承包人通过招投标形式签订合同的，双方理解并承诺不再就同一工程另行签订与合同实质性内容相背离的协议。</w:t>
      </w:r>
    </w:p>
    <w:p w14:paraId="0E2BB52E">
      <w:pPr>
        <w:pageBreakBefore w:val="0"/>
        <w:widowControl w:val="0"/>
        <w:kinsoku/>
        <w:wordWrap/>
        <w:overflowPunct/>
        <w:topLinePunct w:val="0"/>
        <w:bidi w:val="0"/>
        <w:snapToGrid w:val="0"/>
        <w:spacing w:line="420" w:lineRule="exac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九、词语含义</w:t>
      </w:r>
    </w:p>
    <w:p w14:paraId="487B288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本协议书中词语含义与第二部分通用合同条款中赋予的含义相同。</w:t>
      </w:r>
    </w:p>
    <w:p w14:paraId="2EDF63C3">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十、签订时间</w:t>
      </w:r>
    </w:p>
    <w:p w14:paraId="24BFB34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日签订。</w:t>
      </w:r>
    </w:p>
    <w:p w14:paraId="327589E9">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十一、签订地点</w:t>
      </w:r>
    </w:p>
    <w:p w14:paraId="0BF415E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本合同在</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签订。</w:t>
      </w:r>
    </w:p>
    <w:p w14:paraId="10025C6B">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十二、补充协议</w:t>
      </w:r>
    </w:p>
    <w:p w14:paraId="4410B7F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合同未尽事宜，合同当事人另行签订补充协议，补充协议是合同的组成部分。</w:t>
      </w:r>
    </w:p>
    <w:p w14:paraId="0E698442">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十三、合同生效</w:t>
      </w:r>
    </w:p>
    <w:p w14:paraId="398C7D7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本合同自</w:t>
      </w:r>
      <w:r>
        <w:rPr>
          <w:rFonts w:hint="eastAsia" w:ascii="宋体" w:hAnsi="宋体" w:eastAsia="宋体" w:cs="宋体"/>
          <w:bCs/>
          <w:sz w:val="21"/>
          <w:szCs w:val="21"/>
          <w:highlight w:val="none"/>
          <w:u w:val="single"/>
        </w:rPr>
        <w:t xml:space="preserve"> 双方法定代表人或委托代理人签字并加盖公章后 </w:t>
      </w:r>
      <w:r>
        <w:rPr>
          <w:rFonts w:hint="eastAsia" w:ascii="宋体" w:hAnsi="宋体" w:eastAsia="宋体" w:cs="宋体"/>
          <w:bCs/>
          <w:sz w:val="21"/>
          <w:szCs w:val="21"/>
          <w:highlight w:val="none"/>
        </w:rPr>
        <w:t>生效。</w:t>
      </w:r>
    </w:p>
    <w:p w14:paraId="2ACBFF7C">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十四、合同份数</w:t>
      </w:r>
    </w:p>
    <w:p w14:paraId="30E48F7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捌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份，承包人执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份，招标代理机构执</w:t>
      </w:r>
      <w:r>
        <w:rPr>
          <w:rFonts w:hint="eastAsia" w:ascii="宋体" w:hAnsi="宋体" w:eastAsia="宋体" w:cs="宋体"/>
          <w:bCs/>
          <w:sz w:val="21"/>
          <w:szCs w:val="21"/>
          <w:highlight w:val="none"/>
          <w:u w:val="single"/>
        </w:rPr>
        <w:t xml:space="preserve"> 贰 </w:t>
      </w:r>
      <w:r>
        <w:rPr>
          <w:rFonts w:hint="eastAsia" w:ascii="宋体" w:hAnsi="宋体" w:eastAsia="宋体" w:cs="宋体"/>
          <w:bCs/>
          <w:sz w:val="21"/>
          <w:szCs w:val="21"/>
          <w:highlight w:val="none"/>
        </w:rPr>
        <w:t>份。</w:t>
      </w:r>
    </w:p>
    <w:p w14:paraId="70F1C07C">
      <w:pPr>
        <w:pageBreakBefore w:val="0"/>
        <w:widowControl w:val="0"/>
        <w:kinsoku/>
        <w:wordWrap/>
        <w:overflowPunct/>
        <w:topLinePunct w:val="0"/>
        <w:bidi w:val="0"/>
        <w:spacing w:line="420" w:lineRule="exact"/>
        <w:ind w:firstLine="420" w:firstLineChars="200"/>
        <w:textAlignment w:val="auto"/>
        <w:rPr>
          <w:rFonts w:hint="eastAsia" w:ascii="宋体" w:hAnsi="宋体" w:eastAsia="宋体" w:cs="宋体"/>
          <w:bCs/>
          <w:sz w:val="21"/>
          <w:szCs w:val="21"/>
          <w:highlight w:val="none"/>
        </w:rPr>
      </w:pPr>
    </w:p>
    <w:tbl>
      <w:tblPr>
        <w:tblStyle w:val="51"/>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0"/>
        <w:gridCol w:w="4620"/>
      </w:tblGrid>
      <w:tr w14:paraId="342E5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5" w:hRule="atLeast"/>
        </w:trPr>
        <w:tc>
          <w:tcPr>
            <w:tcW w:w="4440" w:type="dxa"/>
            <w:noWrap w:val="0"/>
            <w:vAlign w:val="top"/>
          </w:tcPr>
          <w:p w14:paraId="56353BD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p>
          <w:p w14:paraId="751E8A0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发包人：（公章或合同专用章）</w:t>
            </w:r>
          </w:p>
          <w:p w14:paraId="17F0731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住所：</w:t>
            </w:r>
          </w:p>
          <w:p w14:paraId="3A0E2D2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法定代表人(签字)</w:t>
            </w:r>
          </w:p>
          <w:p w14:paraId="14B21A5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或委托代理人(签字)：</w:t>
            </w:r>
          </w:p>
          <w:p w14:paraId="2FB2591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w:t>
            </w:r>
          </w:p>
          <w:p w14:paraId="58226F5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传真：</w:t>
            </w:r>
          </w:p>
          <w:p w14:paraId="5FCB4A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开户银行：</w:t>
            </w:r>
          </w:p>
          <w:p w14:paraId="62890D7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账号：</w:t>
            </w:r>
          </w:p>
          <w:p w14:paraId="4FE0DF9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邮政编码：</w:t>
            </w:r>
          </w:p>
          <w:p w14:paraId="23B57B0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电子邮箱：</w:t>
            </w:r>
          </w:p>
        </w:tc>
        <w:tc>
          <w:tcPr>
            <w:tcW w:w="4620" w:type="dxa"/>
            <w:noWrap w:val="0"/>
            <w:vAlign w:val="top"/>
          </w:tcPr>
          <w:p w14:paraId="3F2E4B0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p>
          <w:p w14:paraId="0AAE696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承包人：（公章或合同专用章）</w:t>
            </w:r>
          </w:p>
          <w:p w14:paraId="56BF6E3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住所：</w:t>
            </w:r>
          </w:p>
          <w:p w14:paraId="41A3351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法定代表人(签字)：</w:t>
            </w:r>
          </w:p>
          <w:p w14:paraId="26D1C48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或委托代理人(签字)：</w:t>
            </w:r>
          </w:p>
          <w:p w14:paraId="4F06B9F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w:t>
            </w:r>
          </w:p>
          <w:p w14:paraId="2C8365A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传真：</w:t>
            </w:r>
          </w:p>
          <w:p w14:paraId="50D9C5A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开户银行：</w:t>
            </w:r>
          </w:p>
          <w:p w14:paraId="485FECF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账号：</w:t>
            </w:r>
          </w:p>
          <w:p w14:paraId="42D1930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邮政编码：　　　　</w:t>
            </w:r>
          </w:p>
          <w:p w14:paraId="4C668F8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电子邮箱：</w:t>
            </w:r>
          </w:p>
        </w:tc>
      </w:tr>
    </w:tbl>
    <w:p w14:paraId="6802336A">
      <w:pPr>
        <w:pStyle w:val="2"/>
        <w:pageBreakBefore w:val="0"/>
        <w:widowControl w:val="0"/>
        <w:kinsoku/>
        <w:wordWrap/>
        <w:overflowPunct/>
        <w:topLinePunct w:val="0"/>
        <w:bidi w:val="0"/>
        <w:spacing w:line="420" w:lineRule="exact"/>
        <w:textAlignment w:val="auto"/>
        <w:rPr>
          <w:rFonts w:hint="eastAsia" w:ascii="宋体" w:hAnsi="宋体" w:eastAsia="宋体" w:cs="宋体"/>
          <w:bCs/>
          <w:sz w:val="21"/>
          <w:szCs w:val="21"/>
          <w:highlight w:val="none"/>
        </w:rPr>
      </w:pPr>
    </w:p>
    <w:p w14:paraId="63ADBB35">
      <w:pPr>
        <w:pStyle w:val="4"/>
        <w:pageBreakBefore w:val="0"/>
        <w:widowControl w:val="0"/>
        <w:numPr>
          <w:ilvl w:val="0"/>
          <w:numId w:val="0"/>
        </w:numPr>
        <w:tabs>
          <w:tab w:val="left" w:pos="287"/>
        </w:tabs>
        <w:kinsoku/>
        <w:wordWrap/>
        <w:overflowPunct/>
        <w:topLinePunct w:val="0"/>
        <w:bidi w:val="0"/>
        <w:spacing w:line="420" w:lineRule="exact"/>
        <w:jc w:val="center"/>
        <w:textAlignment w:val="auto"/>
        <w:rPr>
          <w:rFonts w:hint="eastAsia" w:ascii="宋体" w:hAnsi="宋体" w:eastAsia="宋体" w:cs="宋体"/>
          <w:sz w:val="32"/>
          <w:szCs w:val="32"/>
          <w:highlight w:val="none"/>
        </w:rPr>
      </w:pPr>
      <w:r>
        <w:rPr>
          <w:rFonts w:hint="eastAsia" w:ascii="宋体" w:hAnsi="宋体" w:eastAsia="宋体" w:cs="宋体"/>
          <w:sz w:val="36"/>
          <w:szCs w:val="36"/>
          <w:highlight w:val="none"/>
        </w:rPr>
        <w:br w:type="page"/>
      </w:r>
      <w:bookmarkStart w:id="90" w:name="_Toc6796"/>
      <w:bookmarkStart w:id="91" w:name="_Toc28101"/>
      <w:r>
        <w:rPr>
          <w:rFonts w:hint="eastAsia" w:ascii="宋体" w:hAnsi="宋体" w:eastAsia="宋体" w:cs="宋体"/>
          <w:sz w:val="32"/>
          <w:szCs w:val="32"/>
          <w:highlight w:val="none"/>
        </w:rPr>
        <w:t>第二部分 通用条款（略）</w:t>
      </w:r>
      <w:bookmarkEnd w:id="90"/>
      <w:bookmarkEnd w:id="91"/>
    </w:p>
    <w:p w14:paraId="390E224D">
      <w:pPr>
        <w:pStyle w:val="4"/>
        <w:pageBreakBefore w:val="0"/>
        <w:widowControl w:val="0"/>
        <w:numPr>
          <w:ilvl w:val="0"/>
          <w:numId w:val="0"/>
        </w:numPr>
        <w:tabs>
          <w:tab w:val="left" w:pos="287"/>
        </w:tabs>
        <w:kinsoku/>
        <w:wordWrap/>
        <w:overflowPunct/>
        <w:topLinePunct w:val="0"/>
        <w:bidi w:val="0"/>
        <w:spacing w:line="420" w:lineRule="exact"/>
        <w:jc w:val="center"/>
        <w:textAlignment w:val="auto"/>
        <w:rPr>
          <w:rFonts w:hint="eastAsia" w:ascii="宋体" w:hAnsi="宋体" w:eastAsia="宋体" w:cs="宋体"/>
          <w:sz w:val="32"/>
          <w:szCs w:val="32"/>
          <w:highlight w:val="none"/>
        </w:rPr>
      </w:pPr>
      <w:r>
        <w:rPr>
          <w:rFonts w:hint="eastAsia" w:ascii="宋体" w:hAnsi="宋体" w:eastAsia="宋体" w:cs="宋体"/>
          <w:sz w:val="36"/>
          <w:szCs w:val="36"/>
          <w:highlight w:val="none"/>
        </w:rPr>
        <w:br w:type="page"/>
      </w:r>
      <w:bookmarkEnd w:id="88"/>
      <w:bookmarkEnd w:id="89"/>
      <w:bookmarkStart w:id="92" w:name="_Toc9134"/>
      <w:bookmarkStart w:id="93" w:name="_Toc19096"/>
      <w:r>
        <w:rPr>
          <w:rFonts w:hint="eastAsia" w:ascii="宋体" w:hAnsi="宋体" w:eastAsia="宋体" w:cs="宋体"/>
          <w:sz w:val="32"/>
          <w:szCs w:val="32"/>
          <w:highlight w:val="none"/>
        </w:rPr>
        <w:t>第三部分  专用合同条款</w:t>
      </w:r>
      <w:bookmarkEnd w:id="92"/>
      <w:bookmarkEnd w:id="93"/>
    </w:p>
    <w:p w14:paraId="014479EB">
      <w:pPr>
        <w:pStyle w:val="2"/>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sz w:val="36"/>
          <w:szCs w:val="36"/>
          <w:highlight w:val="none"/>
        </w:rPr>
      </w:pPr>
    </w:p>
    <w:p w14:paraId="051D896B">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1．一般约定</w:t>
      </w:r>
    </w:p>
    <w:p w14:paraId="7DB63BC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 词语定义</w:t>
      </w:r>
    </w:p>
    <w:p w14:paraId="3328B7C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1.1.1合同</w:t>
      </w:r>
    </w:p>
    <w:p w14:paraId="153C21F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1.1.1.10其他合同文件包括：</w:t>
      </w:r>
      <w:r>
        <w:rPr>
          <w:rFonts w:hint="eastAsia" w:ascii="宋体" w:hAnsi="宋体" w:eastAsia="宋体" w:cs="宋体"/>
          <w:kern w:val="0"/>
          <w:sz w:val="21"/>
          <w:szCs w:val="21"/>
          <w:highlight w:val="none"/>
          <w:u w:val="single"/>
        </w:rPr>
        <w:t>工程招标文件、《关于进一步完善政府投资项目管理的若干意见》（临政办发〔2018〕167号）、除投标函及其附录和已标价工程量清单或预算书外的其它投标文件。</w:t>
      </w:r>
    </w:p>
    <w:p w14:paraId="7669AF3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1.1.2合同当事人及其他相关方</w:t>
      </w:r>
    </w:p>
    <w:p w14:paraId="6BD2D46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1.1.2.4监理人：</w:t>
      </w:r>
    </w:p>
    <w:p w14:paraId="1A6FE80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6EE46C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836A74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145BD8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152E92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F683DE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1.1.2.5设计人：</w:t>
      </w:r>
    </w:p>
    <w:p w14:paraId="699F3B1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5A1536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484617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62F020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5D44C9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2DB722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1.1.3工程和设备</w:t>
      </w:r>
    </w:p>
    <w:p w14:paraId="59A598E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1.1.3.7作为施工现场组成部分的其他场所包括：</w:t>
      </w:r>
      <w:r>
        <w:rPr>
          <w:rFonts w:hint="eastAsia" w:ascii="宋体" w:hAnsi="宋体" w:eastAsia="宋体" w:cs="宋体"/>
          <w:kern w:val="0"/>
          <w:sz w:val="21"/>
          <w:szCs w:val="21"/>
          <w:highlight w:val="none"/>
          <w:u w:val="single"/>
        </w:rPr>
        <w:t xml:space="preserve">                                        </w:t>
      </w:r>
    </w:p>
    <w:p w14:paraId="408702A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1.1.3.9永久占地包括：</w:t>
      </w:r>
      <w:r>
        <w:rPr>
          <w:rFonts w:hint="eastAsia" w:ascii="宋体" w:hAnsi="宋体" w:eastAsia="宋体" w:cs="宋体"/>
          <w:kern w:val="0"/>
          <w:sz w:val="21"/>
          <w:szCs w:val="21"/>
          <w:highlight w:val="none"/>
          <w:u w:val="single"/>
        </w:rPr>
        <w:t xml:space="preserve">                                                             </w:t>
      </w:r>
    </w:p>
    <w:p w14:paraId="6D2D963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1.1.3.10临时占地包括：</w:t>
      </w:r>
      <w:r>
        <w:rPr>
          <w:rFonts w:hint="eastAsia" w:ascii="宋体" w:hAnsi="宋体" w:eastAsia="宋体" w:cs="宋体"/>
          <w:kern w:val="0"/>
          <w:sz w:val="21"/>
          <w:szCs w:val="21"/>
          <w:highlight w:val="none"/>
          <w:u w:val="single"/>
        </w:rPr>
        <w:t xml:space="preserve">                                                            </w:t>
      </w:r>
    </w:p>
    <w:p w14:paraId="5E706BD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 法律</w:t>
      </w:r>
    </w:p>
    <w:p w14:paraId="0ECDB6B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适用于合同的其他规范性文件：</w:t>
      </w:r>
      <w:r>
        <w:rPr>
          <w:rFonts w:hint="eastAsia" w:ascii="宋体" w:hAnsi="宋体" w:eastAsia="宋体" w:cs="宋体"/>
          <w:sz w:val="21"/>
          <w:szCs w:val="21"/>
          <w:highlight w:val="none"/>
          <w:u w:val="single"/>
        </w:rPr>
        <w:t>《浙江省建设工程计价规则》(2018版)、《浙江省市政工程预算定额》(2018版)、《浙江省园林绿化及仿古建筑工程预算定额》(2018版)、《浙江省建设工程施工机械台班费用定额》(2018版)、《市政工程工程量计算规范》(GB50857-2013)、《园林绿化工程工程量计算规范》(GB50858-2013)、关于增值税调整后我省建设工程计价依据增值税税率及有关计价调整的通知(浙建建〔2019〕92号)、关于调整建筑工程安全文明施工的通知(浙建建发〔2022〕37号)等浙江省及台州市有关建设工程造价的相关定额解释及文件规定。</w:t>
      </w:r>
    </w:p>
    <w:p w14:paraId="5E6618B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 标准和规范</w:t>
      </w:r>
    </w:p>
    <w:p w14:paraId="47DDCAB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1.4.1适用于工程的标准规范包括：</w:t>
      </w:r>
      <w:r>
        <w:rPr>
          <w:rFonts w:hint="eastAsia" w:ascii="宋体" w:hAnsi="宋体" w:eastAsia="宋体" w:cs="宋体"/>
          <w:sz w:val="21"/>
          <w:szCs w:val="21"/>
          <w:highlight w:val="none"/>
          <w:u w:val="single"/>
        </w:rPr>
        <w:t>现行的国家、省、市施工验收规范、质量评定标准及有关规定。合同工期内的标准、规范，招标文件中的技术要求等</w:t>
      </w:r>
      <w:r>
        <w:rPr>
          <w:rFonts w:hint="eastAsia" w:ascii="宋体" w:hAnsi="宋体" w:eastAsia="宋体" w:cs="宋体"/>
          <w:sz w:val="21"/>
          <w:szCs w:val="21"/>
          <w:highlight w:val="none"/>
        </w:rPr>
        <w:t>。</w:t>
      </w:r>
    </w:p>
    <w:p w14:paraId="6E8956B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1.4.2发包人提供国外标准、规范的名称：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52C7C06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发包人提供国外标准、规范的份数：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7F0A685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发包人提供国外标准、规范的名称：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76F5C0F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1.4.3发包人对工程的技术标准和功能要求的特殊要求：</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190FE78">
      <w:pPr>
        <w:pageBreakBefore w:val="0"/>
        <w:widowControl w:val="0"/>
        <w:kinsoku/>
        <w:wordWrap/>
        <w:overflowPunct/>
        <w:topLinePunct w:val="0"/>
        <w:bidi w:val="0"/>
        <w:snapToGrid w:val="0"/>
        <w:spacing w:line="4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（国家没有相应标准、规范且不使用国外标准、规范时，按发包人和承包人商定的方案施工）</w:t>
      </w:r>
      <w:r>
        <w:rPr>
          <w:rFonts w:hint="eastAsia" w:ascii="宋体" w:hAnsi="宋体" w:eastAsia="宋体" w:cs="宋体"/>
          <w:sz w:val="21"/>
          <w:szCs w:val="21"/>
          <w:highlight w:val="none"/>
        </w:rPr>
        <w:t>。</w:t>
      </w:r>
    </w:p>
    <w:p w14:paraId="7CAB4B3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 合同文件的优先顺序</w:t>
      </w:r>
    </w:p>
    <w:p w14:paraId="2FF1E7D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合同文件组成及优先顺序为：</w:t>
      </w:r>
      <w:r>
        <w:rPr>
          <w:rFonts w:hint="eastAsia" w:ascii="宋体" w:hAnsi="宋体" w:eastAsia="宋体" w:cs="宋体"/>
          <w:sz w:val="21"/>
          <w:szCs w:val="21"/>
          <w:highlight w:val="none"/>
          <w:u w:val="single"/>
        </w:rPr>
        <w:t>按合同通用条款。</w:t>
      </w:r>
    </w:p>
    <w:p w14:paraId="00886B8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 图纸和承包人文件</w:t>
      </w:r>
      <w:r>
        <w:rPr>
          <w:rFonts w:hint="eastAsia" w:ascii="宋体" w:hAnsi="宋体" w:eastAsia="宋体" w:cs="宋体"/>
          <w:sz w:val="21"/>
          <w:szCs w:val="21"/>
          <w:highlight w:val="none"/>
        </w:rPr>
        <w:tab/>
      </w:r>
    </w:p>
    <w:p w14:paraId="0D6C978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1.6.1图纸的提供</w:t>
      </w:r>
    </w:p>
    <w:p w14:paraId="6F10B4B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发包人向承包人提供图纸的期限：</w:t>
      </w:r>
      <w:r>
        <w:rPr>
          <w:rFonts w:hint="eastAsia" w:ascii="宋体" w:hAnsi="宋体" w:eastAsia="宋体" w:cs="宋体"/>
          <w:sz w:val="21"/>
          <w:szCs w:val="21"/>
          <w:highlight w:val="none"/>
          <w:u w:val="single"/>
        </w:rPr>
        <w:t>开工日期14天前</w:t>
      </w:r>
      <w:r>
        <w:rPr>
          <w:rFonts w:hint="eastAsia" w:ascii="宋体" w:hAnsi="宋体" w:eastAsia="宋体" w:cs="宋体"/>
          <w:sz w:val="21"/>
          <w:szCs w:val="21"/>
          <w:highlight w:val="none"/>
        </w:rPr>
        <w:t>；</w:t>
      </w:r>
    </w:p>
    <w:p w14:paraId="6B751EA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发包人向承包人提供图纸的数量：</w:t>
      </w:r>
      <w:r>
        <w:rPr>
          <w:rFonts w:hint="eastAsia" w:ascii="宋体" w:hAnsi="宋体" w:eastAsia="宋体" w:cs="宋体"/>
          <w:sz w:val="21"/>
          <w:szCs w:val="21"/>
          <w:highlight w:val="none"/>
          <w:u w:val="single"/>
        </w:rPr>
        <w:t>纸质施工图叁套并附目录清单及与其一致的电子版施工图。</w:t>
      </w:r>
    </w:p>
    <w:p w14:paraId="3D1EE7D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发包人向承包人提供图纸的内容：</w:t>
      </w:r>
      <w:r>
        <w:rPr>
          <w:rFonts w:hint="eastAsia" w:ascii="宋体" w:hAnsi="宋体" w:eastAsia="宋体" w:cs="宋体"/>
          <w:sz w:val="21"/>
          <w:szCs w:val="21"/>
          <w:highlight w:val="none"/>
          <w:u w:val="single"/>
        </w:rPr>
        <w:t>须载明施工图纸名称、工程号、版本、出图日期、目录、已有的变更联系单编号等</w:t>
      </w:r>
      <w:r>
        <w:rPr>
          <w:rFonts w:hint="eastAsia" w:ascii="宋体" w:hAnsi="宋体" w:eastAsia="宋体" w:cs="宋体"/>
          <w:sz w:val="21"/>
          <w:szCs w:val="21"/>
          <w:highlight w:val="none"/>
        </w:rPr>
        <w:t>。</w:t>
      </w:r>
    </w:p>
    <w:p w14:paraId="10D2C34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1.6.4承包人文件</w:t>
      </w:r>
    </w:p>
    <w:p w14:paraId="3D13E93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需要由承包人提供的文件，包括：</w:t>
      </w:r>
      <w:r>
        <w:rPr>
          <w:rFonts w:hint="eastAsia" w:ascii="宋体" w:hAnsi="宋体" w:eastAsia="宋体" w:cs="宋体"/>
          <w:sz w:val="21"/>
          <w:szCs w:val="21"/>
          <w:highlight w:val="none"/>
          <w:u w:val="single"/>
        </w:rPr>
        <w:t>资金月使用计划，施工组织设计、专项施工方案、工程总进度计划、工程月进度计划表等</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sz w:val="21"/>
          <w:szCs w:val="21"/>
          <w:highlight w:val="none"/>
        </w:rPr>
        <w:t>；</w:t>
      </w:r>
    </w:p>
    <w:p w14:paraId="7257287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承包人提供的文件的期限为：</w:t>
      </w:r>
      <w:r>
        <w:rPr>
          <w:rFonts w:hint="eastAsia" w:ascii="宋体" w:hAnsi="宋体" w:eastAsia="宋体" w:cs="宋体"/>
          <w:sz w:val="21"/>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sz w:val="21"/>
          <w:szCs w:val="21"/>
          <w:highlight w:val="none"/>
        </w:rPr>
        <w:t>；</w:t>
      </w:r>
    </w:p>
    <w:p w14:paraId="3A68F31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承包人提供的文件的数量为：</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74768F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承包人提供的文件的形式为：</w:t>
      </w:r>
      <w:r>
        <w:rPr>
          <w:rFonts w:hint="eastAsia" w:ascii="宋体" w:hAnsi="宋体" w:eastAsia="宋体" w:cs="宋体"/>
          <w:sz w:val="21"/>
          <w:szCs w:val="21"/>
          <w:highlight w:val="none"/>
          <w:u w:val="single"/>
        </w:rPr>
        <w:t xml:space="preserve">       纸质及电子版本      </w:t>
      </w:r>
      <w:r>
        <w:rPr>
          <w:rFonts w:hint="eastAsia" w:ascii="宋体" w:hAnsi="宋体" w:eastAsia="宋体" w:cs="宋体"/>
          <w:sz w:val="21"/>
          <w:szCs w:val="21"/>
          <w:highlight w:val="none"/>
        </w:rPr>
        <w:t>；</w:t>
      </w:r>
    </w:p>
    <w:p w14:paraId="03F4726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发包人审批承包人文件的期限：</w:t>
      </w:r>
      <w:r>
        <w:rPr>
          <w:rFonts w:hint="eastAsia" w:ascii="宋体" w:hAnsi="宋体" w:eastAsia="宋体" w:cs="宋体"/>
          <w:sz w:val="21"/>
          <w:szCs w:val="21"/>
          <w:highlight w:val="none"/>
          <w:u w:val="single"/>
        </w:rPr>
        <w:t xml:space="preserve">   收到相应文件后7天内  </w:t>
      </w:r>
      <w:r>
        <w:rPr>
          <w:rFonts w:hint="eastAsia" w:ascii="宋体" w:hAnsi="宋体" w:eastAsia="宋体" w:cs="宋体"/>
          <w:sz w:val="21"/>
          <w:szCs w:val="21"/>
          <w:highlight w:val="none"/>
        </w:rPr>
        <w:t>。</w:t>
      </w:r>
    </w:p>
    <w:p w14:paraId="25FC3DD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1.6.5现场图纸准备</w:t>
      </w:r>
    </w:p>
    <w:p w14:paraId="6C48B56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关于现场图纸准备的约定：</w:t>
      </w:r>
      <w:r>
        <w:rPr>
          <w:rFonts w:hint="eastAsia" w:ascii="宋体" w:hAnsi="宋体" w:eastAsia="宋体" w:cs="宋体"/>
          <w:sz w:val="21"/>
          <w:szCs w:val="21"/>
          <w:highlight w:val="none"/>
          <w:u w:val="single"/>
        </w:rPr>
        <w:t>由监理人在现场保管一套完整施工图，供发包人、监理人及有关人员进行工程检查等活动时使用</w:t>
      </w:r>
      <w:r>
        <w:rPr>
          <w:rFonts w:hint="eastAsia" w:ascii="宋体" w:hAnsi="宋体" w:eastAsia="宋体" w:cs="宋体"/>
          <w:sz w:val="21"/>
          <w:szCs w:val="21"/>
          <w:highlight w:val="none"/>
        </w:rPr>
        <w:t>。</w:t>
      </w:r>
    </w:p>
    <w:p w14:paraId="15D3A5D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 联络</w:t>
      </w:r>
    </w:p>
    <w:p w14:paraId="7DF319A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1.7.1发包人和承包人应当在</w:t>
      </w:r>
      <w:r>
        <w:rPr>
          <w:rFonts w:hint="eastAsia" w:ascii="宋体" w:hAnsi="宋体" w:eastAsia="宋体" w:cs="宋体"/>
          <w:sz w:val="21"/>
          <w:szCs w:val="21"/>
          <w:highlight w:val="none"/>
          <w:u w:val="single"/>
        </w:rPr>
        <w:t xml:space="preserve">  7  </w:t>
      </w:r>
      <w:r>
        <w:rPr>
          <w:rFonts w:hint="eastAsia" w:ascii="宋体" w:hAnsi="宋体" w:eastAsia="宋体" w:cs="宋体"/>
          <w:kern w:val="0"/>
          <w:sz w:val="21"/>
          <w:szCs w:val="21"/>
          <w:highlight w:val="none"/>
        </w:rPr>
        <w:t>天内将与合同有关的通知、批准、证明、证书、指示、指令、要求、请求、同意、意见、确定和决定等书面函件送达对方当事人。</w:t>
      </w:r>
    </w:p>
    <w:p w14:paraId="2C70982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1.7.2发包人接收文件的地点：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45BFF33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发包人接收文件的电子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9F4179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24E794C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E6B3FE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C93DBB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5A7044E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7EDACF8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2F33285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027222D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发包人、承包人、监理人的文件接收地址、接收人（含联系电话）发生变动的，应提前3天通知各方。</w:t>
      </w:r>
    </w:p>
    <w:p w14:paraId="5C8AC4A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 交通运输</w:t>
      </w:r>
    </w:p>
    <w:p w14:paraId="54F7D29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1.10.1出入现场的权利</w:t>
      </w:r>
    </w:p>
    <w:p w14:paraId="3F64612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关于出入现场的权利的约定：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44E3B6B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1.10.3场内交通</w:t>
      </w:r>
    </w:p>
    <w:p w14:paraId="29FD1AB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关于场外交通和场内交通的边界的约定：</w:t>
      </w:r>
      <w:r>
        <w:rPr>
          <w:rFonts w:hint="eastAsia" w:ascii="宋体" w:hAnsi="宋体" w:eastAsia="宋体" w:cs="宋体"/>
          <w:spacing w:val="6"/>
          <w:kern w:val="0"/>
          <w:sz w:val="21"/>
          <w:szCs w:val="21"/>
          <w:highlight w:val="none"/>
          <w:u w:val="single"/>
        </w:rPr>
        <w:t>以现场实际施工条件为准</w:t>
      </w:r>
      <w:r>
        <w:rPr>
          <w:rFonts w:hint="eastAsia" w:ascii="宋体" w:hAnsi="宋体" w:eastAsia="宋体" w:cs="宋体"/>
          <w:spacing w:val="6"/>
          <w:sz w:val="21"/>
          <w:szCs w:val="21"/>
          <w:highlight w:val="none"/>
          <w:u w:val="single"/>
        </w:rPr>
        <w:t>。</w:t>
      </w:r>
    </w:p>
    <w:p w14:paraId="628E7CA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关于发包人向承包人免费提供满足工程施工需要的场内道路和交通设施的约定：</w:t>
      </w:r>
      <w:r>
        <w:rPr>
          <w:rFonts w:hint="eastAsia" w:ascii="宋体" w:hAnsi="宋体" w:eastAsia="宋体" w:cs="宋体"/>
          <w:spacing w:val="6"/>
          <w:kern w:val="0"/>
          <w:sz w:val="21"/>
          <w:szCs w:val="21"/>
          <w:highlight w:val="none"/>
          <w:u w:val="single"/>
        </w:rPr>
        <w:t>发包人提供的场内交通条件为现状，承包人自行组织现场踏勘。施工场地内道路和交通设施由承包人自行解决，场地布置费用已计入合同价款；如因工程需要临时占用红线外场地及市政道路，由承包人自行协调并负责办理审批手续同时承担相应费用。</w:t>
      </w:r>
    </w:p>
    <w:p w14:paraId="1DD9404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1.10.4超大件和超重件的运输</w:t>
      </w:r>
    </w:p>
    <w:p w14:paraId="1D46257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运输超大件或超重件所需的道路和桥梁临时加固改造费用和其他有关费用</w:t>
      </w:r>
      <w:r>
        <w:rPr>
          <w:rFonts w:hint="eastAsia" w:ascii="宋体" w:hAnsi="宋体" w:eastAsia="宋体" w:cs="宋体"/>
          <w:sz w:val="21"/>
          <w:szCs w:val="21"/>
          <w:highlight w:val="none"/>
          <w:u w:val="single"/>
        </w:rPr>
        <w:t>由承包人在报价中综合考虑并承担相关费用。</w:t>
      </w:r>
    </w:p>
    <w:p w14:paraId="73C3409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 知识产权</w:t>
      </w:r>
    </w:p>
    <w:p w14:paraId="50B2559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7B3C17F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关于发包人提供的上述文件的使用限制的要求：</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61CAB28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1.11.2关于承包人为实施工程所编制文件的著作权的归属：</w:t>
      </w:r>
      <w:r>
        <w:rPr>
          <w:rFonts w:hint="eastAsia" w:ascii="宋体" w:hAnsi="宋体" w:eastAsia="宋体" w:cs="宋体"/>
          <w:sz w:val="21"/>
          <w:szCs w:val="21"/>
          <w:highlight w:val="none"/>
          <w:u w:val="single"/>
        </w:rPr>
        <w:t>发包人</w:t>
      </w:r>
      <w:r>
        <w:rPr>
          <w:rFonts w:hint="eastAsia" w:ascii="宋体" w:hAnsi="宋体" w:eastAsia="宋体" w:cs="宋体"/>
          <w:sz w:val="21"/>
          <w:szCs w:val="21"/>
          <w:highlight w:val="none"/>
        </w:rPr>
        <w:t>。</w:t>
      </w:r>
    </w:p>
    <w:p w14:paraId="750FD58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关于承包人提供的上述文件的使用限制的要求：</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0EF3567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1.11.4承包人在施工过程中所采用的专利、专有技术、技术秘密的使用费的承担方式：</w:t>
      </w:r>
      <w:r>
        <w:rPr>
          <w:rFonts w:hint="eastAsia" w:ascii="宋体" w:hAnsi="宋体" w:eastAsia="宋体" w:cs="宋体"/>
          <w:sz w:val="21"/>
          <w:szCs w:val="21"/>
          <w:highlight w:val="none"/>
          <w:u w:val="single"/>
        </w:rPr>
        <w:t xml:space="preserve">  包含在签约合同价内  </w:t>
      </w:r>
      <w:r>
        <w:rPr>
          <w:rFonts w:hint="eastAsia" w:ascii="宋体" w:hAnsi="宋体" w:eastAsia="宋体" w:cs="宋体"/>
          <w:kern w:val="0"/>
          <w:sz w:val="21"/>
          <w:szCs w:val="21"/>
          <w:highlight w:val="none"/>
        </w:rPr>
        <w:t>。</w:t>
      </w:r>
    </w:p>
    <w:p w14:paraId="539D043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1.13 工程量清单错误的修正</w:t>
      </w:r>
    </w:p>
    <w:p w14:paraId="5173CD2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本工程按定额计价不涉及工程量清单相关规则。</w:t>
      </w:r>
    </w:p>
    <w:p w14:paraId="27BEADB4">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2．发包人</w:t>
      </w:r>
    </w:p>
    <w:p w14:paraId="6B5E90D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 发包人代表</w:t>
      </w:r>
    </w:p>
    <w:p w14:paraId="640D868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发包人代表：</w:t>
      </w:r>
    </w:p>
    <w:p w14:paraId="6CE0551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BB402F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AB3151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AB1BE1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A1C97D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A4162B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1DD993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发包人对发包人代表的授权范围如下：</w:t>
      </w:r>
      <w:r>
        <w:rPr>
          <w:rFonts w:hint="eastAsia" w:ascii="宋体" w:hAnsi="宋体" w:eastAsia="宋体" w:cs="宋体"/>
          <w:sz w:val="21"/>
          <w:szCs w:val="21"/>
          <w:highlight w:val="none"/>
          <w:u w:val="single"/>
        </w:rPr>
        <w:t xml:space="preserve"> 代表发包人对承包人的工程质量管理、安全文明施工和施工进度管理等进行监督，协调施工现场，配合完成验收，按有关规定办理接收手续 </w:t>
      </w:r>
      <w:r>
        <w:rPr>
          <w:rFonts w:hint="eastAsia" w:ascii="宋体" w:hAnsi="宋体" w:eastAsia="宋体" w:cs="宋体"/>
          <w:sz w:val="21"/>
          <w:szCs w:val="21"/>
          <w:highlight w:val="none"/>
        </w:rPr>
        <w:t>。</w:t>
      </w:r>
    </w:p>
    <w:p w14:paraId="320C347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 施工现场、施工条件和基础资料的提供</w:t>
      </w:r>
    </w:p>
    <w:p w14:paraId="469F01B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2.4.1提供施工现场</w:t>
      </w:r>
    </w:p>
    <w:p w14:paraId="3941882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关于发包人移交施工现场的期限要求：</w:t>
      </w:r>
      <w:r>
        <w:rPr>
          <w:rFonts w:hint="eastAsia" w:ascii="宋体" w:hAnsi="宋体" w:eastAsia="宋体" w:cs="宋体"/>
          <w:sz w:val="21"/>
          <w:szCs w:val="21"/>
          <w:highlight w:val="none"/>
          <w:u w:val="single"/>
        </w:rPr>
        <w:t xml:space="preserve">  开工日期7天前  </w:t>
      </w:r>
      <w:r>
        <w:rPr>
          <w:rFonts w:hint="eastAsia" w:ascii="宋体" w:hAnsi="宋体" w:eastAsia="宋体" w:cs="宋体"/>
          <w:sz w:val="21"/>
          <w:szCs w:val="21"/>
          <w:highlight w:val="none"/>
        </w:rPr>
        <w:t>。</w:t>
      </w:r>
    </w:p>
    <w:p w14:paraId="1D61989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2.4.2提供施工条件</w:t>
      </w:r>
    </w:p>
    <w:p w14:paraId="577FE72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关于发包人应负责提供施工所需要的条件，包括：</w:t>
      </w:r>
      <w:r>
        <w:rPr>
          <w:rFonts w:hint="eastAsia" w:ascii="宋体" w:hAnsi="宋体" w:eastAsia="宋体" w:cs="宋体"/>
          <w:sz w:val="21"/>
          <w:szCs w:val="21"/>
          <w:highlight w:val="none"/>
          <w:u w:val="single"/>
        </w:rPr>
        <w:t xml:space="preserve"> 发包人提供的施工条件为现状，承包人自行组织现场踏勘了解，涉及施工用电、用水等由承包人自行考虑，相关费用已含在合同价中不再另行计取 </w:t>
      </w:r>
      <w:r>
        <w:rPr>
          <w:rFonts w:hint="eastAsia" w:ascii="宋体" w:hAnsi="宋体" w:eastAsia="宋体" w:cs="宋体"/>
          <w:sz w:val="21"/>
          <w:szCs w:val="21"/>
          <w:highlight w:val="none"/>
        </w:rPr>
        <w:t>。</w:t>
      </w:r>
    </w:p>
    <w:p w14:paraId="4AD4B23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2.5 资金来源证明及支付担保</w:t>
      </w:r>
    </w:p>
    <w:p w14:paraId="0E65A22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发包人提供资金来源证明的期限要求：</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A46427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发包人是否提供支付担保：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FD6596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发包人提供支付担保的形式：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DE24F7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 支付合同价款</w:t>
      </w:r>
    </w:p>
    <w:p w14:paraId="775C577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发包人应按合同约定向承包人及时支付合同价款。</w:t>
      </w:r>
    </w:p>
    <w:p w14:paraId="7061ECF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2.7 组织竣工验收</w:t>
      </w:r>
    </w:p>
    <w:p w14:paraId="51E0D51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发包人应按合同约定及时组织竣工验收。</w:t>
      </w:r>
    </w:p>
    <w:p w14:paraId="1D6DF4D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承包人完成合同范围内工程内容，发包人应根据施工图纸、现行施工验收规范和质量验收标准及时组织工程质量验收。</w:t>
      </w:r>
    </w:p>
    <w:p w14:paraId="3B282AB6">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3．承包人</w:t>
      </w:r>
    </w:p>
    <w:p w14:paraId="7A1BFD4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 承包人的一般义务</w:t>
      </w:r>
    </w:p>
    <w:p w14:paraId="61ED23D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（9）</w:t>
      </w:r>
      <w:r>
        <w:rPr>
          <w:rFonts w:hint="eastAsia" w:ascii="宋体" w:hAnsi="宋体" w:eastAsia="宋体" w:cs="宋体"/>
          <w:sz w:val="21"/>
          <w:szCs w:val="21"/>
          <w:highlight w:val="none"/>
        </w:rPr>
        <w:t>承包人提交的竣工资料的内容：</w:t>
      </w:r>
      <w:r>
        <w:rPr>
          <w:rFonts w:hint="eastAsia" w:ascii="宋体" w:hAnsi="宋体" w:eastAsia="宋体" w:cs="宋体"/>
          <w:sz w:val="21"/>
          <w:szCs w:val="21"/>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 w:val="21"/>
          <w:szCs w:val="21"/>
          <w:highlight w:val="none"/>
        </w:rPr>
        <w:t>。</w:t>
      </w:r>
    </w:p>
    <w:p w14:paraId="2D51012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承包人需要提交的竣工资料套数：</w:t>
      </w:r>
      <w:r>
        <w:rPr>
          <w:rFonts w:hint="eastAsia" w:ascii="宋体" w:hAnsi="宋体" w:eastAsia="宋体" w:cs="宋体"/>
          <w:sz w:val="21"/>
          <w:szCs w:val="21"/>
          <w:highlight w:val="none"/>
          <w:u w:val="single"/>
        </w:rPr>
        <w:t xml:space="preserve">   满足发包人需求份数    </w:t>
      </w:r>
      <w:r>
        <w:rPr>
          <w:rFonts w:hint="eastAsia" w:ascii="宋体" w:hAnsi="宋体" w:eastAsia="宋体" w:cs="宋体"/>
          <w:sz w:val="21"/>
          <w:szCs w:val="21"/>
          <w:highlight w:val="none"/>
        </w:rPr>
        <w:t>。</w:t>
      </w:r>
    </w:p>
    <w:p w14:paraId="4CECB51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承包人提交的竣工资料的费用承担：</w:t>
      </w:r>
      <w:r>
        <w:rPr>
          <w:rFonts w:hint="eastAsia" w:ascii="宋体" w:hAnsi="宋体" w:eastAsia="宋体" w:cs="宋体"/>
          <w:sz w:val="21"/>
          <w:szCs w:val="21"/>
          <w:highlight w:val="none"/>
          <w:u w:val="single"/>
        </w:rPr>
        <w:t xml:space="preserve"> 由承包人承担 </w:t>
      </w:r>
      <w:r>
        <w:rPr>
          <w:rFonts w:hint="eastAsia" w:ascii="宋体" w:hAnsi="宋体" w:eastAsia="宋体" w:cs="宋体"/>
          <w:sz w:val="21"/>
          <w:szCs w:val="21"/>
          <w:highlight w:val="none"/>
        </w:rPr>
        <w:t>。</w:t>
      </w:r>
    </w:p>
    <w:p w14:paraId="17880BC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承包人提交的竣工资料移交时间：</w:t>
      </w:r>
      <w:r>
        <w:rPr>
          <w:rFonts w:hint="eastAsia" w:ascii="宋体" w:hAnsi="宋体" w:eastAsia="宋体" w:cs="宋体"/>
          <w:sz w:val="21"/>
          <w:szCs w:val="21"/>
          <w:highlight w:val="none"/>
          <w:u w:val="single"/>
        </w:rPr>
        <w:t>工程竣工验收合格后7天内</w:t>
      </w:r>
      <w:r>
        <w:rPr>
          <w:rFonts w:hint="eastAsia" w:ascii="宋体" w:hAnsi="宋体" w:eastAsia="宋体" w:cs="宋体"/>
          <w:sz w:val="21"/>
          <w:szCs w:val="21"/>
          <w:highlight w:val="none"/>
        </w:rPr>
        <w:t>。</w:t>
      </w:r>
    </w:p>
    <w:p w14:paraId="735FE7E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承包人提交的竣工资料形式要求：</w:t>
      </w:r>
      <w:r>
        <w:rPr>
          <w:rFonts w:hint="eastAsia" w:ascii="宋体" w:hAnsi="宋体" w:eastAsia="宋体" w:cs="宋体"/>
          <w:sz w:val="21"/>
          <w:szCs w:val="21"/>
          <w:highlight w:val="none"/>
          <w:u w:val="single"/>
        </w:rPr>
        <w:t xml:space="preserve">   纸质及相关电子数据   </w:t>
      </w:r>
      <w:r>
        <w:rPr>
          <w:rFonts w:hint="eastAsia" w:ascii="宋体" w:hAnsi="宋体" w:eastAsia="宋体" w:cs="宋体"/>
          <w:sz w:val="21"/>
          <w:szCs w:val="21"/>
          <w:highlight w:val="none"/>
        </w:rPr>
        <w:t>。</w:t>
      </w:r>
    </w:p>
    <w:p w14:paraId="14839AA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（10）承包人应履行的其他义务：</w:t>
      </w:r>
    </w:p>
    <w:p w14:paraId="0C3DF8A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a.向发包人、监理人提供施工现场办公室各1间免费使用。</w:t>
      </w:r>
    </w:p>
    <w:p w14:paraId="64A5306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b.在施工中必须严格按照规范操作，对不按规范要求施工或未采取防护措施，造成的损失由承包人承担。</w:t>
      </w:r>
    </w:p>
    <w:p w14:paraId="4DCFC44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c.本项目施工安全由承包人负总责。</w:t>
      </w:r>
    </w:p>
    <w:p w14:paraId="7F94107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u w:val="single"/>
        </w:rPr>
        <w:t>d.按当地有关部门要求，</w:t>
      </w:r>
      <w:r>
        <w:rPr>
          <w:rFonts w:hint="eastAsia" w:ascii="宋体" w:hAnsi="宋体" w:eastAsia="宋体" w:cs="宋体"/>
          <w:kern w:val="0"/>
          <w:sz w:val="21"/>
          <w:szCs w:val="21"/>
          <w:highlight w:val="none"/>
          <w:u w:val="single"/>
        </w:rPr>
        <w:t>由承包人办理有关施工场地交通、环卫和施工噪音排放等手续。</w:t>
      </w:r>
    </w:p>
    <w:p w14:paraId="1A28E7E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e、承包人必须按台州市、临海市有关规定进行施工现场围护及文明施工管理。</w:t>
      </w:r>
    </w:p>
    <w:p w14:paraId="3E7DE94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f. 其他：</w:t>
      </w:r>
    </w:p>
    <w:p w14:paraId="4B6735D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①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14:paraId="738FC96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②承包人承担施工期间的水、电费用，承包人必须每月按水、电部门的计价标准，按所需缴纳金额及时足额向水、电部门缴纳，若承包人不按时缴纳，则发包人有权采取相应措施。</w:t>
      </w:r>
    </w:p>
    <w:p w14:paraId="4503E6C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③对发包人的现场监督工作予以充分的配合与协助。承包人服从发包人、监理公司的管理，做好交叉施工事宜及其他与本工程施工相关的工作。</w:t>
      </w:r>
    </w:p>
    <w:p w14:paraId="5A199CE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④从合同生效之日起至工程通过竣工验收的期间内，承包人应承担合同规定的现场各项临时房屋、设施、设备的修建、购置、安装、管理、保养、维修及拆除工作，并提供必要的设施保洁服务。</w:t>
      </w:r>
    </w:p>
    <w:p w14:paraId="0B69F5A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⑤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省施工单位进浙江省的施工备案费用、排污管理费、噪声管理费、垃圾管理费等。</w:t>
      </w:r>
    </w:p>
    <w:p w14:paraId="47DF8F6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⑥重大活动期间以及发包人需要的时间段内，可能对施工做出某些限制和配合要求，承包人应按照要求做出必要的配合，并承担有可能因此而引起工效降低所需增加的费用。相关费用含在合同价款中。</w:t>
      </w:r>
    </w:p>
    <w:p w14:paraId="47235C8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⑦要加强工程施工车辆的管理，施工车辆不得无故堵塞道路交通，不得沿途抛洒丢弃。</w:t>
      </w:r>
    </w:p>
    <w:p w14:paraId="7E6118D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⑧承包人在施工期间配备专职安保人员，负责整个施工现场内外的保安、保卫工作；对工地出入口车辆、人员进出进行管理，工地出入口应24小时有人值守，相关费用含在合同价款中。</w:t>
      </w:r>
    </w:p>
    <w:p w14:paraId="4744A81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⑨施工现场的标语、条幅和围挡图案、廉政文化宣传等制作，在悬挂和喷涂前应征得发包人同意，如发包人提出修改意见，承包人应无条件修改，直到符合要求为止，合同价款不予调整。</w:t>
      </w:r>
    </w:p>
    <w:p w14:paraId="4B700BC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⑩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14:paraId="4E111DB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⑪承包人进场后需对场地标高进行测量，测量过程应通知监理人及发包人代表到场，并提供测量成果，此结果在得到监理人及发包人代表确认后做为土方工程计量的依据。</w:t>
      </w:r>
    </w:p>
    <w:p w14:paraId="1F803CC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⑫承包人在合同履行过程中，应严格遵守和执行发包人制定的各项管理制度和规定，严格执行发包人关于工程设计变更、签证等方面的审批程序及制度。</w:t>
      </w:r>
    </w:p>
    <w:p w14:paraId="16BF340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⑬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7DBE02A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⑭承包人负责落实对施工现场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64B4224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⑮承包人负责组织全部工程的移交工作，承包人负责编制或汇总移交方案、建筑产品使用说明书（内容包括建筑物主要使用功能、空间布局、使用注意事项、维保手册等，并提供给发包人），移交期间现场安全、成品保护、水电费等可能发生的其他费用由承包人承担。承包人应在移交前负责完成承包范围内的卫生清理、保洁工作，保洁标准应经发包人验收确认，费用含在合同价款中。</w:t>
      </w:r>
    </w:p>
    <w:p w14:paraId="569F9E1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⑯由承包人的质量安全职能部门每月对本工程施工现场的质量、安全文明、进度等进行全面督查，并将督查结果向发包人汇报。</w:t>
      </w:r>
    </w:p>
    <w:p w14:paraId="7D4F983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⑰承包人必须完成本合同规定的全部工作内容，如某项工作内容达不到相关相关要求，在监理方下达整改通知后仍不执行，则发包人有权委托第三方完成该项工作，并将相应费用从承包人的工程款中扣除，由此造成的损失和后果由承包人执行承担。</w:t>
      </w:r>
    </w:p>
    <w:p w14:paraId="3D8B620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⑱工程质量保修期间，承包人须设立电子邮箱，发包人的通知指令发送至承包人设立的电子邮箱，即视为承包人已收到发包人的相关通知。</w:t>
      </w:r>
    </w:p>
    <w:p w14:paraId="75E4768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⑲已竣工工程未交付之前，承包人按协议条款约定负责已完工程的保护工作，保护期间发生损坏，责任方自费予以修复至符合验收条件。</w:t>
      </w:r>
    </w:p>
    <w:p w14:paraId="65C182A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（11）承包人诚实信用的承诺：</w:t>
      </w:r>
      <w:r>
        <w:rPr>
          <w:rFonts w:hint="eastAsia" w:ascii="宋体" w:hAnsi="宋体" w:eastAsia="宋体" w:cs="宋体"/>
          <w:kern w:val="0"/>
          <w:sz w:val="21"/>
          <w:szCs w:val="21"/>
          <w:highlight w:val="none"/>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kern w:val="0"/>
          <w:sz w:val="21"/>
          <w:szCs w:val="21"/>
          <w:highlight w:val="none"/>
        </w:rPr>
        <w:t>。</w:t>
      </w:r>
    </w:p>
    <w:p w14:paraId="2A10661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（12）</w:t>
      </w:r>
      <w:r>
        <w:rPr>
          <w:rFonts w:hint="eastAsia" w:ascii="宋体" w:hAnsi="宋体" w:eastAsia="宋体" w:cs="宋体"/>
          <w:sz w:val="21"/>
          <w:szCs w:val="21"/>
          <w:highlight w:val="none"/>
          <w:u w:val="single"/>
        </w:rPr>
        <w:t>施工过程中应注重安全文明施工及环境保护，施工过程中如有出现人员伤亡情况，责任均由</w:t>
      </w:r>
      <w:r>
        <w:rPr>
          <w:rFonts w:hint="eastAsia" w:ascii="宋体" w:hAnsi="宋体" w:cs="宋体"/>
          <w:sz w:val="21"/>
          <w:szCs w:val="21"/>
          <w:highlight w:val="none"/>
          <w:u w:val="single"/>
          <w:lang w:val="en-US" w:eastAsia="zh-CN"/>
        </w:rPr>
        <w:t>承包人</w:t>
      </w:r>
      <w:r>
        <w:rPr>
          <w:rFonts w:hint="eastAsia" w:ascii="宋体" w:hAnsi="宋体" w:eastAsia="宋体" w:cs="宋体"/>
          <w:sz w:val="21"/>
          <w:szCs w:val="21"/>
          <w:highlight w:val="none"/>
          <w:u w:val="single"/>
        </w:rPr>
        <w:t>承担</w:t>
      </w:r>
      <w:r>
        <w:rPr>
          <w:rFonts w:hint="eastAsia" w:ascii="宋体" w:hAnsi="宋体" w:cs="宋体"/>
          <w:sz w:val="21"/>
          <w:szCs w:val="21"/>
          <w:highlight w:val="none"/>
          <w:u w:val="single"/>
          <w:lang w:eastAsia="zh-CN"/>
        </w:rPr>
        <w:t>，发包人不承担任何责任。</w:t>
      </w:r>
    </w:p>
    <w:p w14:paraId="0BE26D0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（13）承包人使用新技术、工法、工艺的承诺：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587C115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 项目经理</w:t>
      </w:r>
    </w:p>
    <w:p w14:paraId="62E7541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3.2.1</w:t>
      </w:r>
      <w:r>
        <w:rPr>
          <w:rFonts w:hint="eastAsia" w:ascii="宋体" w:hAnsi="宋体" w:eastAsia="宋体" w:cs="宋体"/>
          <w:sz w:val="21"/>
          <w:szCs w:val="21"/>
          <w:highlight w:val="none"/>
        </w:rPr>
        <w:t>项目经理：</w:t>
      </w:r>
    </w:p>
    <w:p w14:paraId="2675C6F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47D062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8C29DC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建造师执业资格等级：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9E15C0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建造师注册证书号：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66761F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建造师执业印章号：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5419B3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安全生产考核合格证书号：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49F988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3C3580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6E9CED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436538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承包人对项目经理的授权范围如下：</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8137C70">
      <w:pPr>
        <w:pageBreakBefore w:val="0"/>
        <w:widowControl w:val="0"/>
        <w:kinsoku/>
        <w:wordWrap/>
        <w:overflowPunct/>
        <w:topLinePunct w:val="0"/>
        <w:bidi w:val="0"/>
        <w:snapToGrid w:val="0"/>
        <w:spacing w:line="420" w:lineRule="exact"/>
        <w:ind w:firstLine="444" w:firstLineChars="200"/>
        <w:textAlignment w:val="auto"/>
        <w:rPr>
          <w:rFonts w:hint="eastAsia" w:ascii="宋体" w:hAnsi="宋体" w:eastAsia="宋体" w:cs="宋体"/>
          <w:sz w:val="21"/>
          <w:szCs w:val="21"/>
          <w:highlight w:val="none"/>
        </w:rPr>
      </w:pPr>
      <w:r>
        <w:rPr>
          <w:rFonts w:hint="eastAsia" w:ascii="宋体" w:hAnsi="宋体" w:eastAsia="宋体" w:cs="宋体"/>
          <w:spacing w:val="6"/>
          <w:kern w:val="0"/>
          <w:sz w:val="21"/>
          <w:szCs w:val="21"/>
          <w:highlight w:val="none"/>
        </w:rPr>
        <w:t>关于项目经理每月在施工现场的时间要求</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月到岗须不少于24天。月到岗达不到约定天数，每不足一天扣1000元作为违约金，</w:t>
      </w:r>
      <w:r>
        <w:rPr>
          <w:rFonts w:hint="eastAsia" w:ascii="宋体" w:hAnsi="宋体" w:eastAsia="宋体" w:cs="宋体"/>
          <w:sz w:val="21"/>
          <w:szCs w:val="21"/>
          <w:highlight w:val="none"/>
          <w:u w:val="single"/>
        </w:rPr>
        <w:t>在当期工程款支付时扣除</w:t>
      </w:r>
      <w:r>
        <w:rPr>
          <w:rFonts w:hint="eastAsia" w:ascii="宋体" w:hAnsi="宋体" w:eastAsia="宋体" w:cs="宋体"/>
          <w:kern w:val="0"/>
          <w:sz w:val="21"/>
          <w:szCs w:val="21"/>
          <w:highlight w:val="none"/>
        </w:rPr>
        <w:t>。</w:t>
      </w:r>
    </w:p>
    <w:p w14:paraId="50024F2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承包人未提交劳动合同，以及没有为项目经理缴纳社会保险证明的违约责任：</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1677BB9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项目经理未经批准，擅自离开施工现场的违约责任：</w:t>
      </w:r>
      <w:r>
        <w:rPr>
          <w:rFonts w:hint="eastAsia" w:ascii="宋体" w:hAnsi="宋体" w:eastAsia="宋体" w:cs="宋体"/>
          <w:sz w:val="21"/>
          <w:szCs w:val="21"/>
          <w:highlight w:val="none"/>
          <w:u w:val="single"/>
        </w:rPr>
        <w:t xml:space="preserve">  遇有工程检查、验收或参观等活动时，无特殊原因不得离开施工现场 </w:t>
      </w:r>
      <w:r>
        <w:rPr>
          <w:rFonts w:hint="eastAsia" w:ascii="宋体" w:hAnsi="宋体" w:eastAsia="宋体" w:cs="宋体"/>
          <w:sz w:val="21"/>
          <w:szCs w:val="21"/>
          <w:highlight w:val="none"/>
        </w:rPr>
        <w:t>。</w:t>
      </w:r>
    </w:p>
    <w:p w14:paraId="7A41533B">
      <w:pPr>
        <w:pageBreakBefore w:val="0"/>
        <w:widowControl w:val="0"/>
        <w:kinsoku/>
        <w:wordWrap/>
        <w:overflowPunct/>
        <w:topLinePunct w:val="0"/>
        <w:autoSpaceDE w:val="0"/>
        <w:autoSpaceDN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3.2.3承包人擅自更换项目经理的违约责任：</w:t>
      </w:r>
      <w:r>
        <w:rPr>
          <w:rFonts w:hint="eastAsia" w:ascii="宋体" w:hAnsi="宋体" w:eastAsia="宋体" w:cs="宋体"/>
          <w:sz w:val="21"/>
          <w:szCs w:val="21"/>
          <w:highlight w:val="none"/>
          <w:u w:val="single"/>
        </w:rPr>
        <w:t xml:space="preserve"> 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在当期工程款支付时扣除，及至发包人可通知承包人全部解除合同，所有履约担保金归发包人，在工程款支付时扣除，并赔偿发包人损失 </w:t>
      </w:r>
      <w:r>
        <w:rPr>
          <w:rFonts w:hint="eastAsia" w:ascii="宋体" w:hAnsi="宋体" w:eastAsia="宋体" w:cs="宋体"/>
          <w:sz w:val="21"/>
          <w:szCs w:val="21"/>
          <w:highlight w:val="none"/>
        </w:rPr>
        <w:t>。</w:t>
      </w:r>
    </w:p>
    <w:p w14:paraId="35C2AC0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3.2.4承包人无正当理由拒绝更换项目经理的违约责任：</w:t>
      </w:r>
      <w:r>
        <w:rPr>
          <w:rFonts w:hint="eastAsia" w:ascii="宋体" w:hAnsi="宋体" w:eastAsia="宋体" w:cs="宋体"/>
          <w:sz w:val="21"/>
          <w:szCs w:val="21"/>
          <w:highlight w:val="none"/>
          <w:u w:val="single"/>
        </w:rPr>
        <w:t>发包人可通知承包人解除合同，所有履约担保金不予返还。</w:t>
      </w:r>
    </w:p>
    <w:p w14:paraId="5720F62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 承包人人员</w:t>
      </w:r>
    </w:p>
    <w:p w14:paraId="132A2F1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3.3.1承包人提交项目管理机构及施工现场管理人员安排报告的期限：</w:t>
      </w:r>
      <w:r>
        <w:rPr>
          <w:rFonts w:hint="eastAsia" w:ascii="宋体" w:hAnsi="宋体" w:eastAsia="宋体" w:cs="宋体"/>
          <w:sz w:val="21"/>
          <w:szCs w:val="21"/>
          <w:highlight w:val="none"/>
          <w:u w:val="single"/>
        </w:rPr>
        <w:t xml:space="preserve"> 接到开工通知（或确定开工日期）后7天内 </w:t>
      </w:r>
      <w:r>
        <w:rPr>
          <w:rFonts w:hint="eastAsia" w:ascii="宋体" w:hAnsi="宋体" w:eastAsia="宋体" w:cs="宋体"/>
          <w:sz w:val="21"/>
          <w:szCs w:val="21"/>
          <w:highlight w:val="none"/>
        </w:rPr>
        <w:t>。</w:t>
      </w:r>
    </w:p>
    <w:p w14:paraId="4557E85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3.3.3承包人无正当理由拒绝撤换主要施工管理人员的违约责任：</w:t>
      </w:r>
      <w:r>
        <w:rPr>
          <w:rFonts w:hint="eastAsia" w:ascii="宋体" w:hAnsi="宋体" w:eastAsia="宋体" w:cs="宋体"/>
          <w:sz w:val="21"/>
          <w:szCs w:val="21"/>
          <w:highlight w:val="none"/>
          <w:u w:val="single"/>
        </w:rPr>
        <w:t>发包人可通知承包人全部解除合同，所有履约担保金不予返还，同时赔偿发包人损失。</w:t>
      </w:r>
    </w:p>
    <w:p w14:paraId="7ACAEEC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3.3.4承包人主要施工管理人员离开施工现场的批准要求：</w:t>
      </w:r>
      <w:r>
        <w:rPr>
          <w:rFonts w:hint="eastAsia" w:ascii="宋体" w:hAnsi="宋体" w:eastAsia="宋体" w:cs="宋体"/>
          <w:sz w:val="21"/>
          <w:szCs w:val="21"/>
          <w:highlight w:val="none"/>
          <w:u w:val="single"/>
        </w:rPr>
        <w:t>按合同通用条款；按相关行业主管部发布的规定处理。另遇有工程检查、验收或参观等活动时，无特殊原因不得请假</w:t>
      </w:r>
      <w:r>
        <w:rPr>
          <w:rFonts w:hint="eastAsia" w:ascii="宋体" w:hAnsi="宋体" w:eastAsia="宋体" w:cs="宋体"/>
          <w:sz w:val="21"/>
          <w:szCs w:val="21"/>
          <w:highlight w:val="none"/>
        </w:rPr>
        <w:t>。</w:t>
      </w:r>
    </w:p>
    <w:p w14:paraId="2807929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3.3.5承包人擅自更换主要施工管理人员的违约责任：</w:t>
      </w:r>
      <w:r>
        <w:rPr>
          <w:rFonts w:hint="eastAsia" w:ascii="宋体" w:hAnsi="宋体" w:eastAsia="宋体" w:cs="宋体"/>
          <w:sz w:val="21"/>
          <w:szCs w:val="21"/>
          <w:highlight w:val="none"/>
          <w:u w:val="single"/>
        </w:rPr>
        <w:t xml:space="preserve"> 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在当期工程款支付时扣除 ，同时赔偿发包人损失。</w:t>
      </w:r>
    </w:p>
    <w:p w14:paraId="190099A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承包人主要施工管理人员擅自离开施工现场的违约责任：</w:t>
      </w:r>
      <w:r>
        <w:rPr>
          <w:rFonts w:hint="eastAsia" w:ascii="宋体" w:hAnsi="宋体" w:eastAsia="宋体" w:cs="宋体"/>
          <w:sz w:val="21"/>
          <w:szCs w:val="21"/>
          <w:highlight w:val="none"/>
          <w:u w:val="single"/>
        </w:rPr>
        <w:t>关键岗位人员到岗达不到24天的，不足天数每人次每天扣除300元，每月结算，在当期工程款支付时扣除，并一次性扣除履约担保金的5%，且发包人有权要求承包人更换该关键岗位人员</w:t>
      </w:r>
      <w:r>
        <w:rPr>
          <w:rFonts w:hint="eastAsia" w:ascii="宋体" w:hAnsi="宋体" w:eastAsia="宋体" w:cs="宋体"/>
          <w:sz w:val="21"/>
          <w:szCs w:val="21"/>
          <w:highlight w:val="none"/>
        </w:rPr>
        <w:t>。</w:t>
      </w:r>
    </w:p>
    <w:p w14:paraId="3FE621E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 分包</w:t>
      </w:r>
    </w:p>
    <w:p w14:paraId="69D5B1C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3.5.1分包的一般约定</w:t>
      </w:r>
    </w:p>
    <w:p w14:paraId="10B8B3E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禁止分包的工程包括：</w:t>
      </w:r>
      <w:r>
        <w:rPr>
          <w:rFonts w:hint="eastAsia" w:ascii="宋体" w:hAnsi="宋体" w:eastAsia="宋体" w:cs="宋体"/>
          <w:sz w:val="21"/>
          <w:szCs w:val="21"/>
          <w:highlight w:val="none"/>
          <w:u w:val="single"/>
        </w:rPr>
        <w:t xml:space="preserve">   工程主体结构、关键性工作   </w:t>
      </w:r>
      <w:r>
        <w:rPr>
          <w:rFonts w:hint="eastAsia" w:ascii="宋体" w:hAnsi="宋体" w:eastAsia="宋体" w:cs="宋体"/>
          <w:sz w:val="21"/>
          <w:szCs w:val="21"/>
          <w:highlight w:val="none"/>
        </w:rPr>
        <w:t>。</w:t>
      </w:r>
    </w:p>
    <w:p w14:paraId="77FFBC7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主体结构、关键性工作的范围：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47D32D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3.5.2分包的确定</w:t>
      </w:r>
    </w:p>
    <w:p w14:paraId="34491C0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允许分包的专业工程包括：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562E65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其他关于分包的约定：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8B64EA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3.5.4分包合同价款</w:t>
      </w:r>
    </w:p>
    <w:p w14:paraId="62C9F32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关于分包合同价款支付的约定：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8B0593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 工程照管与成品、半成品保护</w:t>
      </w:r>
    </w:p>
    <w:p w14:paraId="1716221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承包人负责照管工程及工程相关的材料、工程设备的起始时间：</w:t>
      </w:r>
      <w:r>
        <w:rPr>
          <w:rFonts w:hint="eastAsia" w:ascii="宋体" w:hAnsi="宋体" w:eastAsia="宋体" w:cs="宋体"/>
          <w:kern w:val="0"/>
          <w:sz w:val="21"/>
          <w:szCs w:val="21"/>
          <w:highlight w:val="none"/>
          <w:u w:val="single"/>
        </w:rPr>
        <w:t>按合同通用条款执行</w:t>
      </w:r>
      <w:r>
        <w:rPr>
          <w:rFonts w:hint="eastAsia" w:ascii="宋体" w:hAnsi="宋体" w:eastAsia="宋体" w:cs="宋体"/>
          <w:kern w:val="0"/>
          <w:sz w:val="21"/>
          <w:szCs w:val="21"/>
          <w:highlight w:val="none"/>
        </w:rPr>
        <w:t>。</w:t>
      </w:r>
    </w:p>
    <w:p w14:paraId="1870A2A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3.7 履约担保</w:t>
      </w:r>
    </w:p>
    <w:p w14:paraId="7DDA66B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承包人是否提供履约担保：</w:t>
      </w:r>
      <w:r>
        <w:rPr>
          <w:rFonts w:hint="eastAsia" w:ascii="宋体" w:hAnsi="宋体" w:eastAsia="宋体" w:cs="宋体"/>
          <w:sz w:val="21"/>
          <w:szCs w:val="21"/>
          <w:highlight w:val="none"/>
          <w:u w:val="single"/>
        </w:rPr>
        <w:t>提供履约担保</w:t>
      </w:r>
      <w:r>
        <w:rPr>
          <w:rFonts w:hint="eastAsia" w:ascii="宋体" w:hAnsi="宋体" w:eastAsia="宋体" w:cs="宋体"/>
          <w:sz w:val="21"/>
          <w:szCs w:val="21"/>
          <w:highlight w:val="none"/>
        </w:rPr>
        <w:t>。</w:t>
      </w:r>
    </w:p>
    <w:p w14:paraId="5068E98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承包人提供履约担保的形式、金额及期限：</w:t>
      </w:r>
      <w:r>
        <w:rPr>
          <w:rFonts w:hint="eastAsia" w:ascii="宋体" w:hAnsi="宋体" w:eastAsia="宋体" w:cs="宋体"/>
          <w:sz w:val="21"/>
          <w:szCs w:val="21"/>
          <w:highlight w:val="none"/>
          <w:u w:val="single"/>
        </w:rPr>
        <w:t>按招标文件规定执行，履约担保金额为中标合同金额的</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%。发包人在</w:t>
      </w:r>
      <w:r>
        <w:rPr>
          <w:rFonts w:hint="eastAsia" w:ascii="宋体" w:hAnsi="宋体" w:eastAsia="宋体" w:cs="宋体"/>
          <w:sz w:val="21"/>
          <w:szCs w:val="21"/>
          <w:highlight w:val="none"/>
          <w:u w:val="single"/>
          <w:lang w:eastAsia="zh-CN"/>
        </w:rPr>
        <w:t>质量保修期满</w:t>
      </w:r>
      <w:r>
        <w:rPr>
          <w:rFonts w:hint="eastAsia" w:ascii="宋体" w:hAnsi="宋体" w:eastAsia="宋体" w:cs="宋体"/>
          <w:sz w:val="21"/>
          <w:szCs w:val="21"/>
          <w:highlight w:val="none"/>
          <w:u w:val="single"/>
        </w:rPr>
        <w:t>10天内，向承包人全额返还；承包人应保证履约担保在</w:t>
      </w:r>
      <w:r>
        <w:rPr>
          <w:rFonts w:hint="eastAsia" w:ascii="宋体" w:hAnsi="宋体" w:eastAsia="宋体" w:cs="宋体"/>
          <w:sz w:val="21"/>
          <w:szCs w:val="21"/>
          <w:highlight w:val="none"/>
          <w:u w:val="single"/>
          <w:lang w:eastAsia="zh-CN"/>
        </w:rPr>
        <w:t>质量保修期满</w:t>
      </w:r>
      <w:r>
        <w:rPr>
          <w:rFonts w:hint="eastAsia" w:ascii="宋体" w:hAnsi="宋体" w:eastAsia="宋体" w:cs="宋体"/>
          <w:sz w:val="21"/>
          <w:szCs w:val="21"/>
          <w:highlight w:val="none"/>
          <w:u w:val="single"/>
        </w:rPr>
        <w:t>前持续有效。</w:t>
      </w:r>
    </w:p>
    <w:p w14:paraId="40D64E9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非承包人原因导致的工期延长，承包人继续提供履约担保所增加的费用由发包人承担。</w:t>
      </w:r>
    </w:p>
    <w:p w14:paraId="2A326552">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4．监理人</w:t>
      </w:r>
    </w:p>
    <w:p w14:paraId="3CCB0FC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4.1 监理人的一般规定</w:t>
      </w:r>
    </w:p>
    <w:p w14:paraId="77D0278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关于监理人的监理内容：</w:t>
      </w:r>
      <w:r>
        <w:rPr>
          <w:rFonts w:hint="eastAsia" w:ascii="宋体" w:hAnsi="宋体" w:eastAsia="宋体" w:cs="宋体"/>
          <w:sz w:val="21"/>
          <w:szCs w:val="21"/>
          <w:highlight w:val="none"/>
          <w:u w:val="single"/>
        </w:rPr>
        <w:t xml:space="preserve"> 按本工程监理合同约定内容</w:t>
      </w:r>
      <w:r>
        <w:rPr>
          <w:rFonts w:hint="eastAsia" w:ascii="宋体" w:hAnsi="宋体" w:eastAsia="宋体" w:cs="宋体"/>
          <w:sz w:val="21"/>
          <w:szCs w:val="21"/>
          <w:highlight w:val="none"/>
        </w:rPr>
        <w:t>。</w:t>
      </w:r>
    </w:p>
    <w:p w14:paraId="6001BE6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关于监理人的监理权限：〔</w:t>
      </w:r>
      <w:r>
        <w:rPr>
          <w:rFonts w:hint="eastAsia" w:ascii="宋体" w:hAnsi="宋体" w:eastAsia="宋体" w:cs="宋体"/>
          <w:sz w:val="21"/>
          <w:szCs w:val="21"/>
          <w:highlight w:val="none"/>
          <w:u w:val="single"/>
        </w:rPr>
        <w:t>按本工程监理合同约定内容，涉及工程变更（含设计变更等参建各方变更）均需报发包人审批后生效</w:t>
      </w:r>
      <w:r>
        <w:rPr>
          <w:rFonts w:hint="eastAsia" w:ascii="宋体" w:hAnsi="宋体" w:eastAsia="宋体" w:cs="宋体"/>
          <w:sz w:val="21"/>
          <w:szCs w:val="21"/>
          <w:highlight w:val="none"/>
        </w:rPr>
        <w:t>〕。</w:t>
      </w:r>
    </w:p>
    <w:p w14:paraId="7C1C2E3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关于监理人在施工现场的办公场所、生活场所的提供和费用承担的约定：</w:t>
      </w:r>
      <w:r>
        <w:rPr>
          <w:rFonts w:hint="eastAsia" w:ascii="宋体" w:hAnsi="宋体" w:eastAsia="宋体" w:cs="宋体"/>
          <w:sz w:val="21"/>
          <w:szCs w:val="21"/>
          <w:highlight w:val="none"/>
          <w:u w:val="single"/>
        </w:rPr>
        <w:t xml:space="preserve"> 由承包人免费提供办公室1间使用。</w:t>
      </w:r>
    </w:p>
    <w:p w14:paraId="71B8F2A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 监理人员</w:t>
      </w:r>
    </w:p>
    <w:p w14:paraId="2B4A988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563AC17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01D478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29EC92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监理工程师执业资格证书号：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7B8A98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BFDD64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0D8965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87581A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关于监理人的其他约定：</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DFF0C1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（1）监理人授权超出合同约定，承包人有权提出异议，如监理人对于承包人合理的异议不予接受，则承包人可要求发包人就该事项作出处理决定</w:t>
      </w:r>
      <w:r>
        <w:rPr>
          <w:rFonts w:hint="eastAsia" w:ascii="宋体" w:hAnsi="宋体" w:eastAsia="宋体" w:cs="宋体"/>
          <w:sz w:val="21"/>
          <w:szCs w:val="21"/>
          <w:highlight w:val="none"/>
        </w:rPr>
        <w:t>；</w:t>
      </w:r>
    </w:p>
    <w:p w14:paraId="389180C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（2）对于监理人更换其委派的监理人员，监理人在征得发包人同意后应当提前48小时书面通知承包人</w:t>
      </w:r>
      <w:r>
        <w:rPr>
          <w:rFonts w:hint="eastAsia" w:ascii="宋体" w:hAnsi="宋体" w:eastAsia="宋体" w:cs="宋体"/>
          <w:sz w:val="21"/>
          <w:szCs w:val="21"/>
          <w:highlight w:val="none"/>
        </w:rPr>
        <w:t>；</w:t>
      </w:r>
    </w:p>
    <w:p w14:paraId="0322529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（3）监理人对其监理人员的任何授权，承包人均有权要求监理人提供书面的授权文件，否则，承包人有权拒绝接受监理人员的指示</w:t>
      </w:r>
      <w:r>
        <w:rPr>
          <w:rFonts w:hint="eastAsia" w:ascii="宋体" w:hAnsi="宋体" w:eastAsia="宋体" w:cs="宋体"/>
          <w:sz w:val="21"/>
          <w:szCs w:val="21"/>
          <w:highlight w:val="none"/>
        </w:rPr>
        <w:t>。</w:t>
      </w:r>
    </w:p>
    <w:p w14:paraId="4E16A89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4.4 商定或确定</w:t>
      </w:r>
    </w:p>
    <w:p w14:paraId="08BA0FF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在发包人和承包人不能通过协商达成一致意见时，发包人授权监理人对以下事项进行确定：</w:t>
      </w:r>
    </w:p>
    <w:p w14:paraId="745988E8">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B38C105">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2954670">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8AD281F">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5．工程质量</w:t>
      </w:r>
    </w:p>
    <w:p w14:paraId="3B01C86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 质量要求</w:t>
      </w:r>
    </w:p>
    <w:p w14:paraId="58CEB58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5.1.1特殊质量标准和要求：</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162472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关于工程质量奖项的约定：</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8D37FD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5.3 隐蔽工程检查</w:t>
      </w:r>
    </w:p>
    <w:p w14:paraId="1372694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5.3.2承包人提前通知监理人隐蔽工程检查的期限的约定：</w:t>
      </w:r>
      <w:r>
        <w:rPr>
          <w:rFonts w:hint="eastAsia" w:ascii="宋体" w:hAnsi="宋体" w:eastAsia="宋体" w:cs="宋体"/>
          <w:sz w:val="21"/>
          <w:szCs w:val="21"/>
          <w:highlight w:val="none"/>
          <w:u w:val="single"/>
        </w:rPr>
        <w:t xml:space="preserve"> 按合同通用条款执行</w:t>
      </w:r>
      <w:r>
        <w:rPr>
          <w:rFonts w:hint="eastAsia" w:ascii="宋体" w:hAnsi="宋体" w:eastAsia="宋体" w:cs="宋体"/>
          <w:sz w:val="21"/>
          <w:szCs w:val="21"/>
          <w:highlight w:val="none"/>
        </w:rPr>
        <w:t>。</w:t>
      </w:r>
    </w:p>
    <w:p w14:paraId="539AA86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监理人不能按时进行检查时，应提前</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小时提交书面延期要求。</w:t>
      </w:r>
    </w:p>
    <w:p w14:paraId="48273CC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小时，由此导致工期延误的，工期予以顺延。</w:t>
      </w:r>
    </w:p>
    <w:p w14:paraId="44427DC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重要节点的隐蔽工程验收过程、验收部位除办理纸质验收记录，承包人还应保留验收部位、验收过程、验收人员相片、影像等资料</w:t>
      </w:r>
      <w:r>
        <w:rPr>
          <w:rFonts w:hint="eastAsia" w:ascii="宋体" w:hAnsi="宋体" w:eastAsia="宋体" w:cs="宋体"/>
          <w:sz w:val="21"/>
          <w:szCs w:val="21"/>
          <w:highlight w:val="none"/>
        </w:rPr>
        <w:t>。</w:t>
      </w:r>
    </w:p>
    <w:p w14:paraId="61D90C51">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6．安全文明施工与环境保护</w:t>
      </w:r>
    </w:p>
    <w:p w14:paraId="37BAFB3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 安全文明施工</w:t>
      </w:r>
    </w:p>
    <w:p w14:paraId="06D7B62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6.1.1项目安全生产的达标目标及相应事项的约定：</w:t>
      </w:r>
      <w:r>
        <w:rPr>
          <w:rFonts w:hint="eastAsia" w:ascii="宋体" w:hAnsi="宋体" w:eastAsia="宋体" w:cs="宋体"/>
          <w:sz w:val="21"/>
          <w:szCs w:val="21"/>
          <w:highlight w:val="none"/>
          <w:u w:val="single"/>
        </w:rPr>
        <w:t>按《浙江省建筑施工安全标准化管理规定》（浙建建〔2012〕54号），及工程所在地相关主管部门发布的有关施工现场安全文明施工（含扬尘防护、监测），门禁考勤管理，噪音、污水排放，视频监控等管理规定执行</w:t>
      </w:r>
      <w:r>
        <w:rPr>
          <w:rFonts w:hint="eastAsia" w:ascii="宋体" w:hAnsi="宋体" w:eastAsia="宋体" w:cs="宋体"/>
          <w:sz w:val="21"/>
          <w:szCs w:val="21"/>
          <w:highlight w:val="none"/>
        </w:rPr>
        <w:t>。</w:t>
      </w:r>
    </w:p>
    <w:p w14:paraId="7310720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6.1.4关于治安保卫的特别约定：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4054CC1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关于编制施工场地治安管理计划的约定：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22F9DDB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6.1.5文明施工</w:t>
      </w:r>
    </w:p>
    <w:p w14:paraId="70344CA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合同当事人对文明施工的要求：</w:t>
      </w:r>
      <w:r>
        <w:rPr>
          <w:rFonts w:hint="eastAsia" w:ascii="宋体" w:hAnsi="宋体" w:eastAsia="宋体" w:cs="宋体"/>
          <w:sz w:val="21"/>
          <w:szCs w:val="21"/>
          <w:highlight w:val="none"/>
          <w:u w:val="single"/>
        </w:rPr>
        <w:t>按省、市发有关文明施工管理规定执行</w:t>
      </w:r>
      <w:r>
        <w:rPr>
          <w:rFonts w:hint="eastAsia" w:ascii="宋体" w:hAnsi="宋体" w:eastAsia="宋体" w:cs="宋体"/>
          <w:sz w:val="21"/>
          <w:szCs w:val="21"/>
          <w:highlight w:val="none"/>
        </w:rPr>
        <w:t>。</w:t>
      </w:r>
    </w:p>
    <w:p w14:paraId="653FFF9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6.1.6关于安全文明施工费支付比例和支付期限的约定：</w:t>
      </w:r>
      <w:r>
        <w:rPr>
          <w:rFonts w:hint="eastAsia" w:ascii="宋体" w:hAnsi="宋体" w:eastAsia="宋体" w:cs="宋体"/>
          <w:sz w:val="21"/>
          <w:szCs w:val="21"/>
          <w:highlight w:val="none"/>
          <w:u w:val="single"/>
        </w:rPr>
        <w:t>/。</w:t>
      </w:r>
    </w:p>
    <w:p w14:paraId="1579F79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安全文明施工费包含在合同价内。承包人经发包人同意采取合同以外的安全措施所产生的费用，由发、承包人协商处理；未经发包人同意，发包人可不承担由此增加费用</w:t>
      </w:r>
      <w:r>
        <w:rPr>
          <w:rFonts w:hint="eastAsia" w:ascii="宋体" w:hAnsi="宋体" w:eastAsia="宋体" w:cs="宋体"/>
          <w:sz w:val="21"/>
          <w:szCs w:val="21"/>
          <w:highlight w:val="none"/>
        </w:rPr>
        <w:t>；</w:t>
      </w:r>
    </w:p>
    <w:p w14:paraId="7025B49C">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7．工期和进度</w:t>
      </w:r>
    </w:p>
    <w:p w14:paraId="10B6EA9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7.1 施工组织设计</w:t>
      </w:r>
    </w:p>
    <w:p w14:paraId="76D47D14">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7.1.1合</w:t>
      </w:r>
      <w:r>
        <w:rPr>
          <w:rFonts w:hint="eastAsia" w:ascii="宋体" w:hAnsi="宋体" w:eastAsia="宋体" w:cs="宋体"/>
          <w:kern w:val="0"/>
          <w:sz w:val="21"/>
          <w:szCs w:val="21"/>
          <w:highlight w:val="none"/>
        </w:rPr>
        <w:t>同当事人约定的施工组织设计应包括的其他内容：</w:t>
      </w:r>
      <w:r>
        <w:rPr>
          <w:rFonts w:hint="eastAsia" w:ascii="宋体" w:hAnsi="宋体" w:eastAsia="宋体" w:cs="宋体"/>
          <w:sz w:val="21"/>
          <w:szCs w:val="21"/>
          <w:highlight w:val="none"/>
          <w:u w:val="single"/>
        </w:rPr>
        <w:t xml:space="preserve"> 对特殊工艺施工、危险性较大分部分项工程施工，应按规定办理审批手续和按当地建设行政主管部门要求组织专家论证</w:t>
      </w:r>
      <w:r>
        <w:rPr>
          <w:rFonts w:hint="eastAsia" w:ascii="宋体" w:hAnsi="宋体" w:eastAsia="宋体" w:cs="宋体"/>
          <w:sz w:val="21"/>
          <w:szCs w:val="21"/>
          <w:highlight w:val="none"/>
        </w:rPr>
        <w:t>。</w:t>
      </w:r>
    </w:p>
    <w:p w14:paraId="42C8DFD9">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7.1.2</w:t>
      </w:r>
      <w:r>
        <w:rPr>
          <w:rFonts w:hint="eastAsia" w:ascii="宋体" w:hAnsi="宋体" w:eastAsia="宋体" w:cs="宋体"/>
          <w:kern w:val="0"/>
          <w:sz w:val="21"/>
          <w:szCs w:val="21"/>
          <w:highlight w:val="none"/>
        </w:rPr>
        <w:t>施工组织设计的提交和修改</w:t>
      </w:r>
    </w:p>
    <w:p w14:paraId="67A7AC21">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承包人提交详细施工组织设计的期限的约定：</w:t>
      </w:r>
      <w:r>
        <w:rPr>
          <w:rFonts w:hint="eastAsia" w:ascii="宋体" w:hAnsi="宋体" w:eastAsia="宋体" w:cs="宋体"/>
          <w:sz w:val="21"/>
          <w:szCs w:val="21"/>
          <w:highlight w:val="none"/>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宋体" w:hAnsi="宋体" w:eastAsia="宋体" w:cs="宋体"/>
          <w:sz w:val="21"/>
          <w:szCs w:val="21"/>
          <w:highlight w:val="none"/>
        </w:rPr>
        <w:t>；</w:t>
      </w:r>
    </w:p>
    <w:p w14:paraId="004F88F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发包人和监理人在收到详细的施工组织设计后确认或提出修改意见的期限：</w:t>
      </w:r>
      <w:r>
        <w:rPr>
          <w:rFonts w:hint="eastAsia" w:ascii="宋体" w:hAnsi="宋体" w:eastAsia="宋体" w:cs="宋体"/>
          <w:sz w:val="21"/>
          <w:szCs w:val="21"/>
          <w:highlight w:val="none"/>
          <w:u w:val="single"/>
        </w:rPr>
        <w:t>收到相应文件后7天内</w:t>
      </w:r>
      <w:r>
        <w:rPr>
          <w:rFonts w:hint="eastAsia" w:ascii="宋体" w:hAnsi="宋体" w:eastAsia="宋体" w:cs="宋体"/>
          <w:sz w:val="21"/>
          <w:szCs w:val="21"/>
          <w:highlight w:val="none"/>
        </w:rPr>
        <w:t>。</w:t>
      </w:r>
    </w:p>
    <w:p w14:paraId="5E51585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7.2 施工进度计划</w:t>
      </w:r>
    </w:p>
    <w:p w14:paraId="26EF1BD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7.2.2施工进度计划的修订</w:t>
      </w:r>
    </w:p>
    <w:p w14:paraId="4EF60CF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发包人和监理人在收到修订的施工进度计划后确认或提出修改意见的期限：</w:t>
      </w:r>
      <w:r>
        <w:rPr>
          <w:rFonts w:hint="eastAsia" w:ascii="宋体" w:hAnsi="宋体" w:eastAsia="宋体" w:cs="宋体"/>
          <w:sz w:val="21"/>
          <w:szCs w:val="21"/>
          <w:highlight w:val="none"/>
          <w:u w:val="single"/>
        </w:rPr>
        <w:t xml:space="preserve"> 收到相应文件后7天内 </w:t>
      </w:r>
      <w:r>
        <w:rPr>
          <w:rFonts w:hint="eastAsia" w:ascii="宋体" w:hAnsi="宋体" w:eastAsia="宋体" w:cs="宋体"/>
          <w:sz w:val="21"/>
          <w:szCs w:val="21"/>
          <w:highlight w:val="none"/>
        </w:rPr>
        <w:t>。</w:t>
      </w:r>
    </w:p>
    <w:p w14:paraId="7E6BC02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7.3 开工</w:t>
      </w:r>
    </w:p>
    <w:p w14:paraId="4B2C6E5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7.3.1开工准备</w:t>
      </w:r>
    </w:p>
    <w:p w14:paraId="08443BF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关于承包人提交</w:t>
      </w:r>
      <w:r>
        <w:rPr>
          <w:rFonts w:hint="eastAsia" w:ascii="宋体" w:hAnsi="宋体" w:eastAsia="宋体" w:cs="宋体"/>
          <w:kern w:val="0"/>
          <w:sz w:val="21"/>
          <w:szCs w:val="21"/>
          <w:highlight w:val="none"/>
        </w:rPr>
        <w:t>工程开工报审表的期限：</w:t>
      </w:r>
      <w:r>
        <w:rPr>
          <w:rFonts w:hint="eastAsia" w:ascii="宋体" w:hAnsi="宋体" w:eastAsia="宋体" w:cs="宋体"/>
          <w:sz w:val="21"/>
          <w:szCs w:val="21"/>
          <w:highlight w:val="none"/>
          <w:u w:val="single"/>
        </w:rPr>
        <w:t>接到开工通知（或确定开工日期）后7天内</w:t>
      </w:r>
      <w:r>
        <w:rPr>
          <w:rFonts w:hint="eastAsia" w:ascii="宋体" w:hAnsi="宋体" w:eastAsia="宋体" w:cs="宋体"/>
          <w:sz w:val="21"/>
          <w:szCs w:val="21"/>
          <w:highlight w:val="none"/>
        </w:rPr>
        <w:t>。</w:t>
      </w:r>
    </w:p>
    <w:p w14:paraId="679158B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关于发包人应完成的其他开工准备工作及期限：</w:t>
      </w:r>
      <w:r>
        <w:rPr>
          <w:rFonts w:hint="eastAsia" w:ascii="宋体" w:hAnsi="宋体" w:eastAsia="宋体" w:cs="宋体"/>
          <w:sz w:val="21"/>
          <w:szCs w:val="21"/>
          <w:highlight w:val="none"/>
          <w:u w:val="single"/>
        </w:rPr>
        <w:t>开工前7天</w:t>
      </w:r>
      <w:r>
        <w:rPr>
          <w:rFonts w:hint="eastAsia" w:ascii="宋体" w:hAnsi="宋体" w:eastAsia="宋体" w:cs="宋体"/>
          <w:sz w:val="21"/>
          <w:szCs w:val="21"/>
          <w:highlight w:val="none"/>
        </w:rPr>
        <w:t>。</w:t>
      </w:r>
    </w:p>
    <w:p w14:paraId="0913A3A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关于承包人应完成的其他开工准备工作及期限：</w:t>
      </w:r>
      <w:r>
        <w:rPr>
          <w:rFonts w:hint="eastAsia" w:ascii="宋体" w:hAnsi="宋体" w:eastAsia="宋体" w:cs="宋体"/>
          <w:sz w:val="21"/>
          <w:szCs w:val="21"/>
          <w:highlight w:val="none"/>
          <w:u w:val="single"/>
        </w:rPr>
        <w:t>开工前</w:t>
      </w:r>
      <w:r>
        <w:rPr>
          <w:rFonts w:hint="eastAsia" w:ascii="宋体" w:hAnsi="宋体" w:eastAsia="宋体" w:cs="宋体"/>
          <w:sz w:val="21"/>
          <w:szCs w:val="21"/>
          <w:highlight w:val="none"/>
        </w:rPr>
        <w:t>。</w:t>
      </w:r>
    </w:p>
    <w:p w14:paraId="27B1DB7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7.3.2开工通知</w:t>
      </w:r>
    </w:p>
    <w:p w14:paraId="274719C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发包人（或监理人）在计划开工日期前7天向承包人发出开工通知，工期自开工通知中载明的开工日期起算。</w:t>
      </w:r>
    </w:p>
    <w:p w14:paraId="24D59EC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因发包人原因造成监理人未能在计划开工日期之日起90天内发出开工通知的，承包人有权提出价格调整要求，或者解除合同。发包人应当承担由此增加的费用或赔偿承包人的损失</w:t>
      </w:r>
      <w:r>
        <w:rPr>
          <w:rFonts w:hint="eastAsia" w:ascii="宋体" w:hAnsi="宋体" w:eastAsia="宋体" w:cs="宋体"/>
          <w:sz w:val="21"/>
          <w:szCs w:val="21"/>
          <w:highlight w:val="none"/>
        </w:rPr>
        <w:t>。</w:t>
      </w:r>
    </w:p>
    <w:p w14:paraId="38B39F7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7.4 测量放线</w:t>
      </w:r>
    </w:p>
    <w:p w14:paraId="4D80912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7.4.1发包人通过监理人向承包人提供测量基准点、基准线和水准点及其书面资料的期限：</w:t>
      </w:r>
      <w:r>
        <w:rPr>
          <w:rFonts w:hint="eastAsia" w:ascii="宋体" w:hAnsi="宋体" w:eastAsia="宋体" w:cs="宋体"/>
          <w:sz w:val="21"/>
          <w:szCs w:val="21"/>
          <w:highlight w:val="none"/>
          <w:u w:val="single"/>
        </w:rPr>
        <w:t xml:space="preserve"> 按合同通用条款执行 </w:t>
      </w:r>
      <w:r>
        <w:rPr>
          <w:rFonts w:hint="eastAsia" w:ascii="宋体" w:hAnsi="宋体" w:eastAsia="宋体" w:cs="宋体"/>
          <w:sz w:val="21"/>
          <w:szCs w:val="21"/>
          <w:highlight w:val="none"/>
        </w:rPr>
        <w:t>。</w:t>
      </w:r>
    </w:p>
    <w:p w14:paraId="4E7DA77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7.5 工期延误</w:t>
      </w:r>
    </w:p>
    <w:p w14:paraId="5074653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7.5.1因发包人原因导致工期延误</w:t>
      </w:r>
    </w:p>
    <w:p w14:paraId="6E24CFF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（7）因发包人原因导致工期延误的其他情形：</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CF4664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7.5.2因承包人原因导致工期延误</w:t>
      </w:r>
    </w:p>
    <w:p w14:paraId="5544D34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因承包人原因造成工期延误，逾期竣工违约金的计算方法为：</w:t>
      </w:r>
      <w:r>
        <w:rPr>
          <w:rFonts w:hint="eastAsia" w:ascii="宋体" w:hAnsi="宋体" w:eastAsia="宋体" w:cs="宋体"/>
          <w:sz w:val="21"/>
          <w:szCs w:val="21"/>
          <w:highlight w:val="none"/>
          <w:u w:val="single"/>
        </w:rPr>
        <w:t>按每天500元计取</w:t>
      </w:r>
      <w:r>
        <w:rPr>
          <w:rFonts w:hint="eastAsia" w:ascii="宋体" w:hAnsi="宋体" w:eastAsia="宋体" w:cs="宋体"/>
          <w:sz w:val="21"/>
          <w:szCs w:val="21"/>
          <w:highlight w:val="none"/>
        </w:rPr>
        <w:t>。</w:t>
      </w:r>
    </w:p>
    <w:p w14:paraId="06449D6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因承包人原因造成工期延误，逾期竣工违约金的上限：</w:t>
      </w:r>
      <w:r>
        <w:rPr>
          <w:rFonts w:hint="eastAsia" w:ascii="宋体" w:hAnsi="宋体" w:eastAsia="宋体" w:cs="宋体"/>
          <w:sz w:val="21"/>
          <w:szCs w:val="21"/>
          <w:highlight w:val="none"/>
          <w:u w:val="single"/>
        </w:rPr>
        <w:t>履约保证金额度</w:t>
      </w:r>
      <w:r>
        <w:rPr>
          <w:rFonts w:hint="eastAsia" w:ascii="宋体" w:hAnsi="宋体" w:eastAsia="宋体" w:cs="宋体"/>
          <w:sz w:val="21"/>
          <w:szCs w:val="21"/>
          <w:highlight w:val="none"/>
        </w:rPr>
        <w:t>。</w:t>
      </w:r>
    </w:p>
    <w:p w14:paraId="5BA8B0A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7.6 不利物质条件</w:t>
      </w:r>
    </w:p>
    <w:p w14:paraId="0689364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不利物质条件的其他情形和有关约定：</w:t>
      </w:r>
    </w:p>
    <w:p w14:paraId="563FA11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因政府行政命令（因承包人原因的除外）。</w:t>
      </w:r>
    </w:p>
    <w:p w14:paraId="3C417EB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非因双方原因而无法控制的爆炸、火灾等事件。</w:t>
      </w:r>
    </w:p>
    <w:p w14:paraId="5B982D9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施工场地周围地下管线保护，地下障碍物和污染物排除，邻近建筑物、构筑物的保护要求。</w:t>
      </w:r>
    </w:p>
    <w:p w14:paraId="2342334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（4）</w:t>
      </w:r>
      <w:r>
        <w:rPr>
          <w:rFonts w:hint="eastAsia" w:ascii="宋体" w:hAnsi="宋体" w:eastAsia="宋体" w:cs="宋体"/>
          <w:sz w:val="21"/>
          <w:szCs w:val="21"/>
          <w:highlight w:val="none"/>
          <w:u w:val="single"/>
        </w:rPr>
        <w:t>地质勘探资料未涉及的地下管道、暗沟、岩层等。</w:t>
      </w:r>
    </w:p>
    <w:p w14:paraId="5F58521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6329579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7.7 异常恶劣的气候条件</w:t>
      </w:r>
    </w:p>
    <w:p w14:paraId="7C2FB8D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发包人和承包人同意以下情形视为异常恶劣的气候条件：</w:t>
      </w:r>
    </w:p>
    <w:p w14:paraId="7BD2610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8-10级（含10级）持续24小时的大风（台风）</w:t>
      </w:r>
      <w:r>
        <w:rPr>
          <w:rFonts w:hint="eastAsia" w:ascii="宋体" w:hAnsi="宋体" w:eastAsia="宋体" w:cs="宋体"/>
          <w:sz w:val="21"/>
          <w:szCs w:val="21"/>
          <w:highlight w:val="none"/>
        </w:rPr>
        <w:t>；</w:t>
      </w:r>
    </w:p>
    <w:p w14:paraId="5C5C42B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24小时内持续降雨且降水量为200mm以上</w:t>
      </w:r>
      <w:r>
        <w:rPr>
          <w:rFonts w:hint="eastAsia" w:ascii="宋体" w:hAnsi="宋体" w:eastAsia="宋体" w:cs="宋体"/>
          <w:sz w:val="21"/>
          <w:szCs w:val="21"/>
          <w:highlight w:val="none"/>
        </w:rPr>
        <w:t>；</w:t>
      </w:r>
    </w:p>
    <w:p w14:paraId="3DB0376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40摄氏度及以上且持续2天以上的高温天气</w:t>
      </w:r>
      <w:r>
        <w:rPr>
          <w:rFonts w:hint="eastAsia" w:ascii="宋体" w:hAnsi="宋体" w:eastAsia="宋体" w:cs="宋体"/>
          <w:sz w:val="21"/>
          <w:szCs w:val="21"/>
          <w:highlight w:val="none"/>
        </w:rPr>
        <w:t>。</w:t>
      </w:r>
    </w:p>
    <w:p w14:paraId="0742CC3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r>
        <w:rPr>
          <w:rFonts w:hint="eastAsia" w:ascii="宋体" w:hAnsi="宋体" w:eastAsia="宋体" w:cs="宋体"/>
          <w:sz w:val="21"/>
          <w:szCs w:val="21"/>
          <w:highlight w:val="none"/>
        </w:rPr>
        <w:t>。</w:t>
      </w:r>
    </w:p>
    <w:p w14:paraId="310BCAB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7.9 提前竣工的奖励</w:t>
      </w:r>
    </w:p>
    <w:p w14:paraId="09189CE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7.9.2提前竣工的奖励：</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8003FB0">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8．材料与设备</w:t>
      </w:r>
    </w:p>
    <w:p w14:paraId="0C7BD5A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8.1 发包人供应材料与工程设备</w:t>
      </w:r>
    </w:p>
    <w:p w14:paraId="33D9110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本工程中</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材料由发包人提供，详见附件2：发包人供应材料设备一览表。</w:t>
      </w:r>
    </w:p>
    <w:p w14:paraId="44A66A3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发包人提供的</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材料费用（除税价款）在每期应付工程款（或竣工结算）的税前工程造价中扣回。（适用一般计税方法）</w:t>
      </w:r>
    </w:p>
    <w:p w14:paraId="03540C5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8.2 承包人采购材料与工程设备</w:t>
      </w:r>
    </w:p>
    <w:p w14:paraId="42A15AE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（1）材料品牌、规格和使用要求：按招标文件（相应）技术标准和要求执行。</w:t>
      </w:r>
    </w:p>
    <w:p w14:paraId="137FCCA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（2）本工程已确定承包价的建筑材料均由承包人自行询价、采购、运输和保管。散装水泥及新型墙体材料的使用须符合相关规定，否则相关押金由承包人承担。</w:t>
      </w:r>
    </w:p>
    <w:p w14:paraId="5EC036F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（3）所有材料必须有质保书或合格证，符合施工图纸和规范要求，且品牌、产地需报发包人备案，否则，因此产生的后果均由承包人负责。</w:t>
      </w:r>
    </w:p>
    <w:p w14:paraId="0374C7C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p>
    <w:p w14:paraId="6CB4EDC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（5）所有设备、材料和预制构件等均需有产品合格证和质保书、试验（试车）报告等必要资料，符合国家规定的技术标准和设计图纸要求的标准，并且须经发包人及监理单位验收合格后方可使用。</w:t>
      </w:r>
    </w:p>
    <w:p w14:paraId="5409EA6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（6）根据工程需要，发包人有权对承包人投标时确认的品牌进行更换，更换后的材料价格由发包人签证进行结算。</w:t>
      </w:r>
    </w:p>
    <w:p w14:paraId="734C200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（7）合同中原暂定价材料或由工程变更产生的无价材料（按有关规定可不组织招标采购的）由承包人采购时，应由发包人签证确定价格后采购，发包人收到承包人价格确定申请后，7日内审批完毕。</w:t>
      </w:r>
    </w:p>
    <w:p w14:paraId="31B749C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8.4 材料与工程设备的保管与使用</w:t>
      </w:r>
    </w:p>
    <w:p w14:paraId="28E6940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8.4.1发包人供应的材料设备的保管费用的承担：</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6CD791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8.6 样品</w:t>
      </w:r>
    </w:p>
    <w:p w14:paraId="61137E31">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8.6.1样品的报送与封存</w:t>
      </w:r>
    </w:p>
    <w:p w14:paraId="715FF124">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需要承包人报送样品的材料或工程设备，样品的种类、名称、规格、数量要求：</w:t>
      </w:r>
      <w:r>
        <w:rPr>
          <w:rFonts w:hint="eastAsia" w:ascii="宋体" w:hAnsi="宋体" w:eastAsia="宋体" w:cs="宋体"/>
          <w:sz w:val="21"/>
          <w:szCs w:val="21"/>
          <w:highlight w:val="none"/>
          <w:u w:val="single"/>
        </w:rPr>
        <w:t xml:space="preserve">  （如有要封存样品，明确具体样品名称）  </w:t>
      </w:r>
      <w:r>
        <w:rPr>
          <w:rFonts w:hint="eastAsia" w:ascii="宋体" w:hAnsi="宋体" w:eastAsia="宋体" w:cs="宋体"/>
          <w:sz w:val="21"/>
          <w:szCs w:val="21"/>
          <w:highlight w:val="none"/>
        </w:rPr>
        <w:t>。</w:t>
      </w:r>
    </w:p>
    <w:p w14:paraId="3AF9FDC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8.8 施工设备和临时设施</w:t>
      </w:r>
    </w:p>
    <w:p w14:paraId="47E216A0">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8.8.1承包人提供的施工设备和临时设施</w:t>
      </w:r>
    </w:p>
    <w:p w14:paraId="4FA1249A">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关于修建临时设施费用承担的约定：</w:t>
      </w:r>
      <w:r>
        <w:rPr>
          <w:rFonts w:hint="eastAsia" w:ascii="宋体" w:hAnsi="宋体" w:eastAsia="宋体" w:cs="宋体"/>
          <w:sz w:val="21"/>
          <w:szCs w:val="21"/>
          <w:highlight w:val="none"/>
          <w:u w:val="single"/>
        </w:rPr>
        <w:t xml:space="preserve">  由承包人承担  </w:t>
      </w:r>
      <w:r>
        <w:rPr>
          <w:rFonts w:hint="eastAsia" w:ascii="宋体" w:hAnsi="宋体" w:eastAsia="宋体" w:cs="宋体"/>
          <w:sz w:val="21"/>
          <w:szCs w:val="21"/>
          <w:highlight w:val="none"/>
        </w:rPr>
        <w:t>。</w:t>
      </w:r>
    </w:p>
    <w:p w14:paraId="0DF6510A">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9．试验与检验</w:t>
      </w:r>
    </w:p>
    <w:p w14:paraId="5491979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9.1 试验设备与试验人员</w:t>
      </w:r>
    </w:p>
    <w:p w14:paraId="6F33EE7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9.1.2试验设备</w:t>
      </w:r>
    </w:p>
    <w:p w14:paraId="13712EF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施工现场需要配置的试验场所：</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75ABFC0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施工现场需要配备的试验设备：</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261138D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施工现场需要具备的其他试验条件：</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19A5D5D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9.3 材料、工程设备和工程的试验和检验</w:t>
      </w:r>
    </w:p>
    <w:p w14:paraId="663C4B9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9.3.4材料、设备和工程的试验和检验的费用：</w:t>
      </w:r>
    </w:p>
    <w:p w14:paraId="2120B97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08BE83C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9936C0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348D015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22424D4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9.4 现场工艺试验</w:t>
      </w:r>
    </w:p>
    <w:p w14:paraId="04707BD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现场工艺试验的有关约定：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99263AE">
      <w:pPr>
        <w:pStyle w:val="6"/>
        <w:keepNext w:val="0"/>
        <w:keepLines w:val="0"/>
        <w:pageBreakBefore w:val="0"/>
        <w:widowControl w:val="0"/>
        <w:numPr>
          <w:ilvl w:val="0"/>
          <w:numId w:val="6"/>
        </w:numPr>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变更</w:t>
      </w:r>
    </w:p>
    <w:p w14:paraId="3C57878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工程变更按照临海市人民政府办公室印发的《关于进一步完善政府投资项目管理的若干意见》（临政办发〔2018〕167号）办理。</w:t>
      </w:r>
    </w:p>
    <w:p w14:paraId="006E512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10.1 变更的范围</w:t>
      </w:r>
    </w:p>
    <w:p w14:paraId="60A78D2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关于变更的范围的约定：</w:t>
      </w:r>
      <w:r>
        <w:rPr>
          <w:rFonts w:hint="eastAsia" w:ascii="宋体" w:hAnsi="宋体" w:eastAsia="宋体" w:cs="宋体"/>
          <w:sz w:val="21"/>
          <w:szCs w:val="21"/>
          <w:highlight w:val="none"/>
          <w:u w:val="single"/>
        </w:rPr>
        <w:t>按合同通用条款。工程变更引起工程量的减少或增加，承包人不得因此拒绝施工。</w:t>
      </w:r>
    </w:p>
    <w:p w14:paraId="0EF49A6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10.4 变更估价</w:t>
      </w:r>
    </w:p>
    <w:p w14:paraId="42B50EC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10.4.1变更估价原则</w:t>
      </w:r>
    </w:p>
    <w:p w14:paraId="603F79F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关于变更估价的约定: </w:t>
      </w:r>
      <w:r>
        <w:rPr>
          <w:rFonts w:hint="eastAsia" w:ascii="宋体" w:hAnsi="宋体" w:eastAsia="宋体" w:cs="宋体"/>
          <w:sz w:val="21"/>
          <w:szCs w:val="21"/>
          <w:highlight w:val="none"/>
          <w:u w:val="single"/>
        </w:rPr>
        <w:t>变更项目的计价口径同合同约定计价方法，按约定的工程预算定额计价，预算定额中无合适定额子目的由发包人签证确定。</w:t>
      </w:r>
    </w:p>
    <w:p w14:paraId="699BBFB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10.4.2变更估价程序</w:t>
      </w:r>
    </w:p>
    <w:p w14:paraId="72AEBB8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承包人收到发包人、监理人、设计单位的变更指示后14天内向发包人提交变更估价申请。</w:t>
      </w:r>
    </w:p>
    <w:p w14:paraId="3CB0CE0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承包人提出工程变更、专项施工方案等变更应同时提交变更估价申请。</w:t>
      </w:r>
    </w:p>
    <w:p w14:paraId="2CE0F4F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承包人提交的变更估价申请，发包人和监理人应予以签收，并在14天内审批完毕。</w:t>
      </w:r>
    </w:p>
    <w:p w14:paraId="174B522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10.5 承包人的合理化建议</w:t>
      </w:r>
    </w:p>
    <w:p w14:paraId="2AD534F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监理人审查承包人合理化建议的期限：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3677687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发包人审批承包人合理化建议的期限：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2B12089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承包人提出的合理化建议降低了合同价格或者提高了工程经济效益的奖励的方法和金额为：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B0BA5D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10.7 暂估价</w:t>
      </w:r>
    </w:p>
    <w:p w14:paraId="2B54077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暂估价材料和工程设备的明细详见附件11：《</w:t>
      </w:r>
      <w:r>
        <w:rPr>
          <w:rFonts w:hint="eastAsia" w:ascii="宋体" w:hAnsi="宋体" w:eastAsia="宋体" w:cs="宋体"/>
          <w:sz w:val="21"/>
          <w:szCs w:val="21"/>
          <w:highlight w:val="none"/>
        </w:rPr>
        <w:t>暂估价一览表》</w:t>
      </w:r>
      <w:r>
        <w:rPr>
          <w:rFonts w:hint="eastAsia" w:ascii="宋体" w:hAnsi="宋体" w:eastAsia="宋体" w:cs="宋体"/>
          <w:kern w:val="0"/>
          <w:sz w:val="21"/>
          <w:szCs w:val="21"/>
          <w:highlight w:val="none"/>
        </w:rPr>
        <w:t>。</w:t>
      </w:r>
    </w:p>
    <w:p w14:paraId="1219734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10.7.1依法必须招标的暂估价项目</w:t>
      </w:r>
    </w:p>
    <w:p w14:paraId="0F90C54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7D09D04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10.7.2不属于依法必须招标的暂估价项目：</w:t>
      </w:r>
      <w:r>
        <w:rPr>
          <w:rFonts w:hint="eastAsia" w:ascii="宋体" w:hAnsi="宋体" w:eastAsia="宋体" w:cs="宋体"/>
          <w:sz w:val="21"/>
          <w:szCs w:val="21"/>
          <w:highlight w:val="none"/>
          <w:u w:val="single"/>
        </w:rPr>
        <w:t>按合同通用条款。</w:t>
      </w:r>
    </w:p>
    <w:p w14:paraId="56C113D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第3种方式：</w:t>
      </w:r>
      <w:r>
        <w:rPr>
          <w:rFonts w:hint="eastAsia" w:ascii="宋体" w:hAnsi="宋体" w:eastAsia="宋体" w:cs="宋体"/>
          <w:kern w:val="0"/>
          <w:sz w:val="21"/>
          <w:szCs w:val="21"/>
          <w:highlight w:val="none"/>
        </w:rPr>
        <w:t>承包人直接实施的暂估价项目</w:t>
      </w:r>
    </w:p>
    <w:p w14:paraId="622405F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承包人直接实施的暂估价项目的约定：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5E3E83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10.8 暂列金额</w:t>
      </w:r>
    </w:p>
    <w:p w14:paraId="2C856708">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合同当事人关于暂列金额使用的约定：</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6B3894CC">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11．价格调整</w:t>
      </w:r>
    </w:p>
    <w:p w14:paraId="59BE81C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 市场价格波动引起的调整</w:t>
      </w:r>
    </w:p>
    <w:p w14:paraId="7114F09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市场价格波动是否调整合同价格的约定：</w:t>
      </w:r>
      <w:r>
        <w:rPr>
          <w:rFonts w:hint="eastAsia" w:ascii="宋体" w:hAnsi="宋体" w:eastAsia="宋体" w:cs="宋体"/>
          <w:sz w:val="21"/>
          <w:szCs w:val="21"/>
          <w:highlight w:val="none"/>
          <w:u w:val="single"/>
        </w:rPr>
        <w:t>人工、材料结算价格按以下方法调整。本条约定的调整时间均为在施工工期范围内。人工（含机上人工）调整的差价部分只计取税金及民工工伤保险费。</w:t>
      </w:r>
    </w:p>
    <w:p w14:paraId="588ABB5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因市场价格波动调整合同价格，采用以下第</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种方式对合同价格进行调整：</w:t>
      </w:r>
    </w:p>
    <w:p w14:paraId="1FC5C1A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第1种方式：采用价格指数进行价格调整。</w:t>
      </w:r>
    </w:p>
    <w:p w14:paraId="1E616F4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第2种方式：本工程的人工、材料结算单价，按施工期内的信息价《台州造价（正刊）》（工程所在地）的平均值计算。</w:t>
      </w:r>
    </w:p>
    <w:p w14:paraId="42A4148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第3种方式：其他价格调整方式：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829623B">
      <w:pPr>
        <w:keepNext w:val="0"/>
        <w:keepLines w:val="0"/>
        <w:pageBreakBefore w:val="0"/>
        <w:widowControl w:val="0"/>
        <w:kinsoku/>
        <w:wordWrap/>
        <w:overflowPunct/>
        <w:topLinePunct w:val="0"/>
        <w:autoSpaceDE/>
        <w:autoSpaceDN/>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 法律变化引起的调整 ：</w:t>
      </w:r>
      <w:r>
        <w:rPr>
          <w:rFonts w:hint="eastAsia" w:ascii="宋体" w:hAnsi="宋体" w:eastAsia="宋体" w:cs="宋体"/>
          <w:sz w:val="21"/>
          <w:szCs w:val="21"/>
          <w:highlight w:val="none"/>
          <w:u w:val="single"/>
        </w:rPr>
        <w:t xml:space="preserve"> 按省级或行业建设主管部门或其授权的工程造价管理机构发布的规定执行。</w:t>
      </w:r>
    </w:p>
    <w:p w14:paraId="48B15BD2">
      <w:pPr>
        <w:pStyle w:val="6"/>
        <w:keepNext w:val="0"/>
        <w:keepLines w:val="0"/>
        <w:pageBreakBefore w:val="0"/>
        <w:widowControl w:val="0"/>
        <w:kinsoku/>
        <w:wordWrap/>
        <w:overflowPunct/>
        <w:topLinePunct w:val="0"/>
        <w:autoSpaceDE/>
        <w:autoSpaceDN/>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12．合同价格、计量与支付</w:t>
      </w:r>
    </w:p>
    <w:p w14:paraId="112EED24">
      <w:pPr>
        <w:keepNext w:val="0"/>
        <w:keepLines w:val="0"/>
        <w:pageBreakBefore w:val="0"/>
        <w:widowControl w:val="0"/>
        <w:kinsoku/>
        <w:wordWrap/>
        <w:overflowPunct/>
        <w:topLinePunct w:val="0"/>
        <w:autoSpaceDE/>
        <w:autoSpaceDN/>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 合同价格形式</w:t>
      </w:r>
    </w:p>
    <w:p w14:paraId="724B34EC">
      <w:pPr>
        <w:pStyle w:val="29"/>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本合同价款采用第</w:t>
      </w:r>
      <w:r>
        <w:rPr>
          <w:rFonts w:hint="eastAsia" w:ascii="宋体" w:hAnsi="宋体" w:eastAsia="宋体" w:cs="宋体"/>
          <w:kern w:val="0"/>
          <w:sz w:val="21"/>
          <w:szCs w:val="21"/>
          <w:highlight w:val="none"/>
          <w:u w:val="single"/>
        </w:rPr>
        <w:t xml:space="preserve">  3  </w:t>
      </w:r>
      <w:r>
        <w:rPr>
          <w:rFonts w:hint="eastAsia" w:ascii="宋体" w:hAnsi="宋体" w:eastAsia="宋体" w:cs="宋体"/>
          <w:kern w:val="0"/>
          <w:sz w:val="21"/>
          <w:szCs w:val="21"/>
          <w:highlight w:val="none"/>
        </w:rPr>
        <w:t>种方式</w:t>
      </w:r>
      <w:r>
        <w:rPr>
          <w:rFonts w:hint="eastAsia" w:ascii="宋体" w:hAnsi="宋体" w:eastAsia="宋体" w:cs="宋体"/>
          <w:sz w:val="21"/>
          <w:szCs w:val="21"/>
          <w:highlight w:val="none"/>
          <w:u w:val="single"/>
        </w:rPr>
        <w:t>其他价格形式合同</w:t>
      </w:r>
      <w:r>
        <w:rPr>
          <w:rFonts w:hint="eastAsia" w:ascii="宋体" w:hAnsi="宋体" w:eastAsia="宋体" w:cs="宋体"/>
          <w:kern w:val="0"/>
          <w:sz w:val="21"/>
          <w:szCs w:val="21"/>
          <w:highlight w:val="none"/>
        </w:rPr>
        <w:t>确定。</w:t>
      </w:r>
    </w:p>
    <w:p w14:paraId="7441D97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1.单价合同：</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56DAD84">
      <w:pPr>
        <w:pageBreakBefore w:val="0"/>
        <w:widowControl w:val="0"/>
        <w:tabs>
          <w:tab w:val="left" w:pos="0"/>
        </w:tabs>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2.总价合同：</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427429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总价包含的风险范围：</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A6142A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风险费用的计算方法：</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D3EF63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风险范围以外合同价格的调整方法：</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00A18F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3.其他价格形式：工程造价按工程预算定额计价乘以结算率（1-下浮率）确定。</w:t>
      </w:r>
    </w:p>
    <w:p w14:paraId="2F81ED3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合同约定的风险范围：</w:t>
      </w:r>
    </w:p>
    <w:p w14:paraId="680D160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本工程结算价的计算方式按以下第（1）约定工程造价计算规则，结合投标工程结算率和市场价格波动调整办法计算工程造价。除风险范围以外约定调整外，以下内容按承包人的投标承诺不作调整：</w:t>
      </w:r>
    </w:p>
    <w:p w14:paraId="66365CB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浙江省建设工程计价规则》(2018版)、《浙江省市政工程预算定额》(2018版)、《浙江省园林绿化及仿古建筑工程预算定额》(2018版)、《浙江省建设工程施工机械台班费用定额》(2018版)、《市政工程工程量计算规范》(GB50857-2013)、《园林绿化工程工程量计算规范》(GB50858-2013)，有关补充定额、定额解释及工程所在地现行的有关工程造价方面规定及发包人提供的预算编制说明中规定的工程量计算规则计算，由承包人计量、发包人及有关部门审核。</w:t>
      </w:r>
    </w:p>
    <w:p w14:paraId="4986808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（2）工程结算率：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757428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（3）施工组织措施项目内容及对应费率：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19D299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（4）规费费率：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；税金税率：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356B118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（5）企业管理费、利润、施工组织措施费、规费的计算基数为人工及机械台班费，基数中单价按人工、机械台班的定额单价计算；</w:t>
      </w:r>
    </w:p>
    <w:p w14:paraId="6BEB18E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（6）签证确定的某个施工内容的施工价（或工料机完全价）仅计算税金及工伤保险费，不纳入工程下浮率（或结算率计算）。</w:t>
      </w:r>
    </w:p>
    <w:p w14:paraId="4494673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无承包价（暂定价）或工程变更新增的单项材料、设备、专业分包工程由发包人签证或招标确定的价格，不纳入工程下浮率（或结算率）计算；</w:t>
      </w:r>
    </w:p>
    <w:p w14:paraId="579460C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（7）计日工综合单价（工数经发包人签证，综合单价按技术工260元/工日、普工180元/工日计取）；该项费用仅另计算税金。</w:t>
      </w:r>
    </w:p>
    <w:p w14:paraId="322BCE9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（8）其他可能发生的费用：</w:t>
      </w:r>
    </w:p>
    <w:p w14:paraId="2DCEF28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606687F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cs="宋体"/>
          <w:sz w:val="21"/>
          <w:szCs w:val="21"/>
          <w:highlight w:val="none"/>
          <w:u w:val="single"/>
          <w:lang w:eastAsia="zh-CN"/>
        </w:rPr>
      </w:pPr>
      <w:r>
        <w:rPr>
          <w:rFonts w:hint="eastAsia" w:ascii="宋体" w:hAnsi="宋体" w:eastAsia="宋体" w:cs="宋体"/>
          <w:sz w:val="21"/>
          <w:szCs w:val="21"/>
          <w:highlight w:val="none"/>
          <w:u w:val="single"/>
        </w:rPr>
        <w:t>b.实际施工中可能发生街道管理费、干扰费、环保费、占道押金等其它管理费</w:t>
      </w:r>
      <w:r>
        <w:rPr>
          <w:rFonts w:hint="eastAsia" w:ascii="宋体" w:hAnsi="宋体" w:cs="宋体"/>
          <w:sz w:val="21"/>
          <w:szCs w:val="21"/>
          <w:highlight w:val="none"/>
          <w:u w:val="single"/>
          <w:lang w:eastAsia="zh-CN"/>
        </w:rPr>
        <w:t>；</w:t>
      </w:r>
    </w:p>
    <w:p w14:paraId="1226B251">
      <w:pPr>
        <w:pageBreakBefore w:val="0"/>
        <w:widowControl w:val="0"/>
        <w:kinsoku/>
        <w:wordWrap/>
        <w:overflowPunct/>
        <w:topLinePunct w:val="0"/>
        <w:bidi w:val="0"/>
        <w:spacing w:line="420" w:lineRule="exact"/>
        <w:ind w:firstLine="420" w:firstLineChars="200"/>
        <w:textAlignment w:val="auto"/>
        <w:rPr>
          <w:rFonts w:hint="eastAsia" w:eastAsia="宋体"/>
          <w:highlight w:val="none"/>
          <w:lang w:eastAsia="zh-CN"/>
        </w:rPr>
      </w:pPr>
      <w:r>
        <w:rPr>
          <w:rFonts w:hint="eastAsia" w:hAnsi="宋体" w:eastAsia="宋体" w:cs="宋体"/>
          <w:color w:val="000000"/>
          <w:kern w:val="0"/>
          <w:sz w:val="21"/>
          <w:szCs w:val="21"/>
          <w:highlight w:val="none"/>
          <w:u w:val="single"/>
          <w:lang w:val="en-US" w:eastAsia="zh-CN"/>
        </w:rPr>
        <w:t>c</w:t>
      </w:r>
      <w:r>
        <w:rPr>
          <w:rFonts w:hAnsi="宋体" w:eastAsia="宋体" w:cs="宋体"/>
          <w:color w:val="000000"/>
          <w:kern w:val="0"/>
          <w:sz w:val="21"/>
          <w:szCs w:val="21"/>
          <w:highlight w:val="none"/>
          <w:u w:val="single"/>
        </w:rPr>
        <w:t>.</w:t>
      </w:r>
      <w:r>
        <w:rPr>
          <w:rFonts w:hint="eastAsia" w:hAnsi="宋体" w:eastAsia="宋体" w:cs="宋体"/>
          <w:color w:val="000000"/>
          <w:kern w:val="0"/>
          <w:sz w:val="21"/>
          <w:szCs w:val="21"/>
          <w:highlight w:val="none"/>
          <w:u w:val="single"/>
        </w:rPr>
        <w:t>机械运杂费:大型机械进出场费和大型机械安拆费一次性包死，不论实际用于本工程的机械设备是否增加或变动，均不予调整，投标人投标时综合考虑</w:t>
      </w:r>
      <w:r>
        <w:rPr>
          <w:rFonts w:hint="eastAsia" w:hAnsi="宋体" w:eastAsia="宋体" w:cs="宋体"/>
          <w:color w:val="000000"/>
          <w:kern w:val="0"/>
          <w:sz w:val="21"/>
          <w:szCs w:val="21"/>
          <w:highlight w:val="none"/>
          <w:u w:val="single"/>
          <w:lang w:eastAsia="zh-CN"/>
        </w:rPr>
        <w:t>；</w:t>
      </w:r>
    </w:p>
    <w:p w14:paraId="564D2931">
      <w:pPr>
        <w:pageBreakBefore w:val="0"/>
        <w:widowControl w:val="0"/>
        <w:kinsoku/>
        <w:wordWrap/>
        <w:overflowPunct/>
        <w:topLinePunct w:val="0"/>
        <w:bidi w:val="0"/>
        <w:spacing w:line="420" w:lineRule="exact"/>
        <w:ind w:firstLine="420" w:firstLineChars="200"/>
        <w:textAlignment w:val="auto"/>
        <w:rPr>
          <w:rFonts w:hint="eastAsia" w:ascii="宋体" w:hAnsi="宋体" w:cs="宋体"/>
          <w:sz w:val="21"/>
          <w:szCs w:val="21"/>
          <w:highlight w:val="none"/>
          <w:u w:val="single"/>
        </w:rPr>
      </w:pPr>
      <w:r>
        <w:rPr>
          <w:rFonts w:hint="eastAsia" w:ascii="宋体" w:hAnsi="宋体" w:cs="宋体"/>
          <w:sz w:val="21"/>
          <w:szCs w:val="21"/>
          <w:highlight w:val="none"/>
          <w:u w:val="single"/>
          <w:lang w:val="en-US" w:eastAsia="zh-CN"/>
        </w:rPr>
        <w:t>d</w:t>
      </w:r>
      <w:r>
        <w:rPr>
          <w:rFonts w:hint="eastAsia" w:ascii="宋体" w:hAnsi="宋体" w:cs="宋体"/>
          <w:sz w:val="21"/>
          <w:szCs w:val="21"/>
          <w:highlight w:val="none"/>
          <w:u w:val="single"/>
        </w:rPr>
        <w:t>.商品混凝土运距按</w:t>
      </w:r>
      <w:r>
        <w:rPr>
          <w:rFonts w:hint="eastAsia" w:ascii="宋体" w:hAnsi="宋体" w:cs="宋体"/>
          <w:sz w:val="21"/>
          <w:szCs w:val="21"/>
          <w:highlight w:val="none"/>
          <w:u w:val="single"/>
          <w:lang w:val="en-US" w:eastAsia="zh-CN"/>
        </w:rPr>
        <w:t>7</w:t>
      </w:r>
      <w:r>
        <w:rPr>
          <w:rFonts w:hint="eastAsia" w:ascii="宋体" w:hAnsi="宋体" w:cs="宋体"/>
          <w:sz w:val="21"/>
          <w:szCs w:val="21"/>
          <w:highlight w:val="none"/>
          <w:u w:val="single"/>
        </w:rPr>
        <w:t>km一次性包死，不管运距有无变化，都不予调整；</w:t>
      </w:r>
    </w:p>
    <w:p w14:paraId="77F67622">
      <w:pPr>
        <w:pageBreakBefore w:val="0"/>
        <w:widowControl w:val="0"/>
        <w:kinsoku/>
        <w:wordWrap/>
        <w:overflowPunct/>
        <w:topLinePunct w:val="0"/>
        <w:bidi w:val="0"/>
        <w:spacing w:line="420" w:lineRule="exact"/>
        <w:ind w:firstLine="420" w:firstLineChars="200"/>
        <w:textAlignment w:val="auto"/>
        <w:rPr>
          <w:rFonts w:hint="eastAsia" w:ascii="宋体" w:hAnsi="宋体" w:cs="宋体"/>
          <w:sz w:val="21"/>
          <w:szCs w:val="21"/>
          <w:highlight w:val="none"/>
          <w:u w:val="single"/>
          <w:lang w:eastAsia="zh-CN"/>
        </w:rPr>
      </w:pPr>
      <w:r>
        <w:rPr>
          <w:rFonts w:hint="eastAsia" w:ascii="宋体" w:hAnsi="宋体" w:cs="宋体"/>
          <w:sz w:val="21"/>
          <w:szCs w:val="21"/>
          <w:highlight w:val="none"/>
          <w:u w:val="single"/>
          <w:lang w:val="en-US" w:eastAsia="zh-CN"/>
        </w:rPr>
        <w:t>e</w:t>
      </w:r>
      <w:r>
        <w:rPr>
          <w:rFonts w:hint="eastAsia" w:ascii="宋体" w:hAnsi="宋体" w:cs="宋体"/>
          <w:sz w:val="21"/>
          <w:szCs w:val="21"/>
          <w:highlight w:val="none"/>
          <w:u w:val="single"/>
        </w:rPr>
        <w:t>.</w:t>
      </w:r>
      <w:r>
        <w:rPr>
          <w:rFonts w:hint="eastAsia" w:ascii="宋体" w:hAnsi="宋体" w:cs="宋体"/>
          <w:sz w:val="21"/>
          <w:szCs w:val="21"/>
          <w:highlight w:val="none"/>
          <w:u w:val="single"/>
          <w:lang w:eastAsia="zh-CN"/>
        </w:rPr>
        <w:t>砂浆按</w:t>
      </w:r>
      <w:r>
        <w:rPr>
          <w:rFonts w:hint="eastAsia" w:ascii="宋体" w:hAnsi="宋体" w:cs="宋体"/>
          <w:sz w:val="21"/>
          <w:szCs w:val="21"/>
          <w:highlight w:val="none"/>
          <w:u w:val="single"/>
        </w:rPr>
        <w:t>预拌砂浆</w:t>
      </w:r>
      <w:r>
        <w:rPr>
          <w:rFonts w:hint="eastAsia" w:ascii="宋体" w:hAnsi="宋体" w:cs="宋体"/>
          <w:sz w:val="21"/>
          <w:szCs w:val="21"/>
          <w:highlight w:val="none"/>
          <w:u w:val="single"/>
          <w:lang w:eastAsia="zh-CN"/>
        </w:rPr>
        <w:t>考虑，</w:t>
      </w:r>
      <w:r>
        <w:rPr>
          <w:rFonts w:hint="eastAsia" w:ascii="宋体" w:hAnsi="宋体" w:cs="宋体"/>
          <w:sz w:val="21"/>
          <w:szCs w:val="21"/>
          <w:highlight w:val="none"/>
          <w:u w:val="single"/>
        </w:rPr>
        <w:t>运距按</w:t>
      </w:r>
      <w:r>
        <w:rPr>
          <w:rFonts w:hint="eastAsia" w:ascii="宋体" w:hAnsi="宋体" w:cs="宋体"/>
          <w:color w:val="000000"/>
          <w:sz w:val="21"/>
          <w:szCs w:val="21"/>
          <w:highlight w:val="none"/>
          <w:u w:val="single"/>
        </w:rPr>
        <w:t>15km一</w:t>
      </w:r>
      <w:r>
        <w:rPr>
          <w:rFonts w:hint="eastAsia" w:ascii="宋体" w:hAnsi="宋体" w:cs="宋体"/>
          <w:sz w:val="21"/>
          <w:szCs w:val="21"/>
          <w:highlight w:val="none"/>
          <w:u w:val="single"/>
        </w:rPr>
        <w:t>次性包死，不管运距有无变化，都不予调整</w:t>
      </w:r>
      <w:r>
        <w:rPr>
          <w:rFonts w:hint="eastAsia" w:ascii="宋体" w:hAnsi="宋体" w:cs="宋体"/>
          <w:sz w:val="21"/>
          <w:szCs w:val="21"/>
          <w:highlight w:val="none"/>
          <w:u w:val="single"/>
          <w:lang w:eastAsia="zh-CN"/>
        </w:rPr>
        <w:t>。</w:t>
      </w:r>
    </w:p>
    <w:p w14:paraId="2B72FA99">
      <w:pPr>
        <w:pageBreakBefore w:val="0"/>
        <w:widowControl w:val="0"/>
        <w:kinsoku/>
        <w:wordWrap/>
        <w:overflowPunct/>
        <w:topLinePunct w:val="0"/>
        <w:bidi w:val="0"/>
        <w:spacing w:line="420" w:lineRule="exact"/>
        <w:ind w:firstLine="420" w:firstLineChars="200"/>
        <w:textAlignment w:val="auto"/>
        <w:rPr>
          <w:rFonts w:hint="default" w:ascii="宋体" w:hAnsi="宋体" w:cs="宋体"/>
          <w:sz w:val="21"/>
          <w:szCs w:val="21"/>
          <w:highlight w:val="none"/>
          <w:u w:val="single"/>
          <w:lang w:val="en-US" w:eastAsia="zh-CN"/>
        </w:rPr>
      </w:pPr>
      <w:r>
        <w:rPr>
          <w:rFonts w:hint="eastAsia" w:ascii="宋体" w:hAnsi="宋体" w:cs="宋体"/>
          <w:sz w:val="21"/>
          <w:szCs w:val="21"/>
          <w:highlight w:val="none"/>
          <w:u w:val="single"/>
          <w:lang w:val="en-US" w:eastAsia="zh-CN"/>
        </w:rPr>
        <w:t>f.土方类别按三类土考虑，土方外运按5km计算，</w:t>
      </w:r>
      <w:r>
        <w:rPr>
          <w:rFonts w:hint="eastAsia" w:ascii="宋体" w:hAnsi="宋体" w:cs="宋体"/>
          <w:sz w:val="21"/>
          <w:szCs w:val="21"/>
          <w:highlight w:val="none"/>
          <w:u w:val="single"/>
        </w:rPr>
        <w:t>不管运距有无变化，都不予调整</w:t>
      </w:r>
      <w:r>
        <w:rPr>
          <w:rFonts w:hint="eastAsia" w:ascii="宋体" w:hAnsi="宋体" w:cs="宋体"/>
          <w:sz w:val="21"/>
          <w:szCs w:val="21"/>
          <w:highlight w:val="none"/>
          <w:u w:val="single"/>
          <w:lang w:eastAsia="zh-CN"/>
        </w:rPr>
        <w:t>。</w:t>
      </w:r>
    </w:p>
    <w:p w14:paraId="06C3CAC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风险费用的计算方法：已包含在合同价内。</w:t>
      </w:r>
    </w:p>
    <w:p w14:paraId="37F5847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风险范围以外合同价格的调整方法：</w:t>
      </w:r>
    </w:p>
    <w:p w14:paraId="426C842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工程量按照《浙江省建设工程计价规则》(2018版)、《浙江省市政工程预算定额》(2018版)、《浙江省园林绿化及仿古建筑工程预算定额》(2018版)、《浙江省建设工程施工机械台班费用定额》(2018版)、《市政工程工程量计算规范》(GB50857-2013)、《园林绿化工程工程量计算规范》(GB50858-2013)，有关补充定额、定额解释及工程所在地现行的有关工程造价方面规定及发包人提供的预算编制说明中规定的工程量计算规则计算，由承包人计量、发包人及有关部门审核。</w:t>
      </w:r>
    </w:p>
    <w:p w14:paraId="74224B1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（2）因市场价格波动引起人工、材料价格变化的调整，按本专用合同条款第11.1款约定调整。</w:t>
      </w:r>
    </w:p>
    <w:p w14:paraId="58D9040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（3）未在投标价中包含的专项施工方案的施工及论证费用，根据施工现场实际按照合同约定方法确定费用或签证。</w:t>
      </w:r>
    </w:p>
    <w:p w14:paraId="1B019DC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（4）政策性调整及各级建设行政主管部门发布的计价依据调整按规定调整。</w:t>
      </w:r>
    </w:p>
    <w:p w14:paraId="21666E2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 预付款</w:t>
      </w:r>
    </w:p>
    <w:p w14:paraId="70CAD20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12.2.1预付款的支付</w:t>
      </w:r>
    </w:p>
    <w:p w14:paraId="3613D7B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预付款支付比例或金额：</w:t>
      </w:r>
      <w:r>
        <w:rPr>
          <w:rFonts w:hint="eastAsia" w:ascii="宋体" w:hAnsi="宋体" w:cs="宋体"/>
          <w:sz w:val="21"/>
          <w:szCs w:val="21"/>
          <w:highlight w:val="none"/>
          <w:u w:val="single"/>
          <w:lang w:val="en-US" w:eastAsia="zh-CN"/>
        </w:rPr>
        <w:t>合同生效，支付本项目的安全文明施工费，待承包人人员设备进场开工后，付至工程合同总金额的25%（包含安全文明施工费）预付款作为备料款</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p>
    <w:p w14:paraId="2931C17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预付款支付期限：</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按投标时承诺的人员、机械设备进场开工后7天内。</w:t>
      </w:r>
    </w:p>
    <w:p w14:paraId="1461CC2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预付款扣回的方式：</w:t>
      </w:r>
      <w:r>
        <w:rPr>
          <w:rFonts w:hint="eastAsia" w:ascii="宋体" w:hAnsi="宋体" w:eastAsia="宋体" w:cs="宋体"/>
          <w:sz w:val="21"/>
          <w:szCs w:val="21"/>
          <w:highlight w:val="none"/>
          <w:u w:val="single"/>
        </w:rPr>
        <w:t>不扣回。作为工程款，不抵扣每期应付进度款</w:t>
      </w:r>
      <w:r>
        <w:rPr>
          <w:rFonts w:hint="eastAsia" w:ascii="宋体" w:hAnsi="宋体" w:eastAsia="宋体" w:cs="宋体"/>
          <w:sz w:val="21"/>
          <w:szCs w:val="21"/>
          <w:highlight w:val="none"/>
          <w:u w:val="single"/>
          <w:lang w:eastAsia="zh-CN"/>
        </w:rPr>
        <w:t>。</w:t>
      </w:r>
    </w:p>
    <w:p w14:paraId="0E8C012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12.2.2预付款担保</w:t>
      </w:r>
    </w:p>
    <w:p w14:paraId="20D1A8B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承包人提交预付款担保的期限：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3802B8F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预付款担保的形式为：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F640B0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 计量</w:t>
      </w:r>
    </w:p>
    <w:p w14:paraId="3B8B6C5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12.3.1计量原则</w:t>
      </w:r>
    </w:p>
    <w:p w14:paraId="2E929CF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按照发包人提供的预算编制说明中规定的工程量计算规则计算。以上规定的工程量计算规则中没有的子目，其工程量按照有合同约束力的图纸所标示尺寸的理论净量计算。计量采用中华人民共和国法定的基本计量单位。</w:t>
      </w:r>
    </w:p>
    <w:p w14:paraId="3384B87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12.3.2计量周期：</w:t>
      </w:r>
    </w:p>
    <w:p w14:paraId="102CEE6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关于计量周期的约定：</w:t>
      </w:r>
      <w:r>
        <w:rPr>
          <w:rFonts w:hint="eastAsia" w:ascii="宋体" w:hAnsi="宋体" w:eastAsia="宋体" w:cs="宋体"/>
          <w:sz w:val="21"/>
          <w:szCs w:val="21"/>
          <w:highlight w:val="none"/>
          <w:u w:val="single"/>
        </w:rPr>
        <w:t>按月计量。</w:t>
      </w:r>
    </w:p>
    <w:p w14:paraId="6903CC1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12.3.3单价合同的计量</w:t>
      </w:r>
    </w:p>
    <w:p w14:paraId="2297095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关于单价合同计量的约定：</w:t>
      </w:r>
      <w:r>
        <w:rPr>
          <w:rFonts w:hint="eastAsia" w:ascii="宋体" w:hAnsi="宋体" w:eastAsia="宋体" w:cs="宋体"/>
          <w:sz w:val="21"/>
          <w:szCs w:val="21"/>
          <w:highlight w:val="none"/>
          <w:u w:val="single"/>
        </w:rPr>
        <w:t>按合同通用条款执行。</w:t>
      </w:r>
    </w:p>
    <w:p w14:paraId="3F80982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（4）但确认的工程量和单价仅作为本期工程款支付的依据。</w:t>
      </w:r>
    </w:p>
    <w:p w14:paraId="4EC7ED7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12.3.4总价合同的计量</w:t>
      </w:r>
    </w:p>
    <w:p w14:paraId="15FC17A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关于总价合同计量的约定：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1730CC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12.3.5总价合同采用支付分解表计量支付的，是否适用第</w:t>
      </w:r>
      <w:r>
        <w:rPr>
          <w:rFonts w:hint="eastAsia" w:ascii="宋体" w:hAnsi="宋体" w:eastAsia="宋体" w:cs="宋体"/>
          <w:kern w:val="0"/>
          <w:sz w:val="21"/>
          <w:szCs w:val="21"/>
          <w:highlight w:val="none"/>
        </w:rPr>
        <w:t xml:space="preserve">12.3.4 </w:t>
      </w:r>
      <w:r>
        <w:rPr>
          <w:rFonts w:hint="eastAsia" w:ascii="宋体" w:hAnsi="宋体" w:eastAsia="宋体" w:cs="宋体"/>
          <w:sz w:val="21"/>
          <w:szCs w:val="21"/>
          <w:highlight w:val="none"/>
        </w:rPr>
        <w:t>项</w:t>
      </w:r>
      <w:r>
        <w:rPr>
          <w:rFonts w:hint="eastAsia" w:ascii="宋体" w:hAnsi="宋体" w:eastAsia="宋体" w:cs="宋体"/>
          <w:kern w:val="0"/>
          <w:sz w:val="21"/>
          <w:szCs w:val="21"/>
          <w:highlight w:val="none"/>
        </w:rPr>
        <w:t>〔总价合同的计量〕</w:t>
      </w:r>
      <w:r>
        <w:rPr>
          <w:rFonts w:hint="eastAsia" w:ascii="宋体" w:hAnsi="宋体" w:eastAsia="宋体" w:cs="宋体"/>
          <w:sz w:val="21"/>
          <w:szCs w:val="21"/>
          <w:highlight w:val="none"/>
        </w:rPr>
        <w:t>约定进行计量：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1F0723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12.3.6其他价格形式合同的计量</w:t>
      </w:r>
    </w:p>
    <w:p w14:paraId="53FE314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其他价格形式的计量方式和程序：</w:t>
      </w:r>
      <w:r>
        <w:rPr>
          <w:rFonts w:hint="eastAsia" w:ascii="宋体" w:hAnsi="宋体" w:eastAsia="宋体" w:cs="宋体"/>
          <w:sz w:val="21"/>
          <w:szCs w:val="21"/>
          <w:highlight w:val="none"/>
          <w:u w:val="single"/>
        </w:rPr>
        <w:t>人工、材料价格调整引起合同价款调整，在完成本合同专用条款第11.1款约定的调整节点后，计入该节点所在当期工程价款；工程变更按规定办理完毕的，计入当期工程价款 。</w:t>
      </w:r>
    </w:p>
    <w:p w14:paraId="7616226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12.4 工程进度款支付</w:t>
      </w:r>
    </w:p>
    <w:p w14:paraId="27BD7D1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12.4.1付款周期</w:t>
      </w:r>
    </w:p>
    <w:p w14:paraId="6C37B17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关于付款周期的约定：</w:t>
      </w:r>
      <w:r>
        <w:rPr>
          <w:rFonts w:hint="eastAsia" w:ascii="宋体" w:hAnsi="宋体" w:eastAsia="宋体" w:cs="宋体"/>
          <w:sz w:val="21"/>
          <w:szCs w:val="21"/>
          <w:highlight w:val="none"/>
          <w:u w:val="single"/>
        </w:rPr>
        <w:t>本工程按月支付工程进度款，承包人必须每月25日前将当月实际完成的各部位的已完工程量报告送交工程师</w:t>
      </w:r>
      <w:r>
        <w:rPr>
          <w:rFonts w:hint="eastAsia" w:ascii="宋体" w:hAnsi="宋体" w:eastAsia="宋体" w:cs="宋体"/>
          <w:color w:val="000000"/>
          <w:sz w:val="21"/>
          <w:szCs w:val="21"/>
          <w:highlight w:val="none"/>
          <w:u w:val="single"/>
        </w:rPr>
        <w:t>。</w:t>
      </w:r>
    </w:p>
    <w:p w14:paraId="40C5E43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12.4.2进度付款申请单的编制</w:t>
      </w:r>
    </w:p>
    <w:p w14:paraId="35867C5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关于进度付款申请单编制的约定：</w:t>
      </w:r>
      <w:r>
        <w:rPr>
          <w:rFonts w:hint="eastAsia" w:ascii="宋体" w:hAnsi="宋体" w:eastAsia="宋体" w:cs="宋体"/>
          <w:sz w:val="21"/>
          <w:szCs w:val="21"/>
          <w:highlight w:val="none"/>
          <w:u w:val="single"/>
          <w:lang w:eastAsia="zh-CN"/>
        </w:rPr>
        <w:t>每个月按实际工程量支付</w:t>
      </w:r>
      <w:r>
        <w:rPr>
          <w:rFonts w:hint="eastAsia" w:ascii="宋体" w:hAnsi="宋体" w:eastAsia="宋体" w:cs="宋体"/>
          <w:sz w:val="21"/>
          <w:szCs w:val="21"/>
          <w:highlight w:val="none"/>
          <w:u w:val="single"/>
          <w:lang w:val="en-US" w:eastAsia="zh-CN"/>
        </w:rPr>
        <w:t>50</w:t>
      </w:r>
      <w:r>
        <w:rPr>
          <w:rFonts w:hint="eastAsia" w:ascii="宋体" w:hAnsi="宋体" w:eastAsia="宋体" w:cs="宋体"/>
          <w:sz w:val="21"/>
          <w:szCs w:val="21"/>
          <w:highlight w:val="none"/>
          <w:u w:val="single"/>
          <w:lang w:eastAsia="zh-CN"/>
        </w:rPr>
        <w:t>%（不包含预付款），当工程完工后支付至总工程量的85%；工程竣工验收合格，发包人收到承包人完整的竣工验收报告、结算资料并经审核完成后支付至结算价款的</w:t>
      </w:r>
      <w:r>
        <w:rPr>
          <w:rFonts w:hint="eastAsia" w:ascii="宋体" w:hAnsi="宋体" w:eastAsia="宋体" w:cs="宋体"/>
          <w:sz w:val="21"/>
          <w:szCs w:val="21"/>
          <w:highlight w:val="none"/>
          <w:u w:val="single"/>
          <w:lang w:val="en-US" w:eastAsia="zh-CN"/>
        </w:rPr>
        <w:t>98.5；</w:t>
      </w:r>
      <w:r>
        <w:rPr>
          <w:rFonts w:hint="eastAsia" w:ascii="宋体" w:hAnsi="宋体" w:eastAsia="宋体" w:cs="宋体"/>
          <w:sz w:val="21"/>
          <w:szCs w:val="21"/>
          <w:highlight w:val="none"/>
          <w:u w:val="single"/>
          <w:lang w:eastAsia="zh-CN"/>
        </w:rPr>
        <w:t>剩余1.5%为质量保证金待缺陷责任期结束后予以退还。</w:t>
      </w:r>
    </w:p>
    <w:p w14:paraId="367B366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12.4.3进度付款申请单的提交</w:t>
      </w:r>
    </w:p>
    <w:p w14:paraId="5028377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（1）单价合同进度付款申请单提交的约定：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7B9DB1F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（2）总价合同进度付款申请单提交的约定：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F23C2E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（3）其他价格形式合同进度付款申请单提交的约定：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B6593C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12.4.4进度款审核和支付</w:t>
      </w:r>
    </w:p>
    <w:p w14:paraId="6D04887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（1）监理人审查并报送发包人的期限：</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13C7CB7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发包人完成审批并签发进度款支付证书的期限：</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5C81341B">
      <w:pPr>
        <w:pageBreakBefore w:val="0"/>
        <w:widowControl w:val="0"/>
        <w:kinsoku/>
        <w:wordWrap/>
        <w:overflowPunct/>
        <w:topLinePunct w:val="0"/>
        <w:bidi w:val="0"/>
        <w:snapToGrid w:val="0"/>
        <w:spacing w:line="420" w:lineRule="exact"/>
        <w:ind w:firstLine="420" w:firstLineChars="200"/>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（2）发包人支付进度款的期限：</w:t>
      </w:r>
      <w:r>
        <w:rPr>
          <w:rFonts w:hint="eastAsia" w:ascii="宋体" w:hAnsi="宋体" w:eastAsia="宋体" w:cs="宋体"/>
          <w:sz w:val="21"/>
          <w:szCs w:val="21"/>
          <w:highlight w:val="none"/>
          <w:u w:val="single"/>
        </w:rPr>
        <w:t>在发包人确认计量结果后14天内完成支付。</w:t>
      </w:r>
    </w:p>
    <w:p w14:paraId="59A3A36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发包人逾期支付进度款的违约金的计算方式：</w:t>
      </w:r>
      <w:r>
        <w:rPr>
          <w:rFonts w:hint="eastAsia" w:ascii="宋体" w:hAnsi="宋体" w:eastAsia="宋体" w:cs="宋体"/>
          <w:sz w:val="21"/>
          <w:szCs w:val="21"/>
          <w:highlight w:val="none"/>
          <w:u w:val="single"/>
        </w:rPr>
        <w:t>支付应付工程进度款的利息，利率按同期全国银行间同业拆借中心公布的贷款市场报价利率，时间为从约定应付之日起至支付之日止计算利息。</w:t>
      </w:r>
    </w:p>
    <w:p w14:paraId="7C509E4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317BCB4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12.4.6支付分解表的编制</w:t>
      </w:r>
    </w:p>
    <w:p w14:paraId="0929D18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2、总价合同支付分解表的编制与审批：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4AF2A00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3、单价合同的总价项目支付分解表的编制与审批：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1F03CC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12.5 支付帐户</w:t>
      </w:r>
    </w:p>
    <w:p w14:paraId="001E7A6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highlight w:val="none"/>
        </w:rPr>
        <w:t>发包人应将合同价款支至合同协议书中约定的承包人帐户：</w:t>
      </w:r>
      <w:r>
        <w:rPr>
          <w:rFonts w:hint="eastAsia" w:ascii="宋体" w:hAnsi="宋体" w:eastAsia="宋体" w:cs="宋体"/>
          <w:sz w:val="21"/>
          <w:highlight w:val="none"/>
          <w:u w:val="single"/>
        </w:rPr>
        <w:t>开户行：              帐号：                       。</w:t>
      </w:r>
      <w:r>
        <w:rPr>
          <w:rFonts w:hint="eastAsia" w:ascii="宋体" w:hAnsi="宋体" w:eastAsia="宋体" w:cs="宋体"/>
          <w:sz w:val="21"/>
          <w:highlight w:val="none"/>
        </w:rPr>
        <w:t>承包人收取款项时应开具增值税发票。</w:t>
      </w:r>
    </w:p>
    <w:p w14:paraId="55F04419">
      <w:pPr>
        <w:pageBreakBefore w:val="0"/>
        <w:widowControl w:val="0"/>
        <w:kinsoku/>
        <w:wordWrap/>
        <w:overflowPunct/>
        <w:topLinePunct w:val="0"/>
        <w:bidi w:val="0"/>
        <w:snapToGrid w:val="0"/>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农民工工资专用账户建立及管理按《关于实行建设务工人员实名制信息化管理与建立农民工工资专业账户的通知》临建规[2017]137号文件规定执行。依据文件规定发包人将当期应付工程进度款的（</w:t>
      </w:r>
      <w:r>
        <w:rPr>
          <w:rFonts w:hint="eastAsia" w:ascii="宋体" w:hAnsi="宋体" w:cs="宋体"/>
          <w:b/>
          <w:bCs/>
          <w:sz w:val="21"/>
          <w:szCs w:val="21"/>
          <w:highlight w:val="none"/>
          <w:lang w:val="en-US" w:eastAsia="zh-CN"/>
        </w:rPr>
        <w:t>25</w:t>
      </w:r>
      <w:r>
        <w:rPr>
          <w:rFonts w:hint="eastAsia" w:ascii="宋体" w:hAnsi="宋体" w:eastAsia="宋体" w:cs="宋体"/>
          <w:b/>
          <w:bCs/>
          <w:sz w:val="21"/>
          <w:szCs w:val="21"/>
          <w:highlight w:val="none"/>
        </w:rPr>
        <w:t>）%拨付到承包人的农民工工资专用账户：</w:t>
      </w:r>
      <w:r>
        <w:rPr>
          <w:rFonts w:hint="eastAsia" w:ascii="宋体" w:hAnsi="宋体" w:eastAsia="宋体" w:cs="宋体"/>
          <w:b/>
          <w:bCs/>
          <w:sz w:val="21"/>
          <w:szCs w:val="21"/>
          <w:highlight w:val="none"/>
          <w:u w:val="single"/>
        </w:rPr>
        <w:t xml:space="preserve">             </w:t>
      </w:r>
      <w:r>
        <w:rPr>
          <w:rFonts w:hint="eastAsia" w:ascii="宋体" w:hAnsi="宋体" w:eastAsia="宋体" w:cs="宋体"/>
          <w:b/>
          <w:bCs/>
          <w:sz w:val="21"/>
          <w:szCs w:val="21"/>
          <w:highlight w:val="none"/>
        </w:rPr>
        <w:t>；其余合同价款支付至合同协议书约定的承包人账户。</w:t>
      </w:r>
    </w:p>
    <w:p w14:paraId="25E6E5E9">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13．验收和工程试车</w:t>
      </w:r>
    </w:p>
    <w:p w14:paraId="7168326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13.1 分部分项工程验收</w:t>
      </w:r>
    </w:p>
    <w:p w14:paraId="5A0FC25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13.1.2监理人不能按时进行验收时，应提前</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小时提交书面延期要求。</w:t>
      </w:r>
    </w:p>
    <w:p w14:paraId="577548B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w:t>
      </w:r>
    </w:p>
    <w:p w14:paraId="489FC52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工程验收过程、验收部位除办理纸质验收记录，还应留置验收部位、验收过程、主要验收人员相片、影像等资料。</w:t>
      </w:r>
    </w:p>
    <w:p w14:paraId="753172A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 竣工验收</w:t>
      </w:r>
    </w:p>
    <w:p w14:paraId="1D4931D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13.2.2竣工验收程序</w:t>
      </w:r>
    </w:p>
    <w:p w14:paraId="18B0508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关于竣工验收程序的约定：</w:t>
      </w:r>
      <w:r>
        <w:rPr>
          <w:rFonts w:hint="eastAsia" w:ascii="宋体" w:hAnsi="宋体" w:eastAsia="宋体" w:cs="宋体"/>
          <w:sz w:val="21"/>
          <w:szCs w:val="21"/>
          <w:highlight w:val="none"/>
          <w:u w:val="single"/>
        </w:rPr>
        <w:t>按合同通用条款。</w:t>
      </w:r>
    </w:p>
    <w:p w14:paraId="4F13177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p>
    <w:p w14:paraId="132DFFF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承包人须配合发包人进行工程竣工验收。</w:t>
      </w:r>
    </w:p>
    <w:p w14:paraId="6FFEC55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发包人不按照本项约定组织竣工验收、颁发工程接收证书的违约金的计算方法：</w:t>
      </w:r>
      <w:r>
        <w:rPr>
          <w:rFonts w:hint="eastAsia" w:ascii="宋体" w:hAnsi="宋体" w:eastAsia="宋体" w:cs="宋体"/>
          <w:sz w:val="21"/>
          <w:szCs w:val="21"/>
          <w:highlight w:val="none"/>
          <w:u w:val="single"/>
        </w:rPr>
        <w:t>不计违约金。</w:t>
      </w:r>
    </w:p>
    <w:p w14:paraId="4ED73EA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eastAsia="宋体" w:cs="宋体"/>
          <w:sz w:val="21"/>
          <w:szCs w:val="21"/>
          <w:highlight w:val="none"/>
        </w:rPr>
        <w:t>。</w:t>
      </w:r>
    </w:p>
    <w:p w14:paraId="5B4480E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13.2.3竣工日期</w:t>
      </w:r>
    </w:p>
    <w:p w14:paraId="35FAACD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（1）承包人完成合同范围内的全部工程以及有关工作，工程经验收合格的，以承包人提交验收申请报告之日为计算合同工期终止日。</w:t>
      </w:r>
    </w:p>
    <w:p w14:paraId="1012999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（2）其余按合同通用条款。</w:t>
      </w:r>
    </w:p>
    <w:p w14:paraId="6D02B6E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13.2.5移交、接收全部与部分工程</w:t>
      </w:r>
    </w:p>
    <w:p w14:paraId="203E2BD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承包人向发包人移交工程的期限：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485406C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发包人未按本合同约定接收全部或部分工程的，违约金的计算方法为：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5C4646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承包人未按时移交工程的，违约金的计算方法为：</w:t>
      </w:r>
      <w:r>
        <w:rPr>
          <w:rFonts w:hint="eastAsia" w:ascii="宋体" w:hAnsi="宋体" w:eastAsia="宋体" w:cs="宋体"/>
          <w:sz w:val="21"/>
          <w:szCs w:val="21"/>
          <w:highlight w:val="none"/>
          <w:u w:val="single"/>
        </w:rPr>
        <w:t xml:space="preserve">  按每天500元计取 </w:t>
      </w:r>
      <w:r>
        <w:rPr>
          <w:rFonts w:hint="eastAsia" w:ascii="宋体" w:hAnsi="宋体" w:eastAsia="宋体" w:cs="宋体"/>
          <w:sz w:val="21"/>
          <w:szCs w:val="21"/>
          <w:highlight w:val="none"/>
        </w:rPr>
        <w:t>。</w:t>
      </w:r>
    </w:p>
    <w:p w14:paraId="2AA4ED4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13.3 工程试车</w:t>
      </w:r>
    </w:p>
    <w:p w14:paraId="3384A44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13.3.1试车程序</w:t>
      </w:r>
    </w:p>
    <w:p w14:paraId="30FC57F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工程试车内容：</w:t>
      </w:r>
      <w:r>
        <w:rPr>
          <w:rFonts w:hint="eastAsia" w:ascii="宋体" w:hAnsi="宋体" w:eastAsia="宋体" w:cs="宋体"/>
          <w:kern w:val="0"/>
          <w:sz w:val="21"/>
          <w:szCs w:val="21"/>
          <w:highlight w:val="none"/>
          <w:u w:val="single"/>
        </w:rPr>
        <w:t xml:space="preserve">     按规定执行   </w:t>
      </w: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w:t>
      </w:r>
    </w:p>
    <w:p w14:paraId="4EBB7A9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（1）单机无负荷试车费用由</w:t>
      </w:r>
      <w:r>
        <w:rPr>
          <w:rFonts w:hint="eastAsia" w:ascii="宋体" w:hAnsi="宋体" w:eastAsia="宋体" w:cs="宋体"/>
          <w:kern w:val="0"/>
          <w:sz w:val="21"/>
          <w:szCs w:val="21"/>
          <w:highlight w:val="none"/>
          <w:u w:val="single"/>
        </w:rPr>
        <w:t xml:space="preserve">  承包人  </w:t>
      </w:r>
      <w:r>
        <w:rPr>
          <w:rFonts w:hint="eastAsia" w:ascii="宋体" w:hAnsi="宋体" w:eastAsia="宋体" w:cs="宋体"/>
          <w:kern w:val="0"/>
          <w:sz w:val="21"/>
          <w:szCs w:val="21"/>
          <w:highlight w:val="none"/>
        </w:rPr>
        <w:t>承担；</w:t>
      </w:r>
    </w:p>
    <w:p w14:paraId="62A7191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（2）无负荷联动试车费用由</w:t>
      </w:r>
      <w:r>
        <w:rPr>
          <w:rFonts w:hint="eastAsia" w:ascii="宋体" w:hAnsi="宋体" w:eastAsia="宋体" w:cs="宋体"/>
          <w:kern w:val="0"/>
          <w:sz w:val="21"/>
          <w:szCs w:val="21"/>
          <w:highlight w:val="none"/>
          <w:u w:val="single"/>
        </w:rPr>
        <w:t xml:space="preserve">  承包人  </w:t>
      </w:r>
      <w:r>
        <w:rPr>
          <w:rFonts w:hint="eastAsia" w:ascii="宋体" w:hAnsi="宋体" w:eastAsia="宋体" w:cs="宋体"/>
          <w:kern w:val="0"/>
          <w:sz w:val="21"/>
          <w:szCs w:val="21"/>
          <w:highlight w:val="none"/>
        </w:rPr>
        <w:t>承担。</w:t>
      </w:r>
    </w:p>
    <w:p w14:paraId="5D8B307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13.3.3投料试车</w:t>
      </w:r>
    </w:p>
    <w:p w14:paraId="6856DD1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关于投料试车相关事项的约定：</w:t>
      </w:r>
      <w:r>
        <w:rPr>
          <w:rFonts w:hint="eastAsia" w:ascii="宋体" w:hAnsi="宋体" w:eastAsia="宋体" w:cs="宋体"/>
          <w:kern w:val="0"/>
          <w:sz w:val="21"/>
          <w:szCs w:val="21"/>
          <w:highlight w:val="none"/>
          <w:u w:val="single"/>
        </w:rPr>
        <w:t xml:space="preserve">        /           </w:t>
      </w:r>
      <w:r>
        <w:rPr>
          <w:rFonts w:hint="eastAsia" w:ascii="宋体" w:hAnsi="宋体" w:eastAsia="宋体" w:cs="宋体"/>
          <w:sz w:val="21"/>
          <w:szCs w:val="21"/>
          <w:highlight w:val="none"/>
        </w:rPr>
        <w:t>。</w:t>
      </w:r>
    </w:p>
    <w:p w14:paraId="7055D84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13.6 竣工退场</w:t>
      </w:r>
    </w:p>
    <w:p w14:paraId="607666F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13.6.1竣工退场</w:t>
      </w:r>
    </w:p>
    <w:p w14:paraId="507CFE3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承包人完成竣工退场的期限：</w:t>
      </w:r>
      <w:r>
        <w:rPr>
          <w:rFonts w:hint="eastAsia" w:ascii="宋体" w:hAnsi="宋体" w:eastAsia="宋体" w:cs="宋体"/>
          <w:sz w:val="21"/>
          <w:szCs w:val="21"/>
          <w:highlight w:val="none"/>
          <w:u w:val="single"/>
        </w:rPr>
        <w:t>颁发工程接收证书后7天内</w:t>
      </w:r>
      <w:r>
        <w:rPr>
          <w:rFonts w:hint="eastAsia" w:ascii="宋体" w:hAnsi="宋体" w:eastAsia="宋体" w:cs="宋体"/>
          <w:kern w:val="0"/>
          <w:sz w:val="21"/>
          <w:szCs w:val="21"/>
          <w:highlight w:val="none"/>
        </w:rPr>
        <w:t>。</w:t>
      </w:r>
    </w:p>
    <w:p w14:paraId="742792D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13.6.2地表还原</w:t>
      </w:r>
    </w:p>
    <w:p w14:paraId="4CAA69D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7328D7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本工程场地恢复的要求：</w:t>
      </w:r>
    </w:p>
    <w:p w14:paraId="3F923A9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（1）清理完成施工现场垃圾，临建的拆除与场地复原；</w:t>
      </w:r>
    </w:p>
    <w:p w14:paraId="53A969F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（2）施工后废弃材料、设备清理撤离；</w:t>
      </w:r>
    </w:p>
    <w:p w14:paraId="4779EBB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（3）承包人造成的施工现场周边施工堆积物及场地清理。</w:t>
      </w:r>
    </w:p>
    <w:p w14:paraId="610B700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（4）其它要求：</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3C74A0F">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14．竣工结算</w:t>
      </w:r>
    </w:p>
    <w:p w14:paraId="1149B80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14.1 竣工结算申请</w:t>
      </w:r>
    </w:p>
    <w:p w14:paraId="4728F7F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1.承包人提交竣工结算申请的期限：</w:t>
      </w:r>
    </w:p>
    <w:p w14:paraId="01E213C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承包人完成合同范围内施工内容，参建各方（建设、监理、施工、勘察、设计单位等）对工程验收并签署工程质量合格文件后可在</w:t>
      </w:r>
      <w:r>
        <w:rPr>
          <w:rFonts w:hint="eastAsia" w:ascii="宋体" w:hAnsi="宋体" w:eastAsia="宋体" w:cs="宋体"/>
          <w:b/>
          <w:sz w:val="21"/>
          <w:szCs w:val="21"/>
          <w:highlight w:val="none"/>
          <w:u w:val="single"/>
        </w:rPr>
        <w:t>28天</w:t>
      </w:r>
      <w:r>
        <w:rPr>
          <w:rFonts w:hint="eastAsia" w:ascii="宋体" w:hAnsi="宋体" w:eastAsia="宋体" w:cs="宋体"/>
          <w:sz w:val="21"/>
          <w:szCs w:val="21"/>
          <w:highlight w:val="none"/>
          <w:u w:val="single"/>
        </w:rPr>
        <w:t>内，向发包人或监理人、发包人委托的中介机构提交最终工程结算申请，并提交完整的工程结算资料一套。</w:t>
      </w:r>
    </w:p>
    <w:p w14:paraId="0036DD2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14:paraId="0D4067B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2.竣工结算申请单应包括的内容：</w:t>
      </w:r>
      <w:r>
        <w:rPr>
          <w:rFonts w:hint="eastAsia" w:ascii="宋体" w:hAnsi="宋体" w:eastAsia="宋体" w:cs="宋体"/>
          <w:sz w:val="21"/>
          <w:szCs w:val="21"/>
          <w:highlight w:val="none"/>
          <w:u w:val="single"/>
        </w:rPr>
        <w:t>包括但不限于施工合同、补充协议、招标文件、投标文件、竣工图纸、施工方案以及经确认的工程变更、工程索赔、现场签证，相关施工记录，工程款收款证明、逾期付款利息计算书等相关资料。</w:t>
      </w:r>
    </w:p>
    <w:p w14:paraId="0605739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14.2 竣工结算审核</w:t>
      </w:r>
    </w:p>
    <w:p w14:paraId="296ABBC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（1）发包人结算审核时间：</w:t>
      </w:r>
    </w:p>
    <w:p w14:paraId="0CFB650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发包人收到承包人递交的最终工程结算报告及结算资料后，在180天内审核完毕，并签发最终工程结算证书。</w:t>
      </w:r>
    </w:p>
    <w:p w14:paraId="5BD17C6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如发包人或审价机构收到承包人提交的完整结算资料后未能在上述期限内给予审核完毕，不视为发包人认可承包人递交的最终工程结算报告，发包人不承担逾期审核责任。</w:t>
      </w:r>
    </w:p>
    <w:p w14:paraId="238EF3A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0AE83AA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06F3CE6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（4）工程结算由发包人委托审价机构审核，结算核减率超过5%时，则超过部分审核费（按5%的费率，基数为超过送审造价5%的幅度以外的核减额）由承包人负责，由发包人从应付工程价款中扣缴。</w:t>
      </w:r>
    </w:p>
    <w:p w14:paraId="7F98225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14.4 最终结清</w:t>
      </w:r>
    </w:p>
    <w:p w14:paraId="17483B5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14.4.1最终结清申请单</w:t>
      </w:r>
    </w:p>
    <w:p w14:paraId="236F9F2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承包人提交最终结清申请单的份数：</w:t>
      </w:r>
      <w:r>
        <w:rPr>
          <w:rFonts w:hint="eastAsia" w:ascii="宋体" w:hAnsi="宋体" w:eastAsia="宋体" w:cs="宋体"/>
          <w:sz w:val="21"/>
          <w:szCs w:val="21"/>
          <w:highlight w:val="none"/>
          <w:u w:val="single"/>
        </w:rPr>
        <w:t xml:space="preserve">  2份  </w:t>
      </w:r>
      <w:r>
        <w:rPr>
          <w:rFonts w:hint="eastAsia" w:ascii="宋体" w:hAnsi="宋体" w:eastAsia="宋体" w:cs="宋体"/>
          <w:sz w:val="21"/>
          <w:szCs w:val="21"/>
          <w:highlight w:val="none"/>
        </w:rPr>
        <w:t>。</w:t>
      </w:r>
    </w:p>
    <w:p w14:paraId="4E346F8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承包人提交最终结算申请单的期限：</w:t>
      </w:r>
      <w:r>
        <w:rPr>
          <w:rFonts w:hint="eastAsia" w:ascii="宋体" w:hAnsi="宋体" w:eastAsia="宋体" w:cs="宋体"/>
          <w:sz w:val="21"/>
          <w:szCs w:val="21"/>
          <w:highlight w:val="none"/>
          <w:u w:val="single"/>
        </w:rPr>
        <w:t xml:space="preserve"> 缺陷责任期终止后7天内 </w:t>
      </w:r>
      <w:r>
        <w:rPr>
          <w:rFonts w:hint="eastAsia" w:ascii="宋体" w:hAnsi="宋体" w:eastAsia="宋体" w:cs="宋体"/>
          <w:sz w:val="21"/>
          <w:szCs w:val="21"/>
          <w:highlight w:val="none"/>
        </w:rPr>
        <w:t xml:space="preserve">。 </w:t>
      </w:r>
    </w:p>
    <w:p w14:paraId="135D7BF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14.4.2最终结清证书和支付</w:t>
      </w:r>
    </w:p>
    <w:p w14:paraId="7403C66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（1）发包人完成最终结清申请单的审批并颁发最终结清证书的期限：</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31D41A6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（2）发包人完成支付的期限：</w:t>
      </w:r>
      <w:r>
        <w:rPr>
          <w:rFonts w:hint="eastAsia" w:ascii="宋体" w:hAnsi="宋体" w:eastAsia="宋体" w:cs="宋体"/>
          <w:sz w:val="21"/>
          <w:szCs w:val="21"/>
          <w:highlight w:val="none"/>
          <w:u w:val="single"/>
        </w:rPr>
        <w:t>按通用条款</w:t>
      </w:r>
      <w:r>
        <w:rPr>
          <w:rFonts w:hint="eastAsia" w:ascii="宋体" w:hAnsi="宋体" w:eastAsia="宋体" w:cs="宋体"/>
          <w:sz w:val="21"/>
          <w:szCs w:val="21"/>
          <w:highlight w:val="none"/>
        </w:rPr>
        <w:t>。</w:t>
      </w:r>
    </w:p>
    <w:p w14:paraId="4B5C7498">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15．缺陷责任期与保修</w:t>
      </w:r>
    </w:p>
    <w:p w14:paraId="18109FC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15.2 缺陷责任期</w:t>
      </w:r>
    </w:p>
    <w:p w14:paraId="3885E07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缺陷责任期的具体期限：</w:t>
      </w:r>
      <w:r>
        <w:rPr>
          <w:rFonts w:hint="eastAsia" w:ascii="宋体" w:hAnsi="宋体" w:eastAsia="宋体" w:cs="宋体"/>
          <w:sz w:val="21"/>
          <w:szCs w:val="21"/>
          <w:highlight w:val="none"/>
          <w:u w:val="single"/>
        </w:rPr>
        <w:t>缺陷责任期24个月，其余按通用条款执行</w:t>
      </w:r>
      <w:r>
        <w:rPr>
          <w:rFonts w:hint="eastAsia" w:ascii="宋体" w:hAnsi="宋体" w:eastAsia="宋体" w:cs="宋体"/>
          <w:sz w:val="21"/>
          <w:szCs w:val="21"/>
          <w:highlight w:val="none"/>
        </w:rPr>
        <w:t>。</w:t>
      </w:r>
    </w:p>
    <w:p w14:paraId="60A9356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15.3 质量保证金</w:t>
      </w:r>
    </w:p>
    <w:p w14:paraId="0CC1378C">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关于是否扣留质量保证金的约定：</w:t>
      </w:r>
      <w:r>
        <w:rPr>
          <w:rFonts w:hint="eastAsia" w:ascii="宋体" w:hAnsi="宋体" w:eastAsia="宋体" w:cs="宋体"/>
          <w:sz w:val="21"/>
          <w:szCs w:val="21"/>
          <w:highlight w:val="none"/>
          <w:u w:val="single"/>
        </w:rPr>
        <w:t xml:space="preserve"> 留置质量保证金 </w:t>
      </w:r>
      <w:r>
        <w:rPr>
          <w:rFonts w:hint="eastAsia" w:ascii="宋体" w:hAnsi="宋体" w:eastAsia="宋体" w:cs="宋体"/>
          <w:sz w:val="21"/>
          <w:szCs w:val="21"/>
          <w:highlight w:val="none"/>
        </w:rPr>
        <w:t>。</w:t>
      </w:r>
    </w:p>
    <w:p w14:paraId="304980A8">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15.3.1承包人提供质量保证金的方式</w:t>
      </w:r>
    </w:p>
    <w:p w14:paraId="738B35B9">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质量保证金采用以下第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2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62B9A056">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（1）质量保证金保函，</w:t>
      </w:r>
      <w:r>
        <w:rPr>
          <w:rFonts w:hint="eastAsia" w:ascii="宋体" w:hAnsi="宋体" w:eastAsia="宋体" w:cs="宋体"/>
          <w:sz w:val="21"/>
          <w:szCs w:val="21"/>
          <w:highlight w:val="none"/>
        </w:rPr>
        <w:t>保函形式：</w:t>
      </w:r>
      <w:r>
        <w:rPr>
          <w:rFonts w:hint="eastAsia" w:ascii="宋体" w:hAnsi="宋体" w:eastAsia="宋体" w:cs="宋体"/>
          <w:b/>
          <w:bCs/>
          <w:sz w:val="21"/>
          <w:szCs w:val="21"/>
          <w:highlight w:val="none"/>
        </w:rPr>
        <w:t>银行保函、融资担保公司保函、保险机构保证保险保单中任选一种</w:t>
      </w:r>
      <w:r>
        <w:rPr>
          <w:rFonts w:hint="eastAsia" w:ascii="宋体" w:hAnsi="宋体" w:eastAsia="宋体" w:cs="宋体"/>
          <w:color w:val="FF0000"/>
          <w:sz w:val="21"/>
          <w:szCs w:val="21"/>
          <w:highlight w:val="none"/>
        </w:rPr>
        <w:t>，</w:t>
      </w:r>
      <w:r>
        <w:rPr>
          <w:rFonts w:hint="eastAsia" w:ascii="宋体" w:hAnsi="宋体" w:eastAsia="宋体" w:cs="宋体"/>
          <w:sz w:val="21"/>
          <w:szCs w:val="21"/>
          <w:highlight w:val="none"/>
        </w:rPr>
        <w:t xml:space="preserve">金额为1.5%的工程结算价款； </w:t>
      </w:r>
    </w:p>
    <w:p w14:paraId="2614974E">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u w:val="single"/>
        </w:rPr>
        <w:t>1.5%</w:t>
      </w:r>
      <w:r>
        <w:rPr>
          <w:rFonts w:hint="eastAsia" w:ascii="宋体" w:hAnsi="宋体" w:eastAsia="宋体" w:cs="宋体"/>
          <w:kern w:val="0"/>
          <w:sz w:val="21"/>
          <w:szCs w:val="21"/>
          <w:highlight w:val="none"/>
        </w:rPr>
        <w:t>的工程结算价款；</w:t>
      </w:r>
    </w:p>
    <w:p w14:paraId="41B01C99">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（3）其他方式:</w:t>
      </w:r>
      <w:r>
        <w:rPr>
          <w:rFonts w:hint="eastAsia" w:ascii="宋体" w:hAnsi="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rPr>
        <w:t>。</w:t>
      </w:r>
    </w:p>
    <w:p w14:paraId="1AEF700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15.3.2质量保证金的扣留 </w:t>
      </w:r>
    </w:p>
    <w:p w14:paraId="23863CF9">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质量保证金的扣留采取以下第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2 </w:t>
      </w:r>
      <w:r>
        <w:rPr>
          <w:rFonts w:hint="eastAsia" w:ascii="宋体" w:hAnsi="宋体" w:eastAsia="宋体" w:cs="宋体"/>
          <w:sz w:val="21"/>
          <w:szCs w:val="21"/>
          <w:highlight w:val="none"/>
        </w:rPr>
        <w:t>种方式：</w:t>
      </w:r>
    </w:p>
    <w:p w14:paraId="4AC0CA8B">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（1）在支付工程进度款时逐次扣留，在此情形下，质量保证金的计算基数不包括预付款的支付、扣回以及价格调整的金额；</w:t>
      </w:r>
    </w:p>
    <w:p w14:paraId="47A5A925">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（2）工程竣工结算时一次性扣留质量保证金；</w:t>
      </w:r>
    </w:p>
    <w:p w14:paraId="300C4A9E">
      <w:pPr>
        <w:autoSpaceDE w:val="0"/>
        <w:autoSpaceDN w:val="0"/>
        <w:adjustRightInd w:val="0"/>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（3）其他扣留方式:</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1ED06F62">
      <w:pPr>
        <w:snapToGrid w:val="0"/>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关于质量保证金的补充约定：</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kern w:val="0"/>
          <w:sz w:val="21"/>
          <w:szCs w:val="21"/>
          <w:highlight w:val="none"/>
        </w:rPr>
        <w:t>。</w:t>
      </w:r>
    </w:p>
    <w:p w14:paraId="2A6842E3">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15.3.3质量保证金的退还</w:t>
      </w:r>
    </w:p>
    <w:p w14:paraId="36574651">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质量保证金按以下第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3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方式退回：</w:t>
      </w:r>
    </w:p>
    <w:p w14:paraId="540353D5">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（1）缺陷责任期终止后，发包人退还剩余的质量保证金（不计息）。</w:t>
      </w:r>
    </w:p>
    <w:p w14:paraId="5DD9A029">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（2）建筑工程：工程竣工验收合格后满1年返还质量保证金的30%，满2年返还全部预留的质量保证金。</w:t>
      </w:r>
    </w:p>
    <w:p w14:paraId="48579C45">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（3）市政工程：工程竣工验收合格后满2年返还全部质量保证金。</w:t>
      </w:r>
    </w:p>
    <w:p w14:paraId="778DD66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（4）其它：</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 xml:space="preserve">。 </w:t>
      </w:r>
    </w:p>
    <w:p w14:paraId="7CD4002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保修</w:t>
      </w:r>
    </w:p>
    <w:p w14:paraId="260AFE7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.1保修责任</w:t>
      </w:r>
    </w:p>
    <w:p w14:paraId="143E7EC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工程保修期为：</w:t>
      </w:r>
      <w:r>
        <w:rPr>
          <w:rFonts w:hint="eastAsia" w:ascii="宋体" w:hAnsi="宋体" w:eastAsia="宋体" w:cs="宋体"/>
          <w:kern w:val="0"/>
          <w:sz w:val="21"/>
          <w:szCs w:val="21"/>
          <w:highlight w:val="none"/>
          <w:u w:val="single"/>
        </w:rPr>
        <w:t xml:space="preserve"> 按本合同附件3《工程质量保修书》 </w:t>
      </w:r>
      <w:r>
        <w:rPr>
          <w:rFonts w:hint="eastAsia" w:ascii="宋体" w:hAnsi="宋体" w:eastAsia="宋体" w:cs="宋体"/>
          <w:kern w:val="0"/>
          <w:sz w:val="21"/>
          <w:szCs w:val="21"/>
          <w:highlight w:val="none"/>
        </w:rPr>
        <w:t>。</w:t>
      </w:r>
    </w:p>
    <w:p w14:paraId="73DFBC8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.3修复通知</w:t>
      </w:r>
    </w:p>
    <w:p w14:paraId="6D7A46D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承包人收到保修通知并到达工程现场的合理时间：</w:t>
      </w:r>
      <w:r>
        <w:rPr>
          <w:rFonts w:hint="eastAsia" w:ascii="宋体" w:hAnsi="宋体" w:eastAsia="宋体" w:cs="宋体"/>
          <w:kern w:val="0"/>
          <w:sz w:val="21"/>
          <w:szCs w:val="21"/>
          <w:highlight w:val="none"/>
          <w:u w:val="single"/>
        </w:rPr>
        <w:t xml:space="preserve"> 按通用条款 </w:t>
      </w:r>
      <w:r>
        <w:rPr>
          <w:rFonts w:hint="eastAsia" w:ascii="宋体" w:hAnsi="宋体" w:eastAsia="宋体" w:cs="宋体"/>
          <w:kern w:val="0"/>
          <w:sz w:val="21"/>
          <w:szCs w:val="21"/>
          <w:highlight w:val="none"/>
        </w:rPr>
        <w:t>。</w:t>
      </w:r>
    </w:p>
    <w:p w14:paraId="71C50703">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16．违约</w:t>
      </w:r>
    </w:p>
    <w:p w14:paraId="43374EF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16.1 发包人违约</w:t>
      </w:r>
    </w:p>
    <w:p w14:paraId="2D606AC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16.1.1发包人违约的情形</w:t>
      </w:r>
    </w:p>
    <w:p w14:paraId="04C0A50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发包人违约的其他情形：</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1E30D32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16.1.2发包人违约的责任</w:t>
      </w:r>
    </w:p>
    <w:p w14:paraId="2B8EDD4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发包人违约责任的承担方式和计算方法：</w:t>
      </w:r>
    </w:p>
    <w:p w14:paraId="4782DF8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（1）因发包人原因未能在计划开工日期前7天内下达开工通知的违约责任：</w:t>
      </w:r>
      <w:r>
        <w:rPr>
          <w:rFonts w:hint="eastAsia" w:ascii="宋体" w:hAnsi="宋体" w:eastAsia="宋体" w:cs="宋体"/>
          <w:kern w:val="0"/>
          <w:sz w:val="21"/>
          <w:szCs w:val="21"/>
          <w:highlight w:val="none"/>
          <w:u w:val="single"/>
        </w:rPr>
        <w:t>赔偿承包人相关损失；属于专用合同条款7.3.2条约定情形的，按该条款约定处理；</w:t>
      </w:r>
    </w:p>
    <w:p w14:paraId="1E26F78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（2）因发包人原因未能按合同约定支付合同价款的违约责任：</w:t>
      </w:r>
      <w:r>
        <w:rPr>
          <w:rFonts w:hint="eastAsia" w:ascii="宋体" w:hAnsi="宋体" w:eastAsia="宋体" w:cs="宋体"/>
          <w:sz w:val="21"/>
          <w:szCs w:val="21"/>
          <w:highlight w:val="none"/>
          <w:u w:val="single"/>
        </w:rPr>
        <w:t>支付违约金，违约金为应付合同价款的利息；造成工期延误的顺延工期，并承担承包人的相应损失费用；</w:t>
      </w:r>
    </w:p>
    <w:p w14:paraId="7BD212D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（3）发包人违反第10.1款〔变更的范围〕第（2）项约定，自行实施被取消的工作或转由他人实施的违约责任：</w:t>
      </w:r>
      <w:r>
        <w:rPr>
          <w:rFonts w:hint="eastAsia" w:ascii="宋体" w:hAnsi="宋体" w:eastAsia="宋体" w:cs="宋体"/>
          <w:kern w:val="0"/>
          <w:sz w:val="21"/>
          <w:szCs w:val="21"/>
          <w:highlight w:val="none"/>
          <w:u w:val="single"/>
        </w:rPr>
        <w:t xml:space="preserve">                               ；</w:t>
      </w:r>
    </w:p>
    <w:p w14:paraId="0FE83DF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28BEF3D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（5）因发包人违反合同约定造成暂停施工的违约责任：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55D1326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（6）发包人无正当理由没有在约定期限内发出复工指示，导致承包人无法复工的违约责任：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504F6CF3">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（7）其他：</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4634602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16.1.3因发包人违约解除合同</w:t>
      </w:r>
    </w:p>
    <w:p w14:paraId="0225BCF6">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承包人按16.1.1项〔发包人违约的情形〕约定暂停施工满</w:t>
      </w:r>
      <w:r>
        <w:rPr>
          <w:rFonts w:hint="eastAsia" w:ascii="宋体" w:hAnsi="宋体" w:eastAsia="宋体" w:cs="宋体"/>
          <w:kern w:val="0"/>
          <w:sz w:val="21"/>
          <w:szCs w:val="21"/>
          <w:highlight w:val="none"/>
          <w:u w:val="single"/>
        </w:rPr>
        <w:t xml:space="preserve"> 28 </w:t>
      </w:r>
      <w:r>
        <w:rPr>
          <w:rFonts w:hint="eastAsia" w:ascii="宋体" w:hAnsi="宋体" w:eastAsia="宋体" w:cs="宋体"/>
          <w:kern w:val="0"/>
          <w:sz w:val="21"/>
          <w:szCs w:val="21"/>
          <w:highlight w:val="none"/>
        </w:rPr>
        <w:t>天后发包人仍不纠正其违约行为并致使合同目的不能实现的，承包人有权解除合同。</w:t>
      </w:r>
    </w:p>
    <w:p w14:paraId="50B61E6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16.2 承包人违约</w:t>
      </w:r>
    </w:p>
    <w:p w14:paraId="28F518B5">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16.2.1承包人违约的情形</w:t>
      </w:r>
    </w:p>
    <w:p w14:paraId="2163049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承包人违约的其他情形：</w:t>
      </w:r>
    </w:p>
    <w:p w14:paraId="10614DD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w:t>
      </w:r>
      <w:r>
        <w:rPr>
          <w:rFonts w:hint="eastAsia" w:ascii="宋体" w:hAnsi="宋体" w:eastAsia="宋体" w:cs="宋体"/>
          <w:sz w:val="21"/>
          <w:szCs w:val="21"/>
          <w:highlight w:val="none"/>
          <w:u w:val="single"/>
        </w:rPr>
        <w:t>机械设备、施工项目班子未按投标承诺及时到位；</w:t>
      </w:r>
    </w:p>
    <w:p w14:paraId="70C2E0B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）本工程在实施过程中，承包人的施工队伍素质、施工力量、现场安全文明施工不符合投标书的承诺，造成现场管理混乱、工程质量和进度达不到投标所承诺的要求；</w:t>
      </w:r>
    </w:p>
    <w:p w14:paraId="1A92D6B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）承包人允许其他人挂靠经营、私自转包</w:t>
      </w:r>
      <w:r>
        <w:rPr>
          <w:rFonts w:hint="eastAsia" w:ascii="宋体" w:hAnsi="宋体" w:eastAsia="宋体" w:cs="宋体"/>
          <w:kern w:val="0"/>
          <w:sz w:val="21"/>
          <w:szCs w:val="21"/>
          <w:highlight w:val="none"/>
        </w:rPr>
        <w:t>；</w:t>
      </w:r>
    </w:p>
    <w:p w14:paraId="5CFA8D4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u w:val="single"/>
        </w:rPr>
        <w:t>）承包人未达到投标时所承诺的诚信与技术标准。</w:t>
      </w:r>
    </w:p>
    <w:p w14:paraId="2ECDBF7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16.2.2承包人违约的责任</w:t>
      </w:r>
    </w:p>
    <w:p w14:paraId="39FBEAB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承包人违约责任的承担方式和计算方法：</w:t>
      </w:r>
    </w:p>
    <w:p w14:paraId="43EB4C1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机械设备未按投标承诺到位，每项扣除履约担保金2%；</w:t>
      </w:r>
    </w:p>
    <w:p w14:paraId="2F75756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（2）</w:t>
      </w:r>
      <w:r>
        <w:rPr>
          <w:rFonts w:hint="eastAsia" w:ascii="宋体" w:hAnsi="宋体" w:eastAsia="宋体" w:cs="宋体"/>
          <w:sz w:val="21"/>
          <w:szCs w:val="21"/>
          <w:highlight w:val="none"/>
          <w:u w:val="single"/>
        </w:rPr>
        <w:t>现场安全文明施工不符合投标书承诺，扣减相应安全文明施工费用；</w:t>
      </w:r>
      <w:r>
        <w:rPr>
          <w:rFonts w:hint="eastAsia" w:ascii="宋体" w:hAnsi="宋体" w:eastAsia="宋体" w:cs="宋体"/>
          <w:kern w:val="0"/>
          <w:sz w:val="21"/>
          <w:szCs w:val="21"/>
          <w:highlight w:val="none"/>
          <w:u w:val="single"/>
        </w:rPr>
        <w:t>承包人原因造成现场管理混乱、</w:t>
      </w:r>
      <w:r>
        <w:rPr>
          <w:rFonts w:hint="eastAsia" w:ascii="宋体" w:hAnsi="宋体" w:eastAsia="宋体" w:cs="宋体"/>
          <w:sz w:val="21"/>
          <w:szCs w:val="21"/>
          <w:highlight w:val="none"/>
          <w:u w:val="single"/>
        </w:rPr>
        <w:t>工程质量和进度达不到投标承诺的要求，发包人有权要求承包人调整充实施工力量、更换项目班子，及至解除施工合同，所有履约担保金不予退还，并赔偿发包人损失。</w:t>
      </w:r>
    </w:p>
    <w:p w14:paraId="6922EEB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（3）</w:t>
      </w:r>
      <w:r>
        <w:rPr>
          <w:rFonts w:hint="eastAsia" w:ascii="宋体" w:hAnsi="宋体" w:eastAsia="宋体" w:cs="宋体"/>
          <w:sz w:val="21"/>
          <w:szCs w:val="21"/>
          <w:highlight w:val="none"/>
          <w:u w:val="single"/>
        </w:rPr>
        <w:t>发现承包人允许其他人挂靠经营、私自转包，所有履约担保归发包人，同时赔偿发包人损失，并责令退出工地。</w:t>
      </w:r>
    </w:p>
    <w:p w14:paraId="79545D7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u w:val="single"/>
        </w:rPr>
        <w:t>未达到投标所承诺的诚信、技术标准及创优、创标化工程目标，按每一项扣减履约担保金的10%。</w:t>
      </w:r>
    </w:p>
    <w:p w14:paraId="66F1505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w:t>
      </w:r>
      <w:r>
        <w:rPr>
          <w:rFonts w:hint="eastAsia" w:ascii="宋体" w:hAnsi="宋体" w:eastAsia="宋体" w:cs="宋体"/>
          <w:sz w:val="21"/>
          <w:szCs w:val="21"/>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270EC2A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（6）</w:t>
      </w:r>
      <w:r>
        <w:rPr>
          <w:rFonts w:hint="eastAsia" w:ascii="宋体" w:hAnsi="宋体" w:eastAsia="宋体" w:cs="宋体"/>
          <w:sz w:val="21"/>
          <w:szCs w:val="21"/>
          <w:highlight w:val="none"/>
          <w:u w:val="single"/>
        </w:rPr>
        <w:t>承包人无法继续履行、明确表示不履行或实质上已停止履行合同，发包人可通知承包人全部解除合同，所有履约担保不予退还，同时赔偿发包人损失。</w:t>
      </w:r>
    </w:p>
    <w:p w14:paraId="57C269B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16.2.3因承包人违约解除合同</w:t>
      </w:r>
    </w:p>
    <w:p w14:paraId="6593E892">
      <w:pPr>
        <w:pageBreakBefore w:val="0"/>
        <w:widowControl w:val="0"/>
        <w:kinsoku/>
        <w:wordWrap/>
        <w:overflowPunct/>
        <w:topLinePunct w:val="0"/>
        <w:autoSpaceDE w:val="0"/>
        <w:autoSpaceDN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关于承包人违约解除合同的特别约定：</w:t>
      </w:r>
      <w:r>
        <w:rPr>
          <w:rFonts w:hint="eastAsia" w:ascii="宋体" w:hAnsi="宋体" w:eastAsia="宋体" w:cs="宋体"/>
          <w:kern w:val="0"/>
          <w:sz w:val="21"/>
          <w:szCs w:val="21"/>
          <w:highlight w:val="none"/>
          <w:u w:val="single"/>
        </w:rPr>
        <w:t xml:space="preserve"> 因承包人原因造成本合同无法履行时，发包人有权解除或终止本合同，承包人的履约保证金不予退还，由此造成的各项损失均由承包人承担。</w:t>
      </w:r>
    </w:p>
    <w:p w14:paraId="4BE9984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highlight w:val="none"/>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kern w:val="0"/>
          <w:sz w:val="21"/>
          <w:szCs w:val="21"/>
          <w:highlight w:val="none"/>
        </w:rPr>
        <w:t>。</w:t>
      </w:r>
    </w:p>
    <w:p w14:paraId="345F59A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16.2.4因承包人违约解除合同后的处理</w:t>
      </w:r>
      <w:r>
        <w:rPr>
          <w:rFonts w:hint="eastAsia" w:ascii="宋体" w:hAnsi="宋体" w:cs="宋体"/>
          <w:kern w:val="0"/>
          <w:sz w:val="21"/>
          <w:szCs w:val="21"/>
          <w:highlight w:val="none"/>
          <w:lang w:eastAsia="zh-CN"/>
        </w:rPr>
        <w:t>：</w:t>
      </w:r>
      <w:r>
        <w:rPr>
          <w:rFonts w:hint="eastAsia"/>
          <w:kern w:val="0"/>
          <w:szCs w:val="21"/>
          <w:u w:val="single"/>
        </w:rPr>
        <w:t>对发包人造成的损失由承包人负责。</w:t>
      </w:r>
    </w:p>
    <w:p w14:paraId="7B060DA3">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17．不可抗力</w:t>
      </w:r>
    </w:p>
    <w:p w14:paraId="2AD99B2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17.1 不可抗力的确认</w:t>
      </w:r>
    </w:p>
    <w:p w14:paraId="7358F69C">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除通用合同条款约定的不可抗力事件之外，视为不可抗力的其他情形：</w:t>
      </w:r>
      <w:r>
        <w:rPr>
          <w:rFonts w:hint="eastAsia" w:ascii="宋体" w:hAnsi="宋体" w:eastAsia="宋体" w:cs="宋体"/>
          <w:kern w:val="0"/>
          <w:sz w:val="21"/>
          <w:szCs w:val="21"/>
          <w:highlight w:val="none"/>
          <w:u w:val="single"/>
        </w:rPr>
        <w:t xml:space="preserve"> 10级（不含10级）以上台风、10年一遇洪水、暴风雪、干旱，罢工、政府禁令</w:t>
      </w:r>
      <w:r>
        <w:rPr>
          <w:rFonts w:hint="eastAsia" w:ascii="宋体" w:hAnsi="宋体" w:eastAsia="宋体" w:cs="宋体"/>
          <w:kern w:val="0"/>
          <w:sz w:val="21"/>
          <w:szCs w:val="21"/>
          <w:highlight w:val="none"/>
        </w:rPr>
        <w:t>。</w:t>
      </w:r>
    </w:p>
    <w:p w14:paraId="2D423464">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17.2 不可抗力的通知</w:t>
      </w:r>
    </w:p>
    <w:p w14:paraId="79495ED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30392820">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17.3 不可抗力后果的承担</w:t>
      </w:r>
    </w:p>
    <w:p w14:paraId="7FDC7C9E">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按通用条款。</w:t>
      </w:r>
    </w:p>
    <w:p w14:paraId="517951C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17.4 因不可抗力解除合同</w:t>
      </w:r>
    </w:p>
    <w:p w14:paraId="12D721C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合同解除后，发包人应在商定或确定发包人应支付款项后</w:t>
      </w:r>
      <w:r>
        <w:rPr>
          <w:rFonts w:hint="eastAsia" w:ascii="宋体" w:hAnsi="宋体" w:eastAsia="宋体" w:cs="宋体"/>
          <w:sz w:val="21"/>
          <w:szCs w:val="21"/>
          <w:highlight w:val="none"/>
          <w:u w:val="single"/>
        </w:rPr>
        <w:t xml:space="preserve">  60  </w:t>
      </w:r>
      <w:r>
        <w:rPr>
          <w:rFonts w:hint="eastAsia" w:ascii="宋体" w:hAnsi="宋体" w:eastAsia="宋体" w:cs="宋体"/>
          <w:sz w:val="21"/>
          <w:szCs w:val="21"/>
          <w:highlight w:val="none"/>
        </w:rPr>
        <w:t>天内完成款项的支付。</w:t>
      </w:r>
    </w:p>
    <w:p w14:paraId="390B8678">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18．保险</w:t>
      </w:r>
    </w:p>
    <w:p w14:paraId="697E780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18.1 工程保险</w:t>
      </w:r>
    </w:p>
    <w:p w14:paraId="47CC40F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关于工程保险的特别约定：</w:t>
      </w:r>
      <w:r>
        <w:rPr>
          <w:rFonts w:hint="eastAsia" w:ascii="宋体" w:hAnsi="宋体" w:eastAsia="宋体" w:cs="宋体"/>
          <w:kern w:val="0"/>
          <w:sz w:val="21"/>
          <w:szCs w:val="21"/>
          <w:highlight w:val="none"/>
          <w:u w:val="single"/>
        </w:rPr>
        <w:t xml:space="preserve">   按通用条款   </w:t>
      </w:r>
      <w:r>
        <w:rPr>
          <w:rFonts w:hint="eastAsia" w:ascii="宋体" w:hAnsi="宋体" w:eastAsia="宋体" w:cs="宋体"/>
          <w:kern w:val="0"/>
          <w:sz w:val="21"/>
          <w:szCs w:val="21"/>
          <w:highlight w:val="none"/>
        </w:rPr>
        <w:t>。</w:t>
      </w:r>
    </w:p>
    <w:p w14:paraId="1DD1FAB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18.3 其他保险</w:t>
      </w:r>
    </w:p>
    <w:p w14:paraId="49311CE7">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关于其他保险的约定：</w:t>
      </w:r>
      <w:r>
        <w:rPr>
          <w:rFonts w:hint="eastAsia" w:ascii="宋体" w:hAnsi="宋体" w:eastAsia="宋体" w:cs="宋体"/>
          <w:kern w:val="0"/>
          <w:sz w:val="21"/>
          <w:szCs w:val="21"/>
          <w:highlight w:val="none"/>
          <w:u w:val="single"/>
        </w:rPr>
        <w:t xml:space="preserve"> 发包人和承包人各自为其施工现场的全部人员办理意外伤害保险并支付保险费，包括其员工及为履行合同聘请的第三方的人员</w:t>
      </w:r>
      <w:r>
        <w:rPr>
          <w:rFonts w:hint="eastAsia" w:ascii="宋体" w:hAnsi="宋体" w:eastAsia="宋体" w:cs="宋体"/>
          <w:kern w:val="0"/>
          <w:sz w:val="21"/>
          <w:szCs w:val="21"/>
          <w:highlight w:val="none"/>
        </w:rPr>
        <w:t>。</w:t>
      </w:r>
    </w:p>
    <w:p w14:paraId="5BC4B2F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承包人是否应为其施工设备等办理财产保险：</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1601CE5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18.7 通知义务</w:t>
      </w:r>
    </w:p>
    <w:p w14:paraId="336DF2F8">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关于变更保险合同时的通知义务的约定：</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4F937B65">
      <w:pPr>
        <w:pStyle w:val="6"/>
        <w:keepNext w:val="0"/>
        <w:keepLines w:val="0"/>
        <w:pageBreakBefore w:val="0"/>
        <w:widowControl w:val="0"/>
        <w:kinsoku/>
        <w:wordWrap/>
        <w:overflowPunct/>
        <w:topLinePunct w:val="0"/>
        <w:bidi w:val="0"/>
        <w:snapToGrid w:val="0"/>
        <w:spacing w:before="0" w:after="0" w:line="420" w:lineRule="exac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20．争议解决</w:t>
      </w:r>
    </w:p>
    <w:p w14:paraId="40CDB6C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20.3 争议评审</w:t>
      </w:r>
    </w:p>
    <w:p w14:paraId="51C0DB5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合同当事人是否同意将工程争议提交争议评审小组决定：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227044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20.3.1争议评审小组的确定</w:t>
      </w:r>
    </w:p>
    <w:p w14:paraId="3C91D61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争议评审小组成员的确定：</w:t>
      </w:r>
      <w:r>
        <w:rPr>
          <w:rFonts w:hint="eastAsia" w:ascii="宋体" w:hAnsi="宋体" w:eastAsia="宋体" w:cs="宋体"/>
          <w:sz w:val="21"/>
          <w:szCs w:val="21"/>
          <w:highlight w:val="none"/>
          <w:u w:val="single"/>
        </w:rPr>
        <w:t xml:space="preserve"> 提交争议评审时再选定 </w:t>
      </w:r>
      <w:r>
        <w:rPr>
          <w:rFonts w:hint="eastAsia" w:ascii="宋体" w:hAnsi="宋体" w:eastAsia="宋体" w:cs="宋体"/>
          <w:sz w:val="21"/>
          <w:szCs w:val="21"/>
          <w:highlight w:val="none"/>
        </w:rPr>
        <w:t>。</w:t>
      </w:r>
    </w:p>
    <w:p w14:paraId="5C1D624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选定争议评审员的期限：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D353499">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争议评审小组成员的报酬承担方式：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5D557E6">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其他事项的约定：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264F47A">
      <w:pPr>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20.3.2争议评审小组的决定</w:t>
      </w:r>
    </w:p>
    <w:p w14:paraId="0E51A6C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合同当事人关于本项的约定：</w:t>
      </w:r>
      <w:r>
        <w:rPr>
          <w:rFonts w:hint="eastAsia" w:ascii="宋体" w:hAnsi="宋体" w:eastAsia="宋体" w:cs="宋体"/>
          <w:sz w:val="21"/>
          <w:szCs w:val="21"/>
          <w:highlight w:val="none"/>
          <w:u w:val="single"/>
        </w:rPr>
        <w:t xml:space="preserve">  按通用条款。</w:t>
      </w:r>
    </w:p>
    <w:p w14:paraId="3DBFBD8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20.3.3争议评审小组决定的效力：</w:t>
      </w:r>
      <w:r>
        <w:rPr>
          <w:rFonts w:hint="eastAsia" w:ascii="宋体" w:hAnsi="宋体" w:eastAsia="宋体" w:cs="宋体"/>
          <w:sz w:val="21"/>
          <w:szCs w:val="21"/>
          <w:highlight w:val="none"/>
          <w:u w:val="single"/>
        </w:rPr>
        <w:t>按通用条款执行。</w:t>
      </w:r>
    </w:p>
    <w:p w14:paraId="0CE77AE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20.4 仲裁或诉讼</w:t>
      </w:r>
    </w:p>
    <w:p w14:paraId="27AC79D1">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因合同及合同有关事项发生的争议，按下列第</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种方式解决：</w:t>
      </w:r>
    </w:p>
    <w:p w14:paraId="7716C4C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（1）向</w:t>
      </w:r>
      <w:r>
        <w:rPr>
          <w:rFonts w:hint="eastAsia" w:ascii="宋体" w:hAnsi="宋体" w:eastAsia="宋体" w:cs="宋体"/>
          <w:sz w:val="21"/>
          <w:szCs w:val="21"/>
          <w:highlight w:val="none"/>
          <w:u w:val="single"/>
        </w:rPr>
        <w:t>台州</w:t>
      </w:r>
      <w:r>
        <w:rPr>
          <w:rFonts w:hint="eastAsia" w:ascii="宋体" w:hAnsi="宋体" w:eastAsia="宋体" w:cs="宋体"/>
          <w:sz w:val="21"/>
          <w:szCs w:val="21"/>
          <w:highlight w:val="none"/>
        </w:rPr>
        <w:t>仲裁委员会申请仲裁；</w:t>
      </w:r>
    </w:p>
    <w:p w14:paraId="2AC9B7FB">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（2）向</w:t>
      </w:r>
      <w:r>
        <w:rPr>
          <w:rFonts w:hint="eastAsia" w:ascii="宋体" w:hAnsi="宋体" w:eastAsia="宋体" w:cs="宋体"/>
          <w:sz w:val="21"/>
          <w:szCs w:val="21"/>
          <w:highlight w:val="none"/>
          <w:u w:val="single"/>
        </w:rPr>
        <w:t xml:space="preserve">  工程所在地  </w:t>
      </w:r>
      <w:r>
        <w:rPr>
          <w:rFonts w:hint="eastAsia" w:ascii="宋体" w:hAnsi="宋体" w:eastAsia="宋体" w:cs="宋体"/>
          <w:sz w:val="21"/>
          <w:szCs w:val="21"/>
          <w:highlight w:val="none"/>
        </w:rPr>
        <w:t>人民法院起诉。</w:t>
      </w:r>
    </w:p>
    <w:p w14:paraId="4C2D1940">
      <w:pPr>
        <w:pageBreakBefore w:val="0"/>
        <w:widowControl w:val="0"/>
        <w:kinsoku/>
        <w:wordWrap/>
        <w:overflowPunct/>
        <w:topLinePunct w:val="0"/>
        <w:bidi w:val="0"/>
        <w:snapToGrid w:val="0"/>
        <w:spacing w:line="420" w:lineRule="exact"/>
        <w:textAlignment w:val="auto"/>
        <w:rPr>
          <w:rFonts w:hint="eastAsia" w:ascii="宋体" w:hAnsi="宋体" w:eastAsia="宋体" w:cs="宋体"/>
          <w:sz w:val="21"/>
          <w:szCs w:val="21"/>
          <w:highlight w:val="none"/>
        </w:rPr>
      </w:pPr>
    </w:p>
    <w:p w14:paraId="7777FDED">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发包人（公章）：                         承包人（公章）：</w:t>
      </w:r>
    </w:p>
    <w:p w14:paraId="73BFA1BA">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                                 地  址：</w:t>
      </w:r>
    </w:p>
    <w:p w14:paraId="578C8EFF">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1F9305D2">
      <w:pPr>
        <w:pageBreakBefore w:val="0"/>
        <w:widowControl w:val="0"/>
        <w:kinsoku/>
        <w:wordWrap/>
        <w:overflowPunct/>
        <w:topLinePunct w:val="0"/>
        <w:bidi w:val="0"/>
        <w:snapToGrid w:val="0"/>
        <w:spacing w:line="420" w:lineRule="exact"/>
        <w:ind w:firstLine="420" w:firstLineChars="200"/>
        <w:textAlignment w:val="auto"/>
        <w:rPr>
          <w:rFonts w:hint="eastAsia" w:ascii="宋体" w:hAnsi="宋体" w:eastAsia="宋体" w:cs="宋体"/>
          <w:highlight w:val="none"/>
        </w:rPr>
      </w:pPr>
      <w:r>
        <w:rPr>
          <w:rFonts w:hint="eastAsia" w:ascii="宋体" w:hAnsi="宋体" w:eastAsia="宋体" w:cs="宋体"/>
          <w:sz w:val="21"/>
          <w:szCs w:val="21"/>
          <w:highlight w:val="none"/>
        </w:rPr>
        <w:t>委托代理人（签字）：                     委托代理人（签字）：</w:t>
      </w:r>
    </w:p>
    <w:p w14:paraId="03F5FB23">
      <w:pPr>
        <w:pStyle w:val="2"/>
        <w:spacing w:line="288" w:lineRule="auto"/>
        <w:jc w:val="both"/>
        <w:rPr>
          <w:rFonts w:hint="eastAsia" w:ascii="宋体" w:hAnsi="宋体" w:eastAsia="宋体" w:cs="宋体"/>
          <w:color w:val="auto"/>
          <w:sz w:val="30"/>
          <w:szCs w:val="22"/>
          <w:highlight w:val="none"/>
        </w:rPr>
      </w:pPr>
      <w:r>
        <w:rPr>
          <w:rFonts w:hint="eastAsia" w:ascii="宋体" w:hAnsi="宋体" w:eastAsia="宋体" w:cs="宋体"/>
          <w:sz w:val="21"/>
          <w:szCs w:val="21"/>
          <w:highlight w:val="none"/>
        </w:rPr>
        <w:br w:type="page"/>
      </w:r>
      <w:bookmarkStart w:id="94" w:name="_Toc27765"/>
      <w:bookmarkStart w:id="95" w:name="_Toc18590"/>
      <w:r>
        <w:rPr>
          <w:rFonts w:hint="eastAsia" w:ascii="宋体" w:hAnsi="宋体" w:eastAsia="宋体" w:cs="宋体"/>
          <w:sz w:val="21"/>
          <w:szCs w:val="21"/>
          <w:highlight w:val="none"/>
        </w:rPr>
        <w:t>附件</w:t>
      </w:r>
      <w:bookmarkEnd w:id="94"/>
      <w:bookmarkEnd w:id="95"/>
    </w:p>
    <w:p w14:paraId="7F7BB1D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协议书附件：</w:t>
      </w:r>
    </w:p>
    <w:p w14:paraId="4D7DFA7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附件1：承包人承揽工程项目一览表（略）</w:t>
      </w:r>
    </w:p>
    <w:p w14:paraId="7C7467E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专用合同条款附件：</w:t>
      </w:r>
    </w:p>
    <w:p w14:paraId="3B002E4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附件2：发包人供应材料设备一览表（略）</w:t>
      </w:r>
    </w:p>
    <w:p w14:paraId="6484356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附件3：工程质量保修书</w:t>
      </w:r>
    </w:p>
    <w:p w14:paraId="454672F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附件4：主要建设工程文件目录（略）</w:t>
      </w:r>
    </w:p>
    <w:p w14:paraId="61CF766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附件5：承包人用于本工程施工的机械设备表（略）</w:t>
      </w:r>
    </w:p>
    <w:p w14:paraId="20B9A9C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附件6：承包人主要施工管理人员表（略）</w:t>
      </w:r>
    </w:p>
    <w:p w14:paraId="302E2B1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附件7：分包人主要施工管理人员表（略）</w:t>
      </w:r>
    </w:p>
    <w:p w14:paraId="5CC024B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附件8：履约担保格式（略）</w:t>
      </w:r>
    </w:p>
    <w:p w14:paraId="7D0C81B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附件9：预付款担保格式（略）</w:t>
      </w:r>
    </w:p>
    <w:p w14:paraId="5E40210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附件10：支付担保格式（略）</w:t>
      </w:r>
    </w:p>
    <w:p w14:paraId="639CF7A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附件11：暂估价一览表</w:t>
      </w:r>
    </w:p>
    <w:p w14:paraId="5B40EFAB">
      <w:pPr>
        <w:autoSpaceDE w:val="0"/>
        <w:autoSpaceDN w:val="0"/>
        <w:spacing w:line="360" w:lineRule="auto"/>
        <w:ind w:firstLine="420" w:firstLineChars="200"/>
        <w:rPr>
          <w:rFonts w:hint="eastAsia" w:ascii="宋体" w:hAnsi="宋体" w:eastAsia="宋体" w:cs="宋体"/>
          <w:sz w:val="21"/>
          <w:szCs w:val="21"/>
          <w:highlight w:val="none"/>
          <w:u w:val="single"/>
        </w:rPr>
      </w:pPr>
    </w:p>
    <w:p w14:paraId="571A4CE0">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rPr>
        <w:t>附件3</w:t>
      </w:r>
    </w:p>
    <w:p w14:paraId="1BD2CBA0">
      <w:pPr>
        <w:spacing w:line="4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工程质量保修书</w:t>
      </w:r>
    </w:p>
    <w:p w14:paraId="1FB4D4D4">
      <w:pPr>
        <w:spacing w:line="400" w:lineRule="exact"/>
        <w:rPr>
          <w:rFonts w:hint="eastAsia" w:ascii="宋体" w:hAnsi="宋体" w:eastAsia="宋体" w:cs="宋体"/>
          <w:sz w:val="21"/>
          <w:szCs w:val="21"/>
          <w:highlight w:val="none"/>
        </w:rPr>
      </w:pPr>
    </w:p>
    <w:p w14:paraId="6AA55E7F">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发包人（全称）：</w:t>
      </w:r>
      <w:r>
        <w:rPr>
          <w:rFonts w:hint="eastAsia" w:ascii="宋体" w:hAnsi="宋体" w:cs="宋体"/>
          <w:sz w:val="21"/>
          <w:szCs w:val="21"/>
          <w:highlight w:val="none"/>
          <w:u w:val="single"/>
          <w:lang w:eastAsia="zh-CN"/>
        </w:rPr>
        <w:t>临海市人民政府大田街道办事处</w:t>
      </w:r>
    </w:p>
    <w:p w14:paraId="26299428">
      <w:pPr>
        <w:keepNext w:val="0"/>
        <w:keepLines w:val="0"/>
        <w:pageBreakBefore w:val="0"/>
        <w:widowControl/>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p w14:paraId="583261B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发包人和承包人根据《中华人民共和国建筑法》和《建设工程质量管理条例》，经协商一致就</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eastAsia="zh-CN"/>
        </w:rPr>
        <w:t>大田街道星都府周边道路工程</w:t>
      </w:r>
      <w:r>
        <w:rPr>
          <w:rFonts w:hint="eastAsia" w:ascii="宋体" w:hAnsi="宋体" w:eastAsia="宋体" w:cs="宋体"/>
          <w:sz w:val="21"/>
          <w:szCs w:val="21"/>
          <w:highlight w:val="none"/>
        </w:rPr>
        <w:t>（工程全称）签订工程质量保修书。</w:t>
      </w:r>
    </w:p>
    <w:p w14:paraId="4085AE5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一、工程质量保修范围和内容</w:t>
      </w:r>
    </w:p>
    <w:p w14:paraId="65A2C84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承包人在质量保修期内，按照有关法律规定和合同约定，承担工程质量保修责任。</w:t>
      </w:r>
    </w:p>
    <w:p w14:paraId="4BE18A4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具体保修的内容，双方约定如下：</w:t>
      </w:r>
      <w:r>
        <w:rPr>
          <w:rFonts w:hint="eastAsia" w:ascii="宋体" w:hAnsi="宋体" w:eastAsia="宋体" w:cs="宋体"/>
          <w:sz w:val="21"/>
          <w:szCs w:val="21"/>
          <w:highlight w:val="none"/>
          <w:u w:val="single"/>
        </w:rPr>
        <w:t>本工程合同范围内的所有工程</w:t>
      </w:r>
      <w:r>
        <w:rPr>
          <w:rFonts w:hint="eastAsia" w:ascii="宋体" w:hAnsi="宋体" w:eastAsia="宋体" w:cs="宋体"/>
          <w:sz w:val="21"/>
          <w:szCs w:val="21"/>
          <w:highlight w:val="none"/>
        </w:rPr>
        <w:t>。</w:t>
      </w:r>
    </w:p>
    <w:p w14:paraId="3A2CB47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二、质量保修期</w:t>
      </w:r>
    </w:p>
    <w:p w14:paraId="6554086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根据《建设工程质量管理条例》及有关规定，工程的质量保修期如下：</w:t>
      </w:r>
    </w:p>
    <w:p w14:paraId="499ADE8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1．地基基础工程和主体结构工程为设计文件规定的工程合理使用年限；</w:t>
      </w:r>
    </w:p>
    <w:p w14:paraId="24238A1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2．屋面防水工程、有防水要求的卫生间、房间和外墙面的防渗为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5EAA29A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3．装修工程为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36E668E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4．电气管线、给排水管道、设备安装工程为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7F6F704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5．供热与供冷系统为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个采暖期、供冷期；</w:t>
      </w:r>
    </w:p>
    <w:p w14:paraId="7F3427C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6．住宅小区内的给排水设施、道路等配套工程为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6219608E">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7．其他项目保修期限约定如下：</w:t>
      </w:r>
      <w:r>
        <w:rPr>
          <w:rFonts w:hint="eastAsia" w:ascii="宋体" w:hAnsi="宋体" w:eastAsia="宋体" w:cs="宋体"/>
          <w:sz w:val="21"/>
          <w:szCs w:val="21"/>
          <w:highlight w:val="none"/>
          <w:u w:val="single"/>
        </w:rPr>
        <w:t>除1-6之外的本工程约定质量保修期为2年</w:t>
      </w:r>
      <w:r>
        <w:rPr>
          <w:rFonts w:hint="eastAsia" w:ascii="宋体" w:hAnsi="宋体" w:eastAsia="宋体" w:cs="宋体"/>
          <w:sz w:val="21"/>
          <w:szCs w:val="21"/>
          <w:highlight w:val="none"/>
        </w:rPr>
        <w:t>。</w:t>
      </w:r>
    </w:p>
    <w:p w14:paraId="1A18496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质量保修期自工程竣工验收合格之日起计算。</w:t>
      </w:r>
    </w:p>
    <w:p w14:paraId="6522383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三、缺陷责任期</w:t>
      </w:r>
    </w:p>
    <w:p w14:paraId="3F30178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工程缺陷责任期为</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个月，缺陷责任期自工程竣工验收合格之日起计算。单位工程先于全部工程进行验收，单位工程缺陷责任期自单位工程验收合格之日起算。</w:t>
      </w:r>
    </w:p>
    <w:p w14:paraId="247B885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四、质量保修责任</w:t>
      </w:r>
    </w:p>
    <w:p w14:paraId="185D9AF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1．属于保修范围、内容的项目，承包人应当在接到保修通知后4小时内响应，7天内派人保修。承包人不在约定期限内派人保修的，发包人可以委托他人修理。</w:t>
      </w:r>
    </w:p>
    <w:p w14:paraId="30EB450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2．发生紧急事故需抢修的，承包人在接到事故通知后，应当立即到达事故现场抢修。</w:t>
      </w:r>
    </w:p>
    <w:p w14:paraId="65ACEEF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BF8D69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4．质量保修完成后，由发包人组织验收。</w:t>
      </w:r>
    </w:p>
    <w:p w14:paraId="25112D2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五、保修费用</w:t>
      </w:r>
    </w:p>
    <w:p w14:paraId="4362974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保修费用由造成质量缺陷的责任方承担。</w:t>
      </w:r>
    </w:p>
    <w:p w14:paraId="7175195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六、双方约定的其他工程质量保修事项：</w:t>
      </w:r>
      <w:r>
        <w:rPr>
          <w:rFonts w:hint="eastAsia" w:ascii="宋体" w:hAnsi="宋体" w:eastAsia="宋体" w:cs="宋体"/>
          <w:sz w:val="21"/>
          <w:szCs w:val="21"/>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由承包人承担 </w:t>
      </w:r>
      <w:r>
        <w:rPr>
          <w:rFonts w:hint="eastAsia" w:ascii="宋体" w:hAnsi="宋体" w:eastAsia="宋体" w:cs="宋体"/>
          <w:sz w:val="21"/>
          <w:szCs w:val="21"/>
          <w:highlight w:val="none"/>
        </w:rPr>
        <w:t>。</w:t>
      </w:r>
    </w:p>
    <w:p w14:paraId="5474637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工程质量保修书由发包人、承包人在工程竣工验收前共同签署，作为施工合同附件，其有效期限至保修期满。</w:t>
      </w:r>
    </w:p>
    <w:p w14:paraId="7CFD6412">
      <w:pPr>
        <w:spacing w:line="400" w:lineRule="exact"/>
        <w:rPr>
          <w:rFonts w:hint="eastAsia" w:ascii="宋体" w:hAnsi="宋体" w:eastAsia="宋体" w:cs="宋体"/>
          <w:sz w:val="21"/>
          <w:szCs w:val="21"/>
          <w:highlight w:val="none"/>
        </w:rPr>
      </w:pPr>
    </w:p>
    <w:p w14:paraId="7104A21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发包人（公章）：                            承包人（公章）：</w:t>
      </w:r>
    </w:p>
    <w:p w14:paraId="68396C7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  址：                                    地  址：</w:t>
      </w:r>
    </w:p>
    <w:p w14:paraId="62D9EA5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37AEEDA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或委托代理人（签字）：                      或委托代理人（签字）：</w:t>
      </w:r>
    </w:p>
    <w:p w14:paraId="208FA2C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  话：                                    电  话：</w:t>
      </w:r>
    </w:p>
    <w:p w14:paraId="2E464DE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传  真：                                    传  真：</w:t>
      </w:r>
    </w:p>
    <w:p w14:paraId="47A1E14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14:paraId="533EA7A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账  号：                                    账  号：</w:t>
      </w:r>
    </w:p>
    <w:p w14:paraId="4DDD7C9E">
      <w:pPr>
        <w:spacing w:line="400" w:lineRule="exact"/>
        <w:ind w:firstLine="420" w:firstLineChars="200"/>
        <w:rPr>
          <w:rFonts w:hint="eastAsia" w:ascii="宋体" w:hAnsi="宋体" w:eastAsia="宋体" w:cs="宋体"/>
          <w:sz w:val="21"/>
          <w:szCs w:val="21"/>
          <w:highlight w:val="none"/>
        </w:rPr>
        <w:sectPr>
          <w:footerReference r:id="rId3" w:type="default"/>
          <w:footnotePr>
            <w:numRestart w:val="eachPage"/>
          </w:footnotePr>
          <w:endnotePr>
            <w:numRestart w:val="eachSect"/>
          </w:endnotePr>
          <w:pgSz w:w="11907" w:h="16840"/>
          <w:pgMar w:top="1247" w:right="1361" w:bottom="1247" w:left="1361" w:header="851" w:footer="838" w:gutter="0"/>
          <w:pgNumType w:fmt="decimal" w:start="1"/>
          <w:cols w:space="720" w:num="1"/>
          <w:docGrid w:type="lines" w:linePitch="435" w:charSpace="-6554"/>
        </w:sectPr>
      </w:pPr>
      <w:r>
        <w:rPr>
          <w:rFonts w:hint="eastAsia" w:ascii="宋体" w:hAnsi="宋体" w:eastAsia="宋体" w:cs="宋体"/>
          <w:sz w:val="21"/>
          <w:szCs w:val="21"/>
          <w:highlight w:val="none"/>
        </w:rPr>
        <w:t>邮政编码：                                  邮政编码：</w:t>
      </w:r>
    </w:p>
    <w:p w14:paraId="2FEFDEDC">
      <w:pPr>
        <w:jc w:val="center"/>
        <w:rPr>
          <w:rFonts w:hint="eastAsia" w:ascii="黑体" w:hAnsi="宋体" w:eastAsia="黑体" w:cs="宋体"/>
          <w:b/>
          <w:sz w:val="28"/>
          <w:highlight w:val="none"/>
        </w:rPr>
      </w:pPr>
      <w:r>
        <w:rPr>
          <w:rFonts w:hint="eastAsia" w:ascii="黑体" w:hAnsi="宋体" w:eastAsia="黑体" w:cs="宋体"/>
          <w:b/>
          <w:sz w:val="28"/>
          <w:highlight w:val="none"/>
        </w:rPr>
        <w:t>暂估价一览表</w:t>
      </w:r>
    </w:p>
    <w:p w14:paraId="2F499286">
      <w:pPr>
        <w:pStyle w:val="92"/>
        <w:rPr>
          <w:rFonts w:hint="eastAsia"/>
          <w:highlight w:val="none"/>
        </w:rPr>
      </w:pPr>
    </w:p>
    <w:tbl>
      <w:tblPr>
        <w:tblStyle w:val="51"/>
        <w:tblW w:w="5497" w:type="pct"/>
        <w:tblInd w:w="-351" w:type="dxa"/>
        <w:tblLayout w:type="autofit"/>
        <w:tblCellMar>
          <w:top w:w="0" w:type="dxa"/>
          <w:left w:w="108" w:type="dxa"/>
          <w:bottom w:w="0" w:type="dxa"/>
          <w:right w:w="108" w:type="dxa"/>
        </w:tblCellMar>
      </w:tblPr>
      <w:tblGrid>
        <w:gridCol w:w="762"/>
        <w:gridCol w:w="4157"/>
        <w:gridCol w:w="1420"/>
        <w:gridCol w:w="1788"/>
        <w:gridCol w:w="1249"/>
      </w:tblGrid>
      <w:tr w14:paraId="02B2AE7D">
        <w:tblPrEx>
          <w:tblCellMar>
            <w:top w:w="0" w:type="dxa"/>
            <w:left w:w="108" w:type="dxa"/>
            <w:bottom w:w="0" w:type="dxa"/>
            <w:right w:w="108" w:type="dxa"/>
          </w:tblCellMar>
        </w:tblPrEx>
        <w:trPr>
          <w:trHeight w:val="850" w:hRule="atLeast"/>
        </w:trPr>
        <w:tc>
          <w:tcPr>
            <w:tcW w:w="406" w:type="pct"/>
            <w:tcBorders>
              <w:top w:val="single" w:color="auto" w:sz="4" w:space="0"/>
              <w:left w:val="single" w:color="auto" w:sz="4" w:space="0"/>
              <w:bottom w:val="single" w:color="auto" w:sz="4" w:space="0"/>
              <w:right w:val="nil"/>
            </w:tcBorders>
            <w:shd w:val="clear" w:color="auto" w:fill="FFFFFF"/>
            <w:noWrap w:val="0"/>
            <w:vAlign w:val="center"/>
          </w:tcPr>
          <w:p w14:paraId="58E9AF2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rPr>
            </w:pPr>
            <w:r>
              <w:rPr>
                <w:rFonts w:hint="eastAsia" w:ascii="宋体" w:hAnsi="宋体" w:cs="宋体"/>
                <w:color w:val="000000"/>
                <w:lang w:bidi="ar"/>
              </w:rPr>
              <w:t>序号</w:t>
            </w:r>
          </w:p>
        </w:tc>
        <w:tc>
          <w:tcPr>
            <w:tcW w:w="2216" w:type="pct"/>
            <w:tcBorders>
              <w:top w:val="single" w:color="auto" w:sz="4" w:space="0"/>
              <w:left w:val="single" w:color="000000" w:sz="4" w:space="0"/>
              <w:bottom w:val="single" w:color="auto" w:sz="4" w:space="0"/>
              <w:right w:val="nil"/>
            </w:tcBorders>
            <w:shd w:val="clear" w:color="auto" w:fill="FFFFFF"/>
            <w:noWrap w:val="0"/>
            <w:vAlign w:val="center"/>
          </w:tcPr>
          <w:p w14:paraId="58D943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rPr>
            </w:pPr>
            <w:r>
              <w:rPr>
                <w:rFonts w:hint="eastAsia" w:ascii="宋体" w:hAnsi="宋体" w:cs="宋体"/>
                <w:color w:val="000000"/>
                <w:lang w:bidi="ar"/>
              </w:rPr>
              <w:t>材料名称、规格、型号</w:t>
            </w:r>
          </w:p>
        </w:tc>
        <w:tc>
          <w:tcPr>
            <w:tcW w:w="757" w:type="pct"/>
            <w:tcBorders>
              <w:top w:val="single" w:color="auto" w:sz="4" w:space="0"/>
              <w:left w:val="single" w:color="000000" w:sz="4" w:space="0"/>
              <w:bottom w:val="single" w:color="auto" w:sz="4" w:space="0"/>
              <w:right w:val="nil"/>
            </w:tcBorders>
            <w:shd w:val="clear" w:color="auto" w:fill="FFFFFF"/>
            <w:noWrap w:val="0"/>
            <w:vAlign w:val="center"/>
          </w:tcPr>
          <w:p w14:paraId="7F3D041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rPr>
            </w:pPr>
            <w:r>
              <w:rPr>
                <w:rFonts w:hint="eastAsia" w:ascii="宋体" w:hAnsi="宋体" w:cs="宋体"/>
                <w:color w:val="000000"/>
                <w:lang w:bidi="ar"/>
              </w:rPr>
              <w:t>计量单位</w:t>
            </w:r>
          </w:p>
        </w:tc>
        <w:tc>
          <w:tcPr>
            <w:tcW w:w="953" w:type="pct"/>
            <w:tcBorders>
              <w:top w:val="single" w:color="auto" w:sz="4" w:space="0"/>
              <w:left w:val="single" w:color="000000" w:sz="4" w:space="0"/>
              <w:bottom w:val="single" w:color="auto" w:sz="4" w:space="0"/>
              <w:right w:val="nil"/>
            </w:tcBorders>
            <w:shd w:val="clear" w:color="auto" w:fill="FFFFFF"/>
            <w:noWrap w:val="0"/>
            <w:vAlign w:val="center"/>
          </w:tcPr>
          <w:p w14:paraId="2C54C9C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rPr>
            </w:pPr>
            <w:r>
              <w:rPr>
                <w:rFonts w:hint="eastAsia" w:ascii="宋体" w:hAnsi="宋体" w:cs="宋体"/>
                <w:color w:val="000000"/>
                <w:lang w:bidi="ar"/>
              </w:rPr>
              <w:t>单价(元)</w:t>
            </w:r>
          </w:p>
        </w:tc>
        <w:tc>
          <w:tcPr>
            <w:tcW w:w="666" w:type="pct"/>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399357D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rPr>
            </w:pPr>
            <w:r>
              <w:rPr>
                <w:rFonts w:hint="eastAsia" w:ascii="宋体" w:hAnsi="宋体" w:cs="宋体"/>
                <w:color w:val="000000"/>
                <w:lang w:bidi="ar"/>
              </w:rPr>
              <w:t>备注</w:t>
            </w:r>
          </w:p>
        </w:tc>
      </w:tr>
      <w:tr w14:paraId="3D3BC184">
        <w:tblPrEx>
          <w:tblCellMar>
            <w:top w:w="0" w:type="dxa"/>
            <w:left w:w="108" w:type="dxa"/>
            <w:bottom w:w="0" w:type="dxa"/>
            <w:right w:w="108" w:type="dxa"/>
          </w:tblCellMar>
        </w:tblPrEx>
        <w:trPr>
          <w:trHeight w:val="850" w:hRule="atLeast"/>
        </w:trPr>
        <w:tc>
          <w:tcPr>
            <w:tcW w:w="406" w:type="pct"/>
            <w:tcBorders>
              <w:top w:val="single" w:color="000000" w:sz="4" w:space="0"/>
              <w:left w:val="single" w:color="auto" w:sz="4" w:space="0"/>
              <w:bottom w:val="nil"/>
              <w:right w:val="nil"/>
            </w:tcBorders>
            <w:shd w:val="clear" w:color="auto" w:fill="FFFFFF"/>
            <w:noWrap w:val="0"/>
            <w:vAlign w:val="center"/>
          </w:tcPr>
          <w:p w14:paraId="1D58DE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lang w:eastAsia="zh-CN"/>
              </w:rPr>
            </w:pPr>
            <w:r>
              <w:rPr>
                <w:rFonts w:hint="eastAsia" w:ascii="宋体" w:hAnsi="宋体" w:cs="宋体"/>
                <w:color w:val="000000"/>
                <w:lang w:val="en-US" w:eastAsia="zh-CN" w:bidi="ar"/>
              </w:rPr>
              <w:t>1</w:t>
            </w:r>
          </w:p>
        </w:tc>
        <w:tc>
          <w:tcPr>
            <w:tcW w:w="2216" w:type="pct"/>
            <w:tcBorders>
              <w:top w:val="single" w:color="000000" w:sz="4" w:space="0"/>
              <w:left w:val="single" w:color="000000" w:sz="4" w:space="0"/>
              <w:bottom w:val="nil"/>
              <w:right w:val="nil"/>
            </w:tcBorders>
            <w:shd w:val="clear" w:color="auto" w:fill="FFFFFF"/>
            <w:noWrap w:val="0"/>
            <w:vAlign w:val="center"/>
          </w:tcPr>
          <w:p w14:paraId="62B643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2米高</w:t>
            </w:r>
            <w:r>
              <w:rPr>
                <w:rFonts w:hint="eastAsia" w:ascii="宋体" w:hAnsi="宋体" w:eastAsia="宋体" w:cs="Times New Roman"/>
                <w:sz w:val="21"/>
                <w:szCs w:val="21"/>
                <w:lang w:val="zh-CN" w:eastAsia="zh-CN"/>
              </w:rPr>
              <w:t>施工围挡</w:t>
            </w:r>
          </w:p>
        </w:tc>
        <w:tc>
          <w:tcPr>
            <w:tcW w:w="757" w:type="pct"/>
            <w:tcBorders>
              <w:top w:val="single" w:color="000000" w:sz="4" w:space="0"/>
              <w:left w:val="single" w:color="000000" w:sz="4" w:space="0"/>
              <w:bottom w:val="nil"/>
              <w:right w:val="nil"/>
            </w:tcBorders>
            <w:shd w:val="clear" w:color="auto" w:fill="FFFFFF"/>
            <w:noWrap w:val="0"/>
            <w:vAlign w:val="center"/>
          </w:tcPr>
          <w:p w14:paraId="31D8C82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米</w:t>
            </w:r>
          </w:p>
        </w:tc>
        <w:tc>
          <w:tcPr>
            <w:tcW w:w="953" w:type="pct"/>
            <w:tcBorders>
              <w:top w:val="single" w:color="000000" w:sz="4" w:space="0"/>
              <w:left w:val="single" w:color="000000" w:sz="4" w:space="0"/>
              <w:bottom w:val="nil"/>
              <w:right w:val="nil"/>
            </w:tcBorders>
            <w:shd w:val="clear" w:color="auto" w:fill="FFFFFF"/>
            <w:noWrap w:val="0"/>
            <w:vAlign w:val="center"/>
          </w:tcPr>
          <w:p w14:paraId="1933A8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180</w:t>
            </w:r>
          </w:p>
        </w:tc>
        <w:tc>
          <w:tcPr>
            <w:tcW w:w="666" w:type="pct"/>
            <w:tcBorders>
              <w:top w:val="single" w:color="000000" w:sz="4" w:space="0"/>
              <w:left w:val="single" w:color="000000" w:sz="4" w:space="0"/>
              <w:bottom w:val="nil"/>
              <w:right w:val="single" w:color="auto" w:sz="4" w:space="0"/>
            </w:tcBorders>
            <w:shd w:val="clear" w:color="auto" w:fill="FFFFFF"/>
            <w:noWrap w:val="0"/>
            <w:vAlign w:val="center"/>
          </w:tcPr>
          <w:p w14:paraId="575210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21"/>
                <w:szCs w:val="21"/>
                <w:lang w:bidi="ar"/>
              </w:rPr>
            </w:pPr>
            <w:r>
              <w:rPr>
                <w:rFonts w:hint="eastAsia" w:ascii="宋体" w:hAnsi="宋体" w:eastAsia="宋体" w:cs="Times New Roman"/>
                <w:b w:val="0"/>
                <w:bCs w:val="0"/>
                <w:kern w:val="2"/>
                <w:sz w:val="21"/>
                <w:szCs w:val="21"/>
                <w:lang w:val="en-US" w:eastAsia="zh-CN" w:bidi="ar-SA"/>
              </w:rPr>
              <w:t>除税价</w:t>
            </w:r>
          </w:p>
        </w:tc>
      </w:tr>
      <w:tr w14:paraId="3586B62C">
        <w:tblPrEx>
          <w:tblCellMar>
            <w:top w:w="0" w:type="dxa"/>
            <w:left w:w="108" w:type="dxa"/>
            <w:bottom w:w="0" w:type="dxa"/>
            <w:right w:w="108" w:type="dxa"/>
          </w:tblCellMar>
        </w:tblPrEx>
        <w:trPr>
          <w:trHeight w:val="850" w:hRule="atLeast"/>
        </w:trPr>
        <w:tc>
          <w:tcPr>
            <w:tcW w:w="406" w:type="pct"/>
            <w:tcBorders>
              <w:top w:val="single" w:color="000000" w:sz="4" w:space="0"/>
              <w:left w:val="single" w:color="auto" w:sz="4" w:space="0"/>
              <w:bottom w:val="single" w:color="auto" w:sz="4" w:space="0"/>
              <w:right w:val="nil"/>
            </w:tcBorders>
            <w:shd w:val="clear" w:color="auto" w:fill="FFFFFF"/>
            <w:noWrap w:val="0"/>
            <w:vAlign w:val="center"/>
          </w:tcPr>
          <w:p w14:paraId="4EC80B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lang w:eastAsia="zh-CN"/>
              </w:rPr>
            </w:pPr>
            <w:r>
              <w:rPr>
                <w:rFonts w:hint="eastAsia" w:ascii="宋体" w:hAnsi="宋体" w:cs="宋体"/>
                <w:color w:val="000000"/>
                <w:lang w:val="en-US" w:eastAsia="zh-CN" w:bidi="ar"/>
              </w:rPr>
              <w:t>2</w:t>
            </w:r>
          </w:p>
        </w:tc>
        <w:tc>
          <w:tcPr>
            <w:tcW w:w="2216" w:type="pct"/>
            <w:tcBorders>
              <w:top w:val="single" w:color="000000" w:sz="4" w:space="0"/>
              <w:left w:val="single" w:color="000000" w:sz="4" w:space="0"/>
              <w:bottom w:val="single" w:color="auto" w:sz="4" w:space="0"/>
              <w:right w:val="nil"/>
            </w:tcBorders>
            <w:shd w:val="clear" w:color="auto" w:fill="FFFFFF"/>
            <w:noWrap w:val="0"/>
            <w:vAlign w:val="center"/>
          </w:tcPr>
          <w:p w14:paraId="3BF281F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2.5cm厚玻璃格栅树池篦子</w:t>
            </w:r>
          </w:p>
        </w:tc>
        <w:tc>
          <w:tcPr>
            <w:tcW w:w="757" w:type="pct"/>
            <w:tcBorders>
              <w:top w:val="single" w:color="000000" w:sz="4" w:space="0"/>
              <w:left w:val="single" w:color="000000" w:sz="4" w:space="0"/>
              <w:bottom w:val="single" w:color="auto" w:sz="4" w:space="0"/>
              <w:right w:val="nil"/>
            </w:tcBorders>
            <w:shd w:val="clear" w:color="auto" w:fill="FFFFFF"/>
            <w:noWrap w:val="0"/>
            <w:vAlign w:val="center"/>
          </w:tcPr>
          <w:p w14:paraId="783A23B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w:t>
            </w:r>
          </w:p>
        </w:tc>
        <w:tc>
          <w:tcPr>
            <w:tcW w:w="953" w:type="pct"/>
            <w:tcBorders>
              <w:top w:val="single" w:color="000000" w:sz="4" w:space="0"/>
              <w:left w:val="single" w:color="000000" w:sz="4" w:space="0"/>
              <w:bottom w:val="single" w:color="auto" w:sz="4" w:space="0"/>
              <w:right w:val="nil"/>
            </w:tcBorders>
            <w:shd w:val="clear" w:color="auto" w:fill="FFFFFF"/>
            <w:noWrap w:val="0"/>
            <w:vAlign w:val="center"/>
          </w:tcPr>
          <w:p w14:paraId="74D7C79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50</w:t>
            </w:r>
          </w:p>
        </w:tc>
        <w:tc>
          <w:tcPr>
            <w:tcW w:w="666" w:type="pct"/>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210AD0B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21"/>
                <w:szCs w:val="21"/>
                <w:lang w:bidi="ar"/>
              </w:rPr>
            </w:pPr>
            <w:r>
              <w:rPr>
                <w:rFonts w:hint="eastAsia" w:ascii="宋体" w:hAnsi="宋体" w:eastAsia="宋体" w:cs="Times New Roman"/>
                <w:b w:val="0"/>
                <w:bCs w:val="0"/>
                <w:kern w:val="2"/>
                <w:sz w:val="21"/>
                <w:szCs w:val="21"/>
                <w:lang w:val="en-US" w:eastAsia="zh-CN" w:bidi="ar-SA"/>
              </w:rPr>
              <w:t>除税价</w:t>
            </w:r>
          </w:p>
        </w:tc>
      </w:tr>
      <w:tr w14:paraId="3FEA0F82">
        <w:tblPrEx>
          <w:tblCellMar>
            <w:top w:w="0" w:type="dxa"/>
            <w:left w:w="108" w:type="dxa"/>
            <w:bottom w:w="0" w:type="dxa"/>
            <w:right w:w="108" w:type="dxa"/>
          </w:tblCellMar>
        </w:tblPrEx>
        <w:trPr>
          <w:trHeight w:val="850" w:hRule="atLeast"/>
        </w:trPr>
        <w:tc>
          <w:tcPr>
            <w:tcW w:w="406" w:type="pct"/>
            <w:tcBorders>
              <w:top w:val="single" w:color="auto" w:sz="4" w:space="0"/>
              <w:left w:val="single" w:color="auto" w:sz="4" w:space="0"/>
              <w:bottom w:val="single" w:color="auto" w:sz="4" w:space="0"/>
              <w:right w:val="nil"/>
            </w:tcBorders>
            <w:shd w:val="clear" w:color="auto" w:fill="FFFFFF"/>
            <w:noWrap w:val="0"/>
            <w:vAlign w:val="center"/>
          </w:tcPr>
          <w:p w14:paraId="1BC42C9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lang w:val="en-US" w:eastAsia="zh-CN" w:bidi="ar"/>
              </w:rPr>
            </w:pPr>
            <w:r>
              <w:rPr>
                <w:rFonts w:hint="eastAsia" w:ascii="宋体" w:hAnsi="宋体" w:cs="宋体"/>
                <w:color w:val="000000"/>
                <w:lang w:val="en-US" w:eastAsia="zh-CN" w:bidi="ar"/>
              </w:rPr>
              <w:t>3</w:t>
            </w:r>
          </w:p>
        </w:tc>
        <w:tc>
          <w:tcPr>
            <w:tcW w:w="2216" w:type="pct"/>
            <w:tcBorders>
              <w:top w:val="single" w:color="auto" w:sz="4" w:space="0"/>
              <w:left w:val="single" w:color="000000" w:sz="4" w:space="0"/>
              <w:bottom w:val="single" w:color="auto" w:sz="4" w:space="0"/>
              <w:right w:val="nil"/>
            </w:tcBorders>
            <w:shd w:val="clear" w:color="auto" w:fill="FFFFFF"/>
            <w:noWrap w:val="0"/>
            <w:vAlign w:val="center"/>
          </w:tcPr>
          <w:p w14:paraId="21377DA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sz w:val="21"/>
                <w:szCs w:val="21"/>
                <w:lang w:val="zh-CN" w:eastAsia="zh-CN"/>
              </w:rPr>
            </w:pPr>
            <w:r>
              <w:rPr>
                <w:rFonts w:hint="eastAsia" w:ascii="宋体" w:hAnsi="宋体" w:eastAsia="宋体" w:cs="Times New Roman"/>
                <w:sz w:val="21"/>
                <w:szCs w:val="21"/>
                <w:lang w:val="zh-CN" w:eastAsia="zh-CN"/>
              </w:rPr>
              <w:t>拆除电杆（含装车运输）</w:t>
            </w:r>
          </w:p>
        </w:tc>
        <w:tc>
          <w:tcPr>
            <w:tcW w:w="757" w:type="pct"/>
            <w:tcBorders>
              <w:top w:val="single" w:color="auto" w:sz="4" w:space="0"/>
              <w:left w:val="single" w:color="000000" w:sz="4" w:space="0"/>
              <w:bottom w:val="single" w:color="auto" w:sz="4" w:space="0"/>
              <w:right w:val="nil"/>
            </w:tcBorders>
            <w:shd w:val="clear" w:color="auto" w:fill="FFFFFF"/>
            <w:noWrap w:val="0"/>
            <w:vAlign w:val="center"/>
          </w:tcPr>
          <w:p w14:paraId="3C34F2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根</w:t>
            </w:r>
          </w:p>
        </w:tc>
        <w:tc>
          <w:tcPr>
            <w:tcW w:w="953" w:type="pct"/>
            <w:tcBorders>
              <w:top w:val="single" w:color="auto" w:sz="4" w:space="0"/>
              <w:left w:val="single" w:color="000000" w:sz="4" w:space="0"/>
              <w:bottom w:val="single" w:color="auto" w:sz="4" w:space="0"/>
              <w:right w:val="nil"/>
            </w:tcBorders>
            <w:shd w:val="clear" w:color="auto" w:fill="FFFFFF"/>
            <w:noWrap w:val="0"/>
            <w:vAlign w:val="center"/>
          </w:tcPr>
          <w:p w14:paraId="2E11E8A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500</w:t>
            </w:r>
          </w:p>
        </w:tc>
        <w:tc>
          <w:tcPr>
            <w:tcW w:w="666" w:type="pct"/>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03D3B5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除税价</w:t>
            </w:r>
          </w:p>
        </w:tc>
      </w:tr>
    </w:tbl>
    <w:p w14:paraId="4542BDE9">
      <w:pPr>
        <w:spacing w:line="400" w:lineRule="exact"/>
        <w:rPr>
          <w:rFonts w:hint="eastAsia"/>
          <w:highlight w:val="none"/>
        </w:rPr>
      </w:pPr>
      <w:r>
        <w:rPr>
          <w:rFonts w:hint="eastAsia"/>
          <w:highlight w:val="none"/>
        </w:rPr>
        <w:t>说明：</w:t>
      </w:r>
      <w:r>
        <w:rPr>
          <w:rFonts w:hint="eastAsia" w:ascii="宋体" w:hAnsi="宋体" w:cs="宋体"/>
          <w:szCs w:val="21"/>
          <w:highlight w:val="none"/>
        </w:rPr>
        <w:t>具体</w:t>
      </w:r>
      <w:r>
        <w:rPr>
          <w:rFonts w:hint="eastAsia" w:ascii="宋体" w:hAnsi="宋体" w:cs="宋体"/>
          <w:highlight w:val="none"/>
        </w:rPr>
        <w:t>详见</w:t>
      </w:r>
      <w:r>
        <w:rPr>
          <w:rFonts w:hint="eastAsia" w:ascii="宋体" w:hAnsi="宋体" w:cs="宋体"/>
          <w:szCs w:val="21"/>
          <w:highlight w:val="none"/>
        </w:rPr>
        <w:t>预算书</w:t>
      </w:r>
      <w:r>
        <w:rPr>
          <w:rFonts w:hint="eastAsia"/>
          <w:highlight w:val="none"/>
        </w:rPr>
        <w:t>。</w:t>
      </w:r>
    </w:p>
    <w:p w14:paraId="141E8CA7">
      <w:pPr>
        <w:pStyle w:val="92"/>
        <w:rPr>
          <w:color w:val="auto"/>
          <w:highlight w:val="green"/>
        </w:rPr>
        <w:sectPr>
          <w:footerReference r:id="rId4" w:type="default"/>
          <w:pgSz w:w="11906" w:h="16838"/>
          <w:pgMar w:top="1440" w:right="1797" w:bottom="1440" w:left="1797" w:header="851" w:footer="992" w:gutter="0"/>
          <w:cols w:space="720" w:num="1"/>
          <w:docGrid w:linePitch="312" w:charSpace="0"/>
        </w:sectPr>
      </w:pPr>
    </w:p>
    <w:p w14:paraId="2F05FF71">
      <w:pPr>
        <w:pStyle w:val="2"/>
        <w:spacing w:line="400" w:lineRule="exact"/>
        <w:jc w:val="center"/>
        <w:rPr>
          <w:rFonts w:hint="eastAsia" w:ascii="宋体" w:hAnsi="宋体" w:eastAsia="宋体" w:cs="宋体"/>
          <w:bCs/>
          <w:color w:val="auto"/>
          <w:sz w:val="28"/>
          <w:szCs w:val="28"/>
          <w:highlight w:val="none"/>
        </w:rPr>
      </w:pPr>
      <w:bookmarkStart w:id="96" w:name="_Toc32527"/>
      <w:bookmarkStart w:id="97" w:name="_Toc6352"/>
      <w:bookmarkStart w:id="98" w:name="_Toc18169"/>
      <w:bookmarkStart w:id="99" w:name="_Toc15387"/>
      <w:bookmarkStart w:id="100" w:name="_Toc28157"/>
      <w:r>
        <w:rPr>
          <w:rFonts w:hint="eastAsia" w:ascii="宋体" w:hAnsi="宋体" w:eastAsia="宋体" w:cs="宋体"/>
          <w:color w:val="auto"/>
          <w:sz w:val="28"/>
          <w:szCs w:val="28"/>
          <w:highlight w:val="none"/>
        </w:rPr>
        <w:t>第四部分  工程建设项目廉政责任书</w:t>
      </w:r>
      <w:bookmarkEnd w:id="96"/>
      <w:bookmarkEnd w:id="97"/>
      <w:bookmarkEnd w:id="98"/>
      <w:bookmarkEnd w:id="99"/>
      <w:bookmarkEnd w:id="100"/>
    </w:p>
    <w:p w14:paraId="153F3CED">
      <w:pPr>
        <w:spacing w:line="400" w:lineRule="exact"/>
        <w:ind w:firstLine="420" w:firstLineChars="200"/>
        <w:rPr>
          <w:rFonts w:hint="eastAsia" w:ascii="宋体" w:hAnsi="宋体" w:eastAsia="宋体" w:cs="宋体"/>
          <w:sz w:val="21"/>
          <w:szCs w:val="21"/>
          <w:highlight w:val="none"/>
        </w:rPr>
      </w:pPr>
    </w:p>
    <w:p w14:paraId="7656C5F6">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工程项目名称：</w:t>
      </w:r>
      <w:r>
        <w:rPr>
          <w:rFonts w:hint="eastAsia" w:ascii="宋体" w:hAnsi="宋体" w:cs="宋体"/>
          <w:sz w:val="21"/>
          <w:szCs w:val="21"/>
          <w:highlight w:val="none"/>
          <w:u w:val="single"/>
          <w:lang w:eastAsia="zh-CN"/>
        </w:rPr>
        <w:t>大田街道星都府周边道路工程</w:t>
      </w:r>
    </w:p>
    <w:p w14:paraId="3BF80D43">
      <w:pPr>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工程项目地址：</w:t>
      </w:r>
      <w:r>
        <w:rPr>
          <w:rFonts w:hint="eastAsia" w:ascii="宋体" w:hAnsi="宋体" w:cs="宋体"/>
          <w:sz w:val="21"/>
          <w:szCs w:val="21"/>
          <w:highlight w:val="none"/>
          <w:u w:val="single"/>
          <w:lang w:eastAsia="zh-CN"/>
        </w:rPr>
        <w:t>临海市大田街道星都府</w:t>
      </w:r>
    </w:p>
    <w:p w14:paraId="35DE73BA">
      <w:pPr>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建设单位（甲方）：</w:t>
      </w:r>
      <w:r>
        <w:rPr>
          <w:rFonts w:hint="eastAsia" w:ascii="宋体" w:hAnsi="宋体" w:cs="宋体"/>
          <w:sz w:val="21"/>
          <w:szCs w:val="21"/>
          <w:highlight w:val="none"/>
          <w:u w:val="single"/>
          <w:lang w:eastAsia="zh-CN"/>
        </w:rPr>
        <w:t>临海市人民政府大田街道办事处</w:t>
      </w:r>
    </w:p>
    <w:p w14:paraId="474EC762">
      <w:pPr>
        <w:spacing w:line="400" w:lineRule="exac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施工单位（乙方）：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p w14:paraId="6A0D780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F05A71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第一条 甲乙双方的责任</w:t>
      </w:r>
    </w:p>
    <w:p w14:paraId="0601A26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（一）应严格遵守国家关于市场准入、项目招标投标、工程建设、施工安装和市场活动等有关法律、法规，相关政策，以及廉政建设的各项规定。</w:t>
      </w:r>
    </w:p>
    <w:p w14:paraId="3A6BFA1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（二）严格执行建设工程项目承发包合同文件，自觉按合同办事。</w:t>
      </w:r>
    </w:p>
    <w:p w14:paraId="708FB67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（三）业务活动必须坚持公开、公平、公正、诚信、透明的原则（除法律法规另有规定者外），不得为获取不正当的利益，损害国家、集体和对方利益，不得违反工程建设管理、施工安装的规章制度。</w:t>
      </w:r>
    </w:p>
    <w:p w14:paraId="0028ADD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（四）发现对方在业务活动中有违规、违纪、违法行为的，应及时提醒对方，情节严重的，应向其上级主管部门或纪检监察、司法等有关机关举报。</w:t>
      </w:r>
    </w:p>
    <w:p w14:paraId="00AC71D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第二条 甲方的责任</w:t>
      </w:r>
    </w:p>
    <w:p w14:paraId="119F146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甲方的领导和从事该建设工程项目的工作人员，在工程建设的事前、事中、事后应遵守以下规定：</w:t>
      </w:r>
    </w:p>
    <w:p w14:paraId="3A53A18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（一）不准向乙方和相关单位索要或接受回扣、礼金、有价证券、贵重物品和好处费、感谢费等。</w:t>
      </w:r>
    </w:p>
    <w:p w14:paraId="7CDFF9BB">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（二）不准在乙方和相关单位报销任何应由甲方或个人支付的费用。</w:t>
      </w:r>
    </w:p>
    <w:p w14:paraId="2850BF3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（三）不准要求、暗示和接受乙方和相关单位为个人装修住房、婚丧嫁娶、配偶子女的工作安排以及出国（境）、旅游等提供方便。</w:t>
      </w:r>
    </w:p>
    <w:p w14:paraId="3C3BEB25">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（四）不准参加有可能影响公正执行公务的乙方和相关单位的宴请和健身、娱乐等活动。</w:t>
      </w:r>
    </w:p>
    <w:p w14:paraId="199B022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DC6C6C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第三条 乙方的责任</w:t>
      </w:r>
    </w:p>
    <w:p w14:paraId="24442B72">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应与甲方保持正常的业务交往，按照有关法律法规和程序开展业务工作，严格执行工程建设的有关方针、政策，尤其是有关建筑施工安装的强制性标准和规范，并遵守以下规定：</w:t>
      </w:r>
    </w:p>
    <w:p w14:paraId="7C03B28C">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（一）不准以任何理由向甲方、相关单位及其工作人员索要、接受或赠送礼金、有价证券、贵重物品和回扣、好处费、感谢费等。</w:t>
      </w:r>
    </w:p>
    <w:p w14:paraId="4CBB3AA6">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（二）不准以任何理由为甲方和相关单位报销应由对方或个人支付的费用。</w:t>
      </w:r>
    </w:p>
    <w:p w14:paraId="65FDD76A">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（三）不准接受或暗示为甲方、相关单位或个人装修住房、婚丧嫁娶、配偶子女的工作安排以及出国（境）、旅游等提供方便。</w:t>
      </w:r>
    </w:p>
    <w:p w14:paraId="6E6E80E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（四）不准以任何理由为甲方、相关单位或个人组织有可能影响公正执行公务的宴请、健身、娱乐等活动。</w:t>
      </w:r>
    </w:p>
    <w:p w14:paraId="36019FD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第四条 违约责任</w:t>
      </w:r>
    </w:p>
    <w:p w14:paraId="3F60AFB3">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41174E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1044981">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第五条 本责任书作为工程合同的附件，与工程合同具有同等法律效力。经双方签署后立即生效。</w:t>
      </w:r>
    </w:p>
    <w:p w14:paraId="37155A1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第六条 本责任书的有效期为双方签署之日起至该工程项目竣工验收合格时止。</w:t>
      </w:r>
    </w:p>
    <w:p w14:paraId="75EF28F8">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第七条 本责任书一式八份。</w:t>
      </w:r>
    </w:p>
    <w:p w14:paraId="18FBC6AD">
      <w:pPr>
        <w:spacing w:line="400" w:lineRule="exact"/>
        <w:ind w:firstLine="420" w:firstLineChars="200"/>
        <w:rPr>
          <w:rFonts w:hint="eastAsia" w:ascii="宋体" w:hAnsi="宋体" w:eastAsia="宋体" w:cs="宋体"/>
          <w:sz w:val="21"/>
          <w:szCs w:val="21"/>
          <w:highlight w:val="none"/>
        </w:rPr>
      </w:pPr>
    </w:p>
    <w:p w14:paraId="1AD344E9">
      <w:pPr>
        <w:spacing w:line="400" w:lineRule="exact"/>
        <w:ind w:firstLine="420" w:firstLineChars="200"/>
        <w:rPr>
          <w:rFonts w:hint="eastAsia" w:ascii="宋体" w:hAnsi="宋体" w:eastAsia="宋体" w:cs="宋体"/>
          <w:sz w:val="21"/>
          <w:szCs w:val="21"/>
          <w:highlight w:val="none"/>
        </w:rPr>
      </w:pPr>
    </w:p>
    <w:p w14:paraId="02DD2F41">
      <w:pPr>
        <w:spacing w:line="400" w:lineRule="exact"/>
        <w:ind w:firstLine="420" w:firstLineChars="200"/>
        <w:rPr>
          <w:rFonts w:hint="eastAsia" w:ascii="宋体" w:hAnsi="宋体" w:eastAsia="宋体" w:cs="宋体"/>
          <w:sz w:val="21"/>
          <w:szCs w:val="21"/>
          <w:highlight w:val="none"/>
        </w:rPr>
      </w:pPr>
    </w:p>
    <w:p w14:paraId="6734A8C0">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甲方单位（公章）：　　　　　　                 　乙方单位（公章）： </w:t>
      </w:r>
    </w:p>
    <w:p w14:paraId="3EF794ED">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2A07C63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或委托代理人（签字）：                           或委托代理人（签字）：</w:t>
      </w:r>
    </w:p>
    <w:p w14:paraId="00161064">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地址：　　　　　　　　　　　　　                 地址：</w:t>
      </w:r>
    </w:p>
    <w:p w14:paraId="2D363ADF">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电话：　　　　　　　　　　　　　                 电话：</w:t>
      </w:r>
    </w:p>
    <w:p w14:paraId="0E4B04A9">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年　 月 　日　　　                               年　 月　 日</w:t>
      </w:r>
    </w:p>
    <w:p w14:paraId="4D25DF96">
      <w:pPr>
        <w:pStyle w:val="2"/>
        <w:spacing w:line="288" w:lineRule="auto"/>
        <w:rPr>
          <w:rFonts w:hint="eastAsia" w:ascii="宋体" w:hAnsi="宋体" w:eastAsia="宋体" w:cs="宋体"/>
          <w:color w:val="auto"/>
          <w:sz w:val="30"/>
          <w:szCs w:val="22"/>
          <w:highlight w:val="none"/>
        </w:rPr>
      </w:pPr>
    </w:p>
    <w:p w14:paraId="73BA7A78">
      <w:pPr>
        <w:rPr>
          <w:rFonts w:hint="eastAsia" w:ascii="宋体" w:hAnsi="宋体" w:eastAsia="宋体" w:cs="宋体"/>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14:paraId="0D6439E7">
      <w:pPr>
        <w:adjustRightInd w:val="0"/>
        <w:jc w:val="both"/>
        <w:rPr>
          <w:rFonts w:hint="eastAsia" w:ascii="宋体" w:hAnsi="宋体" w:eastAsia="宋体" w:cs="宋体"/>
          <w:sz w:val="28"/>
          <w:szCs w:val="28"/>
          <w:highlight w:val="none"/>
          <w:shd w:val="pct10" w:color="auto" w:fill="FFFFFF"/>
        </w:rPr>
      </w:pPr>
    </w:p>
    <w:p w14:paraId="50FA376E">
      <w:pPr>
        <w:rPr>
          <w:rFonts w:hint="eastAsia" w:ascii="宋体" w:hAnsi="宋体" w:eastAsia="宋体" w:cs="宋体"/>
          <w:b/>
          <w:sz w:val="30"/>
          <w:szCs w:val="30"/>
          <w:highlight w:val="none"/>
        </w:rPr>
      </w:pPr>
    </w:p>
    <w:p w14:paraId="2C4439E3">
      <w:pPr>
        <w:pStyle w:val="29"/>
        <w:snapToGrid w:val="0"/>
        <w:spacing w:beforeLines="0" w:afterLines="0" w:line="240" w:lineRule="auto"/>
        <w:jc w:val="center"/>
        <w:outlineLvl w:val="0"/>
        <w:rPr>
          <w:rFonts w:hint="eastAsia" w:ascii="宋体" w:hAnsi="宋体" w:eastAsia="宋体" w:cs="宋体"/>
          <w:b/>
          <w:color w:val="000000"/>
          <w:sz w:val="30"/>
          <w:szCs w:val="30"/>
          <w:highlight w:val="none"/>
        </w:rPr>
      </w:pPr>
      <w:bookmarkStart w:id="101" w:name="_Toc441"/>
      <w:r>
        <w:rPr>
          <w:rFonts w:hint="eastAsia" w:ascii="宋体" w:hAnsi="宋体" w:eastAsia="宋体" w:cs="宋体"/>
          <w:b/>
          <w:color w:val="000000"/>
          <w:sz w:val="30"/>
          <w:szCs w:val="30"/>
          <w:highlight w:val="none"/>
        </w:rPr>
        <w:t>第六章　响应文件格式</w:t>
      </w:r>
      <w:bookmarkEnd w:id="101"/>
    </w:p>
    <w:p w14:paraId="52B19D4A">
      <w:pPr>
        <w:pStyle w:val="29"/>
        <w:snapToGrid w:val="0"/>
        <w:spacing w:beforeLines="0" w:afterLines="0" w:line="420" w:lineRule="exact"/>
        <w:jc w:val="center"/>
        <w:rPr>
          <w:rFonts w:hint="eastAsia" w:ascii="宋体" w:hAnsi="宋体" w:eastAsia="宋体" w:cs="宋体"/>
          <w:color w:val="000000"/>
          <w:sz w:val="30"/>
          <w:szCs w:val="30"/>
          <w:highlight w:val="none"/>
        </w:rPr>
      </w:pPr>
    </w:p>
    <w:p w14:paraId="48EF1356">
      <w:pPr>
        <w:snapToGrid w:val="0"/>
        <w:spacing w:before="120" w:beforeLines="50" w:after="50"/>
        <w:jc w:val="center"/>
        <w:outlineLvl w:val="1"/>
        <w:rPr>
          <w:rFonts w:hint="eastAsia" w:ascii="宋体" w:hAnsi="宋体" w:eastAsia="宋体" w:cs="宋体"/>
          <w:b/>
          <w:bCs/>
          <w:sz w:val="28"/>
          <w:szCs w:val="28"/>
          <w:highlight w:val="none"/>
        </w:rPr>
      </w:pPr>
      <w:bookmarkStart w:id="102" w:name="_Toc21614"/>
      <w:bookmarkStart w:id="103" w:name="_Toc265669850"/>
      <w:r>
        <w:rPr>
          <w:rFonts w:hint="eastAsia" w:ascii="宋体" w:hAnsi="宋体" w:eastAsia="宋体" w:cs="宋体"/>
          <w:b/>
          <w:bCs/>
          <w:sz w:val="28"/>
          <w:szCs w:val="28"/>
          <w:highlight w:val="none"/>
        </w:rPr>
        <w:t>一、资格响应文件格式</w:t>
      </w:r>
      <w:bookmarkEnd w:id="102"/>
    </w:p>
    <w:p w14:paraId="0EE76419">
      <w:pPr>
        <w:snapToGrid w:val="0"/>
        <w:spacing w:before="120" w:beforeLines="50" w:after="50"/>
        <w:jc w:val="center"/>
        <w:rPr>
          <w:rFonts w:hint="eastAsia" w:ascii="宋体" w:hAnsi="宋体" w:eastAsia="宋体" w:cs="宋体"/>
          <w:color w:val="000000"/>
          <w:sz w:val="28"/>
          <w:szCs w:val="28"/>
          <w:highlight w:val="none"/>
        </w:rPr>
      </w:pPr>
    </w:p>
    <w:p w14:paraId="019484E4">
      <w:pPr>
        <w:snapToGrid w:val="0"/>
        <w:spacing w:before="120" w:beforeLines="50" w:after="50"/>
        <w:jc w:val="center"/>
        <w:rPr>
          <w:rFonts w:hint="eastAsia" w:ascii="宋体" w:hAnsi="宋体" w:eastAsia="宋体" w:cs="宋体"/>
          <w:color w:val="000000"/>
          <w:sz w:val="28"/>
          <w:szCs w:val="28"/>
          <w:highlight w:val="none"/>
        </w:rPr>
      </w:pPr>
    </w:p>
    <w:p w14:paraId="798B036D">
      <w:pPr>
        <w:snapToGrid w:val="0"/>
        <w:spacing w:before="120" w:beforeLines="50" w:after="50"/>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1.资格响应文件封面格式： </w:t>
      </w:r>
    </w:p>
    <w:p w14:paraId="24CD43D6">
      <w:pPr>
        <w:snapToGrid w:val="0"/>
        <w:spacing w:before="120" w:beforeLines="50" w:after="5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 xml:space="preserve"> </w:t>
      </w:r>
    </w:p>
    <w:p w14:paraId="7F1F0320">
      <w:pPr>
        <w:snapToGrid w:val="0"/>
        <w:spacing w:before="120" w:beforeLines="50" w:after="50"/>
        <w:rPr>
          <w:rFonts w:hint="eastAsia" w:ascii="宋体" w:hAnsi="宋体" w:eastAsia="宋体" w:cs="宋体"/>
          <w:color w:val="000000"/>
          <w:sz w:val="28"/>
          <w:szCs w:val="28"/>
          <w:highlight w:val="none"/>
        </w:rPr>
      </w:pPr>
    </w:p>
    <w:p w14:paraId="3CFC3A21">
      <w:pPr>
        <w:snapToGrid w:val="0"/>
        <w:spacing w:before="120" w:beforeLines="50" w:after="50"/>
        <w:jc w:val="center"/>
        <w:rPr>
          <w:rFonts w:hint="eastAsia" w:ascii="宋体" w:hAnsi="宋体" w:eastAsia="宋体" w:cs="宋体"/>
          <w:bCs/>
          <w:color w:val="000000"/>
          <w:sz w:val="28"/>
          <w:szCs w:val="28"/>
          <w:highlight w:val="none"/>
        </w:rPr>
      </w:pPr>
    </w:p>
    <w:p w14:paraId="0B3CBC21">
      <w:pPr>
        <w:snapToGrid w:val="0"/>
        <w:spacing w:before="120" w:beforeLines="50" w:after="5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资格响应文件</w:t>
      </w:r>
    </w:p>
    <w:p w14:paraId="4BDAF35D">
      <w:pPr>
        <w:snapToGrid w:val="0"/>
        <w:spacing w:before="120" w:beforeLines="50" w:after="50" w:line="360" w:lineRule="auto"/>
        <w:jc w:val="center"/>
        <w:rPr>
          <w:rFonts w:hint="eastAsia" w:ascii="宋体" w:hAnsi="宋体" w:eastAsia="宋体" w:cs="宋体"/>
          <w:bCs/>
          <w:color w:val="000000"/>
          <w:sz w:val="28"/>
          <w:szCs w:val="28"/>
          <w:highlight w:val="none"/>
        </w:rPr>
      </w:pPr>
    </w:p>
    <w:p w14:paraId="6710049E">
      <w:pPr>
        <w:snapToGrid w:val="0"/>
        <w:spacing w:before="120" w:beforeLines="50" w:after="50" w:line="360" w:lineRule="auto"/>
        <w:jc w:val="center"/>
        <w:rPr>
          <w:rFonts w:hint="eastAsia" w:ascii="宋体" w:hAnsi="宋体" w:eastAsia="宋体" w:cs="宋体"/>
          <w:bCs/>
          <w:color w:val="000000"/>
          <w:sz w:val="28"/>
          <w:szCs w:val="28"/>
          <w:highlight w:val="none"/>
        </w:rPr>
      </w:pPr>
    </w:p>
    <w:p w14:paraId="76DC6022">
      <w:pPr>
        <w:snapToGrid w:val="0"/>
        <w:spacing w:before="120" w:beforeLines="50" w:after="50" w:line="360" w:lineRule="auto"/>
        <w:ind w:firstLine="1246" w:firstLineChars="445"/>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项目名称：</w:t>
      </w:r>
    </w:p>
    <w:p w14:paraId="16E7A24E">
      <w:pPr>
        <w:snapToGrid w:val="0"/>
        <w:spacing w:before="120" w:beforeLines="50" w:after="50"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     项目编号：    </w:t>
      </w:r>
    </w:p>
    <w:p w14:paraId="6F3C53A7">
      <w:pPr>
        <w:pStyle w:val="5"/>
        <w:snapToGrid w:val="0"/>
        <w:spacing w:before="50" w:after="50" w:line="360" w:lineRule="auto"/>
        <w:ind w:firstLine="1164" w:firstLineChars="416"/>
        <w:rPr>
          <w:rFonts w:hint="eastAsia" w:ascii="宋体" w:hAnsi="宋体" w:eastAsia="宋体" w:cs="宋体"/>
          <w:bCs/>
          <w:color w:val="000000"/>
          <w:sz w:val="28"/>
          <w:szCs w:val="28"/>
          <w:highlight w:val="none"/>
        </w:rPr>
      </w:pPr>
    </w:p>
    <w:p w14:paraId="2C0A6573">
      <w:pPr>
        <w:pStyle w:val="5"/>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供应商名称：</w:t>
      </w:r>
    </w:p>
    <w:p w14:paraId="41CBB205">
      <w:pPr>
        <w:pStyle w:val="5"/>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供应商地址：</w:t>
      </w:r>
    </w:p>
    <w:p w14:paraId="4F818D9F">
      <w:pPr>
        <w:pStyle w:val="5"/>
        <w:snapToGrid w:val="0"/>
        <w:spacing w:before="50" w:after="50"/>
        <w:ind w:firstLine="1120" w:firstLineChars="400"/>
        <w:rPr>
          <w:rFonts w:hint="eastAsia" w:ascii="宋体" w:hAnsi="宋体" w:eastAsia="宋体" w:cs="宋体"/>
          <w:bCs/>
          <w:color w:val="000000"/>
          <w:sz w:val="28"/>
          <w:szCs w:val="28"/>
          <w:highlight w:val="none"/>
        </w:rPr>
      </w:pPr>
    </w:p>
    <w:p w14:paraId="103496D7">
      <w:pPr>
        <w:snapToGrid w:val="0"/>
        <w:spacing w:line="360" w:lineRule="auto"/>
        <w:ind w:firstLine="3360" w:firstLineChars="1200"/>
        <w:jc w:val="left"/>
        <w:rPr>
          <w:rFonts w:hint="eastAsia" w:ascii="宋体" w:hAnsi="宋体" w:eastAsia="宋体" w:cs="宋体"/>
          <w:color w:val="000000"/>
          <w:sz w:val="28"/>
          <w:szCs w:val="28"/>
          <w:highlight w:val="none"/>
        </w:rPr>
      </w:pPr>
    </w:p>
    <w:p w14:paraId="42BEF602">
      <w:pPr>
        <w:snapToGrid w:val="0"/>
        <w:spacing w:line="360" w:lineRule="auto"/>
        <w:ind w:firstLine="3640" w:firstLineChars="1300"/>
        <w:jc w:val="left"/>
        <w:rPr>
          <w:rFonts w:hint="eastAsia" w:ascii="宋体" w:hAnsi="宋体" w:eastAsia="宋体" w:cs="宋体"/>
          <w:color w:val="000000"/>
          <w:sz w:val="24"/>
          <w:highlight w:val="none"/>
        </w:rPr>
      </w:pPr>
      <w:r>
        <w:rPr>
          <w:rFonts w:hint="eastAsia" w:ascii="宋体" w:hAnsi="宋体" w:eastAsia="宋体" w:cs="宋体"/>
          <w:color w:val="000000"/>
          <w:sz w:val="28"/>
          <w:szCs w:val="28"/>
          <w:highlight w:val="none"/>
        </w:rPr>
        <w:t>年  月  日</w:t>
      </w:r>
      <w:r>
        <w:rPr>
          <w:rFonts w:hint="eastAsia" w:ascii="宋体" w:hAnsi="宋体" w:eastAsia="宋体" w:cs="宋体"/>
          <w:color w:val="000000"/>
          <w:sz w:val="28"/>
          <w:szCs w:val="28"/>
          <w:highlight w:val="none"/>
        </w:rPr>
        <w:br w:type="page"/>
      </w:r>
      <w:bookmarkStart w:id="104" w:name="_Hlk60757343"/>
      <w:r>
        <w:rPr>
          <w:rFonts w:hint="eastAsia" w:ascii="宋体" w:hAnsi="宋体" w:eastAsia="宋体" w:cs="宋体"/>
          <w:color w:val="000000"/>
          <w:sz w:val="24"/>
          <w:highlight w:val="none"/>
        </w:rPr>
        <w:t>2.营业执照等：</w:t>
      </w:r>
      <w:bookmarkEnd w:id="104"/>
    </w:p>
    <w:p w14:paraId="2B349C3C">
      <w:pPr>
        <w:snapToGrid w:val="0"/>
        <w:spacing w:line="360" w:lineRule="auto"/>
        <w:jc w:val="center"/>
        <w:rPr>
          <w:rFonts w:hint="eastAsia" w:ascii="宋体" w:hAnsi="宋体" w:eastAsia="宋体" w:cs="宋体"/>
          <w:b/>
          <w:kern w:val="0"/>
          <w:sz w:val="32"/>
          <w:szCs w:val="32"/>
          <w:highlight w:val="none"/>
          <w:lang w:val="zh-CN"/>
        </w:rPr>
      </w:pPr>
    </w:p>
    <w:p w14:paraId="758A77C3">
      <w:pPr>
        <w:snapToGrid w:val="0"/>
        <w:spacing w:line="360" w:lineRule="auto"/>
        <w:jc w:val="center"/>
        <w:rPr>
          <w:rFonts w:hint="eastAsia" w:ascii="宋体" w:hAnsi="宋体" w:eastAsia="宋体" w:cs="宋体"/>
          <w:b/>
          <w:kern w:val="0"/>
          <w:sz w:val="32"/>
          <w:szCs w:val="32"/>
          <w:highlight w:val="none"/>
          <w:lang w:val="zh-CN"/>
        </w:rPr>
      </w:pPr>
    </w:p>
    <w:p w14:paraId="007DB317">
      <w:pPr>
        <w:snapToGrid w:val="0"/>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营业执照（推荐使用电子营业执照）</w:t>
      </w:r>
    </w:p>
    <w:p w14:paraId="68ACAB31">
      <w:pPr>
        <w:snapToGrid w:val="0"/>
        <w:spacing w:line="360" w:lineRule="auto"/>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或事业法人登记证或其他工商等登记证明材料原件扫描件或复印件</w:t>
      </w:r>
    </w:p>
    <w:p w14:paraId="11D54FFD">
      <w:pPr>
        <w:snapToGrid w:val="0"/>
        <w:spacing w:line="360" w:lineRule="auto"/>
        <w:rPr>
          <w:rFonts w:hint="eastAsia" w:ascii="宋体" w:hAnsi="宋体" w:eastAsia="宋体" w:cs="宋体"/>
          <w:bCs/>
          <w:kern w:val="0"/>
          <w:sz w:val="28"/>
          <w:szCs w:val="28"/>
          <w:highlight w:val="none"/>
          <w:lang w:val="zh-CN"/>
        </w:rPr>
      </w:pPr>
      <w:r>
        <w:rPr>
          <w:rFonts w:hint="eastAsia" w:ascii="宋体" w:hAnsi="宋体" w:eastAsia="宋体" w:cs="宋体"/>
          <w:bCs/>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53BCE9AF">
      <w:pPr>
        <w:spacing w:line="360" w:lineRule="auto"/>
        <w:jc w:val="center"/>
        <w:rPr>
          <w:rFonts w:hint="eastAsia" w:ascii="宋体" w:hAnsi="宋体" w:eastAsia="宋体" w:cs="宋体"/>
          <w:b/>
          <w:color w:val="FF0000"/>
          <w:sz w:val="32"/>
          <w:szCs w:val="32"/>
          <w:highlight w:val="none"/>
        </w:rPr>
      </w:pPr>
    </w:p>
    <w:p w14:paraId="7715C2EC">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特定资格条件要求的资质文件复印件</w:t>
      </w:r>
    </w:p>
    <w:p w14:paraId="0874B23F">
      <w:pPr>
        <w:widowControl/>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（由供应商根据竞争性磋商公告合格的供应商应具备的特定资格要求编制）</w:t>
      </w:r>
    </w:p>
    <w:p w14:paraId="70BC733A">
      <w:pPr>
        <w:widowControl/>
        <w:spacing w:line="360" w:lineRule="auto"/>
        <w:ind w:firstLine="480" w:firstLineChars="200"/>
        <w:jc w:val="left"/>
        <w:rPr>
          <w:rFonts w:hint="eastAsia" w:ascii="宋体" w:hAnsi="宋体" w:eastAsia="宋体" w:cs="宋体"/>
          <w:sz w:val="24"/>
          <w:highlight w:val="none"/>
        </w:rPr>
      </w:pPr>
    </w:p>
    <w:p w14:paraId="12AF6177">
      <w:pPr>
        <w:spacing w:line="360" w:lineRule="auto"/>
        <w:jc w:val="center"/>
        <w:rPr>
          <w:rFonts w:hint="eastAsia" w:ascii="宋体" w:hAnsi="宋体" w:eastAsia="宋体" w:cs="宋体"/>
          <w:b/>
          <w:bCs/>
          <w:color w:val="FF0000"/>
          <w:sz w:val="32"/>
          <w:szCs w:val="32"/>
          <w:highlight w:val="none"/>
        </w:rPr>
      </w:pPr>
    </w:p>
    <w:p w14:paraId="7AFEAA32">
      <w:pPr>
        <w:widowControl/>
        <w:spacing w:line="360" w:lineRule="auto"/>
        <w:ind w:firstLine="480" w:firstLineChars="200"/>
        <w:jc w:val="left"/>
        <w:rPr>
          <w:rFonts w:hint="eastAsia" w:ascii="宋体" w:hAnsi="宋体" w:eastAsia="宋体" w:cs="宋体"/>
          <w:sz w:val="24"/>
          <w:highlight w:val="none"/>
        </w:rPr>
      </w:pPr>
    </w:p>
    <w:p w14:paraId="58278983">
      <w:pPr>
        <w:spacing w:line="360" w:lineRule="auto"/>
        <w:jc w:val="left"/>
        <w:rPr>
          <w:rFonts w:hint="eastAsia" w:ascii="宋体" w:hAnsi="宋体" w:eastAsia="宋体" w:cs="宋体"/>
          <w:b/>
          <w:bCs/>
          <w:color w:val="FF0000"/>
          <w:sz w:val="28"/>
          <w:szCs w:val="28"/>
          <w:highlight w:val="none"/>
        </w:rPr>
      </w:pPr>
      <w:r>
        <w:rPr>
          <w:rFonts w:hint="eastAsia" w:ascii="宋体" w:hAnsi="宋体" w:eastAsia="宋体" w:cs="宋体"/>
          <w:b/>
          <w:sz w:val="30"/>
          <w:szCs w:val="30"/>
          <w:highlight w:val="none"/>
        </w:rPr>
        <w:br w:type="page"/>
      </w:r>
    </w:p>
    <w:p w14:paraId="0BFD8412">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highlight w:val="none"/>
        </w:rPr>
        <w:t xml:space="preserve"> </w:t>
      </w:r>
      <w:r>
        <w:rPr>
          <w:rFonts w:hint="eastAsia" w:ascii="宋体" w:hAnsi="宋体" w:eastAsia="宋体" w:cs="宋体"/>
          <w:color w:val="000000"/>
          <w:sz w:val="24"/>
          <w:highlight w:val="none"/>
        </w:rPr>
        <w:t>没有重大违法记录的承诺函格式：</w:t>
      </w:r>
    </w:p>
    <w:p w14:paraId="177EE1F1">
      <w:pPr>
        <w:spacing w:line="360" w:lineRule="auto"/>
        <w:jc w:val="center"/>
        <w:rPr>
          <w:rFonts w:hint="eastAsia" w:ascii="宋体" w:hAnsi="宋体" w:eastAsia="宋体" w:cs="宋体"/>
          <w:b/>
          <w:kern w:val="0"/>
          <w:sz w:val="32"/>
          <w:szCs w:val="32"/>
          <w:highlight w:val="none"/>
        </w:rPr>
      </w:pPr>
    </w:p>
    <w:p w14:paraId="60C761D4">
      <w:pPr>
        <w:spacing w:line="52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参加本次政府采购项目前三年内在经营活动中</w:t>
      </w:r>
    </w:p>
    <w:p w14:paraId="04666909">
      <w:pPr>
        <w:spacing w:line="52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没有重大违法记录的承诺函</w:t>
      </w:r>
    </w:p>
    <w:p w14:paraId="6A92F13D">
      <w:pPr>
        <w:spacing w:line="520" w:lineRule="exact"/>
        <w:jc w:val="center"/>
        <w:rPr>
          <w:rFonts w:hint="eastAsia" w:ascii="宋体" w:hAnsi="宋体" w:eastAsia="宋体" w:cs="宋体"/>
          <w:bCs/>
          <w:sz w:val="24"/>
          <w:highlight w:val="none"/>
        </w:rPr>
      </w:pPr>
    </w:p>
    <w:p w14:paraId="4E889D16">
      <w:pPr>
        <w:ind w:firstLine="420"/>
        <w:rPr>
          <w:rFonts w:hint="eastAsia" w:ascii="宋体" w:hAnsi="宋体" w:eastAsia="宋体" w:cs="宋体"/>
          <w:color w:val="000000"/>
          <w:sz w:val="24"/>
          <w:highlight w:val="none"/>
        </w:rPr>
      </w:pPr>
    </w:p>
    <w:p w14:paraId="5681C3DB">
      <w:pPr>
        <w:spacing w:line="360" w:lineRule="auto"/>
        <w:rPr>
          <w:rFonts w:hint="eastAsia" w:ascii="宋体" w:hAnsi="宋体" w:eastAsia="宋体" w:cs="宋体"/>
          <w:color w:val="000000"/>
          <w:kern w:val="0"/>
          <w:sz w:val="24"/>
          <w:highlight w:val="none"/>
        </w:rPr>
      </w:pPr>
      <w:r>
        <w:rPr>
          <w:rFonts w:hint="eastAsia" w:ascii="宋体" w:hAnsi="宋体" w:eastAsia="宋体" w:cs="宋体"/>
          <w:bCs/>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（招标采购单位名称）</w:t>
      </w:r>
      <w:r>
        <w:rPr>
          <w:rFonts w:hint="eastAsia" w:ascii="宋体" w:hAnsi="宋体" w:eastAsia="宋体" w:cs="宋体"/>
          <w:b/>
          <w:bCs/>
          <w:color w:val="000000"/>
          <w:sz w:val="24"/>
          <w:highlight w:val="none"/>
        </w:rPr>
        <w:t xml:space="preserve"> </w:t>
      </w:r>
      <w:r>
        <w:rPr>
          <w:rFonts w:hint="eastAsia" w:ascii="宋体" w:hAnsi="宋体" w:eastAsia="宋体" w:cs="宋体"/>
          <w:color w:val="000000"/>
          <w:sz w:val="24"/>
          <w:highlight w:val="none"/>
        </w:rPr>
        <w:t>：</w:t>
      </w:r>
    </w:p>
    <w:p w14:paraId="60FDC953">
      <w:pPr>
        <w:snapToGrid w:val="0"/>
        <w:spacing w:before="120" w:beforeLines="50" w:after="5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我方郑重承诺，我方在参加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项目（项目编号：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29BBCA4E">
      <w:pPr>
        <w:ind w:firstLine="420"/>
        <w:rPr>
          <w:rFonts w:hint="eastAsia" w:ascii="宋体" w:hAnsi="宋体" w:eastAsia="宋体" w:cs="宋体"/>
          <w:color w:val="000000"/>
          <w:sz w:val="24"/>
          <w:highlight w:val="none"/>
        </w:rPr>
      </w:pPr>
    </w:p>
    <w:p w14:paraId="7246D926">
      <w:pPr>
        <w:snapToGrid w:val="0"/>
        <w:spacing w:before="120" w:beforeLines="50" w:after="5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w:t>
      </w:r>
      <w:r>
        <w:rPr>
          <w:rFonts w:hint="eastAsia" w:ascii="宋体" w:hAnsi="宋体" w:eastAsia="宋体" w:cs="宋体"/>
          <w:color w:val="000000"/>
          <w:kern w:val="0"/>
          <w:sz w:val="24"/>
          <w:highlight w:val="none"/>
        </w:rPr>
        <w:t>承诺</w:t>
      </w:r>
      <w:r>
        <w:rPr>
          <w:rFonts w:hint="eastAsia" w:ascii="宋体" w:hAnsi="宋体" w:eastAsia="宋体" w:cs="宋体"/>
          <w:color w:val="000000"/>
          <w:sz w:val="24"/>
          <w:highlight w:val="none"/>
        </w:rPr>
        <w:t>！</w:t>
      </w:r>
    </w:p>
    <w:p w14:paraId="2CD1AD08">
      <w:pPr>
        <w:snapToGrid w:val="0"/>
        <w:spacing w:before="50" w:after="120" w:afterLines="50"/>
        <w:jc w:val="left"/>
        <w:rPr>
          <w:rFonts w:hint="eastAsia" w:ascii="宋体" w:hAnsi="宋体" w:eastAsia="宋体" w:cs="宋体"/>
          <w:kern w:val="0"/>
          <w:sz w:val="24"/>
          <w:highlight w:val="none"/>
          <w:lang w:val="zh-CN"/>
        </w:rPr>
      </w:pPr>
    </w:p>
    <w:p w14:paraId="20A7AE26">
      <w:pPr>
        <w:snapToGrid w:val="0"/>
        <w:spacing w:before="50" w:after="120" w:afterLines="50"/>
        <w:jc w:val="left"/>
        <w:rPr>
          <w:rFonts w:hint="eastAsia" w:ascii="宋体" w:hAnsi="宋体" w:eastAsia="宋体" w:cs="宋体"/>
          <w:kern w:val="0"/>
          <w:sz w:val="24"/>
          <w:highlight w:val="none"/>
          <w:lang w:val="zh-CN"/>
        </w:rPr>
      </w:pPr>
    </w:p>
    <w:p w14:paraId="13F4A79B">
      <w:pPr>
        <w:snapToGrid w:val="0"/>
        <w:spacing w:before="50" w:after="120" w:afterLines="50"/>
        <w:jc w:val="left"/>
        <w:rPr>
          <w:rFonts w:hint="eastAsia" w:ascii="宋体" w:hAnsi="宋体" w:eastAsia="宋体" w:cs="宋体"/>
          <w:kern w:val="0"/>
          <w:sz w:val="24"/>
          <w:highlight w:val="none"/>
          <w:lang w:val="zh-CN"/>
        </w:rPr>
      </w:pPr>
    </w:p>
    <w:p w14:paraId="4F794295">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法定代表人签字（或盖章）：         供应商（盖章）：</w:t>
      </w:r>
    </w:p>
    <w:p w14:paraId="38E84728">
      <w:pPr>
        <w:snapToGrid w:val="0"/>
        <w:spacing w:before="50" w:after="120" w:afterLines="50"/>
        <w:jc w:val="left"/>
        <w:rPr>
          <w:rFonts w:hint="eastAsia" w:ascii="宋体" w:hAnsi="宋体" w:eastAsia="宋体" w:cs="宋体"/>
          <w:b/>
          <w:color w:val="000000"/>
          <w:sz w:val="24"/>
          <w:highlight w:val="none"/>
        </w:rPr>
      </w:pPr>
    </w:p>
    <w:p w14:paraId="150FE342">
      <w:pPr>
        <w:snapToGrid w:val="0"/>
        <w:spacing w:before="50" w:after="120" w:afterLines="50"/>
        <w:jc w:val="left"/>
        <w:rPr>
          <w:rFonts w:hint="eastAsia" w:ascii="宋体" w:hAnsi="宋体" w:eastAsia="宋体" w:cs="宋体"/>
          <w:b/>
          <w:color w:val="000000"/>
          <w:sz w:val="24"/>
          <w:highlight w:val="none"/>
        </w:rPr>
      </w:pPr>
    </w:p>
    <w:p w14:paraId="7C518CFD">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  _____年___月___日</w:t>
      </w:r>
    </w:p>
    <w:p w14:paraId="518F7488">
      <w:pPr>
        <w:snapToGrid w:val="0"/>
        <w:spacing w:before="50" w:after="120" w:afterLines="50"/>
        <w:jc w:val="left"/>
        <w:rPr>
          <w:rFonts w:hint="eastAsia" w:ascii="宋体" w:hAnsi="宋体" w:eastAsia="宋体" w:cs="宋体"/>
          <w:color w:val="000000"/>
          <w:sz w:val="28"/>
          <w:szCs w:val="28"/>
          <w:highlight w:val="none"/>
        </w:rPr>
      </w:pPr>
    </w:p>
    <w:p w14:paraId="62843484">
      <w:pPr>
        <w:snapToGrid w:val="0"/>
        <w:spacing w:line="360" w:lineRule="auto"/>
        <w:rPr>
          <w:rFonts w:hint="eastAsia" w:ascii="宋体" w:hAnsi="宋体" w:eastAsia="宋体" w:cs="宋体"/>
          <w:highlight w:val="none"/>
        </w:rPr>
      </w:pPr>
    </w:p>
    <w:p w14:paraId="134FCF8B">
      <w:pPr>
        <w:tabs>
          <w:tab w:val="left" w:pos="1311"/>
        </w:tabs>
        <w:jc w:val="left"/>
        <w:rPr>
          <w:rFonts w:hint="eastAsia" w:ascii="宋体" w:hAnsi="宋体"/>
          <w:color w:val="auto"/>
          <w:sz w:val="24"/>
          <w:highlight w:val="none"/>
        </w:rPr>
      </w:pPr>
      <w:r>
        <w:rPr>
          <w:rFonts w:hint="eastAsia" w:ascii="宋体" w:hAnsi="宋体" w:eastAsia="宋体" w:cs="宋体"/>
          <w:highlight w:val="none"/>
        </w:rPr>
        <w:br w:type="page"/>
      </w:r>
      <w:r>
        <w:rPr>
          <w:rFonts w:hint="eastAsia" w:ascii="宋体" w:hAnsi="宋体"/>
          <w:color w:val="auto"/>
          <w:sz w:val="24"/>
          <w:highlight w:val="none"/>
        </w:rPr>
        <w:t>4.中小企业声明函</w:t>
      </w:r>
    </w:p>
    <w:p w14:paraId="230B9A64">
      <w:pPr>
        <w:rPr>
          <w:rFonts w:hint="eastAsia"/>
          <w:color w:val="auto"/>
          <w:highlight w:val="none"/>
        </w:rPr>
      </w:pPr>
    </w:p>
    <w:p w14:paraId="08F75C7A">
      <w:pPr>
        <w:pStyle w:val="29"/>
        <w:snapToGrid w:val="0"/>
        <w:spacing w:before="120" w:beforeLines="0" w:after="120" w:afterLines="0" w:line="240" w:lineRule="auto"/>
        <w:jc w:val="center"/>
        <w:rPr>
          <w:rFonts w:hint="eastAsia"/>
          <w:b/>
          <w:color w:val="auto"/>
          <w:sz w:val="28"/>
          <w:szCs w:val="28"/>
          <w:highlight w:val="none"/>
        </w:rPr>
      </w:pPr>
      <w:r>
        <w:rPr>
          <w:rFonts w:hint="eastAsia"/>
          <w:color w:val="auto"/>
          <w:highlight w:val="none"/>
        </w:rPr>
        <w:tab/>
      </w:r>
      <w:r>
        <w:rPr>
          <w:rFonts w:hint="eastAsia"/>
          <w:b/>
          <w:color w:val="auto"/>
          <w:sz w:val="28"/>
          <w:szCs w:val="28"/>
          <w:highlight w:val="none"/>
        </w:rPr>
        <w:t>中小企业声明函（工程</w:t>
      </w:r>
      <w:r>
        <w:rPr>
          <w:rFonts w:hint="eastAsia"/>
          <w:b/>
          <w:color w:val="auto"/>
          <w:sz w:val="28"/>
          <w:szCs w:val="28"/>
          <w:highlight w:val="none"/>
          <w:lang w:val="en-US" w:eastAsia="zh-CN"/>
        </w:rPr>
        <w:t>类</w:t>
      </w:r>
      <w:r>
        <w:rPr>
          <w:rFonts w:hint="eastAsia"/>
          <w:b/>
          <w:color w:val="auto"/>
          <w:sz w:val="28"/>
          <w:szCs w:val="28"/>
          <w:highlight w:val="none"/>
        </w:rPr>
        <w:t>）</w:t>
      </w:r>
    </w:p>
    <w:p w14:paraId="782B28C2">
      <w:pPr>
        <w:pStyle w:val="29"/>
        <w:snapToGrid w:val="0"/>
        <w:spacing w:before="120" w:beforeLines="0" w:after="120" w:afterLines="0" w:line="360" w:lineRule="auto"/>
        <w:ind w:firstLine="480"/>
        <w:jc w:val="left"/>
        <w:rPr>
          <w:bCs/>
          <w:highlight w:val="none"/>
        </w:rPr>
      </w:pPr>
      <w:r>
        <w:rPr>
          <w:rFonts w:hint="eastAsia"/>
          <w:bCs/>
          <w:highlight w:val="none"/>
        </w:rPr>
        <w:t>本公司（联合体）郑重声明，根据《政府采购促进中小企业发展管理办法》（财库［20</w:t>
      </w:r>
      <w:r>
        <w:rPr>
          <w:bCs/>
          <w:highlight w:val="none"/>
        </w:rPr>
        <w:t>20</w:t>
      </w:r>
      <w:r>
        <w:rPr>
          <w:rFonts w:hint="eastAsia"/>
          <w:bCs/>
          <w:highlight w:val="none"/>
        </w:rPr>
        <w:t>］</w:t>
      </w:r>
      <w:r>
        <w:rPr>
          <w:bCs/>
          <w:highlight w:val="none"/>
        </w:rPr>
        <w:t>46</w:t>
      </w:r>
      <w:r>
        <w:rPr>
          <w:rFonts w:hint="eastAsia"/>
          <w:bCs/>
          <w:highlight w:val="none"/>
        </w:rPr>
        <w:t>号）的规定，本公司（联合体）参加</w:t>
      </w:r>
      <w:r>
        <w:rPr>
          <w:rFonts w:hint="eastAsia"/>
          <w:bCs/>
          <w:highlight w:val="none"/>
          <w:u w:val="single"/>
        </w:rPr>
        <w:t>（单位名称）</w:t>
      </w:r>
      <w:r>
        <w:rPr>
          <w:rFonts w:hint="eastAsia"/>
          <w:bCs/>
          <w:highlight w:val="none"/>
        </w:rPr>
        <w:t xml:space="preserve"> 的</w:t>
      </w:r>
      <w:r>
        <w:rPr>
          <w:rFonts w:hint="eastAsia"/>
          <w:bCs/>
          <w:highlight w:val="none"/>
          <w:u w:val="single"/>
        </w:rPr>
        <w:t xml:space="preserve"> （项目名称）</w:t>
      </w:r>
      <w:r>
        <w:rPr>
          <w:rFonts w:hint="eastAsia"/>
          <w:bCs/>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7532CB">
      <w:pPr>
        <w:pStyle w:val="29"/>
        <w:snapToGrid w:val="0"/>
        <w:spacing w:before="120" w:beforeLines="0" w:after="120" w:afterLines="0" w:line="360" w:lineRule="auto"/>
        <w:ind w:firstLine="480"/>
        <w:jc w:val="left"/>
        <w:rPr>
          <w:bCs/>
          <w:highlight w:val="none"/>
          <w:u w:val="single"/>
        </w:rPr>
      </w:pPr>
      <w:r>
        <w:rPr>
          <w:rFonts w:hint="eastAsia"/>
          <w:bCs/>
          <w:highlight w:val="none"/>
        </w:rPr>
        <w:t>1、</w:t>
      </w:r>
      <w:r>
        <w:rPr>
          <w:rFonts w:hint="eastAsia"/>
          <w:bCs/>
          <w:highlight w:val="none"/>
          <w:u w:val="single"/>
        </w:rPr>
        <w:t>（标的名称）</w:t>
      </w:r>
      <w:r>
        <w:rPr>
          <w:rFonts w:hint="eastAsia"/>
          <w:bCs/>
          <w:highlight w:val="none"/>
        </w:rPr>
        <w:t>，属于</w:t>
      </w:r>
      <w:r>
        <w:rPr>
          <w:rFonts w:hint="eastAsia" w:hAnsi="宋体" w:cs="宋体"/>
          <w:highlight w:val="none"/>
          <w:u w:val="single"/>
        </w:rPr>
        <w:t>（招标文件中明确的所属行业）</w:t>
      </w:r>
      <w:r>
        <w:rPr>
          <w:rFonts w:hint="eastAsia" w:hAnsi="宋体" w:cs="宋体"/>
          <w:highlight w:val="none"/>
        </w:rPr>
        <w:t>行业，</w:t>
      </w:r>
      <w:r>
        <w:rPr>
          <w:rFonts w:hint="eastAsia"/>
          <w:bCs/>
          <w:highlight w:val="none"/>
        </w:rPr>
        <w:t>承建（承接）企业为</w:t>
      </w:r>
      <w:r>
        <w:rPr>
          <w:rFonts w:hint="eastAsia"/>
          <w:bCs/>
          <w:highlight w:val="none"/>
          <w:u w:val="single"/>
        </w:rPr>
        <w:t>（企业名称）</w:t>
      </w:r>
      <w:r>
        <w:rPr>
          <w:rFonts w:hint="eastAsia"/>
          <w:bCs/>
          <w:highlight w:val="none"/>
        </w:rPr>
        <w:t>，</w:t>
      </w:r>
      <w:r>
        <w:rPr>
          <w:rFonts w:hint="eastAsia"/>
          <w:bCs/>
          <w:iCs/>
          <w:highlight w:val="none"/>
        </w:rPr>
        <w:t>从业人员</w:t>
      </w:r>
      <w:r>
        <w:rPr>
          <w:rFonts w:hint="eastAsia"/>
          <w:bCs/>
          <w:iCs/>
          <w:highlight w:val="none"/>
          <w:u w:val="single"/>
        </w:rPr>
        <w:t xml:space="preserve"> </w:t>
      </w:r>
      <w:r>
        <w:rPr>
          <w:bCs/>
          <w:iCs/>
          <w:highlight w:val="none"/>
          <w:u w:val="single"/>
        </w:rPr>
        <w:t xml:space="preserve"> </w:t>
      </w:r>
      <w:r>
        <w:rPr>
          <w:rFonts w:hint="eastAsia"/>
          <w:bCs/>
          <w:iCs/>
          <w:highlight w:val="none"/>
          <w:u w:val="single"/>
        </w:rPr>
        <w:t xml:space="preserve"> </w:t>
      </w:r>
      <w:r>
        <w:rPr>
          <w:rFonts w:hint="eastAsia"/>
          <w:bCs/>
          <w:iCs/>
          <w:highlight w:val="none"/>
        </w:rPr>
        <w:t>人、营业收入为</w:t>
      </w:r>
      <w:r>
        <w:rPr>
          <w:rFonts w:hint="eastAsia"/>
          <w:bCs/>
          <w:iCs/>
          <w:highlight w:val="none"/>
          <w:u w:val="single"/>
        </w:rPr>
        <w:t xml:space="preserve">   </w:t>
      </w:r>
      <w:r>
        <w:rPr>
          <w:rFonts w:hint="eastAsia"/>
          <w:bCs/>
          <w:iCs/>
          <w:highlight w:val="none"/>
        </w:rPr>
        <w:t>万元</w:t>
      </w:r>
      <w:r>
        <w:rPr>
          <w:rFonts w:hint="eastAsia"/>
          <w:bCs/>
          <w:highlight w:val="none"/>
        </w:rPr>
        <w:t>，资产总额</w:t>
      </w:r>
      <w:r>
        <w:rPr>
          <w:rFonts w:hint="eastAsia"/>
          <w:bCs/>
          <w:iCs/>
          <w:highlight w:val="none"/>
          <w:u w:val="single"/>
        </w:rPr>
        <w:t xml:space="preserve">   </w:t>
      </w:r>
      <w:r>
        <w:rPr>
          <w:rFonts w:hint="eastAsia"/>
          <w:bCs/>
          <w:highlight w:val="none"/>
        </w:rPr>
        <w:t>万元，属于</w:t>
      </w:r>
      <w:r>
        <w:rPr>
          <w:bCs/>
          <w:highlight w:val="none"/>
          <w:u w:val="single"/>
        </w:rPr>
        <w:t xml:space="preserve"> </w:t>
      </w:r>
      <w:r>
        <w:rPr>
          <w:rFonts w:hint="eastAsia"/>
          <w:bCs/>
          <w:highlight w:val="none"/>
          <w:u w:val="single"/>
        </w:rPr>
        <w:t>（中型企业、小型企业、微型企业）；</w:t>
      </w:r>
    </w:p>
    <w:p w14:paraId="1EB346F8">
      <w:pPr>
        <w:pStyle w:val="29"/>
        <w:snapToGrid w:val="0"/>
        <w:spacing w:before="120" w:beforeLines="0" w:after="120" w:afterLines="0" w:line="360" w:lineRule="auto"/>
        <w:ind w:firstLine="480" w:firstLineChars="200"/>
        <w:jc w:val="left"/>
        <w:rPr>
          <w:bCs/>
          <w:highlight w:val="none"/>
        </w:rPr>
      </w:pPr>
      <w:r>
        <w:rPr>
          <w:bCs/>
          <w:highlight w:val="none"/>
        </w:rPr>
        <w:t>………</w:t>
      </w:r>
    </w:p>
    <w:p w14:paraId="16D6300A">
      <w:pPr>
        <w:pStyle w:val="29"/>
        <w:snapToGrid w:val="0"/>
        <w:spacing w:before="120" w:beforeLines="0" w:after="120" w:afterLines="0" w:line="360" w:lineRule="auto"/>
        <w:ind w:firstLine="480" w:firstLineChars="200"/>
        <w:jc w:val="left"/>
        <w:rPr>
          <w:rFonts w:hint="eastAsia"/>
          <w:bCs/>
          <w:highlight w:val="none"/>
        </w:rPr>
      </w:pPr>
      <w:r>
        <w:rPr>
          <w:rFonts w:hint="eastAsia"/>
          <w:bCs/>
          <w:highlight w:val="none"/>
        </w:rPr>
        <w:t>以上企业，不属于大企业的分支机构，不存在控股股东为大企业的情形，也不存在与大企业的负责人为同一人的情形。</w:t>
      </w:r>
    </w:p>
    <w:p w14:paraId="6A321A7D">
      <w:pPr>
        <w:pStyle w:val="29"/>
        <w:snapToGrid w:val="0"/>
        <w:spacing w:before="120" w:beforeLines="0" w:after="120" w:afterLines="0" w:line="240" w:lineRule="auto"/>
        <w:rPr>
          <w:b/>
          <w:bCs/>
          <w:highlight w:val="none"/>
          <w:u w:val="single"/>
          <w:shd w:val="pct10" w:color="auto" w:fill="FFFFFF"/>
        </w:rPr>
      </w:pPr>
      <w:r>
        <w:rPr>
          <w:rFonts w:hint="eastAsia"/>
          <w:b/>
          <w:bCs/>
          <w:highlight w:val="none"/>
          <w:u w:val="single"/>
          <w:shd w:val="pct10" w:color="auto" w:fill="FFFFFF"/>
        </w:rPr>
        <w:t>本企业对上述声明内容的真实性负责。如有虚假，将依法承担相应责任。</w:t>
      </w:r>
    </w:p>
    <w:p w14:paraId="0B362762">
      <w:pPr>
        <w:pStyle w:val="29"/>
        <w:snapToGrid w:val="0"/>
        <w:spacing w:before="120" w:beforeLines="0" w:after="120" w:afterLines="0" w:line="240" w:lineRule="auto"/>
        <w:rPr>
          <w:rFonts w:hint="eastAsia" w:hAnsi="宋体"/>
          <w:spacing w:val="20"/>
          <w:highlight w:val="none"/>
        </w:rPr>
      </w:pPr>
      <w:r>
        <w:rPr>
          <w:rFonts w:hint="eastAsia" w:hAnsi="宋体"/>
          <w:spacing w:val="20"/>
          <w:highlight w:val="none"/>
        </w:rPr>
        <w:t xml:space="preserve">法定代表人签字（或盖章）：            投标人（盖章）： </w:t>
      </w:r>
    </w:p>
    <w:p w14:paraId="7385F91E">
      <w:pPr>
        <w:snapToGrid w:val="0"/>
        <w:spacing w:line="360" w:lineRule="auto"/>
        <w:jc w:val="center"/>
        <w:rPr>
          <w:rFonts w:hint="eastAsia" w:ascii="宋体" w:hAnsi="宋体"/>
          <w:sz w:val="24"/>
          <w:highlight w:val="none"/>
        </w:rPr>
      </w:pPr>
      <w:r>
        <w:rPr>
          <w:rFonts w:hint="eastAsia" w:ascii="宋体" w:hAnsi="宋体"/>
          <w:sz w:val="24"/>
          <w:highlight w:val="none"/>
        </w:rPr>
        <w:t xml:space="preserve">                                              </w:t>
      </w:r>
    </w:p>
    <w:p w14:paraId="39ED75D1">
      <w:pPr>
        <w:snapToGrid w:val="0"/>
        <w:spacing w:line="360" w:lineRule="auto"/>
        <w:jc w:val="center"/>
        <w:rPr>
          <w:rFonts w:hint="eastAsia"/>
          <w:highlight w:val="none"/>
        </w:rPr>
      </w:pPr>
      <w:r>
        <w:rPr>
          <w:rFonts w:hint="eastAsia"/>
          <w:highlight w:val="none"/>
        </w:rPr>
        <w:t xml:space="preserve">                                             日期:_____年___月___日</w:t>
      </w:r>
    </w:p>
    <w:p w14:paraId="68F5EAA7">
      <w:pPr>
        <w:pStyle w:val="92"/>
        <w:rPr>
          <w:rFonts w:hint="eastAsia"/>
          <w:highlight w:val="none"/>
        </w:rPr>
      </w:pPr>
    </w:p>
    <w:p w14:paraId="7E5FDCA0">
      <w:pPr>
        <w:pStyle w:val="29"/>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温馨提醒：</w:t>
      </w:r>
    </w:p>
    <w:p w14:paraId="48A4BA88">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1、供应商请将《中小企业声明函》中加“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里面的内容全部填写齐全，《中小企业声明函》中内容未填写齐全的、缺项的将不给予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0E168DB2">
      <w:pPr>
        <w:pStyle w:val="29"/>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里面的内容全部填写正确，《中小企业声明函》中填写内容出现错误的（不影响企业规模类型判定的除外）、未如实填写的，将不给予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218C91A8">
      <w:pPr>
        <w:pStyle w:val="29"/>
        <w:snapToGrid w:val="0"/>
        <w:spacing w:before="120" w:beforeLines="0" w:after="120" w:afterLines="0"/>
        <w:jc w:val="left"/>
        <w:rPr>
          <w:rFonts w:hint="eastAsia"/>
          <w:b/>
          <w:bCs/>
          <w:color w:val="000000" w:themeColor="text1"/>
          <w:sz w:val="28"/>
          <w:szCs w:val="28"/>
          <w:u w:val="single"/>
          <w:shd w:val="pct10" w:color="auto" w:fill="FFFFFF"/>
          <w14:textFill>
            <w14:solidFill>
              <w14:schemeClr w14:val="tx1"/>
            </w14:solidFill>
          </w14:textFill>
        </w:rPr>
      </w:pPr>
    </w:p>
    <w:p w14:paraId="15D52FD5">
      <w:pPr>
        <w:pStyle w:val="29"/>
        <w:snapToGrid w:val="0"/>
        <w:spacing w:before="120" w:beforeLines="0" w:after="120" w:afterLines="0"/>
        <w:jc w:val="left"/>
        <w:rPr>
          <w:rFonts w:hint="eastAsia"/>
          <w:b/>
          <w:bCs/>
          <w:color w:val="000000" w:themeColor="text1"/>
          <w:sz w:val="24"/>
          <w:szCs w:val="24"/>
          <w:u w:val="single"/>
          <w:shd w:val="pct10" w:color="auto" w:fill="FFFFFF"/>
          <w14:textFill>
            <w14:solidFill>
              <w14:schemeClr w14:val="tx1"/>
            </w14:solidFill>
          </w14:textFill>
        </w:rPr>
      </w:pPr>
    </w:p>
    <w:p w14:paraId="4AFF2363">
      <w:pPr>
        <w:pStyle w:val="29"/>
        <w:snapToGrid w:val="0"/>
        <w:spacing w:before="120" w:beforeLines="0" w:after="120" w:afterLines="0"/>
        <w:jc w:val="left"/>
        <w:rPr>
          <w:rFonts w:hint="eastAsia"/>
          <w:b/>
          <w:bCs/>
          <w:color w:val="000000" w:themeColor="text1"/>
          <w:sz w:val="24"/>
          <w:szCs w:val="24"/>
          <w:u w:val="single"/>
          <w:shd w:val="pct10" w:color="auto" w:fill="FFFFFF"/>
          <w14:textFill>
            <w14:solidFill>
              <w14:schemeClr w14:val="tx1"/>
            </w14:solidFill>
          </w14:textFill>
        </w:rPr>
      </w:pPr>
    </w:p>
    <w:p w14:paraId="690DE7C8">
      <w:pPr>
        <w:pStyle w:val="29"/>
        <w:snapToGrid w:val="0"/>
        <w:spacing w:before="120" w:beforeLines="0" w:after="120" w:afterLines="0"/>
        <w:jc w:val="left"/>
        <w:rPr>
          <w:rFonts w:hint="eastAsia"/>
          <w:b/>
          <w:bCs/>
          <w:color w:val="000000" w:themeColor="text1"/>
          <w:sz w:val="24"/>
          <w:szCs w:val="24"/>
          <w:u w:val="single"/>
          <w:shd w:val="pct10" w:color="auto" w:fill="FFFFFF"/>
          <w14:textFill>
            <w14:solidFill>
              <w14:schemeClr w14:val="tx1"/>
            </w14:solidFill>
          </w14:textFill>
        </w:rPr>
      </w:pPr>
    </w:p>
    <w:p w14:paraId="24F49CA5">
      <w:pPr>
        <w:pStyle w:val="29"/>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bookmarkStart w:id="150" w:name="_GoBack"/>
      <w:bookmarkEnd w:id="150"/>
      <w:r>
        <w:rPr>
          <w:rFonts w:hint="eastAsia"/>
          <w:b/>
          <w:bCs/>
          <w:color w:val="000000" w:themeColor="text1"/>
          <w:sz w:val="24"/>
          <w:szCs w:val="24"/>
          <w:u w:val="single"/>
          <w:shd w:val="pct10" w:color="auto" w:fill="FFFFFF"/>
          <w14:textFill>
            <w14:solidFill>
              <w14:schemeClr w14:val="tx1"/>
            </w14:solidFill>
          </w14:textFill>
        </w:rPr>
        <w:t>填表说明：</w:t>
      </w:r>
    </w:p>
    <w:p w14:paraId="27EDD8CD">
      <w:pPr>
        <w:pStyle w:val="29"/>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1、标的分别由不同承接企业承接的，请按序号填写齐全所有标的承接企业的信息。</w:t>
      </w:r>
    </w:p>
    <w:p w14:paraId="3EB88BE5">
      <w:pPr>
        <w:pStyle w:val="29"/>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2、从业人员、营业收入、资产总额填报上一年度数据，无上一年度数据的新成立企业可不填报。</w:t>
      </w:r>
    </w:p>
    <w:p w14:paraId="23E90627">
      <w:pPr>
        <w:pStyle w:val="29"/>
        <w:snapToGrid w:val="0"/>
        <w:spacing w:before="120" w:after="12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3、（1）按照国家统计局统计口径规定，单位从业人员指报告期末最后一日在本单位工作，并取得工资或其他形式劳动报酬的人员数。</w:t>
      </w:r>
    </w:p>
    <w:p w14:paraId="75D7A9C8">
      <w:pPr>
        <w:pStyle w:val="29"/>
        <w:snapToGrid w:val="0"/>
        <w:spacing w:before="120" w:after="12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（2）企业划型时，应将分公司的从业人员、营业收入纳入合并计算。</w:t>
      </w:r>
    </w:p>
    <w:p w14:paraId="59FBAAA5">
      <w:pPr>
        <w:pStyle w:val="29"/>
        <w:snapToGrid w:val="0"/>
        <w:spacing w:before="120" w:beforeLines="0" w:after="120" w:afterLines="0"/>
        <w:jc w:val="left"/>
        <w:rPr>
          <w:rFonts w:hint="eastAsia"/>
          <w:b/>
          <w:bCs/>
          <w:color w:val="000000" w:themeColor="text1"/>
          <w:sz w:val="24"/>
          <w:szCs w:val="24"/>
          <w:u w:val="single"/>
          <w:shd w:val="pct10" w:color="auto" w:fill="FFFFFF"/>
          <w:lang w:eastAsia="zh-CN"/>
          <w14:textFill>
            <w14:solidFill>
              <w14:schemeClr w14:val="tx1"/>
            </w14:solidFill>
          </w14:textFill>
        </w:rPr>
      </w:pPr>
      <w:r>
        <w:rPr>
          <w:rFonts w:hint="eastAsia"/>
          <w:b/>
          <w:bCs/>
          <w:color w:val="000000" w:themeColor="text1"/>
          <w:sz w:val="24"/>
          <w:szCs w:val="24"/>
          <w:u w:val="single"/>
          <w:shd w:val="pct10" w:color="auto" w:fill="FFFFFF"/>
          <w:lang w:eastAsia="zh-CN"/>
          <w14:textFill>
            <w14:solidFill>
              <w14:schemeClr w14:val="tx1"/>
            </w14:solidFill>
          </w14:textFill>
        </w:rPr>
        <w:t>4、供应商应当按照</w:t>
      </w:r>
      <w:r>
        <w:rPr>
          <w:rFonts w:hint="eastAsia"/>
          <w:b/>
          <w:bCs/>
          <w:color w:val="000000" w:themeColor="text1"/>
          <w:sz w:val="24"/>
          <w:szCs w:val="24"/>
          <w:u w:val="single"/>
          <w:shd w:val="pct10" w:color="auto" w:fill="FFFFFF"/>
          <w:lang w:val="en-US" w:eastAsia="zh-CN"/>
          <w14:textFill>
            <w14:solidFill>
              <w14:schemeClr w14:val="tx1"/>
            </w14:solidFill>
          </w14:textFill>
        </w:rPr>
        <w:t>磋商</w:t>
      </w:r>
      <w:r>
        <w:rPr>
          <w:rFonts w:hint="eastAsia"/>
          <w:b/>
          <w:bCs/>
          <w:color w:val="000000" w:themeColor="text1"/>
          <w:sz w:val="24"/>
          <w:szCs w:val="24"/>
          <w:u w:val="single"/>
          <w:shd w:val="pct10" w:color="auto" w:fill="FFFFFF"/>
          <w:lang w:eastAsia="zh-CN"/>
          <w14:textFill>
            <w14:solidFill>
              <w14:schemeClr w14:val="tx1"/>
            </w14:solidFill>
          </w14:textFill>
        </w:rPr>
        <w:t>文件中明确的采购标的所属行业的划分标准来评判承接企业的企业规模</w:t>
      </w:r>
      <w:r>
        <w:rPr>
          <w:rFonts w:hint="eastAsia"/>
          <w:b/>
          <w:bCs/>
          <w:color w:val="000000" w:themeColor="text1"/>
          <w:sz w:val="24"/>
          <w:szCs w:val="24"/>
          <w:u w:val="single"/>
          <w:shd w:val="pct10" w:color="auto" w:fill="FFFFFF"/>
          <w:lang w:val="en-US" w:eastAsia="zh-CN"/>
          <w14:textFill>
            <w14:solidFill>
              <w14:schemeClr w14:val="tx1"/>
            </w14:solidFill>
          </w14:textFill>
        </w:rPr>
        <w:t>类型</w:t>
      </w:r>
      <w:r>
        <w:rPr>
          <w:rFonts w:hint="eastAsia"/>
          <w:b/>
          <w:bCs/>
          <w:color w:val="000000" w:themeColor="text1"/>
          <w:sz w:val="24"/>
          <w:szCs w:val="24"/>
          <w:u w:val="single"/>
          <w:shd w:val="pct10" w:color="auto" w:fill="FFFFFF"/>
          <w:lang w:eastAsia="zh-CN"/>
          <w14:textFill>
            <w14:solidFill>
              <w14:schemeClr w14:val="tx1"/>
            </w14:solidFill>
          </w14:textFill>
        </w:rPr>
        <w:t>（大型、中型、小型、微型企业），而非按照承接企业自身经营范围所属行业的划分标准来评判承接企业的企业规模</w:t>
      </w:r>
      <w:r>
        <w:rPr>
          <w:rFonts w:hint="eastAsia"/>
          <w:b/>
          <w:bCs/>
          <w:color w:val="000000" w:themeColor="text1"/>
          <w:sz w:val="24"/>
          <w:szCs w:val="24"/>
          <w:u w:val="single"/>
          <w:shd w:val="pct10" w:color="auto" w:fill="FFFFFF"/>
          <w:lang w:val="en-US" w:eastAsia="zh-CN"/>
          <w14:textFill>
            <w14:solidFill>
              <w14:schemeClr w14:val="tx1"/>
            </w14:solidFill>
          </w14:textFill>
        </w:rPr>
        <w:t>类型</w:t>
      </w:r>
      <w:r>
        <w:rPr>
          <w:rFonts w:hint="eastAsia"/>
          <w:b/>
          <w:bCs/>
          <w:color w:val="000000" w:themeColor="text1"/>
          <w:sz w:val="24"/>
          <w:szCs w:val="24"/>
          <w:u w:val="single"/>
          <w:shd w:val="pct10" w:color="auto" w:fill="FFFFFF"/>
          <w:lang w:eastAsia="zh-CN"/>
          <w14:textFill>
            <w14:solidFill>
              <w14:schemeClr w14:val="tx1"/>
            </w14:solidFill>
          </w14:textFill>
        </w:rPr>
        <w:t>。</w:t>
      </w:r>
    </w:p>
    <w:p w14:paraId="19BF7A5B">
      <w:pPr>
        <w:pStyle w:val="29"/>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lang w:val="en-US" w:eastAsia="zh-CN"/>
          <w14:textFill>
            <w14:solidFill>
              <w14:schemeClr w14:val="tx1"/>
            </w14:solidFill>
          </w14:textFill>
        </w:rPr>
        <w:t>5</w:t>
      </w:r>
      <w:r>
        <w:rPr>
          <w:rFonts w:hint="eastAsia"/>
          <w:b/>
          <w:bCs/>
          <w:color w:val="000000" w:themeColor="text1"/>
          <w:sz w:val="24"/>
          <w:szCs w:val="24"/>
          <w:u w:val="single"/>
          <w:shd w:val="pct10" w:color="auto" w:fill="FFFFFF"/>
          <w14:textFill>
            <w14:solidFill>
              <w14:schemeClr w14:val="tx1"/>
            </w14:solidFill>
          </w14:textFill>
        </w:rPr>
        <w:t>、为了更加准确判定制造商是否为小微企业，请</w:t>
      </w:r>
      <w:r>
        <w:rPr>
          <w:rFonts w:hint="eastAsia"/>
          <w:b/>
          <w:bCs/>
          <w:color w:val="000000" w:themeColor="text1"/>
          <w:sz w:val="24"/>
          <w:szCs w:val="24"/>
          <w:u w:val="single"/>
          <w:shd w:val="pct10" w:color="auto" w:fill="FFFFFF"/>
          <w:lang w:eastAsia="zh-CN"/>
          <w14:textFill>
            <w14:solidFill>
              <w14:schemeClr w14:val="tx1"/>
            </w14:solidFill>
          </w14:textFill>
        </w:rPr>
        <w:t>供应商</w:t>
      </w:r>
      <w:r>
        <w:rPr>
          <w:rFonts w:hint="eastAsia"/>
          <w:b/>
          <w:bCs/>
          <w:color w:val="000000" w:themeColor="text1"/>
          <w:sz w:val="24"/>
          <w:szCs w:val="24"/>
          <w:u w:val="single"/>
          <w:shd w:val="pct10" w:color="auto" w:fill="FFFFFF"/>
          <w14:textFill>
            <w14:solidFill>
              <w14:schemeClr w14:val="tx1"/>
            </w14:solidFill>
          </w14:textFill>
        </w:rPr>
        <w:t>根据工业和信息化部官方网站---中小企业规模类型自测小程序来辨别制造商企业规模类型，中小企业规模类型自测小程序链接网址为</w:t>
      </w:r>
    </w:p>
    <w:p w14:paraId="293DB2B5">
      <w:pPr>
        <w:pStyle w:val="29"/>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b/>
          <w:bCs/>
          <w:color w:val="000000" w:themeColor="text1"/>
          <w:sz w:val="24"/>
          <w:szCs w:val="24"/>
          <w:u w:val="single"/>
          <w:shd w:val="pct10" w:color="auto" w:fill="FFFFFF"/>
          <w14:textFill>
            <w14:solidFill>
              <w14:schemeClr w14:val="tx1"/>
            </w14:solidFill>
          </w14:textFill>
        </w:rPr>
        <w:t>http://202.106.120.146/baosong/appweb/orgScale.html</w:t>
      </w:r>
    </w:p>
    <w:p w14:paraId="772F93B4">
      <w:pPr>
        <w:pStyle w:val="29"/>
        <w:snapToGrid w:val="0"/>
        <w:spacing w:before="120" w:beforeLines="0" w:after="120" w:afterLines="0"/>
        <w:jc w:val="left"/>
        <w:rPr>
          <w:b/>
          <w:bCs/>
          <w:color w:val="000000" w:themeColor="text1"/>
          <w:sz w:val="24"/>
          <w:szCs w:val="24"/>
          <w:highlight w:val="none"/>
          <w:u w:val="single"/>
          <w:shd w:val="pct10" w:color="auto" w:fill="FFFFFF"/>
          <w14:textFill>
            <w14:solidFill>
              <w14:schemeClr w14:val="tx1"/>
            </w14:solidFill>
          </w14:textFill>
        </w:rPr>
      </w:pP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6</w:t>
      </w:r>
      <w:r>
        <w:rPr>
          <w:rFonts w:hint="eastAsia"/>
          <w:b/>
          <w:bCs/>
          <w:color w:val="000000" w:themeColor="text1"/>
          <w:sz w:val="24"/>
          <w:szCs w:val="24"/>
          <w:highlight w:val="none"/>
          <w:u w:val="single"/>
          <w:shd w:val="pct10" w:color="auto" w:fill="FFFFFF"/>
          <w14:textFill>
            <w14:solidFill>
              <w14:schemeClr w14:val="tx1"/>
            </w14:solidFill>
          </w14:textFill>
        </w:rPr>
        <w:t>、</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未提供《中小企业声明函》的、《中小企业声明函》中内容未填写齐全的、缺项的、填写内容出现错误的</w:t>
      </w:r>
      <w:r>
        <w:rPr>
          <w:rFonts w:hint="eastAsia" w:ascii="宋体" w:hAnsi="宋体" w:eastAsia="宋体"/>
          <w:b/>
          <w:color w:val="000000" w:themeColor="text1"/>
          <w:sz w:val="24"/>
          <w:szCs w:val="24"/>
          <w:u w:val="single"/>
          <w:shd w:val="pct10" w:color="auto" w:fill="FFFFFF"/>
          <w14:textFill>
            <w14:solidFill>
              <w14:schemeClr w14:val="tx1"/>
            </w14:solidFill>
          </w14:textFill>
        </w:rPr>
        <w:t>（不影响企业规模类型判定的除外）</w:t>
      </w:r>
      <w:r>
        <w:rPr>
          <w:rFonts w:hint="eastAsia"/>
          <w:b/>
          <w:bCs/>
          <w:color w:val="000000" w:themeColor="text1"/>
          <w:sz w:val="24"/>
          <w:szCs w:val="24"/>
          <w:highlight w:val="none"/>
          <w:u w:val="single"/>
          <w:shd w:val="pct10" w:color="auto" w:fill="FFFFFF"/>
          <w14:textFill>
            <w14:solidFill>
              <w14:schemeClr w14:val="tx1"/>
            </w14:solidFill>
          </w14:textFill>
        </w:rPr>
        <w:t>、未如实填写的，将不给予</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享受中小企业扶持政策（即资格响应文件为无效）。</w:t>
      </w:r>
    </w:p>
    <w:p w14:paraId="70D76D6B">
      <w:pPr>
        <w:pStyle w:val="29"/>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中标供应商享受中小企业扶持政策的，将在成交结果公告中公开中标供应商的《中小企业声明函》。</w:t>
      </w:r>
    </w:p>
    <w:p w14:paraId="65CB6D47">
      <w:pPr>
        <w:pStyle w:val="29"/>
        <w:snapToGrid w:val="0"/>
        <w:spacing w:before="120" w:beforeLines="0" w:after="120" w:afterLines="0"/>
        <w:jc w:val="left"/>
        <w:rPr>
          <w:rFonts w:hint="eastAsia"/>
          <w:b/>
          <w:bCs/>
          <w:color w:val="000000" w:themeColor="text1"/>
          <w:sz w:val="24"/>
          <w:szCs w:val="24"/>
          <w:u w:val="single"/>
          <w:shd w:val="pct10" w:color="auto" w:fill="FFFFFF"/>
          <w:lang w:eastAsia="zh-CN"/>
          <w14:textFill>
            <w14:solidFill>
              <w14:schemeClr w14:val="tx1"/>
            </w14:solidFill>
          </w14:textFill>
        </w:rPr>
      </w:pPr>
      <w:r>
        <w:rPr>
          <w:rFonts w:hint="eastAsia"/>
          <w:b/>
          <w:bCs/>
          <w:color w:val="000000" w:themeColor="text1"/>
          <w:sz w:val="24"/>
          <w:szCs w:val="24"/>
          <w:u w:val="single"/>
          <w:shd w:val="pct10" w:color="auto" w:fill="FFFFFF"/>
          <w:lang w:eastAsia="zh-CN"/>
          <w14:textFill>
            <w14:solidFill>
              <w14:schemeClr w14:val="tx1"/>
            </w14:solidFill>
          </w14:textFill>
        </w:rPr>
        <w:t>7、鼓励供应商在投标时一并提供对承接企业相关信息的核实核验情况以及其他佐证材料。</w:t>
      </w:r>
    </w:p>
    <w:p w14:paraId="6AE52A92">
      <w:pPr>
        <w:snapToGrid w:val="0"/>
        <w:spacing w:before="120" w:beforeLines="50" w:after="50"/>
        <w:outlineLvl w:val="1"/>
        <w:rPr>
          <w:rFonts w:hint="eastAsia" w:ascii="宋体" w:hAnsi="宋体" w:eastAsia="宋体" w:cs="宋体"/>
          <w:kern w:val="0"/>
          <w:sz w:val="24"/>
          <w:highlight w:val="none"/>
        </w:rPr>
      </w:pPr>
      <w:r>
        <w:rPr>
          <w:rFonts w:hint="eastAsia"/>
          <w:b/>
          <w:bCs/>
          <w:color w:val="000000" w:themeColor="text1"/>
          <w:sz w:val="24"/>
          <w:szCs w:val="24"/>
          <w:u w:val="single"/>
          <w:shd w:val="pct10" w:color="auto" w:fill="FFFFFF"/>
          <w:lang w:val="en-US" w:eastAsia="zh-CN"/>
          <w14:textFill>
            <w14:solidFill>
              <w14:schemeClr w14:val="tx1"/>
            </w14:solidFill>
          </w14:textFill>
        </w:rPr>
        <w:t>8</w:t>
      </w:r>
      <w:r>
        <w:rPr>
          <w:rFonts w:hint="eastAsia"/>
          <w:b/>
          <w:bCs/>
          <w:color w:val="000000" w:themeColor="text1"/>
          <w:sz w:val="24"/>
          <w:szCs w:val="24"/>
          <w:u w:val="single"/>
          <w:shd w:val="pct10" w:color="auto" w:fill="FFFFFF"/>
          <w14:textFill>
            <w14:solidFill>
              <w14:schemeClr w14:val="tx1"/>
            </w14:solidFill>
          </w14:textFill>
        </w:rPr>
        <w:t>、如国家对中小企业划型标准有新的规定的，从其规定。</w:t>
      </w:r>
    </w:p>
    <w:p w14:paraId="66ABD2B8">
      <w:pPr>
        <w:pStyle w:val="60"/>
        <w:rPr>
          <w:rFonts w:hint="eastAsia" w:ascii="宋体" w:hAnsi="宋体" w:eastAsia="宋体" w:cs="宋体"/>
          <w:kern w:val="0"/>
          <w:sz w:val="24"/>
          <w:highlight w:val="none"/>
        </w:rPr>
      </w:pPr>
    </w:p>
    <w:p w14:paraId="32F3080F">
      <w:pPr>
        <w:pStyle w:val="60"/>
        <w:rPr>
          <w:rFonts w:hint="eastAsia" w:ascii="宋体" w:hAnsi="宋体" w:eastAsia="宋体" w:cs="宋体"/>
          <w:kern w:val="0"/>
          <w:sz w:val="24"/>
          <w:highlight w:val="none"/>
        </w:rPr>
      </w:pPr>
    </w:p>
    <w:p w14:paraId="37C890FA">
      <w:pPr>
        <w:pStyle w:val="60"/>
        <w:rPr>
          <w:rFonts w:hint="eastAsia" w:ascii="宋体" w:hAnsi="宋体" w:eastAsia="宋体" w:cs="宋体"/>
          <w:kern w:val="0"/>
          <w:sz w:val="24"/>
          <w:highlight w:val="none"/>
        </w:rPr>
      </w:pPr>
    </w:p>
    <w:p w14:paraId="1F409F93">
      <w:pPr>
        <w:pStyle w:val="60"/>
        <w:rPr>
          <w:rFonts w:hint="eastAsia" w:ascii="宋体" w:hAnsi="宋体" w:eastAsia="宋体" w:cs="宋体"/>
          <w:kern w:val="0"/>
          <w:sz w:val="24"/>
          <w:highlight w:val="none"/>
        </w:rPr>
      </w:pPr>
    </w:p>
    <w:p w14:paraId="71B945FD">
      <w:pPr>
        <w:pStyle w:val="60"/>
        <w:rPr>
          <w:rFonts w:hint="eastAsia" w:ascii="宋体" w:hAnsi="宋体" w:eastAsia="宋体" w:cs="宋体"/>
          <w:kern w:val="0"/>
          <w:sz w:val="24"/>
          <w:highlight w:val="none"/>
        </w:rPr>
      </w:pPr>
    </w:p>
    <w:p w14:paraId="68563BAC">
      <w:pPr>
        <w:pStyle w:val="60"/>
        <w:rPr>
          <w:rFonts w:hint="eastAsia" w:ascii="宋体" w:hAnsi="宋体" w:eastAsia="宋体" w:cs="宋体"/>
          <w:kern w:val="0"/>
          <w:sz w:val="24"/>
          <w:highlight w:val="none"/>
        </w:rPr>
      </w:pPr>
    </w:p>
    <w:p w14:paraId="3B219C66">
      <w:pPr>
        <w:pStyle w:val="60"/>
        <w:rPr>
          <w:rFonts w:hint="eastAsia" w:ascii="宋体" w:hAnsi="宋体" w:eastAsia="宋体" w:cs="宋体"/>
          <w:kern w:val="0"/>
          <w:sz w:val="24"/>
          <w:highlight w:val="none"/>
        </w:rPr>
      </w:pPr>
    </w:p>
    <w:p w14:paraId="1AF41936">
      <w:pPr>
        <w:pStyle w:val="60"/>
        <w:rPr>
          <w:rFonts w:hint="eastAsia" w:ascii="宋体" w:hAnsi="宋体" w:eastAsia="宋体" w:cs="宋体"/>
          <w:kern w:val="0"/>
          <w:sz w:val="24"/>
          <w:highlight w:val="none"/>
        </w:rPr>
      </w:pPr>
    </w:p>
    <w:p w14:paraId="20896D2E">
      <w:pP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br w:type="page"/>
      </w:r>
    </w:p>
    <w:p w14:paraId="09F88E00">
      <w:pPr>
        <w:widowControl/>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51"/>
        <w:tblW w:w="9416" w:type="dxa"/>
        <w:jc w:val="center"/>
        <w:tblLayout w:type="fixed"/>
        <w:tblCellMar>
          <w:top w:w="0" w:type="dxa"/>
          <w:left w:w="108" w:type="dxa"/>
          <w:bottom w:w="0" w:type="dxa"/>
          <w:right w:w="108" w:type="dxa"/>
        </w:tblCellMar>
      </w:tblPr>
      <w:tblGrid>
        <w:gridCol w:w="2109"/>
        <w:gridCol w:w="1366"/>
        <w:gridCol w:w="707"/>
        <w:gridCol w:w="1123"/>
        <w:gridCol w:w="1698"/>
        <w:gridCol w:w="1423"/>
        <w:gridCol w:w="990"/>
      </w:tblGrid>
      <w:tr w14:paraId="31EB8C7E">
        <w:tblPrEx>
          <w:tblCellMar>
            <w:top w:w="0" w:type="dxa"/>
            <w:left w:w="108" w:type="dxa"/>
            <w:bottom w:w="0" w:type="dxa"/>
            <w:right w:w="108" w:type="dxa"/>
          </w:tblCellMar>
        </w:tblPrEx>
        <w:trPr>
          <w:trHeight w:val="641" w:hRule="exact"/>
          <w:jc w:val="center"/>
        </w:trPr>
        <w:tc>
          <w:tcPr>
            <w:tcW w:w="2109" w:type="dxa"/>
            <w:tcBorders>
              <w:top w:val="single" w:color="auto" w:sz="4" w:space="0"/>
              <w:left w:val="nil"/>
              <w:bottom w:val="single" w:color="auto" w:sz="4" w:space="0"/>
              <w:right w:val="single" w:color="auto" w:sz="4" w:space="0"/>
            </w:tcBorders>
            <w:noWrap w:val="0"/>
            <w:vAlign w:val="center"/>
          </w:tcPr>
          <w:p w14:paraId="0BA5DA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6" w:type="dxa"/>
            <w:tcBorders>
              <w:top w:val="single" w:color="auto" w:sz="4" w:space="0"/>
              <w:left w:val="nil"/>
              <w:bottom w:val="single" w:color="auto" w:sz="4" w:space="0"/>
              <w:right w:val="single" w:color="auto" w:sz="4" w:space="0"/>
            </w:tcBorders>
            <w:noWrap w:val="0"/>
            <w:vAlign w:val="center"/>
          </w:tcPr>
          <w:p w14:paraId="751CCF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7" w:type="dxa"/>
            <w:tcBorders>
              <w:top w:val="single" w:color="auto" w:sz="4" w:space="0"/>
              <w:left w:val="nil"/>
              <w:bottom w:val="single" w:color="auto" w:sz="4" w:space="0"/>
              <w:right w:val="single" w:color="auto" w:sz="4" w:space="0"/>
            </w:tcBorders>
            <w:noWrap w:val="0"/>
            <w:vAlign w:val="center"/>
          </w:tcPr>
          <w:p w14:paraId="2E3DDFC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单位</w:t>
            </w:r>
          </w:p>
        </w:tc>
        <w:tc>
          <w:tcPr>
            <w:tcW w:w="1123" w:type="dxa"/>
            <w:tcBorders>
              <w:top w:val="single" w:color="auto" w:sz="4" w:space="0"/>
              <w:left w:val="nil"/>
              <w:bottom w:val="single" w:color="auto" w:sz="4" w:space="0"/>
              <w:right w:val="single" w:color="auto" w:sz="4" w:space="0"/>
            </w:tcBorders>
            <w:noWrap w:val="0"/>
            <w:vAlign w:val="center"/>
          </w:tcPr>
          <w:p w14:paraId="446D92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698" w:type="dxa"/>
            <w:tcBorders>
              <w:top w:val="single" w:color="auto" w:sz="4" w:space="0"/>
              <w:left w:val="nil"/>
              <w:bottom w:val="single" w:color="auto" w:sz="4" w:space="0"/>
              <w:right w:val="single" w:color="auto" w:sz="4" w:space="0"/>
            </w:tcBorders>
            <w:noWrap w:val="0"/>
            <w:vAlign w:val="center"/>
          </w:tcPr>
          <w:p w14:paraId="7742E6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3" w:type="dxa"/>
            <w:tcBorders>
              <w:top w:val="single" w:color="auto" w:sz="4" w:space="0"/>
              <w:left w:val="nil"/>
              <w:bottom w:val="single" w:color="auto" w:sz="4" w:space="0"/>
              <w:right w:val="single" w:color="auto" w:sz="4" w:space="0"/>
            </w:tcBorders>
            <w:noWrap w:val="0"/>
            <w:vAlign w:val="center"/>
          </w:tcPr>
          <w:p w14:paraId="5BE542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0" w:type="dxa"/>
            <w:tcBorders>
              <w:top w:val="single" w:color="auto" w:sz="4" w:space="0"/>
              <w:left w:val="nil"/>
              <w:bottom w:val="single" w:color="auto" w:sz="4" w:space="0"/>
              <w:right w:val="nil"/>
            </w:tcBorders>
            <w:noWrap w:val="0"/>
            <w:vAlign w:val="center"/>
          </w:tcPr>
          <w:p w14:paraId="794A51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3A0B7CEB">
        <w:tblPrEx>
          <w:tblCellMar>
            <w:top w:w="0" w:type="dxa"/>
            <w:left w:w="108" w:type="dxa"/>
            <w:bottom w:w="0" w:type="dxa"/>
            <w:right w:w="108" w:type="dxa"/>
          </w:tblCellMar>
        </w:tblPrEx>
        <w:trPr>
          <w:trHeight w:val="409" w:hRule="exact"/>
          <w:jc w:val="center"/>
        </w:trPr>
        <w:tc>
          <w:tcPr>
            <w:tcW w:w="2109" w:type="dxa"/>
            <w:tcBorders>
              <w:top w:val="nil"/>
              <w:left w:val="nil"/>
              <w:bottom w:val="single" w:color="auto" w:sz="4" w:space="0"/>
              <w:right w:val="single" w:color="auto" w:sz="4" w:space="0"/>
            </w:tcBorders>
            <w:noWrap w:val="0"/>
            <w:vAlign w:val="center"/>
          </w:tcPr>
          <w:p w14:paraId="3889598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6" w:type="dxa"/>
            <w:tcBorders>
              <w:top w:val="nil"/>
              <w:left w:val="nil"/>
              <w:bottom w:val="single" w:color="auto" w:sz="4" w:space="0"/>
              <w:right w:val="single" w:color="auto" w:sz="4" w:space="0"/>
            </w:tcBorders>
            <w:noWrap w:val="0"/>
            <w:vAlign w:val="center"/>
          </w:tcPr>
          <w:p w14:paraId="756B37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53D0A3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71C91A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698" w:type="dxa"/>
            <w:tcBorders>
              <w:top w:val="nil"/>
              <w:left w:val="nil"/>
              <w:bottom w:val="single" w:color="auto" w:sz="4" w:space="0"/>
              <w:right w:val="single" w:color="auto" w:sz="4" w:space="0"/>
            </w:tcBorders>
            <w:noWrap w:val="0"/>
            <w:vAlign w:val="center"/>
          </w:tcPr>
          <w:p w14:paraId="5258E8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1423" w:type="dxa"/>
            <w:tcBorders>
              <w:top w:val="nil"/>
              <w:left w:val="nil"/>
              <w:bottom w:val="single" w:color="auto" w:sz="4" w:space="0"/>
              <w:right w:val="single" w:color="auto" w:sz="4" w:space="0"/>
            </w:tcBorders>
            <w:noWrap w:val="0"/>
            <w:vAlign w:val="center"/>
          </w:tcPr>
          <w:p w14:paraId="50F220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50≤Y＜500</w:t>
            </w:r>
          </w:p>
        </w:tc>
        <w:tc>
          <w:tcPr>
            <w:tcW w:w="990" w:type="dxa"/>
            <w:tcBorders>
              <w:top w:val="nil"/>
              <w:left w:val="nil"/>
              <w:bottom w:val="single" w:color="auto" w:sz="4" w:space="0"/>
              <w:right w:val="nil"/>
            </w:tcBorders>
            <w:noWrap w:val="0"/>
            <w:vAlign w:val="center"/>
          </w:tcPr>
          <w:p w14:paraId="439CA2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DC99F2F">
        <w:tblPrEx>
          <w:tblCellMar>
            <w:top w:w="0" w:type="dxa"/>
            <w:left w:w="108" w:type="dxa"/>
            <w:bottom w:w="0" w:type="dxa"/>
            <w:right w:w="108" w:type="dxa"/>
          </w:tblCellMar>
        </w:tblPrEx>
        <w:trPr>
          <w:trHeight w:val="409" w:hRule="exact"/>
          <w:jc w:val="center"/>
        </w:trPr>
        <w:tc>
          <w:tcPr>
            <w:tcW w:w="2109" w:type="dxa"/>
            <w:vMerge w:val="restart"/>
            <w:tcBorders>
              <w:top w:val="nil"/>
              <w:left w:val="nil"/>
              <w:bottom w:val="single" w:color="auto" w:sz="4" w:space="0"/>
              <w:right w:val="single" w:color="auto" w:sz="4" w:space="0"/>
            </w:tcBorders>
            <w:noWrap w:val="0"/>
            <w:vAlign w:val="center"/>
          </w:tcPr>
          <w:p w14:paraId="6E178B4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6" w:type="dxa"/>
            <w:tcBorders>
              <w:top w:val="nil"/>
              <w:left w:val="nil"/>
              <w:bottom w:val="nil"/>
              <w:right w:val="single" w:color="auto" w:sz="4" w:space="0"/>
            </w:tcBorders>
            <w:noWrap w:val="0"/>
            <w:vAlign w:val="center"/>
          </w:tcPr>
          <w:p w14:paraId="16F684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5129FF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695B97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698" w:type="dxa"/>
            <w:tcBorders>
              <w:top w:val="nil"/>
              <w:left w:val="nil"/>
              <w:bottom w:val="nil"/>
              <w:right w:val="single" w:color="auto" w:sz="4" w:space="0"/>
            </w:tcBorders>
            <w:noWrap w:val="0"/>
            <w:vAlign w:val="center"/>
          </w:tcPr>
          <w:p w14:paraId="470323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3" w:type="dxa"/>
            <w:tcBorders>
              <w:top w:val="nil"/>
              <w:left w:val="nil"/>
              <w:bottom w:val="nil"/>
              <w:right w:val="single" w:color="auto" w:sz="4" w:space="0"/>
            </w:tcBorders>
            <w:noWrap w:val="0"/>
            <w:vAlign w:val="center"/>
          </w:tcPr>
          <w:p w14:paraId="12E2B8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0" w:type="dxa"/>
            <w:tcBorders>
              <w:top w:val="nil"/>
              <w:left w:val="nil"/>
              <w:bottom w:val="nil"/>
              <w:right w:val="nil"/>
            </w:tcBorders>
            <w:noWrap w:val="0"/>
            <w:vAlign w:val="center"/>
          </w:tcPr>
          <w:p w14:paraId="6A5A2BE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74405E3">
        <w:tblPrEx>
          <w:tblCellMar>
            <w:top w:w="0" w:type="dxa"/>
            <w:left w:w="108" w:type="dxa"/>
            <w:bottom w:w="0" w:type="dxa"/>
            <w:right w:w="108" w:type="dxa"/>
          </w:tblCellMar>
        </w:tblPrEx>
        <w:trPr>
          <w:trHeight w:val="409" w:hRule="exact"/>
          <w:jc w:val="center"/>
        </w:trPr>
        <w:tc>
          <w:tcPr>
            <w:tcW w:w="2109" w:type="dxa"/>
            <w:vMerge w:val="continue"/>
            <w:tcBorders>
              <w:top w:val="nil"/>
              <w:left w:val="nil"/>
              <w:bottom w:val="single" w:color="auto" w:sz="4" w:space="0"/>
              <w:right w:val="single" w:color="auto" w:sz="4" w:space="0"/>
            </w:tcBorders>
            <w:noWrap w:val="0"/>
            <w:vAlign w:val="center"/>
          </w:tcPr>
          <w:p w14:paraId="5F999D1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498D09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27032F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74C269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698" w:type="dxa"/>
            <w:tcBorders>
              <w:top w:val="nil"/>
              <w:left w:val="nil"/>
              <w:bottom w:val="single" w:color="auto" w:sz="4" w:space="0"/>
              <w:right w:val="single" w:color="auto" w:sz="4" w:space="0"/>
            </w:tcBorders>
            <w:noWrap w:val="0"/>
            <w:vAlign w:val="center"/>
          </w:tcPr>
          <w:p w14:paraId="4146B9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3" w:type="dxa"/>
            <w:tcBorders>
              <w:top w:val="nil"/>
              <w:left w:val="nil"/>
              <w:bottom w:val="single" w:color="auto" w:sz="4" w:space="0"/>
              <w:right w:val="single" w:color="auto" w:sz="4" w:space="0"/>
            </w:tcBorders>
            <w:noWrap w:val="0"/>
            <w:vAlign w:val="center"/>
          </w:tcPr>
          <w:p w14:paraId="5F069E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300≤Y＜2000</w:t>
            </w:r>
          </w:p>
        </w:tc>
        <w:tc>
          <w:tcPr>
            <w:tcW w:w="990" w:type="dxa"/>
            <w:tcBorders>
              <w:top w:val="nil"/>
              <w:left w:val="nil"/>
              <w:bottom w:val="single" w:color="auto" w:sz="4" w:space="0"/>
              <w:right w:val="nil"/>
            </w:tcBorders>
            <w:noWrap w:val="0"/>
            <w:vAlign w:val="center"/>
          </w:tcPr>
          <w:p w14:paraId="2A3990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7B716C5">
        <w:tblPrEx>
          <w:tblCellMar>
            <w:top w:w="0" w:type="dxa"/>
            <w:left w:w="108" w:type="dxa"/>
            <w:bottom w:w="0" w:type="dxa"/>
            <w:right w:w="108" w:type="dxa"/>
          </w:tblCellMar>
        </w:tblPrEx>
        <w:trPr>
          <w:trHeight w:val="409" w:hRule="exact"/>
          <w:jc w:val="center"/>
        </w:trPr>
        <w:tc>
          <w:tcPr>
            <w:tcW w:w="2109" w:type="dxa"/>
            <w:vMerge w:val="restart"/>
            <w:tcBorders>
              <w:top w:val="nil"/>
              <w:left w:val="nil"/>
              <w:bottom w:val="single" w:color="auto" w:sz="4" w:space="0"/>
              <w:right w:val="single" w:color="auto" w:sz="4" w:space="0"/>
            </w:tcBorders>
            <w:noWrap w:val="0"/>
            <w:vAlign w:val="center"/>
          </w:tcPr>
          <w:p w14:paraId="5CEEE53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6" w:type="dxa"/>
            <w:tcBorders>
              <w:top w:val="nil"/>
              <w:left w:val="nil"/>
              <w:bottom w:val="nil"/>
              <w:right w:val="single" w:color="auto" w:sz="4" w:space="0"/>
            </w:tcBorders>
            <w:noWrap w:val="0"/>
            <w:vAlign w:val="center"/>
          </w:tcPr>
          <w:p w14:paraId="13E136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nil"/>
              <w:right w:val="single" w:color="auto" w:sz="4" w:space="0"/>
            </w:tcBorders>
            <w:noWrap w:val="0"/>
            <w:vAlign w:val="center"/>
          </w:tcPr>
          <w:p w14:paraId="68D3BB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nil"/>
              <w:right w:val="single" w:color="auto" w:sz="4" w:space="0"/>
            </w:tcBorders>
            <w:noWrap w:val="0"/>
            <w:vAlign w:val="center"/>
          </w:tcPr>
          <w:p w14:paraId="793FB7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698" w:type="dxa"/>
            <w:tcBorders>
              <w:top w:val="nil"/>
              <w:left w:val="nil"/>
              <w:bottom w:val="nil"/>
              <w:right w:val="single" w:color="auto" w:sz="4" w:space="0"/>
            </w:tcBorders>
            <w:noWrap w:val="0"/>
            <w:vAlign w:val="center"/>
          </w:tcPr>
          <w:p w14:paraId="6715D8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3" w:type="dxa"/>
            <w:tcBorders>
              <w:top w:val="nil"/>
              <w:left w:val="nil"/>
              <w:bottom w:val="nil"/>
              <w:right w:val="single" w:color="auto" w:sz="4" w:space="0"/>
            </w:tcBorders>
            <w:noWrap w:val="0"/>
            <w:vAlign w:val="center"/>
          </w:tcPr>
          <w:p w14:paraId="72F097D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300≤Y＜6000</w:t>
            </w:r>
          </w:p>
        </w:tc>
        <w:tc>
          <w:tcPr>
            <w:tcW w:w="990" w:type="dxa"/>
            <w:tcBorders>
              <w:top w:val="nil"/>
              <w:left w:val="nil"/>
              <w:bottom w:val="nil"/>
              <w:right w:val="nil"/>
            </w:tcBorders>
            <w:noWrap w:val="0"/>
            <w:vAlign w:val="center"/>
          </w:tcPr>
          <w:p w14:paraId="6DF4071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71B154DD">
        <w:tblPrEx>
          <w:tblCellMar>
            <w:top w:w="0" w:type="dxa"/>
            <w:left w:w="108" w:type="dxa"/>
            <w:bottom w:w="0" w:type="dxa"/>
            <w:right w:w="108" w:type="dxa"/>
          </w:tblCellMar>
        </w:tblPrEx>
        <w:trPr>
          <w:trHeight w:val="409" w:hRule="exact"/>
          <w:jc w:val="center"/>
        </w:trPr>
        <w:tc>
          <w:tcPr>
            <w:tcW w:w="2109" w:type="dxa"/>
            <w:vMerge w:val="continue"/>
            <w:tcBorders>
              <w:top w:val="nil"/>
              <w:left w:val="nil"/>
              <w:bottom w:val="single" w:color="auto" w:sz="4" w:space="0"/>
              <w:right w:val="single" w:color="auto" w:sz="4" w:space="0"/>
            </w:tcBorders>
            <w:noWrap w:val="0"/>
            <w:vAlign w:val="center"/>
          </w:tcPr>
          <w:p w14:paraId="4C92514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4AC5A6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7" w:type="dxa"/>
            <w:tcBorders>
              <w:top w:val="nil"/>
              <w:left w:val="nil"/>
              <w:bottom w:val="single" w:color="auto" w:sz="4" w:space="0"/>
              <w:right w:val="single" w:color="auto" w:sz="4" w:space="0"/>
            </w:tcBorders>
            <w:noWrap w:val="0"/>
            <w:vAlign w:val="center"/>
          </w:tcPr>
          <w:p w14:paraId="763959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1D7ECC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698" w:type="dxa"/>
            <w:tcBorders>
              <w:top w:val="nil"/>
              <w:left w:val="nil"/>
              <w:bottom w:val="single" w:color="auto" w:sz="4" w:space="0"/>
              <w:right w:val="single" w:color="auto" w:sz="4" w:space="0"/>
            </w:tcBorders>
            <w:noWrap w:val="0"/>
            <w:vAlign w:val="center"/>
          </w:tcPr>
          <w:p w14:paraId="1D3821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3" w:type="dxa"/>
            <w:tcBorders>
              <w:top w:val="nil"/>
              <w:left w:val="nil"/>
              <w:bottom w:val="single" w:color="auto" w:sz="4" w:space="0"/>
              <w:right w:val="single" w:color="auto" w:sz="4" w:space="0"/>
            </w:tcBorders>
            <w:noWrap w:val="0"/>
            <w:vAlign w:val="center"/>
          </w:tcPr>
          <w:p w14:paraId="4C4866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300≤Z＜5000</w:t>
            </w:r>
          </w:p>
        </w:tc>
        <w:tc>
          <w:tcPr>
            <w:tcW w:w="990" w:type="dxa"/>
            <w:tcBorders>
              <w:top w:val="nil"/>
              <w:left w:val="nil"/>
              <w:bottom w:val="single" w:color="auto" w:sz="4" w:space="0"/>
              <w:right w:val="nil"/>
            </w:tcBorders>
            <w:noWrap w:val="0"/>
            <w:vAlign w:val="center"/>
          </w:tcPr>
          <w:p w14:paraId="0FF9AC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7D0768CC">
        <w:tblPrEx>
          <w:tblCellMar>
            <w:top w:w="0" w:type="dxa"/>
            <w:left w:w="108" w:type="dxa"/>
            <w:bottom w:w="0" w:type="dxa"/>
            <w:right w:w="108" w:type="dxa"/>
          </w:tblCellMar>
        </w:tblPrEx>
        <w:trPr>
          <w:trHeight w:val="409" w:hRule="exact"/>
          <w:jc w:val="center"/>
        </w:trPr>
        <w:tc>
          <w:tcPr>
            <w:tcW w:w="2109" w:type="dxa"/>
            <w:vMerge w:val="restart"/>
            <w:tcBorders>
              <w:top w:val="nil"/>
              <w:left w:val="nil"/>
              <w:bottom w:val="single" w:color="auto" w:sz="4" w:space="0"/>
              <w:right w:val="single" w:color="auto" w:sz="4" w:space="0"/>
            </w:tcBorders>
            <w:noWrap w:val="0"/>
            <w:vAlign w:val="center"/>
          </w:tcPr>
          <w:p w14:paraId="6EA9915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6" w:type="dxa"/>
            <w:tcBorders>
              <w:top w:val="nil"/>
              <w:left w:val="nil"/>
              <w:bottom w:val="nil"/>
              <w:right w:val="single" w:color="auto" w:sz="4" w:space="0"/>
            </w:tcBorders>
            <w:noWrap w:val="0"/>
            <w:vAlign w:val="center"/>
          </w:tcPr>
          <w:p w14:paraId="072CE7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7397A4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0DD58A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698" w:type="dxa"/>
            <w:tcBorders>
              <w:top w:val="nil"/>
              <w:left w:val="nil"/>
              <w:bottom w:val="nil"/>
              <w:right w:val="single" w:color="auto" w:sz="4" w:space="0"/>
            </w:tcBorders>
            <w:noWrap w:val="0"/>
            <w:vAlign w:val="center"/>
          </w:tcPr>
          <w:p w14:paraId="6EA1C1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3" w:type="dxa"/>
            <w:tcBorders>
              <w:top w:val="nil"/>
              <w:left w:val="nil"/>
              <w:bottom w:val="nil"/>
              <w:right w:val="single" w:color="auto" w:sz="4" w:space="0"/>
            </w:tcBorders>
            <w:noWrap w:val="0"/>
            <w:vAlign w:val="center"/>
          </w:tcPr>
          <w:p w14:paraId="15CF48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5≤X＜20</w:t>
            </w:r>
          </w:p>
        </w:tc>
        <w:tc>
          <w:tcPr>
            <w:tcW w:w="990" w:type="dxa"/>
            <w:tcBorders>
              <w:top w:val="nil"/>
              <w:left w:val="nil"/>
              <w:bottom w:val="nil"/>
              <w:right w:val="nil"/>
            </w:tcBorders>
            <w:noWrap w:val="0"/>
            <w:vAlign w:val="center"/>
          </w:tcPr>
          <w:p w14:paraId="7D06DA4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2529D4D4">
        <w:tblPrEx>
          <w:tblCellMar>
            <w:top w:w="0" w:type="dxa"/>
            <w:left w:w="108" w:type="dxa"/>
            <w:bottom w:w="0" w:type="dxa"/>
            <w:right w:w="108" w:type="dxa"/>
          </w:tblCellMar>
        </w:tblPrEx>
        <w:trPr>
          <w:trHeight w:val="409" w:hRule="exact"/>
          <w:jc w:val="center"/>
        </w:trPr>
        <w:tc>
          <w:tcPr>
            <w:tcW w:w="2109" w:type="dxa"/>
            <w:vMerge w:val="continue"/>
            <w:tcBorders>
              <w:top w:val="nil"/>
              <w:left w:val="nil"/>
              <w:bottom w:val="single" w:color="auto" w:sz="4" w:space="0"/>
              <w:right w:val="single" w:color="auto" w:sz="4" w:space="0"/>
            </w:tcBorders>
            <w:noWrap w:val="0"/>
            <w:vAlign w:val="center"/>
          </w:tcPr>
          <w:p w14:paraId="257753D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139E62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1ED33F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100FAE3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698" w:type="dxa"/>
            <w:tcBorders>
              <w:top w:val="nil"/>
              <w:left w:val="nil"/>
              <w:bottom w:val="single" w:color="auto" w:sz="4" w:space="0"/>
              <w:right w:val="single" w:color="auto" w:sz="4" w:space="0"/>
            </w:tcBorders>
            <w:noWrap w:val="0"/>
            <w:vAlign w:val="center"/>
          </w:tcPr>
          <w:p w14:paraId="4B522B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3" w:type="dxa"/>
            <w:tcBorders>
              <w:top w:val="nil"/>
              <w:left w:val="nil"/>
              <w:bottom w:val="single" w:color="auto" w:sz="4" w:space="0"/>
              <w:right w:val="single" w:color="auto" w:sz="4" w:space="0"/>
            </w:tcBorders>
            <w:noWrap w:val="0"/>
            <w:vAlign w:val="center"/>
          </w:tcPr>
          <w:p w14:paraId="21830E53">
            <w:pPr>
              <w:keepNext w:val="0"/>
              <w:keepLines w:val="0"/>
              <w:pageBreakBefore w:val="0"/>
              <w:widowControl/>
              <w:kinsoku/>
              <w:wordWrap/>
              <w:overflowPunct/>
              <w:topLinePunct w:val="0"/>
              <w:autoSpaceDE/>
              <w:autoSpaceDN/>
              <w:bidi w:val="0"/>
              <w:adjustRightInd/>
              <w:snapToGrid/>
              <w:spacing w:line="320" w:lineRule="exact"/>
              <w:ind w:left="-1" w:leftChars="-1" w:hanging="1"/>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0" w:type="dxa"/>
            <w:tcBorders>
              <w:top w:val="nil"/>
              <w:left w:val="nil"/>
              <w:bottom w:val="single" w:color="auto" w:sz="4" w:space="0"/>
              <w:right w:val="nil"/>
            </w:tcBorders>
            <w:noWrap w:val="0"/>
            <w:vAlign w:val="center"/>
          </w:tcPr>
          <w:p w14:paraId="6A17E4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1E2DDBB8">
        <w:tblPrEx>
          <w:tblCellMar>
            <w:top w:w="0" w:type="dxa"/>
            <w:left w:w="108" w:type="dxa"/>
            <w:bottom w:w="0" w:type="dxa"/>
            <w:right w:w="108" w:type="dxa"/>
          </w:tblCellMar>
        </w:tblPrEx>
        <w:trPr>
          <w:trHeight w:val="409" w:hRule="exact"/>
          <w:jc w:val="center"/>
        </w:trPr>
        <w:tc>
          <w:tcPr>
            <w:tcW w:w="2109" w:type="dxa"/>
            <w:vMerge w:val="restart"/>
            <w:tcBorders>
              <w:top w:val="nil"/>
              <w:left w:val="nil"/>
              <w:bottom w:val="single" w:color="auto" w:sz="4" w:space="0"/>
              <w:right w:val="single" w:color="auto" w:sz="4" w:space="0"/>
            </w:tcBorders>
            <w:noWrap w:val="0"/>
            <w:vAlign w:val="center"/>
          </w:tcPr>
          <w:p w14:paraId="376FE5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6" w:type="dxa"/>
            <w:tcBorders>
              <w:top w:val="nil"/>
              <w:left w:val="nil"/>
              <w:bottom w:val="nil"/>
              <w:right w:val="single" w:color="auto" w:sz="4" w:space="0"/>
            </w:tcBorders>
            <w:noWrap w:val="0"/>
            <w:vAlign w:val="center"/>
          </w:tcPr>
          <w:p w14:paraId="1D7CCC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429293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251B15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698" w:type="dxa"/>
            <w:tcBorders>
              <w:top w:val="nil"/>
              <w:left w:val="nil"/>
              <w:bottom w:val="nil"/>
              <w:right w:val="single" w:color="auto" w:sz="4" w:space="0"/>
            </w:tcBorders>
            <w:noWrap w:val="0"/>
            <w:vAlign w:val="center"/>
          </w:tcPr>
          <w:p w14:paraId="0B5E70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3" w:type="dxa"/>
            <w:tcBorders>
              <w:top w:val="nil"/>
              <w:left w:val="nil"/>
              <w:bottom w:val="nil"/>
              <w:right w:val="single" w:color="auto" w:sz="4" w:space="0"/>
            </w:tcBorders>
            <w:noWrap w:val="0"/>
            <w:vAlign w:val="center"/>
          </w:tcPr>
          <w:p w14:paraId="51C69602">
            <w:pPr>
              <w:keepNext w:val="0"/>
              <w:keepLines w:val="0"/>
              <w:pageBreakBefore w:val="0"/>
              <w:widowControl/>
              <w:kinsoku/>
              <w:wordWrap/>
              <w:overflowPunct/>
              <w:topLinePunct w:val="0"/>
              <w:autoSpaceDE/>
              <w:autoSpaceDN/>
              <w:bidi w:val="0"/>
              <w:adjustRightInd/>
              <w:snapToGrid/>
              <w:spacing w:line="320" w:lineRule="exact"/>
              <w:ind w:left="-1" w:leftChars="-1" w:hanging="1"/>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0" w:type="dxa"/>
            <w:tcBorders>
              <w:top w:val="nil"/>
              <w:left w:val="nil"/>
              <w:bottom w:val="nil"/>
              <w:right w:val="nil"/>
            </w:tcBorders>
            <w:noWrap w:val="0"/>
            <w:vAlign w:val="center"/>
          </w:tcPr>
          <w:p w14:paraId="43862F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003E587">
        <w:tblPrEx>
          <w:tblCellMar>
            <w:top w:w="0" w:type="dxa"/>
            <w:left w:w="108" w:type="dxa"/>
            <w:bottom w:w="0" w:type="dxa"/>
            <w:right w:w="108" w:type="dxa"/>
          </w:tblCellMar>
        </w:tblPrEx>
        <w:trPr>
          <w:trHeight w:val="409" w:hRule="exact"/>
          <w:jc w:val="center"/>
        </w:trPr>
        <w:tc>
          <w:tcPr>
            <w:tcW w:w="2109" w:type="dxa"/>
            <w:vMerge w:val="continue"/>
            <w:tcBorders>
              <w:top w:val="nil"/>
              <w:left w:val="nil"/>
              <w:bottom w:val="single" w:color="auto" w:sz="4" w:space="0"/>
              <w:right w:val="single" w:color="auto" w:sz="4" w:space="0"/>
            </w:tcBorders>
            <w:noWrap w:val="0"/>
            <w:vAlign w:val="center"/>
          </w:tcPr>
          <w:p w14:paraId="5CDF378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1AD1DB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42A975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2A9860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698" w:type="dxa"/>
            <w:tcBorders>
              <w:top w:val="nil"/>
              <w:left w:val="nil"/>
              <w:bottom w:val="single" w:color="auto" w:sz="4" w:space="0"/>
              <w:right w:val="single" w:color="auto" w:sz="4" w:space="0"/>
            </w:tcBorders>
            <w:noWrap w:val="0"/>
            <w:vAlign w:val="center"/>
          </w:tcPr>
          <w:p w14:paraId="0C860D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1423" w:type="dxa"/>
            <w:tcBorders>
              <w:top w:val="nil"/>
              <w:left w:val="nil"/>
              <w:bottom w:val="single" w:color="auto" w:sz="4" w:space="0"/>
              <w:right w:val="single" w:color="auto" w:sz="4" w:space="0"/>
            </w:tcBorders>
            <w:noWrap w:val="0"/>
            <w:vAlign w:val="center"/>
          </w:tcPr>
          <w:p w14:paraId="0521E2E5">
            <w:pPr>
              <w:keepNext w:val="0"/>
              <w:keepLines w:val="0"/>
              <w:pageBreakBefore w:val="0"/>
              <w:widowControl/>
              <w:kinsoku/>
              <w:wordWrap/>
              <w:overflowPunct/>
              <w:topLinePunct w:val="0"/>
              <w:autoSpaceDE/>
              <w:autoSpaceDN/>
              <w:bidi w:val="0"/>
              <w:adjustRightInd/>
              <w:snapToGrid/>
              <w:spacing w:line="320" w:lineRule="exact"/>
              <w:ind w:left="-1" w:leftChars="-1" w:hanging="1"/>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100≤Y＜500 </w:t>
            </w:r>
          </w:p>
        </w:tc>
        <w:tc>
          <w:tcPr>
            <w:tcW w:w="990" w:type="dxa"/>
            <w:tcBorders>
              <w:top w:val="nil"/>
              <w:left w:val="nil"/>
              <w:bottom w:val="single" w:color="auto" w:sz="4" w:space="0"/>
              <w:right w:val="nil"/>
            </w:tcBorders>
            <w:noWrap w:val="0"/>
            <w:vAlign w:val="center"/>
          </w:tcPr>
          <w:p w14:paraId="662CE5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E66E887">
        <w:tblPrEx>
          <w:tblCellMar>
            <w:top w:w="0" w:type="dxa"/>
            <w:left w:w="108" w:type="dxa"/>
            <w:bottom w:w="0" w:type="dxa"/>
            <w:right w:w="108" w:type="dxa"/>
          </w:tblCellMar>
        </w:tblPrEx>
        <w:trPr>
          <w:trHeight w:val="409" w:hRule="exact"/>
          <w:jc w:val="center"/>
        </w:trPr>
        <w:tc>
          <w:tcPr>
            <w:tcW w:w="2109" w:type="dxa"/>
            <w:vMerge w:val="restart"/>
            <w:tcBorders>
              <w:top w:val="nil"/>
              <w:left w:val="nil"/>
              <w:bottom w:val="single" w:color="auto" w:sz="4" w:space="0"/>
              <w:right w:val="single" w:color="auto" w:sz="4" w:space="0"/>
            </w:tcBorders>
            <w:noWrap w:val="0"/>
            <w:vAlign w:val="center"/>
          </w:tcPr>
          <w:p w14:paraId="673661E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6" w:type="dxa"/>
            <w:tcBorders>
              <w:top w:val="nil"/>
              <w:left w:val="nil"/>
              <w:bottom w:val="nil"/>
              <w:right w:val="single" w:color="auto" w:sz="4" w:space="0"/>
            </w:tcBorders>
            <w:noWrap w:val="0"/>
            <w:vAlign w:val="center"/>
          </w:tcPr>
          <w:p w14:paraId="096506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7CBE7CD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332EAD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698" w:type="dxa"/>
            <w:tcBorders>
              <w:top w:val="nil"/>
              <w:left w:val="nil"/>
              <w:bottom w:val="nil"/>
              <w:right w:val="single" w:color="auto" w:sz="4" w:space="0"/>
            </w:tcBorders>
            <w:noWrap w:val="0"/>
            <w:vAlign w:val="center"/>
          </w:tcPr>
          <w:p w14:paraId="6725E5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3" w:type="dxa"/>
            <w:tcBorders>
              <w:top w:val="nil"/>
              <w:left w:val="nil"/>
              <w:bottom w:val="nil"/>
              <w:right w:val="single" w:color="auto" w:sz="4" w:space="0"/>
            </w:tcBorders>
            <w:noWrap w:val="0"/>
            <w:vAlign w:val="center"/>
          </w:tcPr>
          <w:p w14:paraId="54752F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0" w:type="dxa"/>
            <w:tcBorders>
              <w:top w:val="nil"/>
              <w:left w:val="nil"/>
              <w:bottom w:val="nil"/>
              <w:right w:val="nil"/>
            </w:tcBorders>
            <w:noWrap w:val="0"/>
            <w:vAlign w:val="center"/>
          </w:tcPr>
          <w:p w14:paraId="1F6B73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5B7C111">
        <w:tblPrEx>
          <w:tblCellMar>
            <w:top w:w="0" w:type="dxa"/>
            <w:left w:w="108" w:type="dxa"/>
            <w:bottom w:w="0" w:type="dxa"/>
            <w:right w:w="108" w:type="dxa"/>
          </w:tblCellMar>
        </w:tblPrEx>
        <w:trPr>
          <w:trHeight w:val="409" w:hRule="exact"/>
          <w:jc w:val="center"/>
        </w:trPr>
        <w:tc>
          <w:tcPr>
            <w:tcW w:w="2109" w:type="dxa"/>
            <w:vMerge w:val="continue"/>
            <w:tcBorders>
              <w:top w:val="nil"/>
              <w:left w:val="nil"/>
              <w:bottom w:val="single" w:color="auto" w:sz="4" w:space="0"/>
              <w:right w:val="single" w:color="auto" w:sz="4" w:space="0"/>
            </w:tcBorders>
            <w:noWrap w:val="0"/>
            <w:vAlign w:val="center"/>
          </w:tcPr>
          <w:p w14:paraId="5B9DE02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10133B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554CDE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729078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698" w:type="dxa"/>
            <w:tcBorders>
              <w:top w:val="nil"/>
              <w:left w:val="nil"/>
              <w:bottom w:val="single" w:color="auto" w:sz="4" w:space="0"/>
              <w:right w:val="single" w:color="auto" w:sz="4" w:space="0"/>
            </w:tcBorders>
            <w:noWrap w:val="0"/>
            <w:vAlign w:val="center"/>
          </w:tcPr>
          <w:p w14:paraId="10AC45C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3" w:type="dxa"/>
            <w:tcBorders>
              <w:top w:val="nil"/>
              <w:left w:val="nil"/>
              <w:bottom w:val="single" w:color="auto" w:sz="4" w:space="0"/>
              <w:right w:val="single" w:color="auto" w:sz="4" w:space="0"/>
            </w:tcBorders>
            <w:noWrap w:val="0"/>
            <w:vAlign w:val="center"/>
          </w:tcPr>
          <w:p w14:paraId="54069B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200≤Y＜3000</w:t>
            </w:r>
          </w:p>
        </w:tc>
        <w:tc>
          <w:tcPr>
            <w:tcW w:w="990" w:type="dxa"/>
            <w:tcBorders>
              <w:top w:val="nil"/>
              <w:left w:val="nil"/>
              <w:bottom w:val="single" w:color="auto" w:sz="4" w:space="0"/>
              <w:right w:val="nil"/>
            </w:tcBorders>
            <w:noWrap w:val="0"/>
            <w:vAlign w:val="center"/>
          </w:tcPr>
          <w:p w14:paraId="75FFDA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C5CCA1D">
        <w:tblPrEx>
          <w:tblCellMar>
            <w:top w:w="0" w:type="dxa"/>
            <w:left w:w="108" w:type="dxa"/>
            <w:bottom w:w="0" w:type="dxa"/>
            <w:right w:w="108" w:type="dxa"/>
          </w:tblCellMar>
        </w:tblPrEx>
        <w:trPr>
          <w:trHeight w:val="409" w:hRule="exact"/>
          <w:jc w:val="center"/>
        </w:trPr>
        <w:tc>
          <w:tcPr>
            <w:tcW w:w="2109" w:type="dxa"/>
            <w:vMerge w:val="restart"/>
            <w:tcBorders>
              <w:top w:val="nil"/>
              <w:left w:val="nil"/>
              <w:bottom w:val="single" w:color="auto" w:sz="4" w:space="0"/>
              <w:right w:val="single" w:color="auto" w:sz="4" w:space="0"/>
            </w:tcBorders>
            <w:noWrap w:val="0"/>
            <w:vAlign w:val="center"/>
          </w:tcPr>
          <w:p w14:paraId="6437B4B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6" w:type="dxa"/>
            <w:tcBorders>
              <w:top w:val="nil"/>
              <w:left w:val="nil"/>
              <w:bottom w:val="nil"/>
              <w:right w:val="single" w:color="auto" w:sz="4" w:space="0"/>
            </w:tcBorders>
            <w:noWrap w:val="0"/>
            <w:vAlign w:val="center"/>
          </w:tcPr>
          <w:p w14:paraId="1154E6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767BD0D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7F601E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698" w:type="dxa"/>
            <w:tcBorders>
              <w:top w:val="nil"/>
              <w:left w:val="nil"/>
              <w:bottom w:val="nil"/>
              <w:right w:val="single" w:color="auto" w:sz="4" w:space="0"/>
            </w:tcBorders>
            <w:noWrap w:val="0"/>
            <w:vAlign w:val="center"/>
          </w:tcPr>
          <w:p w14:paraId="32F7BE97">
            <w:pPr>
              <w:keepNext w:val="0"/>
              <w:keepLines w:val="0"/>
              <w:pageBreakBefore w:val="0"/>
              <w:widowControl/>
              <w:kinsoku/>
              <w:wordWrap/>
              <w:overflowPunct/>
              <w:topLinePunct w:val="0"/>
              <w:autoSpaceDE/>
              <w:autoSpaceDN/>
              <w:bidi w:val="0"/>
              <w:adjustRightInd/>
              <w:snapToGrid/>
              <w:spacing w:line="320" w:lineRule="exact"/>
              <w:ind w:left="1" w:leftChars="-51" w:hanging="108" w:hangingChars="60"/>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3" w:type="dxa"/>
            <w:tcBorders>
              <w:top w:val="nil"/>
              <w:left w:val="nil"/>
              <w:bottom w:val="nil"/>
              <w:right w:val="single" w:color="auto" w:sz="4" w:space="0"/>
            </w:tcBorders>
            <w:noWrap w:val="0"/>
            <w:vAlign w:val="center"/>
          </w:tcPr>
          <w:p w14:paraId="00BCA3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20≤X＜100</w:t>
            </w:r>
          </w:p>
        </w:tc>
        <w:tc>
          <w:tcPr>
            <w:tcW w:w="990" w:type="dxa"/>
            <w:tcBorders>
              <w:top w:val="nil"/>
              <w:left w:val="nil"/>
              <w:bottom w:val="nil"/>
              <w:right w:val="nil"/>
            </w:tcBorders>
            <w:noWrap w:val="0"/>
            <w:vAlign w:val="center"/>
          </w:tcPr>
          <w:p w14:paraId="425A2B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047C538">
        <w:tblPrEx>
          <w:tblCellMar>
            <w:top w:w="0" w:type="dxa"/>
            <w:left w:w="108" w:type="dxa"/>
            <w:bottom w:w="0" w:type="dxa"/>
            <w:right w:w="108" w:type="dxa"/>
          </w:tblCellMar>
        </w:tblPrEx>
        <w:trPr>
          <w:trHeight w:val="409" w:hRule="exact"/>
          <w:jc w:val="center"/>
        </w:trPr>
        <w:tc>
          <w:tcPr>
            <w:tcW w:w="2109" w:type="dxa"/>
            <w:vMerge w:val="continue"/>
            <w:tcBorders>
              <w:top w:val="nil"/>
              <w:left w:val="nil"/>
              <w:bottom w:val="single" w:color="auto" w:sz="4" w:space="0"/>
              <w:right w:val="single" w:color="auto" w:sz="4" w:space="0"/>
            </w:tcBorders>
            <w:noWrap w:val="0"/>
            <w:vAlign w:val="center"/>
          </w:tcPr>
          <w:p w14:paraId="7DF610F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74327F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2D1C30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13D4A6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698" w:type="dxa"/>
            <w:tcBorders>
              <w:top w:val="nil"/>
              <w:left w:val="nil"/>
              <w:bottom w:val="single" w:color="auto" w:sz="4" w:space="0"/>
              <w:right w:val="single" w:color="auto" w:sz="4" w:space="0"/>
            </w:tcBorders>
            <w:noWrap w:val="0"/>
            <w:vAlign w:val="center"/>
          </w:tcPr>
          <w:p w14:paraId="35756BF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3" w:type="dxa"/>
            <w:tcBorders>
              <w:top w:val="nil"/>
              <w:left w:val="nil"/>
              <w:bottom w:val="single" w:color="auto" w:sz="4" w:space="0"/>
              <w:right w:val="single" w:color="auto" w:sz="4" w:space="0"/>
            </w:tcBorders>
            <w:noWrap w:val="0"/>
            <w:vAlign w:val="center"/>
          </w:tcPr>
          <w:p w14:paraId="04B9C6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0" w:type="dxa"/>
            <w:tcBorders>
              <w:top w:val="nil"/>
              <w:left w:val="nil"/>
              <w:bottom w:val="single" w:color="auto" w:sz="4" w:space="0"/>
              <w:right w:val="nil"/>
            </w:tcBorders>
            <w:noWrap w:val="0"/>
            <w:vAlign w:val="center"/>
          </w:tcPr>
          <w:p w14:paraId="7E5B2D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4864135">
        <w:tblPrEx>
          <w:tblCellMar>
            <w:top w:w="0" w:type="dxa"/>
            <w:left w:w="108" w:type="dxa"/>
            <w:bottom w:w="0" w:type="dxa"/>
            <w:right w:w="108" w:type="dxa"/>
          </w:tblCellMar>
        </w:tblPrEx>
        <w:trPr>
          <w:trHeight w:val="409" w:hRule="exact"/>
          <w:jc w:val="center"/>
        </w:trPr>
        <w:tc>
          <w:tcPr>
            <w:tcW w:w="2109" w:type="dxa"/>
            <w:vMerge w:val="restart"/>
            <w:tcBorders>
              <w:top w:val="nil"/>
              <w:left w:val="nil"/>
              <w:bottom w:val="single" w:color="auto" w:sz="4" w:space="0"/>
              <w:right w:val="single" w:color="auto" w:sz="4" w:space="0"/>
            </w:tcBorders>
            <w:noWrap w:val="0"/>
            <w:vAlign w:val="center"/>
          </w:tcPr>
          <w:p w14:paraId="020D125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6" w:type="dxa"/>
            <w:tcBorders>
              <w:top w:val="nil"/>
              <w:left w:val="nil"/>
              <w:bottom w:val="nil"/>
              <w:right w:val="single" w:color="auto" w:sz="4" w:space="0"/>
            </w:tcBorders>
            <w:noWrap w:val="0"/>
            <w:vAlign w:val="center"/>
          </w:tcPr>
          <w:p w14:paraId="29F8F6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2C9B36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42E26C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698" w:type="dxa"/>
            <w:tcBorders>
              <w:top w:val="nil"/>
              <w:left w:val="nil"/>
              <w:bottom w:val="nil"/>
              <w:right w:val="single" w:color="auto" w:sz="4" w:space="0"/>
            </w:tcBorders>
            <w:noWrap w:val="0"/>
            <w:vAlign w:val="center"/>
          </w:tcPr>
          <w:p w14:paraId="7430480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3" w:type="dxa"/>
            <w:tcBorders>
              <w:top w:val="nil"/>
              <w:left w:val="nil"/>
              <w:bottom w:val="nil"/>
              <w:right w:val="single" w:color="auto" w:sz="4" w:space="0"/>
            </w:tcBorders>
            <w:noWrap w:val="0"/>
            <w:vAlign w:val="center"/>
          </w:tcPr>
          <w:p w14:paraId="1C76ADD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0" w:type="dxa"/>
            <w:tcBorders>
              <w:top w:val="nil"/>
              <w:left w:val="nil"/>
              <w:bottom w:val="nil"/>
              <w:right w:val="nil"/>
            </w:tcBorders>
            <w:noWrap w:val="0"/>
            <w:vAlign w:val="center"/>
          </w:tcPr>
          <w:p w14:paraId="4A2754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125A5A3">
        <w:tblPrEx>
          <w:tblCellMar>
            <w:top w:w="0" w:type="dxa"/>
            <w:left w:w="108" w:type="dxa"/>
            <w:bottom w:w="0" w:type="dxa"/>
            <w:right w:w="108" w:type="dxa"/>
          </w:tblCellMar>
        </w:tblPrEx>
        <w:trPr>
          <w:trHeight w:val="409" w:hRule="exact"/>
          <w:jc w:val="center"/>
        </w:trPr>
        <w:tc>
          <w:tcPr>
            <w:tcW w:w="2109" w:type="dxa"/>
            <w:vMerge w:val="continue"/>
            <w:tcBorders>
              <w:top w:val="nil"/>
              <w:left w:val="nil"/>
              <w:bottom w:val="single" w:color="auto" w:sz="4" w:space="0"/>
              <w:right w:val="single" w:color="auto" w:sz="4" w:space="0"/>
            </w:tcBorders>
            <w:noWrap w:val="0"/>
            <w:vAlign w:val="center"/>
          </w:tcPr>
          <w:p w14:paraId="02B49DA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40D3FA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546CCB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177700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698" w:type="dxa"/>
            <w:tcBorders>
              <w:top w:val="nil"/>
              <w:left w:val="nil"/>
              <w:bottom w:val="single" w:color="auto" w:sz="4" w:space="0"/>
              <w:right w:val="single" w:color="auto" w:sz="4" w:space="0"/>
            </w:tcBorders>
            <w:noWrap w:val="0"/>
            <w:vAlign w:val="center"/>
          </w:tcPr>
          <w:p w14:paraId="6B6257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3" w:type="dxa"/>
            <w:tcBorders>
              <w:top w:val="nil"/>
              <w:left w:val="nil"/>
              <w:bottom w:val="single" w:color="auto" w:sz="4" w:space="0"/>
              <w:right w:val="single" w:color="auto" w:sz="4" w:space="0"/>
            </w:tcBorders>
            <w:noWrap w:val="0"/>
            <w:vAlign w:val="center"/>
          </w:tcPr>
          <w:p w14:paraId="07ABE8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0" w:type="dxa"/>
            <w:tcBorders>
              <w:top w:val="nil"/>
              <w:left w:val="nil"/>
              <w:bottom w:val="single" w:color="auto" w:sz="4" w:space="0"/>
              <w:right w:val="nil"/>
            </w:tcBorders>
            <w:noWrap w:val="0"/>
            <w:vAlign w:val="center"/>
          </w:tcPr>
          <w:p w14:paraId="68FDD05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C6F138E">
        <w:tblPrEx>
          <w:tblCellMar>
            <w:top w:w="0" w:type="dxa"/>
            <w:left w:w="108" w:type="dxa"/>
            <w:bottom w:w="0" w:type="dxa"/>
            <w:right w:w="108" w:type="dxa"/>
          </w:tblCellMar>
        </w:tblPrEx>
        <w:trPr>
          <w:trHeight w:val="409" w:hRule="exact"/>
          <w:jc w:val="center"/>
        </w:trPr>
        <w:tc>
          <w:tcPr>
            <w:tcW w:w="2109" w:type="dxa"/>
            <w:vMerge w:val="restart"/>
            <w:tcBorders>
              <w:top w:val="nil"/>
              <w:left w:val="nil"/>
              <w:bottom w:val="single" w:color="auto" w:sz="4" w:space="0"/>
              <w:right w:val="single" w:color="auto" w:sz="4" w:space="0"/>
            </w:tcBorders>
            <w:noWrap w:val="0"/>
            <w:vAlign w:val="center"/>
          </w:tcPr>
          <w:p w14:paraId="3FEC54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6" w:type="dxa"/>
            <w:tcBorders>
              <w:top w:val="nil"/>
              <w:left w:val="nil"/>
              <w:bottom w:val="nil"/>
              <w:right w:val="single" w:color="auto" w:sz="4" w:space="0"/>
            </w:tcBorders>
            <w:noWrap w:val="0"/>
            <w:vAlign w:val="center"/>
          </w:tcPr>
          <w:p w14:paraId="25DC46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6C2DB6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131820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698" w:type="dxa"/>
            <w:tcBorders>
              <w:top w:val="nil"/>
              <w:left w:val="nil"/>
              <w:bottom w:val="nil"/>
              <w:right w:val="single" w:color="auto" w:sz="4" w:space="0"/>
            </w:tcBorders>
            <w:noWrap w:val="0"/>
            <w:vAlign w:val="center"/>
          </w:tcPr>
          <w:p w14:paraId="149AC963">
            <w:pPr>
              <w:keepNext w:val="0"/>
              <w:keepLines w:val="0"/>
              <w:pageBreakBefore w:val="0"/>
              <w:widowControl/>
              <w:kinsoku/>
              <w:wordWrap/>
              <w:overflowPunct/>
              <w:topLinePunct w:val="0"/>
              <w:autoSpaceDE/>
              <w:autoSpaceDN/>
              <w:bidi w:val="0"/>
              <w:adjustRightInd/>
              <w:snapToGrid/>
              <w:spacing w:line="320" w:lineRule="exact"/>
              <w:ind w:left="1" w:leftChars="-51" w:hanging="108" w:hangingChars="60"/>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3" w:type="dxa"/>
            <w:tcBorders>
              <w:top w:val="nil"/>
              <w:left w:val="nil"/>
              <w:bottom w:val="nil"/>
              <w:right w:val="single" w:color="auto" w:sz="4" w:space="0"/>
            </w:tcBorders>
            <w:noWrap w:val="0"/>
            <w:vAlign w:val="center"/>
          </w:tcPr>
          <w:p w14:paraId="08114B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0" w:type="dxa"/>
            <w:tcBorders>
              <w:top w:val="nil"/>
              <w:left w:val="nil"/>
              <w:bottom w:val="nil"/>
              <w:right w:val="nil"/>
            </w:tcBorders>
            <w:noWrap w:val="0"/>
            <w:vAlign w:val="center"/>
          </w:tcPr>
          <w:p w14:paraId="3A4F7C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3C803F6">
        <w:tblPrEx>
          <w:tblCellMar>
            <w:top w:w="0" w:type="dxa"/>
            <w:left w:w="108" w:type="dxa"/>
            <w:bottom w:w="0" w:type="dxa"/>
            <w:right w:w="108" w:type="dxa"/>
          </w:tblCellMar>
        </w:tblPrEx>
        <w:trPr>
          <w:trHeight w:val="409" w:hRule="exact"/>
          <w:jc w:val="center"/>
        </w:trPr>
        <w:tc>
          <w:tcPr>
            <w:tcW w:w="2109" w:type="dxa"/>
            <w:vMerge w:val="continue"/>
            <w:tcBorders>
              <w:top w:val="nil"/>
              <w:left w:val="nil"/>
              <w:bottom w:val="single" w:color="auto" w:sz="4" w:space="0"/>
              <w:right w:val="single" w:color="auto" w:sz="4" w:space="0"/>
            </w:tcBorders>
            <w:noWrap w:val="0"/>
            <w:vAlign w:val="center"/>
          </w:tcPr>
          <w:p w14:paraId="42001E3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642FB4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3402B0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236CF69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698" w:type="dxa"/>
            <w:tcBorders>
              <w:top w:val="nil"/>
              <w:left w:val="nil"/>
              <w:bottom w:val="single" w:color="auto" w:sz="4" w:space="0"/>
              <w:right w:val="single" w:color="auto" w:sz="4" w:space="0"/>
            </w:tcBorders>
            <w:noWrap w:val="0"/>
            <w:vAlign w:val="center"/>
          </w:tcPr>
          <w:p w14:paraId="4C038E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3" w:type="dxa"/>
            <w:tcBorders>
              <w:top w:val="nil"/>
              <w:left w:val="nil"/>
              <w:bottom w:val="single" w:color="auto" w:sz="4" w:space="0"/>
              <w:right w:val="single" w:color="auto" w:sz="4" w:space="0"/>
            </w:tcBorders>
            <w:noWrap w:val="0"/>
            <w:vAlign w:val="center"/>
          </w:tcPr>
          <w:p w14:paraId="393811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0" w:type="dxa"/>
            <w:tcBorders>
              <w:top w:val="nil"/>
              <w:left w:val="nil"/>
              <w:bottom w:val="single" w:color="auto" w:sz="4" w:space="0"/>
              <w:right w:val="nil"/>
            </w:tcBorders>
            <w:noWrap w:val="0"/>
            <w:vAlign w:val="center"/>
          </w:tcPr>
          <w:p w14:paraId="08CF4B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AF5377E">
        <w:tblPrEx>
          <w:tblCellMar>
            <w:top w:w="0" w:type="dxa"/>
            <w:left w:w="108" w:type="dxa"/>
            <w:bottom w:w="0" w:type="dxa"/>
            <w:right w:w="108" w:type="dxa"/>
          </w:tblCellMar>
        </w:tblPrEx>
        <w:trPr>
          <w:trHeight w:val="409" w:hRule="exact"/>
          <w:jc w:val="center"/>
        </w:trPr>
        <w:tc>
          <w:tcPr>
            <w:tcW w:w="2109" w:type="dxa"/>
            <w:vMerge w:val="restart"/>
            <w:tcBorders>
              <w:top w:val="nil"/>
              <w:left w:val="nil"/>
              <w:bottom w:val="single" w:color="auto" w:sz="4" w:space="0"/>
              <w:right w:val="single" w:color="auto" w:sz="4" w:space="0"/>
            </w:tcBorders>
            <w:noWrap w:val="0"/>
            <w:vAlign w:val="center"/>
          </w:tcPr>
          <w:p w14:paraId="5621D38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6" w:type="dxa"/>
            <w:tcBorders>
              <w:top w:val="nil"/>
              <w:left w:val="nil"/>
              <w:bottom w:val="nil"/>
              <w:right w:val="single" w:color="auto" w:sz="4" w:space="0"/>
            </w:tcBorders>
            <w:noWrap w:val="0"/>
            <w:vAlign w:val="center"/>
          </w:tcPr>
          <w:p w14:paraId="4C5993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6EC2C0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5562B2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698" w:type="dxa"/>
            <w:tcBorders>
              <w:top w:val="nil"/>
              <w:left w:val="nil"/>
              <w:bottom w:val="nil"/>
              <w:right w:val="single" w:color="auto" w:sz="4" w:space="0"/>
            </w:tcBorders>
            <w:noWrap w:val="0"/>
            <w:vAlign w:val="center"/>
          </w:tcPr>
          <w:p w14:paraId="2238352C">
            <w:pPr>
              <w:keepNext w:val="0"/>
              <w:keepLines w:val="0"/>
              <w:pageBreakBefore w:val="0"/>
              <w:widowControl/>
              <w:kinsoku/>
              <w:wordWrap/>
              <w:overflowPunct/>
              <w:topLinePunct w:val="0"/>
              <w:autoSpaceDE/>
              <w:autoSpaceDN/>
              <w:bidi w:val="0"/>
              <w:adjustRightInd/>
              <w:snapToGrid/>
              <w:spacing w:line="320" w:lineRule="exact"/>
              <w:ind w:left="1" w:leftChars="-51" w:hanging="108" w:hangingChars="60"/>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3" w:type="dxa"/>
            <w:tcBorders>
              <w:top w:val="nil"/>
              <w:left w:val="nil"/>
              <w:bottom w:val="nil"/>
              <w:right w:val="single" w:color="auto" w:sz="4" w:space="0"/>
            </w:tcBorders>
            <w:noWrap w:val="0"/>
            <w:vAlign w:val="center"/>
          </w:tcPr>
          <w:p w14:paraId="0EE094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0" w:type="dxa"/>
            <w:tcBorders>
              <w:top w:val="nil"/>
              <w:left w:val="nil"/>
              <w:bottom w:val="nil"/>
              <w:right w:val="nil"/>
            </w:tcBorders>
            <w:noWrap w:val="0"/>
            <w:vAlign w:val="center"/>
          </w:tcPr>
          <w:p w14:paraId="08DE18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59C46BC">
        <w:tblPrEx>
          <w:tblCellMar>
            <w:top w:w="0" w:type="dxa"/>
            <w:left w:w="108" w:type="dxa"/>
            <w:bottom w:w="0" w:type="dxa"/>
            <w:right w:w="108" w:type="dxa"/>
          </w:tblCellMar>
        </w:tblPrEx>
        <w:trPr>
          <w:trHeight w:val="409" w:hRule="exact"/>
          <w:jc w:val="center"/>
        </w:trPr>
        <w:tc>
          <w:tcPr>
            <w:tcW w:w="2109" w:type="dxa"/>
            <w:vMerge w:val="continue"/>
            <w:tcBorders>
              <w:top w:val="nil"/>
              <w:left w:val="nil"/>
              <w:bottom w:val="single" w:color="auto" w:sz="4" w:space="0"/>
              <w:right w:val="single" w:color="auto" w:sz="4" w:space="0"/>
            </w:tcBorders>
            <w:noWrap w:val="0"/>
            <w:vAlign w:val="center"/>
          </w:tcPr>
          <w:p w14:paraId="7A83672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41B85D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02A7BA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1544F5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698" w:type="dxa"/>
            <w:tcBorders>
              <w:top w:val="nil"/>
              <w:left w:val="nil"/>
              <w:bottom w:val="single" w:color="auto" w:sz="4" w:space="0"/>
              <w:right w:val="single" w:color="auto" w:sz="4" w:space="0"/>
            </w:tcBorders>
            <w:noWrap w:val="0"/>
            <w:vAlign w:val="center"/>
          </w:tcPr>
          <w:p w14:paraId="273140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3" w:type="dxa"/>
            <w:tcBorders>
              <w:top w:val="nil"/>
              <w:left w:val="nil"/>
              <w:bottom w:val="single" w:color="auto" w:sz="4" w:space="0"/>
              <w:right w:val="single" w:color="auto" w:sz="4" w:space="0"/>
            </w:tcBorders>
            <w:noWrap w:val="0"/>
            <w:vAlign w:val="center"/>
          </w:tcPr>
          <w:p w14:paraId="1505CC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0" w:type="dxa"/>
            <w:tcBorders>
              <w:top w:val="nil"/>
              <w:left w:val="nil"/>
              <w:bottom w:val="single" w:color="auto" w:sz="4" w:space="0"/>
              <w:right w:val="nil"/>
            </w:tcBorders>
            <w:noWrap w:val="0"/>
            <w:vAlign w:val="center"/>
          </w:tcPr>
          <w:p w14:paraId="3C4E6DB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47FE385">
        <w:tblPrEx>
          <w:tblCellMar>
            <w:top w:w="0" w:type="dxa"/>
            <w:left w:w="108" w:type="dxa"/>
            <w:bottom w:w="0" w:type="dxa"/>
            <w:right w:w="108" w:type="dxa"/>
          </w:tblCellMar>
        </w:tblPrEx>
        <w:trPr>
          <w:trHeight w:val="409" w:hRule="exact"/>
          <w:jc w:val="center"/>
        </w:trPr>
        <w:tc>
          <w:tcPr>
            <w:tcW w:w="2109" w:type="dxa"/>
            <w:vMerge w:val="restart"/>
            <w:tcBorders>
              <w:top w:val="nil"/>
              <w:left w:val="nil"/>
              <w:bottom w:val="single" w:color="auto" w:sz="4" w:space="0"/>
              <w:right w:val="single" w:color="auto" w:sz="4" w:space="0"/>
            </w:tcBorders>
            <w:noWrap w:val="0"/>
            <w:vAlign w:val="center"/>
          </w:tcPr>
          <w:p w14:paraId="6ECF3BD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6" w:type="dxa"/>
            <w:tcBorders>
              <w:top w:val="nil"/>
              <w:left w:val="nil"/>
              <w:bottom w:val="nil"/>
              <w:right w:val="single" w:color="auto" w:sz="4" w:space="0"/>
            </w:tcBorders>
            <w:noWrap w:val="0"/>
            <w:vAlign w:val="center"/>
          </w:tcPr>
          <w:p w14:paraId="3B84E3A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2F8F2A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0B373F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698" w:type="dxa"/>
            <w:tcBorders>
              <w:top w:val="nil"/>
              <w:left w:val="nil"/>
              <w:bottom w:val="nil"/>
              <w:right w:val="single" w:color="auto" w:sz="4" w:space="0"/>
            </w:tcBorders>
            <w:noWrap w:val="0"/>
            <w:vAlign w:val="center"/>
          </w:tcPr>
          <w:p w14:paraId="1BA2E5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3" w:type="dxa"/>
            <w:tcBorders>
              <w:top w:val="nil"/>
              <w:left w:val="nil"/>
              <w:bottom w:val="nil"/>
              <w:right w:val="single" w:color="auto" w:sz="4" w:space="0"/>
            </w:tcBorders>
            <w:noWrap w:val="0"/>
            <w:vAlign w:val="center"/>
          </w:tcPr>
          <w:p w14:paraId="06641A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0" w:type="dxa"/>
            <w:tcBorders>
              <w:top w:val="nil"/>
              <w:left w:val="nil"/>
              <w:bottom w:val="nil"/>
              <w:right w:val="nil"/>
            </w:tcBorders>
            <w:noWrap w:val="0"/>
            <w:vAlign w:val="center"/>
          </w:tcPr>
          <w:p w14:paraId="3FDBD9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CB2F4EF">
        <w:tblPrEx>
          <w:tblCellMar>
            <w:top w:w="0" w:type="dxa"/>
            <w:left w:w="108" w:type="dxa"/>
            <w:bottom w:w="0" w:type="dxa"/>
            <w:right w:w="108" w:type="dxa"/>
          </w:tblCellMar>
        </w:tblPrEx>
        <w:trPr>
          <w:trHeight w:val="409" w:hRule="exact"/>
          <w:jc w:val="center"/>
        </w:trPr>
        <w:tc>
          <w:tcPr>
            <w:tcW w:w="2109" w:type="dxa"/>
            <w:vMerge w:val="continue"/>
            <w:tcBorders>
              <w:top w:val="nil"/>
              <w:left w:val="nil"/>
              <w:bottom w:val="single" w:color="auto" w:sz="4" w:space="0"/>
              <w:right w:val="single" w:color="auto" w:sz="4" w:space="0"/>
            </w:tcBorders>
            <w:noWrap w:val="0"/>
            <w:vAlign w:val="center"/>
          </w:tcPr>
          <w:p w14:paraId="1EA6444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6E8AD0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14C2CD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474201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698" w:type="dxa"/>
            <w:tcBorders>
              <w:top w:val="nil"/>
              <w:left w:val="nil"/>
              <w:bottom w:val="single" w:color="auto" w:sz="4" w:space="0"/>
              <w:right w:val="single" w:color="auto" w:sz="4" w:space="0"/>
            </w:tcBorders>
            <w:noWrap w:val="0"/>
            <w:vAlign w:val="center"/>
          </w:tcPr>
          <w:p w14:paraId="71921C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1000≤Y＜100000</w:t>
            </w:r>
          </w:p>
        </w:tc>
        <w:tc>
          <w:tcPr>
            <w:tcW w:w="1423" w:type="dxa"/>
            <w:tcBorders>
              <w:top w:val="nil"/>
              <w:left w:val="nil"/>
              <w:bottom w:val="single" w:color="auto" w:sz="4" w:space="0"/>
              <w:right w:val="single" w:color="auto" w:sz="4" w:space="0"/>
            </w:tcBorders>
            <w:noWrap w:val="0"/>
            <w:vAlign w:val="center"/>
          </w:tcPr>
          <w:p w14:paraId="6EA85B1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0" w:type="dxa"/>
            <w:tcBorders>
              <w:top w:val="nil"/>
              <w:left w:val="nil"/>
              <w:bottom w:val="single" w:color="auto" w:sz="4" w:space="0"/>
              <w:right w:val="nil"/>
            </w:tcBorders>
            <w:noWrap w:val="0"/>
            <w:vAlign w:val="center"/>
          </w:tcPr>
          <w:p w14:paraId="515C01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359BD39">
        <w:tblPrEx>
          <w:tblCellMar>
            <w:top w:w="0" w:type="dxa"/>
            <w:left w:w="108" w:type="dxa"/>
            <w:bottom w:w="0" w:type="dxa"/>
            <w:right w:w="108" w:type="dxa"/>
          </w:tblCellMar>
        </w:tblPrEx>
        <w:trPr>
          <w:trHeight w:val="350" w:hRule="exact"/>
          <w:jc w:val="center"/>
        </w:trPr>
        <w:tc>
          <w:tcPr>
            <w:tcW w:w="2109" w:type="dxa"/>
            <w:vMerge w:val="restart"/>
            <w:tcBorders>
              <w:top w:val="single" w:color="auto" w:sz="4" w:space="0"/>
              <w:left w:val="nil"/>
              <w:bottom w:val="single" w:color="auto" w:sz="4" w:space="0"/>
              <w:right w:val="single" w:color="auto" w:sz="4" w:space="0"/>
            </w:tcBorders>
            <w:noWrap w:val="0"/>
            <w:vAlign w:val="center"/>
          </w:tcPr>
          <w:p w14:paraId="64A09BA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6" w:type="dxa"/>
            <w:tcBorders>
              <w:top w:val="nil"/>
              <w:left w:val="nil"/>
              <w:bottom w:val="nil"/>
              <w:right w:val="single" w:color="auto" w:sz="4" w:space="0"/>
            </w:tcBorders>
            <w:noWrap w:val="0"/>
            <w:vAlign w:val="center"/>
          </w:tcPr>
          <w:p w14:paraId="68BA90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380DA8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3B82F5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698" w:type="dxa"/>
            <w:tcBorders>
              <w:top w:val="nil"/>
              <w:left w:val="nil"/>
              <w:bottom w:val="nil"/>
              <w:right w:val="single" w:color="auto" w:sz="4" w:space="0"/>
            </w:tcBorders>
            <w:noWrap w:val="0"/>
            <w:vAlign w:val="center"/>
          </w:tcPr>
          <w:p w14:paraId="304E617D">
            <w:pPr>
              <w:keepNext w:val="0"/>
              <w:keepLines w:val="0"/>
              <w:pageBreakBefore w:val="0"/>
              <w:widowControl/>
              <w:kinsoku/>
              <w:wordWrap/>
              <w:overflowPunct/>
              <w:topLinePunct w:val="0"/>
              <w:autoSpaceDE/>
              <w:autoSpaceDN/>
              <w:bidi w:val="0"/>
              <w:adjustRightInd/>
              <w:snapToGrid/>
              <w:spacing w:line="320" w:lineRule="exact"/>
              <w:ind w:left="1" w:leftChars="-51" w:hanging="108" w:hangingChars="60"/>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3" w:type="dxa"/>
            <w:tcBorders>
              <w:top w:val="nil"/>
              <w:left w:val="nil"/>
              <w:bottom w:val="nil"/>
              <w:right w:val="single" w:color="auto" w:sz="4" w:space="0"/>
            </w:tcBorders>
            <w:noWrap w:val="0"/>
            <w:vAlign w:val="center"/>
          </w:tcPr>
          <w:p w14:paraId="4260B7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0" w:type="dxa"/>
            <w:tcBorders>
              <w:top w:val="nil"/>
              <w:left w:val="nil"/>
              <w:bottom w:val="nil"/>
              <w:right w:val="nil"/>
            </w:tcBorders>
            <w:noWrap w:val="0"/>
            <w:vAlign w:val="center"/>
          </w:tcPr>
          <w:p w14:paraId="4DF61F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F7B5C70">
        <w:tblPrEx>
          <w:tblCellMar>
            <w:top w:w="0" w:type="dxa"/>
            <w:left w:w="108" w:type="dxa"/>
            <w:bottom w:w="0" w:type="dxa"/>
            <w:right w:w="108" w:type="dxa"/>
          </w:tblCellMar>
        </w:tblPrEx>
        <w:trPr>
          <w:trHeight w:val="350" w:hRule="exact"/>
          <w:jc w:val="center"/>
        </w:trPr>
        <w:tc>
          <w:tcPr>
            <w:tcW w:w="2109" w:type="dxa"/>
            <w:vMerge w:val="continue"/>
            <w:tcBorders>
              <w:top w:val="single" w:color="auto" w:sz="4" w:space="0"/>
              <w:left w:val="nil"/>
              <w:bottom w:val="single" w:color="auto" w:sz="4" w:space="0"/>
              <w:right w:val="single" w:color="auto" w:sz="4" w:space="0"/>
            </w:tcBorders>
            <w:noWrap w:val="0"/>
            <w:vAlign w:val="center"/>
          </w:tcPr>
          <w:p w14:paraId="7BBA114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spacing w:val="-12"/>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3A8D34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54FA0C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11AEE46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698" w:type="dxa"/>
            <w:tcBorders>
              <w:top w:val="nil"/>
              <w:left w:val="nil"/>
              <w:bottom w:val="single" w:color="auto" w:sz="4" w:space="0"/>
              <w:right w:val="single" w:color="auto" w:sz="4" w:space="0"/>
            </w:tcBorders>
            <w:noWrap w:val="0"/>
            <w:vAlign w:val="center"/>
          </w:tcPr>
          <w:p w14:paraId="3998D89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3" w:type="dxa"/>
            <w:tcBorders>
              <w:top w:val="nil"/>
              <w:left w:val="nil"/>
              <w:bottom w:val="single" w:color="auto" w:sz="4" w:space="0"/>
              <w:right w:val="single" w:color="auto" w:sz="4" w:space="0"/>
            </w:tcBorders>
            <w:noWrap w:val="0"/>
            <w:vAlign w:val="center"/>
          </w:tcPr>
          <w:p w14:paraId="3A1D6D0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50≤Y＜1000</w:t>
            </w:r>
          </w:p>
        </w:tc>
        <w:tc>
          <w:tcPr>
            <w:tcW w:w="990" w:type="dxa"/>
            <w:tcBorders>
              <w:top w:val="nil"/>
              <w:left w:val="nil"/>
              <w:bottom w:val="single" w:color="auto" w:sz="4" w:space="0"/>
              <w:right w:val="nil"/>
            </w:tcBorders>
            <w:noWrap w:val="0"/>
            <w:vAlign w:val="center"/>
          </w:tcPr>
          <w:p w14:paraId="3B258F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45F21C57">
        <w:tblPrEx>
          <w:tblCellMar>
            <w:top w:w="0" w:type="dxa"/>
            <w:left w:w="108" w:type="dxa"/>
            <w:bottom w:w="0" w:type="dxa"/>
            <w:right w:w="108" w:type="dxa"/>
          </w:tblCellMar>
        </w:tblPrEx>
        <w:trPr>
          <w:trHeight w:val="350" w:hRule="exact"/>
          <w:jc w:val="center"/>
        </w:trPr>
        <w:tc>
          <w:tcPr>
            <w:tcW w:w="2109" w:type="dxa"/>
            <w:vMerge w:val="restart"/>
            <w:tcBorders>
              <w:top w:val="nil"/>
              <w:left w:val="nil"/>
              <w:bottom w:val="single" w:color="auto" w:sz="4" w:space="0"/>
              <w:right w:val="single" w:color="auto" w:sz="4" w:space="0"/>
            </w:tcBorders>
            <w:noWrap w:val="0"/>
            <w:vAlign w:val="center"/>
          </w:tcPr>
          <w:p w14:paraId="2708DC5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6" w:type="dxa"/>
            <w:tcBorders>
              <w:top w:val="nil"/>
              <w:left w:val="nil"/>
              <w:bottom w:val="nil"/>
              <w:right w:val="single" w:color="auto" w:sz="4" w:space="0"/>
            </w:tcBorders>
            <w:noWrap w:val="0"/>
            <w:vAlign w:val="center"/>
          </w:tcPr>
          <w:p w14:paraId="06C2C6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nil"/>
              <w:right w:val="single" w:color="auto" w:sz="4" w:space="0"/>
            </w:tcBorders>
            <w:noWrap w:val="0"/>
            <w:vAlign w:val="center"/>
          </w:tcPr>
          <w:p w14:paraId="5A0B23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nil"/>
              <w:right w:val="single" w:color="auto" w:sz="4" w:space="0"/>
            </w:tcBorders>
            <w:noWrap w:val="0"/>
            <w:vAlign w:val="center"/>
          </w:tcPr>
          <w:p w14:paraId="09E2C7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698" w:type="dxa"/>
            <w:tcBorders>
              <w:top w:val="nil"/>
              <w:left w:val="nil"/>
              <w:bottom w:val="nil"/>
              <w:right w:val="single" w:color="auto" w:sz="4" w:space="0"/>
            </w:tcBorders>
            <w:noWrap w:val="0"/>
            <w:vAlign w:val="center"/>
          </w:tcPr>
          <w:p w14:paraId="7BC702D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1000≤Y＜200000</w:t>
            </w:r>
          </w:p>
        </w:tc>
        <w:tc>
          <w:tcPr>
            <w:tcW w:w="1423" w:type="dxa"/>
            <w:tcBorders>
              <w:top w:val="nil"/>
              <w:left w:val="nil"/>
              <w:bottom w:val="nil"/>
              <w:right w:val="single" w:color="auto" w:sz="4" w:space="0"/>
            </w:tcBorders>
            <w:noWrap w:val="0"/>
            <w:vAlign w:val="center"/>
          </w:tcPr>
          <w:p w14:paraId="1616F9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0" w:type="dxa"/>
            <w:tcBorders>
              <w:top w:val="nil"/>
              <w:left w:val="nil"/>
              <w:bottom w:val="nil"/>
              <w:right w:val="nil"/>
            </w:tcBorders>
            <w:noWrap w:val="0"/>
            <w:vAlign w:val="center"/>
          </w:tcPr>
          <w:p w14:paraId="1445C5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38BB098">
        <w:tblPrEx>
          <w:tblCellMar>
            <w:top w:w="0" w:type="dxa"/>
            <w:left w:w="108" w:type="dxa"/>
            <w:bottom w:w="0" w:type="dxa"/>
            <w:right w:w="108" w:type="dxa"/>
          </w:tblCellMar>
        </w:tblPrEx>
        <w:trPr>
          <w:trHeight w:val="350" w:hRule="exact"/>
          <w:jc w:val="center"/>
        </w:trPr>
        <w:tc>
          <w:tcPr>
            <w:tcW w:w="2109" w:type="dxa"/>
            <w:vMerge w:val="continue"/>
            <w:tcBorders>
              <w:top w:val="nil"/>
              <w:left w:val="nil"/>
              <w:bottom w:val="single" w:color="auto" w:sz="4" w:space="0"/>
              <w:right w:val="single" w:color="auto" w:sz="4" w:space="0"/>
            </w:tcBorders>
            <w:noWrap w:val="0"/>
            <w:vAlign w:val="center"/>
          </w:tcPr>
          <w:p w14:paraId="071049F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3A873C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7" w:type="dxa"/>
            <w:tcBorders>
              <w:top w:val="nil"/>
              <w:left w:val="nil"/>
              <w:bottom w:val="single" w:color="auto" w:sz="4" w:space="0"/>
              <w:right w:val="single" w:color="auto" w:sz="4" w:space="0"/>
            </w:tcBorders>
            <w:noWrap w:val="0"/>
            <w:vAlign w:val="center"/>
          </w:tcPr>
          <w:p w14:paraId="61EEEA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442C65A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698" w:type="dxa"/>
            <w:tcBorders>
              <w:top w:val="nil"/>
              <w:left w:val="nil"/>
              <w:bottom w:val="single" w:color="auto" w:sz="4" w:space="0"/>
              <w:right w:val="single" w:color="auto" w:sz="4" w:space="0"/>
            </w:tcBorders>
            <w:noWrap w:val="0"/>
            <w:vAlign w:val="center"/>
          </w:tcPr>
          <w:p w14:paraId="62926D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3" w:type="dxa"/>
            <w:tcBorders>
              <w:top w:val="nil"/>
              <w:left w:val="nil"/>
              <w:bottom w:val="single" w:color="auto" w:sz="4" w:space="0"/>
              <w:right w:val="single" w:color="auto" w:sz="4" w:space="0"/>
            </w:tcBorders>
            <w:noWrap w:val="0"/>
            <w:vAlign w:val="center"/>
          </w:tcPr>
          <w:p w14:paraId="661F6E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2000≤Z＜5000   </w:t>
            </w:r>
          </w:p>
        </w:tc>
        <w:tc>
          <w:tcPr>
            <w:tcW w:w="990" w:type="dxa"/>
            <w:tcBorders>
              <w:top w:val="nil"/>
              <w:left w:val="nil"/>
              <w:bottom w:val="single" w:color="auto" w:sz="4" w:space="0"/>
              <w:right w:val="nil"/>
            </w:tcBorders>
            <w:noWrap w:val="0"/>
            <w:vAlign w:val="center"/>
          </w:tcPr>
          <w:p w14:paraId="4D9EFD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20EF9B4D">
        <w:tblPrEx>
          <w:tblCellMar>
            <w:top w:w="0" w:type="dxa"/>
            <w:left w:w="108" w:type="dxa"/>
            <w:bottom w:w="0" w:type="dxa"/>
            <w:right w:w="108" w:type="dxa"/>
          </w:tblCellMar>
        </w:tblPrEx>
        <w:trPr>
          <w:trHeight w:val="350" w:hRule="exact"/>
          <w:jc w:val="center"/>
        </w:trPr>
        <w:tc>
          <w:tcPr>
            <w:tcW w:w="2109" w:type="dxa"/>
            <w:vMerge w:val="restart"/>
            <w:tcBorders>
              <w:top w:val="nil"/>
              <w:left w:val="nil"/>
              <w:bottom w:val="single" w:color="auto" w:sz="4" w:space="0"/>
              <w:right w:val="single" w:color="auto" w:sz="4" w:space="0"/>
            </w:tcBorders>
            <w:noWrap w:val="0"/>
            <w:vAlign w:val="center"/>
          </w:tcPr>
          <w:p w14:paraId="038E7E3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6" w:type="dxa"/>
            <w:tcBorders>
              <w:top w:val="nil"/>
              <w:left w:val="nil"/>
              <w:bottom w:val="nil"/>
              <w:right w:val="single" w:color="auto" w:sz="4" w:space="0"/>
            </w:tcBorders>
            <w:noWrap w:val="0"/>
            <w:vAlign w:val="center"/>
          </w:tcPr>
          <w:p w14:paraId="50856F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6AC073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67D0BC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698" w:type="dxa"/>
            <w:tcBorders>
              <w:top w:val="nil"/>
              <w:left w:val="nil"/>
              <w:bottom w:val="nil"/>
              <w:right w:val="single" w:color="auto" w:sz="4" w:space="0"/>
            </w:tcBorders>
            <w:noWrap w:val="0"/>
            <w:vAlign w:val="center"/>
          </w:tcPr>
          <w:p w14:paraId="7C2C98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3" w:type="dxa"/>
            <w:tcBorders>
              <w:top w:val="nil"/>
              <w:left w:val="nil"/>
              <w:bottom w:val="nil"/>
              <w:right w:val="single" w:color="auto" w:sz="4" w:space="0"/>
            </w:tcBorders>
            <w:noWrap w:val="0"/>
            <w:vAlign w:val="center"/>
          </w:tcPr>
          <w:p w14:paraId="299AB5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990" w:type="dxa"/>
            <w:tcBorders>
              <w:top w:val="nil"/>
              <w:left w:val="nil"/>
              <w:bottom w:val="nil"/>
              <w:right w:val="nil"/>
            </w:tcBorders>
            <w:noWrap w:val="0"/>
            <w:vAlign w:val="center"/>
          </w:tcPr>
          <w:p w14:paraId="20252CD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B95968C">
        <w:tblPrEx>
          <w:tblCellMar>
            <w:top w:w="0" w:type="dxa"/>
            <w:left w:w="108" w:type="dxa"/>
            <w:bottom w:w="0" w:type="dxa"/>
            <w:right w:w="108" w:type="dxa"/>
          </w:tblCellMar>
        </w:tblPrEx>
        <w:trPr>
          <w:trHeight w:val="350" w:hRule="exact"/>
          <w:jc w:val="center"/>
        </w:trPr>
        <w:tc>
          <w:tcPr>
            <w:tcW w:w="2109" w:type="dxa"/>
            <w:vMerge w:val="continue"/>
            <w:tcBorders>
              <w:top w:val="nil"/>
              <w:left w:val="nil"/>
              <w:bottom w:val="single" w:color="auto" w:sz="4" w:space="0"/>
              <w:right w:val="single" w:color="auto" w:sz="4" w:space="0"/>
            </w:tcBorders>
            <w:noWrap w:val="0"/>
            <w:vAlign w:val="center"/>
          </w:tcPr>
          <w:p w14:paraId="6AC6377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0B3A146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7" w:type="dxa"/>
            <w:tcBorders>
              <w:top w:val="nil"/>
              <w:left w:val="nil"/>
              <w:bottom w:val="single" w:color="auto" w:sz="4" w:space="0"/>
              <w:right w:val="single" w:color="auto" w:sz="4" w:space="0"/>
            </w:tcBorders>
            <w:noWrap w:val="0"/>
            <w:vAlign w:val="center"/>
          </w:tcPr>
          <w:p w14:paraId="535619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11C954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698" w:type="dxa"/>
            <w:tcBorders>
              <w:top w:val="nil"/>
              <w:left w:val="nil"/>
              <w:bottom w:val="single" w:color="auto" w:sz="4" w:space="0"/>
              <w:right w:val="single" w:color="auto" w:sz="4" w:space="0"/>
            </w:tcBorders>
            <w:noWrap w:val="0"/>
            <w:vAlign w:val="center"/>
          </w:tcPr>
          <w:p w14:paraId="37FEA7E9">
            <w:pPr>
              <w:keepNext w:val="0"/>
              <w:keepLines w:val="0"/>
              <w:pageBreakBefore w:val="0"/>
              <w:widowControl/>
              <w:kinsoku/>
              <w:wordWrap/>
              <w:overflowPunct/>
              <w:topLinePunct w:val="0"/>
              <w:autoSpaceDE/>
              <w:autoSpaceDN/>
              <w:bidi w:val="0"/>
              <w:adjustRightInd/>
              <w:snapToGrid/>
              <w:spacing w:line="320" w:lineRule="exact"/>
              <w:ind w:left="1" w:leftChars="-51" w:hanging="108" w:hangingChars="60"/>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1000≤Y＜5000 </w:t>
            </w:r>
          </w:p>
        </w:tc>
        <w:tc>
          <w:tcPr>
            <w:tcW w:w="1423" w:type="dxa"/>
            <w:tcBorders>
              <w:top w:val="nil"/>
              <w:left w:val="nil"/>
              <w:bottom w:val="single" w:color="auto" w:sz="4" w:space="0"/>
              <w:right w:val="single" w:color="auto" w:sz="4" w:space="0"/>
            </w:tcBorders>
            <w:noWrap w:val="0"/>
            <w:vAlign w:val="center"/>
          </w:tcPr>
          <w:p w14:paraId="599EB89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500≤Y＜1000</w:t>
            </w:r>
          </w:p>
        </w:tc>
        <w:tc>
          <w:tcPr>
            <w:tcW w:w="990" w:type="dxa"/>
            <w:tcBorders>
              <w:top w:val="nil"/>
              <w:left w:val="nil"/>
              <w:bottom w:val="single" w:color="auto" w:sz="4" w:space="0"/>
              <w:right w:val="nil"/>
            </w:tcBorders>
            <w:noWrap w:val="0"/>
            <w:vAlign w:val="center"/>
          </w:tcPr>
          <w:p w14:paraId="489A32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BEAEC5E">
        <w:tblPrEx>
          <w:tblCellMar>
            <w:top w:w="0" w:type="dxa"/>
            <w:left w:w="108" w:type="dxa"/>
            <w:bottom w:w="0" w:type="dxa"/>
            <w:right w:w="108" w:type="dxa"/>
          </w:tblCellMar>
        </w:tblPrEx>
        <w:trPr>
          <w:trHeight w:val="350" w:hRule="exact"/>
          <w:jc w:val="center"/>
        </w:trPr>
        <w:tc>
          <w:tcPr>
            <w:tcW w:w="2109" w:type="dxa"/>
            <w:vMerge w:val="restart"/>
            <w:tcBorders>
              <w:top w:val="nil"/>
              <w:left w:val="nil"/>
              <w:bottom w:val="single" w:color="auto" w:sz="4" w:space="0"/>
              <w:right w:val="single" w:color="auto" w:sz="4" w:space="0"/>
            </w:tcBorders>
            <w:noWrap w:val="0"/>
            <w:vAlign w:val="center"/>
          </w:tcPr>
          <w:p w14:paraId="1134388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6" w:type="dxa"/>
            <w:tcBorders>
              <w:top w:val="nil"/>
              <w:left w:val="nil"/>
              <w:bottom w:val="nil"/>
              <w:right w:val="single" w:color="auto" w:sz="4" w:space="0"/>
            </w:tcBorders>
            <w:noWrap w:val="0"/>
            <w:vAlign w:val="center"/>
          </w:tcPr>
          <w:p w14:paraId="6F4549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nil"/>
              <w:right w:val="single" w:color="auto" w:sz="4" w:space="0"/>
            </w:tcBorders>
            <w:noWrap w:val="0"/>
            <w:vAlign w:val="center"/>
          </w:tcPr>
          <w:p w14:paraId="26DC00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nil"/>
              <w:right w:val="single" w:color="auto" w:sz="4" w:space="0"/>
            </w:tcBorders>
            <w:noWrap w:val="0"/>
            <w:vAlign w:val="center"/>
          </w:tcPr>
          <w:p w14:paraId="380BC2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698" w:type="dxa"/>
            <w:tcBorders>
              <w:top w:val="nil"/>
              <w:left w:val="nil"/>
              <w:bottom w:val="nil"/>
              <w:right w:val="single" w:color="auto" w:sz="4" w:space="0"/>
            </w:tcBorders>
            <w:noWrap w:val="0"/>
            <w:vAlign w:val="center"/>
          </w:tcPr>
          <w:p w14:paraId="2B7DD3FE">
            <w:pPr>
              <w:keepNext w:val="0"/>
              <w:keepLines w:val="0"/>
              <w:pageBreakBefore w:val="0"/>
              <w:widowControl/>
              <w:kinsoku/>
              <w:wordWrap/>
              <w:overflowPunct/>
              <w:topLinePunct w:val="0"/>
              <w:autoSpaceDE/>
              <w:autoSpaceDN/>
              <w:bidi w:val="0"/>
              <w:adjustRightInd/>
              <w:snapToGrid/>
              <w:spacing w:line="320" w:lineRule="exact"/>
              <w:ind w:left="1" w:leftChars="-51" w:hanging="108" w:hangingChars="60"/>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3" w:type="dxa"/>
            <w:tcBorders>
              <w:top w:val="nil"/>
              <w:left w:val="nil"/>
              <w:bottom w:val="nil"/>
              <w:right w:val="single" w:color="auto" w:sz="4" w:space="0"/>
            </w:tcBorders>
            <w:noWrap w:val="0"/>
            <w:vAlign w:val="center"/>
          </w:tcPr>
          <w:p w14:paraId="313BB6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0" w:type="dxa"/>
            <w:tcBorders>
              <w:top w:val="nil"/>
              <w:left w:val="nil"/>
              <w:bottom w:val="nil"/>
              <w:right w:val="nil"/>
            </w:tcBorders>
            <w:noWrap w:val="0"/>
            <w:vAlign w:val="center"/>
          </w:tcPr>
          <w:p w14:paraId="5736BE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ED9B170">
        <w:tblPrEx>
          <w:tblCellMar>
            <w:top w:w="0" w:type="dxa"/>
            <w:left w:w="108" w:type="dxa"/>
            <w:bottom w:w="0" w:type="dxa"/>
            <w:right w:w="108" w:type="dxa"/>
          </w:tblCellMar>
        </w:tblPrEx>
        <w:trPr>
          <w:trHeight w:val="350" w:hRule="exact"/>
          <w:jc w:val="center"/>
        </w:trPr>
        <w:tc>
          <w:tcPr>
            <w:tcW w:w="2109" w:type="dxa"/>
            <w:vMerge w:val="continue"/>
            <w:tcBorders>
              <w:top w:val="nil"/>
              <w:left w:val="nil"/>
              <w:bottom w:val="single" w:color="auto" w:sz="4" w:space="0"/>
              <w:right w:val="single" w:color="auto" w:sz="4" w:space="0"/>
            </w:tcBorders>
            <w:noWrap w:val="0"/>
            <w:vAlign w:val="center"/>
          </w:tcPr>
          <w:p w14:paraId="18DF64B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p>
        </w:tc>
        <w:tc>
          <w:tcPr>
            <w:tcW w:w="1366" w:type="dxa"/>
            <w:tcBorders>
              <w:top w:val="nil"/>
              <w:left w:val="nil"/>
              <w:bottom w:val="single" w:color="auto" w:sz="4" w:space="0"/>
              <w:right w:val="single" w:color="auto" w:sz="4" w:space="0"/>
            </w:tcBorders>
            <w:noWrap w:val="0"/>
            <w:vAlign w:val="center"/>
          </w:tcPr>
          <w:p w14:paraId="25F312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7" w:type="dxa"/>
            <w:tcBorders>
              <w:top w:val="nil"/>
              <w:left w:val="nil"/>
              <w:bottom w:val="single" w:color="auto" w:sz="4" w:space="0"/>
              <w:right w:val="single" w:color="auto" w:sz="4" w:space="0"/>
            </w:tcBorders>
            <w:noWrap w:val="0"/>
            <w:vAlign w:val="center"/>
          </w:tcPr>
          <w:p w14:paraId="3ED792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3" w:type="dxa"/>
            <w:tcBorders>
              <w:top w:val="nil"/>
              <w:left w:val="nil"/>
              <w:bottom w:val="single" w:color="auto" w:sz="4" w:space="0"/>
              <w:right w:val="single" w:color="auto" w:sz="4" w:space="0"/>
            </w:tcBorders>
            <w:noWrap w:val="0"/>
            <w:vAlign w:val="center"/>
          </w:tcPr>
          <w:p w14:paraId="50870D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698" w:type="dxa"/>
            <w:tcBorders>
              <w:top w:val="nil"/>
              <w:left w:val="nil"/>
              <w:bottom w:val="single" w:color="auto" w:sz="4" w:space="0"/>
              <w:right w:val="single" w:color="auto" w:sz="4" w:space="0"/>
            </w:tcBorders>
            <w:noWrap w:val="0"/>
            <w:vAlign w:val="center"/>
          </w:tcPr>
          <w:p w14:paraId="74C1D1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8000≤Z＜120000</w:t>
            </w:r>
          </w:p>
        </w:tc>
        <w:tc>
          <w:tcPr>
            <w:tcW w:w="1423" w:type="dxa"/>
            <w:tcBorders>
              <w:top w:val="nil"/>
              <w:left w:val="nil"/>
              <w:bottom w:val="single" w:color="auto" w:sz="4" w:space="0"/>
              <w:right w:val="single" w:color="auto" w:sz="4" w:space="0"/>
            </w:tcBorders>
            <w:noWrap w:val="0"/>
            <w:vAlign w:val="center"/>
          </w:tcPr>
          <w:p w14:paraId="11771B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100≤Z＜8000</w:t>
            </w:r>
          </w:p>
        </w:tc>
        <w:tc>
          <w:tcPr>
            <w:tcW w:w="990" w:type="dxa"/>
            <w:tcBorders>
              <w:top w:val="nil"/>
              <w:left w:val="nil"/>
              <w:bottom w:val="single" w:color="auto" w:sz="4" w:space="0"/>
              <w:right w:val="nil"/>
            </w:tcBorders>
            <w:noWrap w:val="0"/>
            <w:vAlign w:val="center"/>
          </w:tcPr>
          <w:p w14:paraId="4F2278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0F3E3F67">
        <w:tblPrEx>
          <w:tblCellMar>
            <w:top w:w="0" w:type="dxa"/>
            <w:left w:w="108" w:type="dxa"/>
            <w:bottom w:w="0" w:type="dxa"/>
            <w:right w:w="108" w:type="dxa"/>
          </w:tblCellMar>
        </w:tblPrEx>
        <w:trPr>
          <w:trHeight w:val="419" w:hRule="exact"/>
          <w:jc w:val="center"/>
        </w:trPr>
        <w:tc>
          <w:tcPr>
            <w:tcW w:w="2109" w:type="dxa"/>
            <w:tcBorders>
              <w:top w:val="nil"/>
              <w:left w:val="nil"/>
              <w:bottom w:val="single" w:color="auto" w:sz="4" w:space="0"/>
              <w:right w:val="single" w:color="auto" w:sz="4" w:space="0"/>
            </w:tcBorders>
            <w:noWrap w:val="0"/>
            <w:vAlign w:val="center"/>
          </w:tcPr>
          <w:p w14:paraId="65EC70F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6" w:type="dxa"/>
            <w:tcBorders>
              <w:top w:val="nil"/>
              <w:left w:val="nil"/>
              <w:bottom w:val="single" w:color="auto" w:sz="4" w:space="0"/>
              <w:right w:val="single" w:color="auto" w:sz="4" w:space="0"/>
            </w:tcBorders>
            <w:noWrap w:val="0"/>
            <w:vAlign w:val="center"/>
          </w:tcPr>
          <w:p w14:paraId="5F6A034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7" w:type="dxa"/>
            <w:tcBorders>
              <w:top w:val="nil"/>
              <w:left w:val="nil"/>
              <w:bottom w:val="single" w:color="auto" w:sz="4" w:space="0"/>
              <w:right w:val="single" w:color="auto" w:sz="4" w:space="0"/>
            </w:tcBorders>
            <w:noWrap w:val="0"/>
            <w:vAlign w:val="center"/>
          </w:tcPr>
          <w:p w14:paraId="1B0D3E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3" w:type="dxa"/>
            <w:tcBorders>
              <w:top w:val="nil"/>
              <w:left w:val="nil"/>
              <w:bottom w:val="single" w:color="auto" w:sz="4" w:space="0"/>
              <w:right w:val="single" w:color="auto" w:sz="4" w:space="0"/>
            </w:tcBorders>
            <w:noWrap w:val="0"/>
            <w:vAlign w:val="center"/>
          </w:tcPr>
          <w:p w14:paraId="662CD6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698" w:type="dxa"/>
            <w:tcBorders>
              <w:top w:val="nil"/>
              <w:left w:val="nil"/>
              <w:bottom w:val="single" w:color="auto" w:sz="4" w:space="0"/>
              <w:right w:val="single" w:color="auto" w:sz="4" w:space="0"/>
            </w:tcBorders>
            <w:noWrap w:val="0"/>
            <w:vAlign w:val="center"/>
          </w:tcPr>
          <w:p w14:paraId="04038ACD">
            <w:pPr>
              <w:keepNext w:val="0"/>
              <w:keepLines w:val="0"/>
              <w:pageBreakBefore w:val="0"/>
              <w:widowControl/>
              <w:kinsoku/>
              <w:wordWrap/>
              <w:overflowPunct/>
              <w:topLinePunct w:val="0"/>
              <w:autoSpaceDE/>
              <w:autoSpaceDN/>
              <w:bidi w:val="0"/>
              <w:adjustRightInd/>
              <w:snapToGrid/>
              <w:spacing w:line="320" w:lineRule="exact"/>
              <w:ind w:left="1" w:leftChars="-51" w:hanging="108" w:hangingChars="60"/>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3" w:type="dxa"/>
            <w:tcBorders>
              <w:top w:val="nil"/>
              <w:left w:val="nil"/>
              <w:bottom w:val="single" w:color="auto" w:sz="4" w:space="0"/>
              <w:right w:val="single" w:color="auto" w:sz="4" w:space="0"/>
            </w:tcBorders>
            <w:noWrap w:val="0"/>
            <w:vAlign w:val="center"/>
          </w:tcPr>
          <w:p w14:paraId="013A0C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0" w:type="dxa"/>
            <w:tcBorders>
              <w:top w:val="nil"/>
              <w:left w:val="nil"/>
              <w:bottom w:val="single" w:color="auto" w:sz="4" w:space="0"/>
              <w:right w:val="nil"/>
            </w:tcBorders>
            <w:noWrap w:val="0"/>
            <w:vAlign w:val="center"/>
          </w:tcPr>
          <w:p w14:paraId="3048B1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09CB8489">
      <w:pPr>
        <w:keepNext w:val="0"/>
        <w:keepLines w:val="0"/>
        <w:pageBreakBefore w:val="0"/>
        <w:widowControl/>
        <w:kinsoku/>
        <w:wordWrap/>
        <w:overflowPunct/>
        <w:topLinePunct w:val="0"/>
        <w:autoSpaceDE/>
        <w:autoSpaceDN/>
        <w:bidi w:val="0"/>
        <w:adjustRightInd/>
        <w:spacing w:line="420" w:lineRule="exact"/>
        <w:textAlignment w:val="auto"/>
        <w:rPr>
          <w:rFonts w:hint="eastAsia" w:ascii="宋体" w:hAnsi="宋体" w:eastAsia="宋体" w:cs="宋体"/>
          <w:b/>
          <w:bCs/>
          <w:color w:val="auto"/>
          <w:spacing w:val="8"/>
          <w:kern w:val="0"/>
          <w:sz w:val="24"/>
          <w:szCs w:val="24"/>
          <w:highlight w:val="none"/>
        </w:rPr>
      </w:pPr>
      <w:r>
        <w:rPr>
          <w:rFonts w:hint="eastAsia" w:ascii="宋体" w:hAnsi="宋体" w:eastAsia="宋体" w:cs="宋体"/>
          <w:b/>
          <w:bCs/>
          <w:color w:val="auto"/>
          <w:spacing w:val="8"/>
          <w:kern w:val="0"/>
          <w:sz w:val="24"/>
          <w:szCs w:val="24"/>
          <w:highlight w:val="none"/>
        </w:rPr>
        <w:t>说明：</w:t>
      </w:r>
    </w:p>
    <w:p w14:paraId="48B6DEA4">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　　1.大型、中型和小型企业须同时满足所列指标的下限，否则下划一档；微型企业只须满足所列指标中的一项即可。</w:t>
      </w:r>
    </w:p>
    <w:p w14:paraId="5C290EA9">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32EF4EA">
      <w:pPr>
        <w:pStyle w:val="29"/>
        <w:keepNext w:val="0"/>
        <w:keepLines w:val="0"/>
        <w:pageBreakBefore w:val="0"/>
        <w:kinsoku/>
        <w:wordWrap/>
        <w:overflowPunct/>
        <w:topLinePunct w:val="0"/>
        <w:autoSpaceDE/>
        <w:autoSpaceDN/>
        <w:bidi w:val="0"/>
        <w:adjustRightInd/>
        <w:snapToGrid w:val="0"/>
        <w:spacing w:beforeLines="0" w:afterLines="0" w:line="420" w:lineRule="exact"/>
        <w:jc w:val="left"/>
        <w:textAlignment w:val="auto"/>
        <w:rPr>
          <w:rFonts w:hint="eastAsia" w:hAnsi="宋体"/>
          <w:color w:val="auto"/>
          <w:sz w:val="24"/>
          <w:szCs w:val="24"/>
          <w:highlight w:val="none"/>
          <w:lang w:val="en-US" w:eastAsia="zh-CN"/>
        </w:rPr>
      </w:pPr>
      <w:r>
        <w:rPr>
          <w:rFonts w:hint="eastAsia" w:ascii="宋体" w:hAnsi="宋体" w:eastAsia="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BF62EE5">
      <w:pPr>
        <w:pStyle w:val="60"/>
        <w:rPr>
          <w:rFonts w:hint="eastAsia"/>
        </w:rPr>
        <w:sectPr>
          <w:headerReference r:id="rId6" w:type="default"/>
          <w:footerReference r:id="rId7" w:type="default"/>
          <w:pgSz w:w="11906" w:h="16838"/>
          <w:pgMar w:top="1021" w:right="1588" w:bottom="851" w:left="1588" w:header="567" w:footer="454" w:gutter="0"/>
          <w:pgNumType w:fmt="decimal"/>
          <w:cols w:space="720" w:num="1"/>
          <w:docGrid w:linePitch="286" w:charSpace="0"/>
        </w:sectPr>
      </w:pPr>
    </w:p>
    <w:p w14:paraId="2FDCC8FB">
      <w:pPr>
        <w:pStyle w:val="60"/>
        <w:rPr>
          <w:rFonts w:hint="eastAsia"/>
        </w:rPr>
      </w:pPr>
    </w:p>
    <w:p w14:paraId="7A92F4FE">
      <w:pPr>
        <w:snapToGrid w:val="0"/>
        <w:spacing w:before="120" w:beforeLines="50" w:after="50"/>
        <w:jc w:val="center"/>
        <w:outlineLvl w:val="1"/>
        <w:rPr>
          <w:rFonts w:hint="eastAsia" w:ascii="宋体" w:hAnsi="宋体" w:eastAsia="宋体" w:cs="宋体"/>
          <w:b/>
          <w:bCs/>
          <w:color w:val="000000"/>
          <w:sz w:val="24"/>
          <w:highlight w:val="none"/>
        </w:rPr>
      </w:pPr>
    </w:p>
    <w:p w14:paraId="58EB6061">
      <w:pPr>
        <w:snapToGrid w:val="0"/>
        <w:spacing w:before="120" w:beforeLines="50" w:after="50"/>
        <w:jc w:val="center"/>
        <w:outlineLvl w:val="1"/>
        <w:rPr>
          <w:rFonts w:hint="eastAsia" w:ascii="宋体" w:hAnsi="宋体" w:eastAsia="宋体" w:cs="宋体"/>
          <w:b/>
          <w:bCs/>
          <w:color w:val="000000"/>
          <w:sz w:val="28"/>
          <w:szCs w:val="28"/>
          <w:highlight w:val="none"/>
        </w:rPr>
      </w:pPr>
      <w:bookmarkStart w:id="105" w:name="_Toc466534753"/>
      <w:bookmarkStart w:id="106" w:name="_Toc14291"/>
      <w:r>
        <w:rPr>
          <w:rFonts w:hint="eastAsia" w:ascii="宋体" w:hAnsi="宋体" w:eastAsia="宋体" w:cs="宋体"/>
          <w:b/>
          <w:bCs/>
          <w:color w:val="000000"/>
          <w:sz w:val="28"/>
          <w:szCs w:val="28"/>
          <w:highlight w:val="none"/>
        </w:rPr>
        <w:t>二、商务技术文件格式</w:t>
      </w:r>
      <w:bookmarkEnd w:id="103"/>
      <w:bookmarkEnd w:id="105"/>
      <w:bookmarkEnd w:id="106"/>
    </w:p>
    <w:p w14:paraId="2F6E968B">
      <w:pPr>
        <w:snapToGrid w:val="0"/>
        <w:spacing w:before="120" w:beforeLines="50" w:after="50"/>
        <w:jc w:val="center"/>
        <w:rPr>
          <w:rFonts w:hint="eastAsia" w:ascii="宋体" w:hAnsi="宋体" w:eastAsia="宋体" w:cs="宋体"/>
          <w:color w:val="000000"/>
          <w:sz w:val="28"/>
          <w:szCs w:val="28"/>
          <w:highlight w:val="none"/>
        </w:rPr>
      </w:pPr>
    </w:p>
    <w:p w14:paraId="17EF0952">
      <w:pPr>
        <w:snapToGrid w:val="0"/>
        <w:spacing w:before="120" w:beforeLines="50" w:after="50"/>
        <w:jc w:val="center"/>
        <w:rPr>
          <w:rFonts w:hint="eastAsia" w:ascii="宋体" w:hAnsi="宋体" w:eastAsia="宋体" w:cs="宋体"/>
          <w:color w:val="000000"/>
          <w:sz w:val="28"/>
          <w:szCs w:val="28"/>
          <w:highlight w:val="none"/>
        </w:rPr>
      </w:pPr>
    </w:p>
    <w:p w14:paraId="642F9176">
      <w:pPr>
        <w:snapToGrid w:val="0"/>
        <w:spacing w:before="120" w:beforeLines="50" w:after="50"/>
        <w:ind w:firstLine="560" w:firstLineChars="200"/>
        <w:rPr>
          <w:rFonts w:hint="eastAsia" w:ascii="宋体" w:hAnsi="宋体" w:eastAsia="宋体" w:cs="宋体"/>
          <w:color w:val="000000"/>
          <w:sz w:val="28"/>
          <w:szCs w:val="28"/>
          <w:highlight w:val="none"/>
        </w:rPr>
      </w:pPr>
      <w:r>
        <w:rPr>
          <w:rFonts w:hint="eastAsia" w:ascii="宋体" w:hAnsi="宋体" w:cs="宋体"/>
          <w:color w:val="000000"/>
          <w:sz w:val="28"/>
          <w:szCs w:val="28"/>
          <w:highlight w:val="none"/>
          <w:lang w:val="en-US" w:eastAsia="zh-CN"/>
        </w:rPr>
        <w:t>5</w:t>
      </w:r>
      <w:r>
        <w:rPr>
          <w:rFonts w:hint="eastAsia" w:ascii="宋体" w:hAnsi="宋体" w:eastAsia="宋体" w:cs="宋体"/>
          <w:color w:val="000000"/>
          <w:sz w:val="28"/>
          <w:szCs w:val="28"/>
          <w:highlight w:val="none"/>
        </w:rPr>
        <w:t xml:space="preserve">.商务技术文件封面格式： </w:t>
      </w:r>
    </w:p>
    <w:p w14:paraId="1946F958">
      <w:pPr>
        <w:snapToGrid w:val="0"/>
        <w:spacing w:before="120" w:beforeLines="50" w:after="5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 xml:space="preserve"> </w:t>
      </w:r>
    </w:p>
    <w:p w14:paraId="7E162FE0">
      <w:pPr>
        <w:snapToGrid w:val="0"/>
        <w:spacing w:before="120" w:beforeLines="50" w:after="50"/>
        <w:rPr>
          <w:rFonts w:hint="eastAsia" w:ascii="宋体" w:hAnsi="宋体" w:eastAsia="宋体" w:cs="宋体"/>
          <w:color w:val="000000"/>
          <w:sz w:val="28"/>
          <w:szCs w:val="28"/>
          <w:highlight w:val="none"/>
        </w:rPr>
      </w:pPr>
    </w:p>
    <w:p w14:paraId="04280BF2">
      <w:pPr>
        <w:snapToGrid w:val="0"/>
        <w:spacing w:before="120" w:beforeLines="50" w:after="50"/>
        <w:jc w:val="center"/>
        <w:rPr>
          <w:rFonts w:hint="eastAsia" w:ascii="宋体" w:hAnsi="宋体" w:eastAsia="宋体" w:cs="宋体"/>
          <w:bCs/>
          <w:color w:val="000000"/>
          <w:sz w:val="28"/>
          <w:szCs w:val="28"/>
          <w:highlight w:val="none"/>
        </w:rPr>
      </w:pPr>
    </w:p>
    <w:p w14:paraId="4729CCF9">
      <w:pPr>
        <w:snapToGrid w:val="0"/>
        <w:spacing w:before="120" w:beforeLines="50" w:after="5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商务技术文件</w:t>
      </w:r>
    </w:p>
    <w:p w14:paraId="5861D856">
      <w:pPr>
        <w:snapToGrid w:val="0"/>
        <w:spacing w:before="120" w:beforeLines="50" w:after="50" w:line="360" w:lineRule="auto"/>
        <w:jc w:val="center"/>
        <w:rPr>
          <w:rFonts w:hint="eastAsia" w:ascii="宋体" w:hAnsi="宋体" w:eastAsia="宋体" w:cs="宋体"/>
          <w:bCs/>
          <w:color w:val="000000"/>
          <w:sz w:val="28"/>
          <w:szCs w:val="28"/>
          <w:highlight w:val="none"/>
        </w:rPr>
      </w:pPr>
    </w:p>
    <w:p w14:paraId="15ABAC40">
      <w:pPr>
        <w:snapToGrid w:val="0"/>
        <w:spacing w:before="120" w:beforeLines="50" w:after="50" w:line="360" w:lineRule="auto"/>
        <w:jc w:val="center"/>
        <w:rPr>
          <w:rFonts w:hint="eastAsia" w:ascii="宋体" w:hAnsi="宋体" w:eastAsia="宋体" w:cs="宋体"/>
          <w:bCs/>
          <w:color w:val="000000"/>
          <w:sz w:val="28"/>
          <w:szCs w:val="28"/>
          <w:highlight w:val="none"/>
        </w:rPr>
      </w:pPr>
    </w:p>
    <w:p w14:paraId="4F8567E3">
      <w:pPr>
        <w:snapToGrid w:val="0"/>
        <w:spacing w:before="120" w:beforeLines="50" w:after="50" w:line="360" w:lineRule="auto"/>
        <w:ind w:firstLine="1246" w:firstLineChars="445"/>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项目名称：</w:t>
      </w:r>
    </w:p>
    <w:p w14:paraId="352E4CCB">
      <w:pPr>
        <w:snapToGrid w:val="0"/>
        <w:spacing w:before="120" w:beforeLines="50" w:after="50"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     项目编号：    </w:t>
      </w:r>
    </w:p>
    <w:p w14:paraId="6B8B71ED">
      <w:pPr>
        <w:pStyle w:val="5"/>
        <w:snapToGrid w:val="0"/>
        <w:spacing w:before="50" w:after="50" w:line="360" w:lineRule="auto"/>
        <w:ind w:firstLine="1164" w:firstLineChars="416"/>
        <w:rPr>
          <w:rFonts w:hint="eastAsia" w:ascii="宋体" w:hAnsi="宋体" w:eastAsia="宋体" w:cs="宋体"/>
          <w:bCs/>
          <w:color w:val="000000"/>
          <w:sz w:val="28"/>
          <w:szCs w:val="28"/>
          <w:highlight w:val="none"/>
        </w:rPr>
      </w:pPr>
    </w:p>
    <w:p w14:paraId="3C092DD5">
      <w:pPr>
        <w:pStyle w:val="5"/>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供应商名称：</w:t>
      </w:r>
    </w:p>
    <w:p w14:paraId="1EA0BE9E">
      <w:pPr>
        <w:pStyle w:val="5"/>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供应商地址：</w:t>
      </w:r>
    </w:p>
    <w:p w14:paraId="5BDBF69B">
      <w:pPr>
        <w:pStyle w:val="5"/>
        <w:snapToGrid w:val="0"/>
        <w:spacing w:before="50" w:after="50"/>
        <w:ind w:firstLine="1120" w:firstLineChars="400"/>
        <w:rPr>
          <w:rFonts w:hint="eastAsia" w:ascii="宋体" w:hAnsi="宋体" w:eastAsia="宋体" w:cs="宋体"/>
          <w:bCs/>
          <w:color w:val="000000"/>
          <w:sz w:val="28"/>
          <w:szCs w:val="28"/>
          <w:highlight w:val="none"/>
        </w:rPr>
      </w:pPr>
    </w:p>
    <w:p w14:paraId="01B1C3A8">
      <w:pPr>
        <w:pStyle w:val="29"/>
        <w:snapToGrid w:val="0"/>
        <w:spacing w:beforeLines="0" w:afterLines="0" w:line="420" w:lineRule="exact"/>
        <w:jc w:val="left"/>
        <w:outlineLvl w:val="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bookmarkStart w:id="107" w:name="_Toc32544"/>
      <w:bookmarkStart w:id="108" w:name="_Toc2592"/>
      <w:r>
        <w:rPr>
          <w:rFonts w:hint="eastAsia" w:ascii="宋体" w:hAnsi="宋体" w:eastAsia="宋体" w:cs="宋体"/>
          <w:color w:val="000000"/>
          <w:sz w:val="28"/>
          <w:szCs w:val="28"/>
          <w:highlight w:val="none"/>
        </w:rPr>
        <w:t>年  月  日</w:t>
      </w:r>
      <w:r>
        <w:rPr>
          <w:rFonts w:hint="eastAsia" w:ascii="宋体" w:hAnsi="宋体" w:eastAsia="宋体" w:cs="宋体"/>
          <w:color w:val="000000"/>
          <w:sz w:val="28"/>
          <w:szCs w:val="28"/>
          <w:highlight w:val="none"/>
        </w:rPr>
        <w:br w:type="page"/>
      </w:r>
      <w:bookmarkEnd w:id="107"/>
      <w:bookmarkEnd w:id="108"/>
    </w:p>
    <w:p w14:paraId="31D658F5">
      <w:pPr>
        <w:snapToGrid w:val="0"/>
        <w:spacing w:before="120" w:beforeLines="50" w:after="50"/>
        <w:jc w:val="left"/>
        <w:rPr>
          <w:rFonts w:hint="eastAsia" w:ascii="宋体" w:hAnsi="宋体" w:eastAsia="宋体" w:cs="宋体"/>
          <w:color w:val="000000"/>
          <w:sz w:val="24"/>
          <w:highlight w:val="none"/>
        </w:rPr>
      </w:pPr>
      <w:bookmarkStart w:id="109" w:name="_Hlk60757098"/>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.投标函格式：</w:t>
      </w:r>
      <w:bookmarkEnd w:id="109"/>
    </w:p>
    <w:p w14:paraId="1C35268B">
      <w:pPr>
        <w:snapToGrid w:val="0"/>
        <w:spacing w:before="120" w:beforeLines="50" w:after="50"/>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投 标 函</w:t>
      </w:r>
    </w:p>
    <w:p w14:paraId="09166CCE">
      <w:pPr>
        <w:snapToGrid w:val="0"/>
        <w:spacing w:line="440" w:lineRule="exac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致：</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w:t>
      </w:r>
      <w:r>
        <w:rPr>
          <w:rFonts w:hint="eastAsia" w:ascii="宋体" w:hAnsi="宋体" w:eastAsia="宋体" w:cs="宋体"/>
          <w:color w:val="000000"/>
          <w:sz w:val="24"/>
          <w:highlight w:val="none"/>
        </w:rPr>
        <w:t>招标采购单位名称）：</w:t>
      </w:r>
    </w:p>
    <w:p w14:paraId="5E95DE47">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1、我方自愿参加贵方组织的</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项目（项目编号：</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）的投标，并按采购文件的要求提交商务技术文件、报价文件。</w:t>
      </w:r>
    </w:p>
    <w:p w14:paraId="39DBE54A">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2、我方完全理解并接受磋商文件（包括修改补充文件）的各项规定和要求，不再对磋商文件的合理性、合法性等相关内容提出质疑或投诉。</w:t>
      </w:r>
    </w:p>
    <w:p w14:paraId="109B1512">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3、我方不是采购单位的附属机构以及其它法律法规所规定的限制投标单位。</w:t>
      </w:r>
    </w:p>
    <w:p w14:paraId="497738C2">
      <w:pPr>
        <w:snapToGrid w:val="0"/>
        <w:spacing w:line="440" w:lineRule="exact"/>
        <w:ind w:firstLine="482" w:firstLineChars="200"/>
        <w:rPr>
          <w:rFonts w:hint="eastAsia" w:ascii="宋体" w:hAnsi="宋体" w:eastAsia="宋体" w:cs="宋体"/>
          <w:b/>
          <w:bCs/>
          <w:sz w:val="24"/>
          <w:highlight w:val="none"/>
          <w:shd w:val="pct10" w:color="auto" w:fill="FFFFFF"/>
        </w:rPr>
      </w:pPr>
      <w:r>
        <w:rPr>
          <w:rFonts w:hint="eastAsia" w:ascii="宋体" w:hAnsi="宋体" w:eastAsia="宋体" w:cs="宋体"/>
          <w:b/>
          <w:bCs/>
          <w:sz w:val="24"/>
          <w:highlight w:val="none"/>
          <w:shd w:val="pct10" w:color="auto" w:fill="FFFFFF"/>
        </w:rPr>
        <w:t>4.、我方向贵方提交的所有响应文件、资料（包括所有</w:t>
      </w:r>
      <w:bookmarkStart w:id="110" w:name="_Hlk59707887"/>
      <w:r>
        <w:rPr>
          <w:rFonts w:hint="eastAsia" w:ascii="宋体" w:hAnsi="宋体" w:eastAsia="宋体" w:cs="宋体"/>
          <w:b/>
          <w:bCs/>
          <w:sz w:val="24"/>
          <w:highlight w:val="none"/>
          <w:shd w:val="pct10" w:color="auto" w:fill="FFFFFF"/>
        </w:rPr>
        <w:t>证书、合同、报告等</w:t>
      </w:r>
      <w:bookmarkEnd w:id="110"/>
      <w:r>
        <w:rPr>
          <w:rFonts w:hint="eastAsia" w:ascii="宋体" w:hAnsi="宋体" w:eastAsia="宋体" w:cs="宋体"/>
          <w:b/>
          <w:bCs/>
          <w:sz w:val="24"/>
          <w:highlight w:val="none"/>
          <w:shd w:val="pct10" w:color="auto" w:fill="FFFFFF"/>
        </w:rPr>
        <w:t>）都是准确、真实、合规的，如有虚假或隐瞒，我方愿意承担一切后果。</w:t>
      </w:r>
    </w:p>
    <w:p w14:paraId="5D452E4C">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r>
        <w:rPr>
          <w:rFonts w:hint="eastAsia" w:ascii="宋体" w:hAnsi="宋体" w:eastAsia="宋体" w:cs="宋体"/>
          <w:sz w:val="24"/>
          <w:highlight w:val="none"/>
        </w:rPr>
        <w:t>自投标截止日起 90天内有效。</w:t>
      </w:r>
    </w:p>
    <w:p w14:paraId="21654DC9">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6、如成交，本响应文件至本项目合同履行完毕均保持有效，同意按照贵方要求提供与投标有关的一切数据或资料，并按“磋商文件”及政府采购法律、法规的规定履行合同责任和义务。</w:t>
      </w:r>
    </w:p>
    <w:p w14:paraId="20C61244">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7、以上事项如有虚假或隐瞒，我方愿意承担一切后果，并不再寻求任何旨在减轻或免除法律责任的辩解，同意我方的履约保证金不予退回，并对招标采购单位因此引起的损失予以赔偿。</w:t>
      </w:r>
    </w:p>
    <w:p w14:paraId="6B9D5719">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8、我方全权授权被授权人办理针对上述项目的投标、开标、磋商、签约等具体事务和签署相关文件，对被授权的各项行为</w:t>
      </w:r>
      <w:r>
        <w:rPr>
          <w:rFonts w:hint="eastAsia" w:ascii="宋体" w:hAnsi="宋体" w:eastAsia="宋体" w:cs="宋体"/>
          <w:sz w:val="24"/>
          <w:highlight w:val="none"/>
        </w:rPr>
        <w:t>负全部责任，在撤销授权的书面通知以前，本授权书一直有效，被授权人无转委托权。</w:t>
      </w:r>
    </w:p>
    <w:p w14:paraId="2A609A43">
      <w:pPr>
        <w:snapToGrid w:val="0"/>
        <w:spacing w:line="440" w:lineRule="exact"/>
        <w:ind w:firstLine="361" w:firstLineChars="150"/>
        <w:rPr>
          <w:rFonts w:hint="eastAsia" w:ascii="宋体" w:hAnsi="宋体" w:eastAsia="宋体" w:cs="宋体"/>
          <w:b/>
          <w:bCs/>
          <w:sz w:val="24"/>
          <w:highlight w:val="none"/>
          <w:u w:val="single"/>
          <w:shd w:val="pct10" w:color="auto" w:fill="FFFFFF"/>
        </w:rPr>
      </w:pPr>
      <w:bookmarkStart w:id="111" w:name="_Hlk36048718"/>
      <w:r>
        <w:rPr>
          <w:rFonts w:hint="eastAsia" w:ascii="宋体" w:hAnsi="宋体" w:eastAsia="宋体" w:cs="宋体"/>
          <w:b/>
          <w:bCs/>
          <w:sz w:val="24"/>
          <w:highlight w:val="none"/>
        </w:rPr>
        <w:t>与本投标有关的一切正式往来信函、传真或邮件</w:t>
      </w:r>
      <w:r>
        <w:rPr>
          <w:rFonts w:hint="eastAsia" w:ascii="宋体" w:hAnsi="宋体" w:eastAsia="宋体" w:cs="宋体"/>
          <w:b/>
          <w:bCs/>
          <w:sz w:val="24"/>
          <w:highlight w:val="none"/>
          <w:u w:val="single"/>
          <w:shd w:val="pct10" w:color="auto" w:fill="FFFFFF"/>
        </w:rPr>
        <w:t>（例如质疑回复函、成交通知书、采购合同等）请采用如下联系方式送达，我方确保能够及时、准确收悉。</w:t>
      </w:r>
    </w:p>
    <w:p w14:paraId="7820789D">
      <w:pPr>
        <w:snapToGrid w:val="0"/>
        <w:spacing w:line="44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邮寄详细地址：</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 xml:space="preserve"> 邮编：__________</w:t>
      </w:r>
    </w:p>
    <w:p w14:paraId="4D8EF3E0">
      <w:pPr>
        <w:snapToGrid w:val="0"/>
        <w:spacing w:line="44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收件人姓名：</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联系手机：</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公司电子邮箱</w:t>
      </w:r>
      <w:r>
        <w:rPr>
          <w:rFonts w:hint="eastAsia" w:ascii="宋体" w:hAnsi="宋体" w:eastAsia="宋体" w:cs="宋体"/>
          <w:b/>
          <w:bCs/>
          <w:sz w:val="24"/>
          <w:highlight w:val="none"/>
        </w:rPr>
        <w:t>：</w:t>
      </w:r>
      <w:r>
        <w:rPr>
          <w:rFonts w:hint="eastAsia" w:ascii="宋体" w:hAnsi="宋体" w:cs="宋体"/>
          <w:b/>
          <w:bCs/>
          <w:sz w:val="24"/>
          <w:highlight w:val="none"/>
          <w:u w:val="single"/>
          <w:lang w:val="en-US" w:eastAsia="zh-CN"/>
        </w:rPr>
        <w:t xml:space="preserve">             </w:t>
      </w:r>
    </w:p>
    <w:p w14:paraId="54545058">
      <w:pPr>
        <w:snapToGrid w:val="0"/>
        <w:spacing w:line="440" w:lineRule="exact"/>
        <w:ind w:firstLine="361" w:firstLineChars="150"/>
        <w:jc w:val="left"/>
        <w:rPr>
          <w:rFonts w:hint="eastAsia" w:ascii="宋体" w:hAnsi="宋体" w:eastAsia="宋体" w:cs="宋体"/>
          <w:b/>
          <w:bCs/>
          <w:sz w:val="24"/>
          <w:highlight w:val="none"/>
          <w:shd w:val="pct10" w:color="auto" w:fill="FFFFFF"/>
        </w:rPr>
      </w:pPr>
      <w:bookmarkStart w:id="112" w:name="_Hlk59370586"/>
      <w:r>
        <w:rPr>
          <w:rFonts w:hint="eastAsia" w:ascii="宋体" w:hAnsi="宋体" w:eastAsia="宋体" w:cs="宋体"/>
          <w:b/>
          <w:bCs/>
          <w:sz w:val="24"/>
          <w:highlight w:val="none"/>
          <w:shd w:val="pct10" w:color="auto" w:fill="FFFFFF"/>
        </w:rPr>
        <w:t>为了方便磋商小组在必要时对供应商进行询标，请供应商填写以下响应文件编制人信息，以便及时、准确进行询标，响应文件编制人信息可不限于1人。</w:t>
      </w:r>
    </w:p>
    <w:p w14:paraId="34FDC487">
      <w:pPr>
        <w:snapToGrid w:val="0"/>
        <w:spacing w:line="440" w:lineRule="exact"/>
        <w:ind w:firstLine="361" w:firstLineChars="150"/>
        <w:jc w:val="left"/>
        <w:rPr>
          <w:rFonts w:hint="eastAsia" w:ascii="宋体" w:hAnsi="宋体" w:eastAsia="宋体" w:cs="宋体"/>
          <w:b/>
          <w:bCs/>
          <w:sz w:val="24"/>
          <w:highlight w:val="none"/>
          <w:u w:val="single"/>
        </w:rPr>
      </w:pPr>
      <w:r>
        <w:rPr>
          <w:rFonts w:hint="eastAsia" w:ascii="宋体" w:hAnsi="宋体" w:eastAsia="宋体" w:cs="宋体"/>
          <w:b/>
          <w:bCs/>
          <w:sz w:val="24"/>
          <w:highlight w:val="none"/>
        </w:rPr>
        <w:t>响应文件编制人</w:t>
      </w:r>
      <w:bookmarkEnd w:id="112"/>
      <w:r>
        <w:rPr>
          <w:rFonts w:hint="eastAsia" w:ascii="宋体" w:hAnsi="宋体" w:eastAsia="宋体" w:cs="宋体"/>
          <w:b/>
          <w:bCs/>
          <w:sz w:val="24"/>
          <w:highlight w:val="none"/>
        </w:rPr>
        <w:t>姓名：</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rPr>
        <w:t xml:space="preserve">   手机号码：</w:t>
      </w:r>
      <w:r>
        <w:rPr>
          <w:rFonts w:hint="eastAsia" w:ascii="宋体" w:hAnsi="宋体" w:cs="宋体"/>
          <w:b/>
          <w:bCs/>
          <w:sz w:val="24"/>
          <w:highlight w:val="none"/>
          <w:u w:val="single"/>
          <w:lang w:val="en-US" w:eastAsia="zh-CN"/>
        </w:rPr>
        <w:t xml:space="preserve">                      </w:t>
      </w:r>
    </w:p>
    <w:p w14:paraId="17B43CA8">
      <w:pPr>
        <w:snapToGrid w:val="0"/>
        <w:spacing w:line="440" w:lineRule="exact"/>
        <w:ind w:firstLine="361" w:firstLineChars="150"/>
        <w:jc w:val="left"/>
        <w:rPr>
          <w:rFonts w:hint="eastAsia" w:ascii="宋体" w:hAnsi="宋体" w:eastAsia="宋体" w:cs="宋体"/>
          <w:b/>
          <w:sz w:val="24"/>
          <w:highlight w:val="none"/>
          <w:u w:val="single"/>
          <w:shd w:val="pct10" w:color="auto" w:fill="FFFFFF"/>
        </w:rPr>
      </w:pPr>
      <w:r>
        <w:rPr>
          <w:rFonts w:hint="eastAsia" w:ascii="宋体" w:hAnsi="宋体" w:eastAsia="宋体" w:cs="宋体"/>
          <w:b/>
          <w:sz w:val="24"/>
          <w:highlight w:val="none"/>
          <w:shd w:val="pct10" w:color="auto" w:fill="FFFFFF"/>
        </w:rPr>
        <w:t>法定代表人（签字或盖章）：</w:t>
      </w:r>
    </w:p>
    <w:p w14:paraId="5E2E46F2">
      <w:pPr>
        <w:snapToGrid w:val="0"/>
        <w:spacing w:line="440" w:lineRule="exact"/>
        <w:ind w:firstLine="361" w:firstLineChars="150"/>
        <w:jc w:val="left"/>
        <w:rPr>
          <w:rFonts w:hint="eastAsia" w:ascii="宋体" w:hAnsi="宋体" w:eastAsia="宋体" w:cs="宋体"/>
          <w:b/>
          <w:bCs/>
          <w:color w:val="000000"/>
          <w:sz w:val="24"/>
          <w:highlight w:val="none"/>
        </w:rPr>
      </w:pPr>
      <w:r>
        <w:rPr>
          <w:rFonts w:hint="eastAsia" w:ascii="宋体" w:hAnsi="宋体" w:eastAsia="宋体" w:cs="宋体"/>
          <w:b/>
          <w:sz w:val="24"/>
          <w:highlight w:val="none"/>
          <w:shd w:val="pct10" w:color="auto" w:fill="FFFFFF"/>
        </w:rPr>
        <w:t>被授权人（签字）:</w:t>
      </w:r>
      <w:r>
        <w:rPr>
          <w:rFonts w:hint="eastAsia" w:ascii="宋体" w:hAnsi="宋体" w:cs="宋体"/>
          <w:b/>
          <w:sz w:val="24"/>
          <w:highlight w:val="none"/>
          <w:u w:val="single"/>
          <w:shd w:val="pct10" w:color="auto" w:fill="FFFFFF"/>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b/>
          <w:bCs/>
          <w:sz w:val="24"/>
          <w:highlight w:val="none"/>
        </w:rPr>
        <w:t>被授权人手机号码：</w:t>
      </w:r>
      <w:r>
        <w:rPr>
          <w:rFonts w:hint="eastAsia" w:ascii="宋体" w:hAnsi="宋体" w:cs="宋体"/>
          <w:b/>
          <w:bCs/>
          <w:sz w:val="24"/>
          <w:highlight w:val="none"/>
          <w:u w:val="single"/>
          <w:lang w:val="en-US" w:eastAsia="zh-CN"/>
        </w:rPr>
        <w:t xml:space="preserve">                   </w:t>
      </w:r>
    </w:p>
    <w:bookmarkEnd w:id="111"/>
    <w:p w14:paraId="2866A386">
      <w:pPr>
        <w:snapToGrid w:val="0"/>
        <w:spacing w:line="440" w:lineRule="exact"/>
        <w:jc w:val="left"/>
        <w:rPr>
          <w:rFonts w:hint="eastAsia" w:ascii="宋体" w:hAnsi="宋体" w:eastAsia="宋体" w:cs="宋体"/>
          <w:color w:val="000000"/>
          <w:sz w:val="24"/>
          <w:highlight w:val="none"/>
        </w:rPr>
      </w:pPr>
    </w:p>
    <w:p w14:paraId="39FC051C">
      <w:pPr>
        <w:snapToGrid w:val="0"/>
        <w:spacing w:line="440" w:lineRule="exact"/>
        <w:ind w:firstLine="482" w:firstLineChars="200"/>
        <w:jc w:val="lef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 xml:space="preserve">供应商:(公章) </w:t>
      </w: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 xml:space="preserve"> 日期:_____年___月___日</w:t>
      </w:r>
    </w:p>
    <w:p w14:paraId="0FC0C02A">
      <w:pPr>
        <w:snapToGrid w:val="0"/>
        <w:spacing w:before="120" w:beforeLines="50" w:after="50"/>
        <w:rPr>
          <w:rFonts w:hint="eastAsia" w:ascii="宋体" w:hAnsi="宋体" w:eastAsia="宋体" w:cs="宋体"/>
          <w:color w:val="000000"/>
          <w:sz w:val="24"/>
          <w:szCs w:val="20"/>
          <w:highlight w:val="none"/>
        </w:rPr>
      </w:pPr>
      <w:r>
        <w:rPr>
          <w:rFonts w:hint="eastAsia" w:ascii="宋体" w:hAnsi="宋体" w:eastAsia="宋体" w:cs="宋体"/>
          <w:color w:val="000000"/>
          <w:highlight w:val="none"/>
        </w:rPr>
        <w:br w:type="page"/>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.法定代表人授权委托书格式：</w:t>
      </w:r>
    </w:p>
    <w:p w14:paraId="1E952753">
      <w:pPr>
        <w:snapToGrid w:val="0"/>
        <w:spacing w:before="120" w:beforeLines="50" w:after="50"/>
        <w:jc w:val="center"/>
        <w:rPr>
          <w:rFonts w:hint="eastAsia" w:ascii="宋体" w:hAnsi="宋体" w:eastAsia="宋体" w:cs="宋体"/>
          <w:b/>
          <w:sz w:val="24"/>
          <w:highlight w:val="none"/>
        </w:rPr>
      </w:pPr>
      <w:r>
        <w:rPr>
          <w:rFonts w:hint="eastAsia" w:ascii="宋体" w:hAnsi="宋体" w:eastAsia="宋体" w:cs="宋体"/>
          <w:b/>
          <w:sz w:val="24"/>
          <w:highlight w:val="none"/>
        </w:rPr>
        <w:t>法定代表人授权委托书</w:t>
      </w:r>
    </w:p>
    <w:p w14:paraId="69C9B4D2">
      <w:pPr>
        <w:snapToGrid w:val="0"/>
        <w:spacing w:before="120" w:beforeLines="50" w:after="50" w:line="460" w:lineRule="exact"/>
        <w:rPr>
          <w:rFonts w:hint="eastAsia" w:ascii="宋体" w:hAnsi="宋体" w:eastAsia="宋体" w:cs="宋体"/>
          <w:b/>
          <w:bCs/>
          <w:color w:val="000000"/>
          <w:sz w:val="24"/>
          <w:szCs w:val="20"/>
          <w:highlight w:val="none"/>
        </w:rPr>
      </w:pPr>
      <w:r>
        <w:rPr>
          <w:rFonts w:hint="eastAsia" w:ascii="宋体" w:hAnsi="宋体" w:eastAsia="宋体" w:cs="宋体"/>
          <w:bCs/>
          <w:color w:val="000000"/>
          <w:sz w:val="24"/>
          <w:highlight w:val="none"/>
        </w:rPr>
        <w:t>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（招标采购单位名称）：</w:t>
      </w:r>
    </w:p>
    <w:p w14:paraId="0DC9886A">
      <w:pPr>
        <w:snapToGrid w:val="0"/>
        <w:spacing w:before="120" w:beforeLines="50" w:after="50" w:line="460" w:lineRule="exact"/>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我</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（姓名）系</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（投标单位名称）的法定代表人，现授权委托</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（姓名）以我方的名义参加</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项目的投标活动，并代表我方全权办理针对上述项目的投标、开标、磋商、签约等具体事务和签署相关文件。</w:t>
      </w:r>
    </w:p>
    <w:p w14:paraId="5A6914A9">
      <w:pPr>
        <w:snapToGrid w:val="0"/>
        <w:spacing w:before="120" w:beforeLines="50" w:after="50" w:line="460" w:lineRule="exac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 xml:space="preserve">    我方对被授权人的签名事项负全部责任。</w:t>
      </w:r>
    </w:p>
    <w:p w14:paraId="0E4B6C5D">
      <w:pPr>
        <w:snapToGrid w:val="0"/>
        <w:spacing w:before="120" w:beforeLines="50" w:after="50" w:line="460" w:lineRule="exac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u w:val="single"/>
        </w:rPr>
        <w:t>在撤销授权的书面通知以前，本授权书一直有效。</w:t>
      </w:r>
      <w:r>
        <w:rPr>
          <w:rFonts w:hint="eastAsia" w:ascii="宋体" w:hAnsi="宋体" w:eastAsia="宋体" w:cs="宋体"/>
          <w:color w:val="000000"/>
          <w:sz w:val="24"/>
          <w:highlight w:val="none"/>
        </w:rPr>
        <w:t>被授权人在授权书有效期内签署的所有文件不因授权的撤销而失效。</w:t>
      </w:r>
    </w:p>
    <w:p w14:paraId="2E1B6729">
      <w:pPr>
        <w:snapToGrid w:val="0"/>
        <w:spacing w:before="120" w:beforeLines="50" w:after="50" w:line="460" w:lineRule="exac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被授权人无转委托权，特此委托。</w:t>
      </w:r>
    </w:p>
    <w:p w14:paraId="2E11EC35">
      <w:pPr>
        <w:snapToGrid w:val="0"/>
        <w:spacing w:before="120" w:beforeLines="50" w:after="50" w:line="460" w:lineRule="exact"/>
        <w:rPr>
          <w:rFonts w:hint="eastAsia" w:ascii="宋体" w:hAnsi="宋体" w:eastAsia="宋体" w:cs="宋体"/>
          <w:color w:val="000000"/>
          <w:sz w:val="28"/>
          <w:szCs w:val="28"/>
          <w:highlight w:val="none"/>
        </w:rPr>
      </w:pPr>
      <w:r>
        <w:rPr>
          <w:rFonts w:hint="eastAsia" w:ascii="宋体" w:hAnsi="宋体" w:eastAsia="宋体" w:cs="宋体"/>
          <w:b/>
          <w:bCs/>
          <w:color w:val="000000"/>
          <w:sz w:val="28"/>
          <w:szCs w:val="28"/>
          <w:highlight w:val="none"/>
          <w:u w:val="single"/>
        </w:rPr>
        <w:t>法定代表人</w:t>
      </w:r>
      <w:r>
        <w:rPr>
          <w:rFonts w:hint="eastAsia" w:ascii="宋体" w:hAnsi="宋体" w:eastAsia="宋体" w:cs="宋体"/>
          <w:b/>
          <w:bCs/>
          <w:sz w:val="28"/>
          <w:szCs w:val="28"/>
          <w:highlight w:val="none"/>
          <w:u w:val="single"/>
        </w:rPr>
        <w:t>签名或盖章：</w:t>
      </w:r>
      <w:r>
        <w:rPr>
          <w:rFonts w:hint="eastAsia" w:ascii="宋体" w:hAnsi="宋体" w:eastAsia="宋体" w:cs="宋体"/>
          <w:b/>
          <w:bCs/>
          <w:sz w:val="28"/>
          <w:szCs w:val="28"/>
          <w:highlight w:val="none"/>
        </w:rPr>
        <w:t xml:space="preserve">   </w:t>
      </w:r>
      <w:r>
        <w:rPr>
          <w:rFonts w:hint="eastAsia" w:ascii="宋体" w:hAnsi="宋体" w:eastAsia="宋体" w:cs="宋体"/>
          <w:b/>
          <w:bCs/>
          <w:color w:val="000000"/>
          <w:sz w:val="28"/>
          <w:szCs w:val="28"/>
          <w:highlight w:val="none"/>
        </w:rPr>
        <w:t xml:space="preserve">          </w:t>
      </w:r>
      <w:r>
        <w:rPr>
          <w:rFonts w:hint="eastAsia" w:ascii="宋体" w:hAnsi="宋体" w:eastAsia="宋体" w:cs="宋体"/>
          <w:b/>
          <w:bCs/>
          <w:color w:val="000000"/>
          <w:sz w:val="28"/>
          <w:szCs w:val="28"/>
          <w:highlight w:val="none"/>
          <w:u w:val="single"/>
        </w:rPr>
        <w:t xml:space="preserve">被授权人签字： </w:t>
      </w:r>
      <w:r>
        <w:rPr>
          <w:rFonts w:hint="eastAsia" w:ascii="宋体" w:hAnsi="宋体" w:eastAsia="宋体" w:cs="宋体"/>
          <w:color w:val="000000"/>
          <w:sz w:val="28"/>
          <w:szCs w:val="28"/>
          <w:highlight w:val="none"/>
        </w:rPr>
        <w:t xml:space="preserve">               </w:t>
      </w:r>
    </w:p>
    <w:p w14:paraId="7A29F406">
      <w:pPr>
        <w:snapToGrid w:val="0"/>
        <w:spacing w:before="120" w:beforeLines="50" w:after="50" w:line="46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法定代表人身份证复印件            被授权人身份证复印件</w:t>
      </w:r>
    </w:p>
    <w:tbl>
      <w:tblPr>
        <w:tblStyle w:val="51"/>
        <w:tblW w:w="0" w:type="auto"/>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5786E0F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1C1B6893">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身份证复印件粘贴处，正反两面均复印，复印件清晰可认。</w:t>
            </w:r>
          </w:p>
        </w:tc>
        <w:tc>
          <w:tcPr>
            <w:tcW w:w="4961" w:type="dxa"/>
            <w:noWrap w:val="0"/>
            <w:vAlign w:val="top"/>
          </w:tcPr>
          <w:p w14:paraId="495B9797">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身份证复印件粘贴处，正反两面均复印，复印件清晰可认。</w:t>
            </w:r>
          </w:p>
        </w:tc>
      </w:tr>
      <w:tr w14:paraId="3756B4AE">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5693CE93">
            <w:pPr>
              <w:spacing w:line="360" w:lineRule="auto"/>
              <w:rPr>
                <w:rFonts w:hint="eastAsia" w:ascii="宋体" w:hAnsi="宋体" w:eastAsia="宋体" w:cs="宋体"/>
                <w:sz w:val="30"/>
                <w:szCs w:val="30"/>
                <w:highlight w:val="none"/>
              </w:rPr>
            </w:pPr>
          </w:p>
        </w:tc>
        <w:tc>
          <w:tcPr>
            <w:tcW w:w="4961" w:type="dxa"/>
            <w:noWrap w:val="0"/>
            <w:vAlign w:val="top"/>
          </w:tcPr>
          <w:p w14:paraId="1BFF6FE2">
            <w:pPr>
              <w:spacing w:line="360" w:lineRule="auto"/>
              <w:rPr>
                <w:rFonts w:hint="eastAsia" w:ascii="宋体" w:hAnsi="宋体" w:eastAsia="宋体" w:cs="宋体"/>
                <w:sz w:val="30"/>
                <w:szCs w:val="30"/>
                <w:highlight w:val="none"/>
              </w:rPr>
            </w:pPr>
          </w:p>
        </w:tc>
      </w:tr>
    </w:tbl>
    <w:p w14:paraId="779878CA">
      <w:pPr>
        <w:snapToGrid w:val="0"/>
        <w:spacing w:line="360" w:lineRule="auto"/>
        <w:jc w:val="left"/>
        <w:rPr>
          <w:rFonts w:hint="eastAsia" w:ascii="宋体" w:hAnsi="宋体" w:eastAsia="宋体" w:cs="宋体"/>
          <w:color w:val="000000"/>
          <w:sz w:val="24"/>
          <w:highlight w:val="none"/>
        </w:rPr>
      </w:pPr>
    </w:p>
    <w:p w14:paraId="0082A25B">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 xml:space="preserve">供应商:(公章) </w:t>
      </w: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日期:_____年___月___日</w:t>
      </w:r>
    </w:p>
    <w:p w14:paraId="15BCC2CC">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5348EEDA">
      <w:pPr>
        <w:snapToGrid w:val="0"/>
        <w:spacing w:line="360" w:lineRule="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.项目负责人简历表格式：</w:t>
      </w:r>
    </w:p>
    <w:p w14:paraId="0CE5A35A">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t>项目负责人简历表</w:t>
      </w:r>
    </w:p>
    <w:tbl>
      <w:tblPr>
        <w:tblStyle w:val="51"/>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002DA6F5">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0570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2EDC6FA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14:paraId="11241A6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14:paraId="0DA8A3E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14:paraId="2236051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14:paraId="5C0AD49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086E4EA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noWrap w:val="0"/>
            <w:vAlign w:val="center"/>
          </w:tcPr>
          <w:p w14:paraId="453222D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0CDC71CD">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0704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1F14DE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089" w:type="dxa"/>
            <w:tcBorders>
              <w:top w:val="nil"/>
              <w:left w:val="nil"/>
              <w:bottom w:val="single" w:color="000000" w:sz="4" w:space="0"/>
              <w:right w:val="single" w:color="000000" w:sz="4" w:space="0"/>
            </w:tcBorders>
            <w:shd w:val="clear" w:color="auto" w:fill="FFFFFF"/>
            <w:noWrap w:val="0"/>
            <w:vAlign w:val="center"/>
          </w:tcPr>
          <w:p w14:paraId="68B6C13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9587D7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972" w:type="dxa"/>
            <w:tcBorders>
              <w:top w:val="nil"/>
              <w:left w:val="nil"/>
              <w:bottom w:val="single" w:color="000000" w:sz="4" w:space="0"/>
              <w:right w:val="single" w:color="000000" w:sz="4" w:space="0"/>
            </w:tcBorders>
            <w:shd w:val="clear" w:color="auto" w:fill="FFFFFF"/>
            <w:noWrap w:val="0"/>
            <w:vAlign w:val="center"/>
          </w:tcPr>
          <w:p w14:paraId="2DB612A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学历</w:t>
            </w:r>
          </w:p>
        </w:tc>
        <w:tc>
          <w:tcPr>
            <w:tcW w:w="1476" w:type="dxa"/>
            <w:tcBorders>
              <w:top w:val="nil"/>
              <w:left w:val="nil"/>
              <w:bottom w:val="single" w:color="000000" w:sz="4" w:space="0"/>
              <w:right w:val="single" w:color="000000" w:sz="4" w:space="0"/>
            </w:tcBorders>
            <w:shd w:val="clear" w:color="auto" w:fill="FFFFFF"/>
            <w:noWrap w:val="0"/>
            <w:vAlign w:val="center"/>
          </w:tcPr>
          <w:p w14:paraId="4BDAACB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403E1226">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3B1C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CB52902">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F28766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noWrap w:val="0"/>
            <w:vAlign w:val="center"/>
          </w:tcPr>
          <w:p w14:paraId="6E57D506">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4D10979F">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496BF">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66744DB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116" w:type="dxa"/>
            <w:tcBorders>
              <w:top w:val="nil"/>
              <w:left w:val="nil"/>
              <w:bottom w:val="single" w:color="000000" w:sz="4" w:space="0"/>
              <w:right w:val="single" w:color="000000" w:sz="4" w:space="0"/>
            </w:tcBorders>
            <w:shd w:val="clear" w:color="auto" w:fill="FFFFFF"/>
            <w:noWrap w:val="0"/>
            <w:vAlign w:val="center"/>
          </w:tcPr>
          <w:p w14:paraId="35B3B70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5A5EBD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72B1D4A2">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65BF098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简</w:t>
            </w:r>
          </w:p>
          <w:p w14:paraId="149595FE">
            <w:pPr>
              <w:widowControl/>
              <w:jc w:val="center"/>
              <w:rPr>
                <w:rFonts w:hint="eastAsia" w:ascii="宋体" w:hAnsi="宋体" w:eastAsia="宋体" w:cs="宋体"/>
                <w:kern w:val="0"/>
                <w:sz w:val="24"/>
                <w:highlight w:val="none"/>
              </w:rPr>
            </w:pPr>
          </w:p>
          <w:p w14:paraId="2255EFD0">
            <w:pPr>
              <w:widowControl/>
              <w:jc w:val="center"/>
              <w:rPr>
                <w:rFonts w:hint="eastAsia" w:ascii="宋体" w:hAnsi="宋体" w:eastAsia="宋体" w:cs="宋体"/>
                <w:kern w:val="0"/>
                <w:sz w:val="24"/>
                <w:highlight w:val="none"/>
              </w:rPr>
            </w:pPr>
          </w:p>
          <w:p w14:paraId="6151E15B">
            <w:pPr>
              <w:widowControl/>
              <w:jc w:val="center"/>
              <w:rPr>
                <w:rFonts w:hint="eastAsia" w:ascii="宋体" w:hAnsi="宋体" w:eastAsia="宋体" w:cs="宋体"/>
                <w:kern w:val="0"/>
                <w:sz w:val="24"/>
                <w:highlight w:val="none"/>
              </w:rPr>
            </w:pPr>
          </w:p>
          <w:p w14:paraId="26FD8CA2">
            <w:pPr>
              <w:widowControl/>
              <w:jc w:val="center"/>
              <w:rPr>
                <w:rFonts w:hint="eastAsia" w:ascii="宋体" w:hAnsi="宋体" w:eastAsia="宋体" w:cs="宋体"/>
                <w:kern w:val="0"/>
                <w:sz w:val="24"/>
                <w:highlight w:val="none"/>
              </w:rPr>
            </w:pPr>
          </w:p>
          <w:p w14:paraId="61B00E26">
            <w:pPr>
              <w:widowControl/>
              <w:jc w:val="center"/>
              <w:rPr>
                <w:rFonts w:hint="eastAsia" w:ascii="宋体" w:hAnsi="宋体" w:eastAsia="宋体" w:cs="宋体"/>
                <w:kern w:val="0"/>
                <w:sz w:val="24"/>
                <w:highlight w:val="none"/>
              </w:rPr>
            </w:pPr>
          </w:p>
          <w:p w14:paraId="3911441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BED79E9">
            <w:pPr>
              <w:widowControl/>
              <w:jc w:val="left"/>
              <w:rPr>
                <w:rFonts w:hint="eastAsia" w:ascii="宋体" w:hAnsi="宋体" w:eastAsia="宋体" w:cs="宋体"/>
                <w:kern w:val="0"/>
                <w:sz w:val="24"/>
                <w:highlight w:val="none"/>
              </w:rPr>
            </w:pPr>
          </w:p>
        </w:tc>
      </w:tr>
      <w:tr w14:paraId="07A130A4">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noWrap w:val="0"/>
            <w:vAlign w:val="center"/>
          </w:tcPr>
          <w:p w14:paraId="7BDA1564">
            <w:pPr>
              <w:widowControl/>
              <w:jc w:val="left"/>
              <w:rPr>
                <w:rFonts w:hint="eastAsia" w:ascii="宋体" w:hAnsi="宋体" w:eastAsia="宋体" w:cs="宋体"/>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45D5811F">
            <w:pPr>
              <w:widowControl/>
              <w:jc w:val="left"/>
              <w:rPr>
                <w:rFonts w:hint="eastAsia" w:ascii="宋体" w:hAnsi="宋体" w:eastAsia="宋体" w:cs="宋体"/>
                <w:kern w:val="0"/>
                <w:sz w:val="22"/>
                <w:szCs w:val="22"/>
                <w:highlight w:val="none"/>
              </w:rPr>
            </w:pPr>
          </w:p>
        </w:tc>
      </w:tr>
    </w:tbl>
    <w:p w14:paraId="1169EEB3">
      <w:pPr>
        <w:spacing w:line="440" w:lineRule="exact"/>
        <w:ind w:right="480"/>
        <w:rPr>
          <w:rFonts w:hint="eastAsia" w:ascii="宋体" w:hAnsi="宋体" w:eastAsia="宋体" w:cs="宋体"/>
          <w:b/>
          <w:sz w:val="24"/>
          <w:highlight w:val="none"/>
        </w:rPr>
      </w:pPr>
      <w:r>
        <w:rPr>
          <w:rFonts w:hint="eastAsia" w:ascii="宋体" w:hAnsi="宋体" w:eastAsia="宋体" w:cs="宋体"/>
          <w:b/>
          <w:sz w:val="24"/>
          <w:highlight w:val="none"/>
        </w:rPr>
        <w:t xml:space="preserve"> </w:t>
      </w:r>
    </w:p>
    <w:p w14:paraId="5BF13347">
      <w:pPr>
        <w:snapToGrid w:val="0"/>
        <w:spacing w:before="50" w:after="120" w:afterLines="50"/>
        <w:jc w:val="left"/>
        <w:rPr>
          <w:rFonts w:hint="eastAsia" w:ascii="宋体" w:hAnsi="宋体" w:eastAsia="宋体" w:cs="宋体"/>
          <w:b/>
          <w:color w:val="000000"/>
          <w:spacing w:val="20"/>
          <w:sz w:val="24"/>
          <w:highlight w:val="none"/>
        </w:rPr>
      </w:pPr>
      <w:bookmarkStart w:id="113" w:name="_Toc386208330"/>
      <w:bookmarkStart w:id="114" w:name="_Toc689"/>
      <w:bookmarkStart w:id="115" w:name="_Toc386209081"/>
      <w:bookmarkStart w:id="116" w:name="_Toc451876065"/>
      <w:bookmarkStart w:id="117" w:name="_Toc452563048"/>
      <w:bookmarkStart w:id="118" w:name="_Toc386207772"/>
      <w:bookmarkStart w:id="119" w:name="_Toc386207586"/>
      <w:bookmarkStart w:id="120" w:name="_Toc386207865"/>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14:paraId="23A90EF0">
      <w:pPr>
        <w:snapToGrid w:val="0"/>
        <w:spacing w:before="50" w:after="120" w:afterLines="50"/>
        <w:jc w:val="left"/>
        <w:rPr>
          <w:rFonts w:hint="eastAsia" w:ascii="宋体" w:hAnsi="宋体" w:eastAsia="宋体" w:cs="宋体"/>
          <w:b/>
          <w:color w:val="000000"/>
          <w:sz w:val="24"/>
          <w:highlight w:val="none"/>
        </w:rPr>
      </w:pPr>
    </w:p>
    <w:p w14:paraId="6EF6B231">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14:paraId="0EABEA72">
      <w:pPr>
        <w:pStyle w:val="422"/>
        <w:spacing w:before="240" w:beforeLines="100" w:after="120" w:afterLines="50"/>
        <w:outlineLvl w:val="2"/>
        <w:rPr>
          <w:rFonts w:hint="eastAsia" w:ascii="宋体" w:hAnsi="宋体" w:eastAsia="宋体" w:cs="宋体"/>
          <w:szCs w:val="28"/>
          <w:highlight w:val="none"/>
        </w:rPr>
      </w:pPr>
      <w:r>
        <w:rPr>
          <w:rFonts w:hint="eastAsia" w:ascii="宋体" w:hAnsi="宋体" w:eastAsia="宋体" w:cs="宋体"/>
          <w:szCs w:val="28"/>
          <w:highlight w:val="none"/>
        </w:rPr>
        <w:br w:type="page"/>
      </w:r>
      <w:bookmarkStart w:id="121" w:name="_Toc13400"/>
      <w:bookmarkStart w:id="122" w:name="_Toc16832"/>
      <w:bookmarkStart w:id="123" w:name="_Toc26770"/>
      <w:bookmarkStart w:id="124" w:name="_Toc6677"/>
      <w:bookmarkStart w:id="125" w:name="_Toc11092"/>
      <w:bookmarkStart w:id="126" w:name="_Toc386207774"/>
      <w:bookmarkStart w:id="127" w:name="_Toc11120"/>
      <w:bookmarkStart w:id="128" w:name="_Toc386209083"/>
      <w:bookmarkStart w:id="129" w:name="_Toc452563050"/>
      <w:bookmarkStart w:id="130" w:name="_Toc451876067"/>
      <w:bookmarkStart w:id="131" w:name="_Toc386207588"/>
      <w:bookmarkStart w:id="132" w:name="_Toc386208332"/>
      <w:bookmarkStart w:id="133" w:name="_Toc386207867"/>
      <w:bookmarkStart w:id="134" w:name="_Toc9620"/>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.项目负责人在建项目承诺书格式：</w:t>
      </w:r>
      <w:bookmarkEnd w:id="121"/>
      <w:bookmarkEnd w:id="122"/>
      <w:bookmarkEnd w:id="123"/>
      <w:bookmarkEnd w:id="124"/>
      <w:bookmarkEnd w:id="125"/>
      <w:r>
        <w:rPr>
          <w:rFonts w:hint="eastAsia" w:ascii="宋体" w:hAnsi="宋体" w:eastAsia="宋体" w:cs="宋体"/>
          <w:szCs w:val="28"/>
          <w:highlight w:val="none"/>
        </w:rPr>
        <w:t xml:space="preserve"> </w:t>
      </w:r>
    </w:p>
    <w:p w14:paraId="51C65419">
      <w:pPr>
        <w:spacing w:line="440" w:lineRule="exact"/>
        <w:rPr>
          <w:rFonts w:hint="eastAsia" w:ascii="宋体" w:hAnsi="宋体" w:eastAsia="宋体" w:cs="宋体"/>
          <w:sz w:val="20"/>
          <w:szCs w:val="20"/>
          <w:highlight w:val="none"/>
        </w:rPr>
      </w:pPr>
    </w:p>
    <w:p w14:paraId="2BBEE7BD">
      <w:pPr>
        <w:spacing w:line="440" w:lineRule="exact"/>
        <w:jc w:val="center"/>
        <w:rPr>
          <w:rFonts w:hint="eastAsia" w:ascii="宋体" w:hAnsi="宋体" w:eastAsia="宋体" w:cs="宋体"/>
          <w:b/>
          <w:sz w:val="44"/>
          <w:szCs w:val="20"/>
          <w:highlight w:val="none"/>
        </w:rPr>
      </w:pPr>
      <w:r>
        <w:rPr>
          <w:rFonts w:hint="eastAsia" w:ascii="宋体" w:hAnsi="宋体" w:eastAsia="宋体" w:cs="宋体"/>
          <w:b/>
          <w:sz w:val="44"/>
          <w:highlight w:val="none"/>
        </w:rPr>
        <w:t>项目负责人在建项目承诺书</w:t>
      </w:r>
    </w:p>
    <w:p w14:paraId="017C0FD7">
      <w:pPr>
        <w:spacing w:line="440" w:lineRule="exact"/>
        <w:rPr>
          <w:rFonts w:hint="eastAsia" w:ascii="宋体" w:hAnsi="宋体" w:eastAsia="宋体" w:cs="宋体"/>
          <w:sz w:val="24"/>
          <w:highlight w:val="none"/>
        </w:rPr>
      </w:pPr>
    </w:p>
    <w:p w14:paraId="2E0CF209">
      <w:pPr>
        <w:spacing w:line="440" w:lineRule="exact"/>
        <w:rPr>
          <w:rFonts w:hint="eastAsia" w:ascii="宋体" w:hAnsi="宋体" w:eastAsia="宋体" w:cs="宋体"/>
          <w:sz w:val="24"/>
          <w:highlight w:val="none"/>
        </w:rPr>
      </w:pPr>
    </w:p>
    <w:p w14:paraId="4EF5DE06">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我方在此郑重承诺：</w:t>
      </w:r>
    </w:p>
    <w:p w14:paraId="4E09D070">
      <w:pPr>
        <w:spacing w:line="360" w:lineRule="auto"/>
        <w:ind w:firstLine="560" w:firstLineChars="200"/>
        <w:jc w:val="left"/>
        <w:rPr>
          <w:rFonts w:hint="eastAsia" w:ascii="宋体" w:hAnsi="宋体" w:eastAsia="宋体" w:cs="宋体"/>
          <w:sz w:val="24"/>
          <w:highlight w:val="none"/>
        </w:rPr>
      </w:pPr>
      <w:r>
        <w:rPr>
          <w:rFonts w:hint="eastAsia" w:ascii="宋体" w:hAnsi="宋体" w:eastAsia="宋体" w:cs="宋体"/>
          <w:sz w:val="28"/>
          <w:szCs w:val="28"/>
          <w:highlight w:val="none"/>
        </w:rPr>
        <w:t>我方参加</w:t>
      </w:r>
      <w:r>
        <w:rPr>
          <w:rFonts w:hint="eastAsia" w:ascii="宋体" w:hAnsi="宋体" w:cs="宋体"/>
          <w:sz w:val="28"/>
          <w:szCs w:val="28"/>
          <w:highlight w:val="none"/>
          <w:u w:val="single"/>
          <w:lang w:eastAsia="zh-CN"/>
        </w:rPr>
        <w:t>大田街道星都府周边道路工程</w:t>
      </w:r>
      <w:r>
        <w:rPr>
          <w:rFonts w:hint="eastAsia" w:ascii="宋体" w:hAnsi="宋体" w:eastAsia="宋体" w:cs="宋体"/>
          <w:sz w:val="28"/>
          <w:szCs w:val="28"/>
          <w:highlight w:val="none"/>
        </w:rPr>
        <w:t>（招标工程名称）的项目负责人在建项目情况符合招标文件及国家相关规定。</w:t>
      </w:r>
    </w:p>
    <w:p w14:paraId="4AF06099">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72B01B4E">
      <w:pPr>
        <w:spacing w:line="360" w:lineRule="auto"/>
        <w:ind w:firstLine="560" w:firstLineChars="200"/>
        <w:rPr>
          <w:rFonts w:hint="eastAsia" w:ascii="宋体" w:hAnsi="宋体" w:eastAsia="宋体" w:cs="宋体"/>
          <w:sz w:val="28"/>
          <w:szCs w:val="28"/>
          <w:highlight w:val="none"/>
          <w:u w:val="single"/>
        </w:rPr>
      </w:pPr>
    </w:p>
    <w:p w14:paraId="3D6D378A">
      <w:pPr>
        <w:spacing w:line="440" w:lineRule="exact"/>
        <w:jc w:val="center"/>
        <w:rPr>
          <w:rFonts w:hint="eastAsia" w:ascii="宋体" w:hAnsi="宋体" w:eastAsia="宋体" w:cs="宋体"/>
          <w:sz w:val="20"/>
          <w:szCs w:val="20"/>
          <w:highlight w:val="none"/>
        </w:rPr>
      </w:pPr>
    </w:p>
    <w:p w14:paraId="4772CA6A">
      <w:pPr>
        <w:spacing w:line="440" w:lineRule="exact"/>
        <w:jc w:val="center"/>
        <w:rPr>
          <w:rFonts w:hint="eastAsia" w:ascii="宋体" w:hAnsi="宋体" w:eastAsia="宋体" w:cs="宋体"/>
          <w:sz w:val="20"/>
          <w:szCs w:val="20"/>
          <w:highlight w:val="none"/>
        </w:rPr>
      </w:pPr>
    </w:p>
    <w:p w14:paraId="75EE9D14">
      <w:pPr>
        <w:spacing w:line="440" w:lineRule="exact"/>
        <w:jc w:val="center"/>
        <w:rPr>
          <w:rFonts w:hint="eastAsia" w:ascii="宋体" w:hAnsi="宋体" w:eastAsia="宋体" w:cs="宋体"/>
          <w:sz w:val="20"/>
          <w:szCs w:val="20"/>
          <w:highlight w:val="none"/>
        </w:rPr>
      </w:pPr>
    </w:p>
    <w:p w14:paraId="268AC5C8">
      <w:pPr>
        <w:spacing w:line="440" w:lineRule="exact"/>
        <w:jc w:val="center"/>
        <w:rPr>
          <w:rFonts w:hint="eastAsia" w:ascii="宋体" w:hAnsi="宋体" w:eastAsia="宋体" w:cs="宋体"/>
          <w:sz w:val="20"/>
          <w:szCs w:val="20"/>
          <w:highlight w:val="none"/>
        </w:rPr>
      </w:pPr>
    </w:p>
    <w:bookmarkEnd w:id="126"/>
    <w:bookmarkEnd w:id="127"/>
    <w:bookmarkEnd w:id="128"/>
    <w:bookmarkEnd w:id="129"/>
    <w:bookmarkEnd w:id="130"/>
    <w:bookmarkEnd w:id="131"/>
    <w:bookmarkEnd w:id="132"/>
    <w:bookmarkEnd w:id="133"/>
    <w:p w14:paraId="05DC728F">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14:paraId="6E471727">
      <w:pPr>
        <w:snapToGrid w:val="0"/>
        <w:spacing w:before="50" w:after="120" w:afterLines="50"/>
        <w:jc w:val="left"/>
        <w:rPr>
          <w:rFonts w:hint="eastAsia" w:ascii="宋体" w:hAnsi="宋体" w:eastAsia="宋体" w:cs="宋体"/>
          <w:b/>
          <w:color w:val="000000"/>
          <w:sz w:val="24"/>
          <w:highlight w:val="none"/>
        </w:rPr>
      </w:pPr>
    </w:p>
    <w:p w14:paraId="08C4D6F0">
      <w:pPr>
        <w:snapToGrid w:val="0"/>
        <w:spacing w:before="50" w:after="120" w:afterLines="50"/>
        <w:jc w:val="left"/>
        <w:rPr>
          <w:rFonts w:hint="eastAsia" w:ascii="宋体" w:hAnsi="宋体" w:eastAsia="宋体" w:cs="宋体"/>
          <w:b/>
          <w:color w:val="000000"/>
          <w:sz w:val="24"/>
          <w:highlight w:val="none"/>
        </w:rPr>
      </w:pPr>
    </w:p>
    <w:p w14:paraId="5E6B4021">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14:paraId="5A8E2950">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cs="宋体"/>
          <w:color w:val="000000"/>
          <w:sz w:val="24"/>
          <w:highlight w:val="none"/>
          <w:lang w:val="en-US" w:eastAsia="zh-CN"/>
        </w:rPr>
        <w:t>10</w:t>
      </w:r>
      <w:r>
        <w:rPr>
          <w:rFonts w:hint="eastAsia" w:ascii="宋体" w:hAnsi="宋体" w:eastAsia="宋体" w:cs="宋体"/>
          <w:color w:val="000000"/>
          <w:sz w:val="24"/>
          <w:highlight w:val="none"/>
        </w:rPr>
        <w:t>.项目技术负责人简历表格式：</w:t>
      </w:r>
    </w:p>
    <w:bookmarkEnd w:id="113"/>
    <w:bookmarkEnd w:id="114"/>
    <w:bookmarkEnd w:id="115"/>
    <w:bookmarkEnd w:id="116"/>
    <w:bookmarkEnd w:id="117"/>
    <w:bookmarkEnd w:id="118"/>
    <w:bookmarkEnd w:id="119"/>
    <w:bookmarkEnd w:id="120"/>
    <w:bookmarkEnd w:id="134"/>
    <w:p w14:paraId="70953F3E">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t>项目技术负责人简历表</w:t>
      </w:r>
    </w:p>
    <w:tbl>
      <w:tblPr>
        <w:tblStyle w:val="51"/>
        <w:tblW w:w="0" w:type="auto"/>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5F95B2D7">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13D7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5A421B0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83711C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noWrap w:val="0"/>
            <w:vAlign w:val="center"/>
          </w:tcPr>
          <w:p w14:paraId="28855A39">
            <w:pPr>
              <w:widowControl/>
              <w:jc w:val="center"/>
              <w:rPr>
                <w:rFonts w:hint="eastAsia" w:ascii="宋体" w:hAnsi="宋体" w:eastAsia="宋体" w:cs="宋体"/>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49C98BE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711B44D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noWrap w:val="0"/>
            <w:vAlign w:val="center"/>
          </w:tcPr>
          <w:p w14:paraId="01F5423A">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noWrap w:val="0"/>
            <w:vAlign w:val="center"/>
          </w:tcPr>
          <w:p w14:paraId="14BE3B3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3A0C23A3">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27133D8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ABB759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1D11D47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498E8F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020" w:type="dxa"/>
            <w:tcBorders>
              <w:top w:val="nil"/>
              <w:left w:val="nil"/>
              <w:bottom w:val="single" w:color="000000" w:sz="4" w:space="0"/>
              <w:right w:val="single" w:color="000000" w:sz="4" w:space="0"/>
            </w:tcBorders>
            <w:shd w:val="clear" w:color="auto" w:fill="FFFFFF"/>
            <w:noWrap w:val="0"/>
            <w:vAlign w:val="center"/>
          </w:tcPr>
          <w:p w14:paraId="78C940B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学历</w:t>
            </w:r>
          </w:p>
        </w:tc>
        <w:tc>
          <w:tcPr>
            <w:tcW w:w="1780" w:type="dxa"/>
            <w:tcBorders>
              <w:top w:val="nil"/>
              <w:left w:val="nil"/>
              <w:bottom w:val="single" w:color="000000" w:sz="4" w:space="0"/>
              <w:right w:val="single" w:color="000000" w:sz="4" w:space="0"/>
            </w:tcBorders>
            <w:shd w:val="clear" w:color="auto" w:fill="FFFFFF"/>
            <w:noWrap w:val="0"/>
            <w:vAlign w:val="center"/>
          </w:tcPr>
          <w:p w14:paraId="53F47FA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23B07198">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3970A">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15ADBA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131BD3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noWrap w:val="0"/>
            <w:vAlign w:val="center"/>
          </w:tcPr>
          <w:p w14:paraId="439560F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5859C1AA">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166875AA">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简</w:t>
            </w:r>
          </w:p>
          <w:p w14:paraId="3A9570D2">
            <w:pPr>
              <w:widowControl/>
              <w:jc w:val="center"/>
              <w:rPr>
                <w:rFonts w:hint="eastAsia" w:ascii="宋体" w:hAnsi="宋体" w:eastAsia="宋体" w:cs="宋体"/>
                <w:kern w:val="0"/>
                <w:sz w:val="24"/>
                <w:highlight w:val="none"/>
              </w:rPr>
            </w:pPr>
          </w:p>
          <w:p w14:paraId="75FF429F">
            <w:pPr>
              <w:widowControl/>
              <w:jc w:val="center"/>
              <w:rPr>
                <w:rFonts w:hint="eastAsia" w:ascii="宋体" w:hAnsi="宋体" w:eastAsia="宋体" w:cs="宋体"/>
                <w:kern w:val="0"/>
                <w:sz w:val="24"/>
                <w:highlight w:val="none"/>
              </w:rPr>
            </w:pPr>
          </w:p>
          <w:p w14:paraId="380FC652">
            <w:pPr>
              <w:widowControl/>
              <w:jc w:val="center"/>
              <w:rPr>
                <w:rFonts w:hint="eastAsia" w:ascii="宋体" w:hAnsi="宋体" w:eastAsia="宋体" w:cs="宋体"/>
                <w:kern w:val="0"/>
                <w:sz w:val="24"/>
                <w:highlight w:val="none"/>
              </w:rPr>
            </w:pPr>
          </w:p>
          <w:p w14:paraId="54EAF2F2">
            <w:pPr>
              <w:widowControl/>
              <w:jc w:val="center"/>
              <w:rPr>
                <w:rFonts w:hint="eastAsia" w:ascii="宋体" w:hAnsi="宋体" w:eastAsia="宋体" w:cs="宋体"/>
                <w:kern w:val="0"/>
                <w:sz w:val="24"/>
                <w:highlight w:val="none"/>
              </w:rPr>
            </w:pPr>
          </w:p>
          <w:p w14:paraId="4B96A6AD">
            <w:pPr>
              <w:widowControl/>
              <w:jc w:val="center"/>
              <w:rPr>
                <w:rFonts w:hint="eastAsia" w:ascii="宋体" w:hAnsi="宋体" w:eastAsia="宋体" w:cs="宋体"/>
                <w:kern w:val="0"/>
                <w:sz w:val="24"/>
                <w:highlight w:val="none"/>
              </w:rPr>
            </w:pPr>
          </w:p>
          <w:p w14:paraId="1D6EF4F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noWrap w:val="0"/>
            <w:vAlign w:val="top"/>
          </w:tcPr>
          <w:p w14:paraId="0EA2E2B2">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bl>
    <w:p w14:paraId="51C35DF3">
      <w:pPr>
        <w:snapToGrid w:val="0"/>
        <w:spacing w:line="360" w:lineRule="auto"/>
        <w:jc w:val="left"/>
        <w:rPr>
          <w:rFonts w:hint="eastAsia" w:ascii="宋体" w:hAnsi="宋体" w:eastAsia="宋体" w:cs="宋体"/>
          <w:b/>
          <w:bCs/>
          <w:color w:val="000000"/>
          <w:sz w:val="24"/>
          <w:highlight w:val="none"/>
        </w:rPr>
      </w:pPr>
      <w:bookmarkStart w:id="135" w:name="_Toc386209082"/>
      <w:bookmarkStart w:id="136" w:name="_Toc27377"/>
      <w:bookmarkStart w:id="137" w:name="_Toc386207587"/>
      <w:bookmarkStart w:id="138" w:name="_Toc451876066"/>
      <w:bookmarkStart w:id="139" w:name="_Toc452563049"/>
      <w:bookmarkStart w:id="140" w:name="_Toc386207866"/>
      <w:bookmarkStart w:id="141" w:name="_Toc386207773"/>
      <w:bookmarkStart w:id="142" w:name="_Toc386208331"/>
    </w:p>
    <w:p w14:paraId="3EDC0E62">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14:paraId="38085902">
      <w:pPr>
        <w:snapToGrid w:val="0"/>
        <w:spacing w:before="50" w:after="120" w:afterLines="50"/>
        <w:jc w:val="left"/>
        <w:rPr>
          <w:rFonts w:hint="eastAsia" w:ascii="宋体" w:hAnsi="宋体" w:eastAsia="宋体" w:cs="宋体"/>
          <w:b/>
          <w:color w:val="000000"/>
          <w:sz w:val="24"/>
          <w:highlight w:val="none"/>
        </w:rPr>
      </w:pPr>
    </w:p>
    <w:p w14:paraId="3CD2C4FA">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14:paraId="07A488FB">
      <w:pPr>
        <w:snapToGrid w:val="0"/>
        <w:spacing w:before="50" w:after="120" w:afterLines="50"/>
        <w:jc w:val="left"/>
        <w:rPr>
          <w:rFonts w:hint="eastAsia" w:ascii="宋体" w:hAnsi="宋体" w:eastAsia="宋体" w:cs="宋体"/>
          <w:color w:val="000000"/>
          <w:sz w:val="24"/>
          <w:szCs w:val="20"/>
          <w:highlight w:val="none"/>
        </w:rPr>
      </w:pPr>
      <w:r>
        <w:rPr>
          <w:rFonts w:hint="eastAsia" w:ascii="宋体" w:hAnsi="宋体" w:eastAsia="宋体" w:cs="宋体"/>
          <w:szCs w:val="28"/>
          <w:highlight w:val="none"/>
        </w:rPr>
        <w:br w:type="page"/>
      </w:r>
      <w:bookmarkStart w:id="143" w:name="_Toc21341"/>
      <w:r>
        <w:rPr>
          <w:rFonts w:hint="eastAsia" w:ascii="宋体" w:hAnsi="宋体" w:cs="宋体"/>
          <w:color w:val="000000"/>
          <w:sz w:val="24"/>
          <w:highlight w:val="none"/>
          <w:lang w:val="en-US" w:eastAsia="zh-CN"/>
        </w:rPr>
        <w:t>11</w:t>
      </w:r>
      <w:r>
        <w:rPr>
          <w:rFonts w:hint="eastAsia" w:ascii="宋体" w:hAnsi="宋体" w:eastAsia="宋体" w:cs="宋体"/>
          <w:color w:val="000000"/>
          <w:sz w:val="24"/>
          <w:highlight w:val="none"/>
        </w:rPr>
        <w:t>、项目实施人员一览表格式</w:t>
      </w:r>
    </w:p>
    <w:p w14:paraId="3302B690">
      <w:pPr>
        <w:snapToGrid w:val="0"/>
        <w:spacing w:before="50" w:after="120" w:afterLines="50"/>
        <w:jc w:val="left"/>
        <w:rPr>
          <w:rFonts w:hint="eastAsia" w:ascii="宋体" w:hAnsi="宋体" w:eastAsia="宋体" w:cs="宋体"/>
          <w:color w:val="000000"/>
          <w:sz w:val="24"/>
          <w:szCs w:val="20"/>
          <w:highlight w:val="none"/>
        </w:rPr>
      </w:pPr>
    </w:p>
    <w:p w14:paraId="2DA5DE46">
      <w:pPr>
        <w:snapToGrid w:val="0"/>
        <w:spacing w:before="120" w:beforeLines="50" w:after="5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项目实施人员（主要从业人员及其技术资格）一览表</w:t>
      </w:r>
    </w:p>
    <w:p w14:paraId="28851FFC">
      <w:pPr>
        <w:snapToGrid w:val="0"/>
        <w:spacing w:before="120" w:beforeLines="50" w:after="50" w:line="480" w:lineRule="auto"/>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项目名称：</w:t>
      </w:r>
    </w:p>
    <w:p w14:paraId="24CBFCC4">
      <w:pPr>
        <w:snapToGrid w:val="0"/>
        <w:spacing w:before="120" w:beforeLines="50" w:after="50" w:line="48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223AF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14:paraId="3C4C72DA">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EA86F97">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56B455A">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6810CAA">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78355F">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282788F">
            <w:pPr>
              <w:snapToGrid w:val="0"/>
              <w:spacing w:before="120" w:beforeLines="50" w:after="5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进入本单位工作开始时间</w:t>
            </w:r>
          </w:p>
        </w:tc>
      </w:tr>
      <w:tr w14:paraId="458D2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136D21A7">
            <w:pPr>
              <w:snapToGrid w:val="0"/>
              <w:spacing w:before="120" w:beforeLines="50" w:after="50" w:line="360" w:lineRule="auto"/>
              <w:rPr>
                <w:rFonts w:hint="eastAsia" w:ascii="宋体" w:hAnsi="宋体" w:eastAsia="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2660326">
            <w:pPr>
              <w:snapToGrid w:val="0"/>
              <w:spacing w:before="120" w:beforeLines="50" w:after="50" w:line="360" w:lineRule="auto"/>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2627D47">
            <w:pPr>
              <w:snapToGrid w:val="0"/>
              <w:spacing w:before="120" w:beforeLines="50" w:after="50" w:line="360" w:lineRule="auto"/>
              <w:rPr>
                <w:rFonts w:hint="eastAsia" w:ascii="宋体" w:hAnsi="宋体" w:eastAsia="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8DEAD15">
            <w:pPr>
              <w:snapToGrid w:val="0"/>
              <w:spacing w:before="120" w:beforeLines="50" w:after="50" w:line="360" w:lineRule="auto"/>
              <w:rPr>
                <w:rFonts w:hint="eastAsia" w:ascii="宋体" w:hAnsi="宋体" w:eastAsia="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308AB7A">
            <w:pPr>
              <w:snapToGrid w:val="0"/>
              <w:spacing w:before="120" w:beforeLines="50" w:after="50" w:line="360" w:lineRule="auto"/>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2362880">
            <w:pPr>
              <w:snapToGrid w:val="0"/>
              <w:spacing w:before="120" w:beforeLines="50" w:after="50" w:line="360" w:lineRule="auto"/>
              <w:rPr>
                <w:rFonts w:hint="eastAsia" w:ascii="宋体" w:hAnsi="宋体" w:eastAsia="宋体" w:cs="宋体"/>
                <w:sz w:val="24"/>
                <w:highlight w:val="none"/>
              </w:rPr>
            </w:pPr>
          </w:p>
        </w:tc>
      </w:tr>
      <w:tr w14:paraId="4053B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C65D415">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F3426EA">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87BCAFD">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8D06A43">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CC88D3A">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CA460F0">
            <w:pPr>
              <w:snapToGrid w:val="0"/>
              <w:spacing w:before="120" w:beforeLines="50" w:after="50" w:line="360" w:lineRule="auto"/>
              <w:rPr>
                <w:rFonts w:hint="eastAsia" w:ascii="宋体" w:hAnsi="宋体" w:eastAsia="宋体" w:cs="宋体"/>
                <w:color w:val="000000"/>
                <w:sz w:val="24"/>
                <w:highlight w:val="none"/>
              </w:rPr>
            </w:pPr>
          </w:p>
        </w:tc>
      </w:tr>
      <w:tr w14:paraId="3B607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FA8FA5F">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F5A04F8">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3D3478F">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AEEE72C">
            <w:pPr>
              <w:pStyle w:val="31"/>
              <w:snapToGrid w:val="0"/>
              <w:spacing w:before="120" w:beforeLines="50" w:after="50" w:line="360" w:lineRule="auto"/>
              <w:ind w:left="5250"/>
              <w:rPr>
                <w:rFonts w:hint="eastAsia" w:ascii="宋体" w:hAnsi="宋体" w:eastAsia="宋体" w:cs="宋体"/>
                <w:color w:val="000000"/>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1615BE2">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050285C">
            <w:pPr>
              <w:snapToGrid w:val="0"/>
              <w:spacing w:before="120" w:beforeLines="50" w:after="50" w:line="360" w:lineRule="auto"/>
              <w:rPr>
                <w:rFonts w:hint="eastAsia" w:ascii="宋体" w:hAnsi="宋体" w:eastAsia="宋体" w:cs="宋体"/>
                <w:color w:val="000000"/>
                <w:sz w:val="24"/>
                <w:highlight w:val="none"/>
              </w:rPr>
            </w:pPr>
          </w:p>
        </w:tc>
      </w:tr>
      <w:tr w14:paraId="6ADF6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741DCF14">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F0A810E">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394F26A">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CC97771">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ACCDFEE">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8824098">
            <w:pPr>
              <w:snapToGrid w:val="0"/>
              <w:spacing w:before="120" w:beforeLines="50" w:after="50" w:line="360" w:lineRule="auto"/>
              <w:rPr>
                <w:rFonts w:hint="eastAsia" w:ascii="宋体" w:hAnsi="宋体" w:eastAsia="宋体" w:cs="宋体"/>
                <w:color w:val="000000"/>
                <w:sz w:val="24"/>
                <w:highlight w:val="none"/>
              </w:rPr>
            </w:pPr>
          </w:p>
        </w:tc>
      </w:tr>
      <w:tr w14:paraId="76B72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1199ACA1">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F25A92E">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626840C">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710A1C4">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F4F03B9">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DA58836">
            <w:pPr>
              <w:snapToGrid w:val="0"/>
              <w:spacing w:before="120" w:beforeLines="50" w:after="50" w:line="360" w:lineRule="auto"/>
              <w:rPr>
                <w:rFonts w:hint="eastAsia" w:ascii="宋体" w:hAnsi="宋体" w:eastAsia="宋体" w:cs="宋体"/>
                <w:color w:val="000000"/>
                <w:sz w:val="24"/>
                <w:highlight w:val="none"/>
              </w:rPr>
            </w:pPr>
          </w:p>
        </w:tc>
      </w:tr>
      <w:tr w14:paraId="31035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37B40FB">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E77CC31">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2370545">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B4018DE">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5203A36">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9195174">
            <w:pPr>
              <w:snapToGrid w:val="0"/>
              <w:spacing w:before="120" w:beforeLines="50" w:after="50" w:line="360" w:lineRule="auto"/>
              <w:rPr>
                <w:rFonts w:hint="eastAsia" w:ascii="宋体" w:hAnsi="宋体" w:eastAsia="宋体" w:cs="宋体"/>
                <w:color w:val="000000"/>
                <w:sz w:val="24"/>
                <w:highlight w:val="none"/>
              </w:rPr>
            </w:pPr>
          </w:p>
        </w:tc>
      </w:tr>
      <w:tr w14:paraId="779BE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25F86B50">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A732D68">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C130AFE">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D37732B">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15B3C33">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3B4F193">
            <w:pPr>
              <w:snapToGrid w:val="0"/>
              <w:spacing w:before="120" w:beforeLines="50" w:after="50" w:line="360" w:lineRule="auto"/>
              <w:rPr>
                <w:rFonts w:hint="eastAsia" w:ascii="宋体" w:hAnsi="宋体" w:eastAsia="宋体" w:cs="宋体"/>
                <w:color w:val="000000"/>
                <w:sz w:val="24"/>
                <w:highlight w:val="none"/>
              </w:rPr>
            </w:pPr>
          </w:p>
        </w:tc>
      </w:tr>
      <w:tr w14:paraId="7DB9E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A542EEC">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A19DDD1">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1788F0B">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D018AC3">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E2AC90F">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7525E73">
            <w:pPr>
              <w:snapToGrid w:val="0"/>
              <w:spacing w:before="120" w:beforeLines="50" w:after="50" w:line="360" w:lineRule="auto"/>
              <w:rPr>
                <w:rFonts w:hint="eastAsia" w:ascii="宋体" w:hAnsi="宋体" w:eastAsia="宋体" w:cs="宋体"/>
                <w:color w:val="000000"/>
                <w:sz w:val="24"/>
                <w:highlight w:val="none"/>
              </w:rPr>
            </w:pPr>
          </w:p>
        </w:tc>
      </w:tr>
      <w:tr w14:paraId="1CB5C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155BF257">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5B0BFC6">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1E918AD">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D1797A3">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F7F0F2E">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E1DBF6C">
            <w:pPr>
              <w:snapToGrid w:val="0"/>
              <w:spacing w:before="120" w:beforeLines="50" w:after="50" w:line="360" w:lineRule="auto"/>
              <w:rPr>
                <w:rFonts w:hint="eastAsia" w:ascii="宋体" w:hAnsi="宋体" w:eastAsia="宋体" w:cs="宋体"/>
                <w:color w:val="000000"/>
                <w:sz w:val="24"/>
                <w:highlight w:val="none"/>
              </w:rPr>
            </w:pPr>
          </w:p>
        </w:tc>
      </w:tr>
    </w:tbl>
    <w:p w14:paraId="4F726703">
      <w:pPr>
        <w:snapToGrid w:val="0"/>
        <w:spacing w:before="120" w:beforeLines="50" w:after="50" w:line="480" w:lineRule="auto"/>
        <w:rPr>
          <w:rFonts w:hint="eastAsia" w:ascii="宋体" w:hAnsi="宋体" w:eastAsia="宋体" w:cs="宋体"/>
          <w:bCs/>
          <w:color w:val="000000"/>
          <w:sz w:val="24"/>
          <w:highlight w:val="none"/>
        </w:rPr>
      </w:pPr>
    </w:p>
    <w:p w14:paraId="419A09A5">
      <w:pPr>
        <w:snapToGrid w:val="0"/>
        <w:spacing w:before="50" w:after="120" w:afterLines="5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注：填写本表格时如不适合供应商的实际情况，可根据本表格式自行修订填写。</w:t>
      </w:r>
    </w:p>
    <w:p w14:paraId="2480D24D">
      <w:pPr>
        <w:snapToGrid w:val="0"/>
        <w:spacing w:before="50" w:after="120" w:afterLines="50" w:line="360" w:lineRule="auto"/>
        <w:jc w:val="left"/>
        <w:rPr>
          <w:rFonts w:hint="eastAsia" w:ascii="宋体" w:hAnsi="宋体" w:eastAsia="宋体" w:cs="宋体"/>
          <w:color w:val="000000"/>
          <w:sz w:val="24"/>
          <w:szCs w:val="20"/>
          <w:highlight w:val="none"/>
        </w:rPr>
      </w:pPr>
    </w:p>
    <w:p w14:paraId="3F95DF8D">
      <w:pPr>
        <w:snapToGrid w:val="0"/>
        <w:spacing w:before="50" w:after="50"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spacing w:val="20"/>
          <w:sz w:val="24"/>
          <w:highlight w:val="none"/>
        </w:rPr>
        <w:t xml:space="preserve"> 供应商（盖章）： </w:t>
      </w:r>
      <w:r>
        <w:rPr>
          <w:rFonts w:hint="eastAsia" w:ascii="宋体" w:hAnsi="宋体" w:eastAsia="宋体" w:cs="宋体"/>
          <w:b/>
          <w:color w:val="000000"/>
          <w:spacing w:val="20"/>
          <w:sz w:val="24"/>
          <w:highlight w:val="none"/>
        </w:rPr>
        <w:t xml:space="preserve">         </w:t>
      </w:r>
    </w:p>
    <w:p w14:paraId="68E0161F">
      <w:pPr>
        <w:pStyle w:val="29"/>
        <w:snapToGrid w:val="0"/>
        <w:spacing w:beforeLines="0" w:afterLines="0" w:line="240" w:lineRule="auto"/>
        <w:rPr>
          <w:rFonts w:hint="eastAsia" w:ascii="宋体" w:hAnsi="宋体" w:eastAsia="宋体" w:cs="宋体"/>
          <w:b/>
          <w:color w:val="000000"/>
          <w:highlight w:val="none"/>
        </w:rPr>
      </w:pPr>
    </w:p>
    <w:p w14:paraId="09269BBC">
      <w:pPr>
        <w:pStyle w:val="29"/>
        <w:snapToGrid w:val="0"/>
        <w:spacing w:beforeLines="0" w:afterLines="0" w:line="240" w:lineRule="auto"/>
        <w:rPr>
          <w:rFonts w:hint="eastAsia" w:ascii="宋体" w:hAnsi="宋体" w:eastAsia="宋体" w:cs="宋体"/>
          <w:b/>
          <w:color w:val="000000"/>
          <w:highlight w:val="none"/>
        </w:rPr>
      </w:pPr>
      <w:r>
        <w:rPr>
          <w:rFonts w:hint="eastAsia" w:ascii="宋体" w:hAnsi="宋体" w:eastAsia="宋体" w:cs="宋体"/>
          <w:b/>
          <w:color w:val="000000"/>
          <w:highlight w:val="none"/>
        </w:rPr>
        <w:t>日期:_____年___月___日</w:t>
      </w:r>
    </w:p>
    <w:p w14:paraId="4CEC4179">
      <w:pPr>
        <w:pStyle w:val="29"/>
        <w:snapToGrid w:val="0"/>
        <w:spacing w:beforeLines="0" w:afterLines="0" w:line="240" w:lineRule="auto"/>
        <w:rPr>
          <w:rFonts w:hint="eastAsia" w:ascii="宋体" w:hAnsi="宋体" w:eastAsia="宋体" w:cs="宋体"/>
          <w:color w:val="000000"/>
          <w:highlight w:val="none"/>
        </w:rPr>
      </w:pPr>
    </w:p>
    <w:p w14:paraId="14A992EE">
      <w:pPr>
        <w:pStyle w:val="29"/>
        <w:snapToGrid w:val="0"/>
        <w:spacing w:beforeLines="0" w:afterLines="0" w:line="240" w:lineRule="auto"/>
        <w:rPr>
          <w:rFonts w:hint="eastAsia" w:ascii="宋体" w:hAnsi="宋体" w:eastAsia="宋体" w:cs="宋体"/>
          <w:color w:val="000000"/>
          <w:highlight w:val="none"/>
        </w:rPr>
      </w:pPr>
    </w:p>
    <w:p w14:paraId="7F30487F">
      <w:pPr>
        <w:pStyle w:val="29"/>
        <w:snapToGrid w:val="0"/>
        <w:spacing w:beforeLines="0" w:afterLines="0" w:line="240" w:lineRule="auto"/>
        <w:rPr>
          <w:rFonts w:hint="eastAsia" w:ascii="宋体" w:hAnsi="宋体" w:eastAsia="宋体" w:cs="宋体"/>
          <w:color w:val="000000"/>
          <w:highlight w:val="none"/>
        </w:rPr>
        <w:sectPr>
          <w:pgSz w:w="11906" w:h="16838"/>
          <w:pgMar w:top="1021" w:right="1588" w:bottom="851" w:left="1588" w:header="567" w:footer="454" w:gutter="0"/>
          <w:pgNumType w:fmt="decimal"/>
          <w:cols w:space="720" w:num="1"/>
          <w:docGrid w:linePitch="286" w:charSpace="0"/>
        </w:sectPr>
      </w:pPr>
    </w:p>
    <w:p w14:paraId="3212C20F">
      <w:pPr>
        <w:snapToGrid w:val="0"/>
        <w:spacing w:before="50" w:after="120" w:afterLines="50"/>
        <w:jc w:val="left"/>
        <w:rPr>
          <w:rFonts w:hint="eastAsia" w:ascii="宋体" w:hAnsi="宋体" w:eastAsia="宋体" w:cs="宋体"/>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.主要施工机械设备表格式：</w:t>
      </w:r>
      <w:bookmarkEnd w:id="135"/>
      <w:bookmarkEnd w:id="136"/>
      <w:bookmarkEnd w:id="137"/>
      <w:bookmarkEnd w:id="138"/>
      <w:bookmarkEnd w:id="139"/>
      <w:bookmarkEnd w:id="140"/>
      <w:bookmarkEnd w:id="141"/>
      <w:bookmarkEnd w:id="142"/>
      <w:bookmarkEnd w:id="143"/>
      <w:r>
        <w:rPr>
          <w:rFonts w:hint="eastAsia" w:ascii="宋体" w:hAnsi="宋体" w:eastAsia="宋体" w:cs="宋体"/>
          <w:szCs w:val="28"/>
          <w:highlight w:val="none"/>
        </w:rPr>
        <w:t xml:space="preserve"> </w:t>
      </w:r>
    </w:p>
    <w:p w14:paraId="5954EF33">
      <w:pPr>
        <w:spacing w:line="440" w:lineRule="exact"/>
        <w:jc w:val="center"/>
        <w:rPr>
          <w:rFonts w:hint="eastAsia" w:ascii="宋体" w:hAnsi="宋体" w:eastAsia="宋体" w:cs="宋体"/>
          <w:sz w:val="20"/>
          <w:szCs w:val="20"/>
          <w:highlight w:val="none"/>
        </w:rPr>
      </w:pPr>
    </w:p>
    <w:p w14:paraId="1C69986E">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t>主要施工机械设备表</w:t>
      </w:r>
    </w:p>
    <w:tbl>
      <w:tblPr>
        <w:tblStyle w:val="51"/>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77D457F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8429C">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4ABA899F">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F6AF74D">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B1C8B">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2FFC4B6">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7DCCD84">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E436410">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备注</w:t>
            </w:r>
          </w:p>
        </w:tc>
      </w:tr>
      <w:tr w14:paraId="70F6249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54126">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F2F0254">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3995AE41">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C92C7A">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453578B">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E41F218">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1E86EAB">
            <w:pPr>
              <w:widowControl/>
              <w:jc w:val="center"/>
              <w:rPr>
                <w:rFonts w:hint="eastAsia" w:ascii="宋体" w:hAnsi="宋体" w:eastAsia="宋体" w:cs="宋体"/>
                <w:kern w:val="0"/>
                <w:sz w:val="22"/>
                <w:szCs w:val="22"/>
                <w:highlight w:val="none"/>
              </w:rPr>
            </w:pPr>
          </w:p>
        </w:tc>
      </w:tr>
      <w:tr w14:paraId="118F298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86C5E">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3F419EA4">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47DF450">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B09F778">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8188B23">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5997521">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ED26DB8">
            <w:pPr>
              <w:widowControl/>
              <w:jc w:val="center"/>
              <w:rPr>
                <w:rFonts w:hint="eastAsia" w:ascii="宋体" w:hAnsi="宋体" w:eastAsia="宋体" w:cs="宋体"/>
                <w:kern w:val="0"/>
                <w:sz w:val="22"/>
                <w:szCs w:val="22"/>
                <w:highlight w:val="none"/>
              </w:rPr>
            </w:pPr>
          </w:p>
        </w:tc>
      </w:tr>
      <w:tr w14:paraId="74E7653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29F68">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D343A57">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182F9BB">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D09A318">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98574FB">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D8556D">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27A78E6">
            <w:pPr>
              <w:widowControl/>
              <w:jc w:val="center"/>
              <w:rPr>
                <w:rFonts w:hint="eastAsia" w:ascii="宋体" w:hAnsi="宋体" w:eastAsia="宋体" w:cs="宋体"/>
                <w:kern w:val="0"/>
                <w:sz w:val="22"/>
                <w:szCs w:val="22"/>
                <w:highlight w:val="none"/>
              </w:rPr>
            </w:pPr>
          </w:p>
        </w:tc>
      </w:tr>
      <w:tr w14:paraId="78F51B0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03C26">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4D3922F8">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C8E7530">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980018">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BEE8BC4">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F985152">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9C6A5F1">
            <w:pPr>
              <w:widowControl/>
              <w:jc w:val="center"/>
              <w:rPr>
                <w:rFonts w:hint="eastAsia" w:ascii="宋体" w:hAnsi="宋体" w:eastAsia="宋体" w:cs="宋体"/>
                <w:kern w:val="0"/>
                <w:sz w:val="22"/>
                <w:szCs w:val="22"/>
                <w:highlight w:val="none"/>
              </w:rPr>
            </w:pPr>
          </w:p>
        </w:tc>
      </w:tr>
      <w:tr w14:paraId="0802F89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50769">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61A6B4C9">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71EF9E7C">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ACED861">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4F219EA">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52AC9E5">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9CAD47C">
            <w:pPr>
              <w:widowControl/>
              <w:jc w:val="center"/>
              <w:rPr>
                <w:rFonts w:hint="eastAsia" w:ascii="宋体" w:hAnsi="宋体" w:eastAsia="宋体" w:cs="宋体"/>
                <w:kern w:val="0"/>
                <w:sz w:val="22"/>
                <w:szCs w:val="22"/>
                <w:highlight w:val="none"/>
              </w:rPr>
            </w:pPr>
          </w:p>
        </w:tc>
      </w:tr>
      <w:tr w14:paraId="6B80DB4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A34B3">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8C648C5">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043D081">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6986A79">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FCFE4A">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7B8225E">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2972307">
            <w:pPr>
              <w:widowControl/>
              <w:jc w:val="center"/>
              <w:rPr>
                <w:rFonts w:hint="eastAsia" w:ascii="宋体" w:hAnsi="宋体" w:eastAsia="宋体" w:cs="宋体"/>
                <w:kern w:val="0"/>
                <w:sz w:val="22"/>
                <w:szCs w:val="22"/>
                <w:highlight w:val="none"/>
              </w:rPr>
            </w:pPr>
          </w:p>
        </w:tc>
      </w:tr>
      <w:tr w14:paraId="3C4F04A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B52F5">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C2A553A">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0CCDDA30">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23632A1">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D3C92F4">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6FB9EE5">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C39A254">
            <w:pPr>
              <w:widowControl/>
              <w:jc w:val="center"/>
              <w:rPr>
                <w:rFonts w:hint="eastAsia" w:ascii="宋体" w:hAnsi="宋体" w:eastAsia="宋体" w:cs="宋体"/>
                <w:kern w:val="0"/>
                <w:sz w:val="22"/>
                <w:szCs w:val="22"/>
                <w:highlight w:val="none"/>
              </w:rPr>
            </w:pPr>
          </w:p>
        </w:tc>
      </w:tr>
      <w:tr w14:paraId="2F42F0F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FAAEE">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8986F72">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6427DFD1">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1E4384F">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FE0C17">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3966574">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139547">
            <w:pPr>
              <w:widowControl/>
              <w:jc w:val="center"/>
              <w:rPr>
                <w:rFonts w:hint="eastAsia" w:ascii="宋体" w:hAnsi="宋体" w:eastAsia="宋体" w:cs="宋体"/>
                <w:kern w:val="0"/>
                <w:sz w:val="22"/>
                <w:szCs w:val="22"/>
                <w:highlight w:val="none"/>
              </w:rPr>
            </w:pPr>
          </w:p>
        </w:tc>
      </w:tr>
      <w:tr w14:paraId="3E04FDB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345FD">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B2F72E0">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F7D0CAB">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9E4EAF5">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5720F64">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FC11E31">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4A231C1">
            <w:pPr>
              <w:widowControl/>
              <w:jc w:val="center"/>
              <w:rPr>
                <w:rFonts w:hint="eastAsia" w:ascii="宋体" w:hAnsi="宋体" w:eastAsia="宋体" w:cs="宋体"/>
                <w:kern w:val="0"/>
                <w:sz w:val="22"/>
                <w:szCs w:val="22"/>
                <w:highlight w:val="none"/>
              </w:rPr>
            </w:pPr>
          </w:p>
        </w:tc>
      </w:tr>
      <w:tr w14:paraId="795DBC2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05F23">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17A76801">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0C243E64">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84AE259">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2833073">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99E7830">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F4B03ED">
            <w:pPr>
              <w:widowControl/>
              <w:jc w:val="center"/>
              <w:rPr>
                <w:rFonts w:hint="eastAsia" w:ascii="宋体" w:hAnsi="宋体" w:eastAsia="宋体" w:cs="宋体"/>
                <w:kern w:val="0"/>
                <w:sz w:val="22"/>
                <w:szCs w:val="22"/>
                <w:highlight w:val="none"/>
              </w:rPr>
            </w:pPr>
          </w:p>
        </w:tc>
      </w:tr>
      <w:tr w14:paraId="46AF1F9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405BC">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41017C17">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DE72F28">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8D38A5D">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8B4AD3D">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4CCEFD0">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A960B99">
            <w:pPr>
              <w:widowControl/>
              <w:jc w:val="center"/>
              <w:rPr>
                <w:rFonts w:hint="eastAsia" w:ascii="宋体" w:hAnsi="宋体" w:eastAsia="宋体" w:cs="宋体"/>
                <w:kern w:val="0"/>
                <w:sz w:val="22"/>
                <w:szCs w:val="22"/>
                <w:highlight w:val="none"/>
              </w:rPr>
            </w:pPr>
          </w:p>
        </w:tc>
      </w:tr>
      <w:tr w14:paraId="460E9E8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F961C">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9B3DE2D">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12F25E0">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5795C5F">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1684216">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3B2FC99">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0B4A102">
            <w:pPr>
              <w:widowControl/>
              <w:jc w:val="center"/>
              <w:rPr>
                <w:rFonts w:hint="eastAsia" w:ascii="宋体" w:hAnsi="宋体" w:eastAsia="宋体" w:cs="宋体"/>
                <w:kern w:val="0"/>
                <w:sz w:val="22"/>
                <w:szCs w:val="22"/>
                <w:highlight w:val="none"/>
              </w:rPr>
            </w:pPr>
          </w:p>
        </w:tc>
      </w:tr>
      <w:tr w14:paraId="5D5F0235">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7DE32">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B9FBF67">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1AF1B6A">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B50A1FF">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F769D67">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67F052">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2859621">
            <w:pPr>
              <w:widowControl/>
              <w:jc w:val="center"/>
              <w:rPr>
                <w:rFonts w:hint="eastAsia" w:ascii="宋体" w:hAnsi="宋体" w:eastAsia="宋体" w:cs="宋体"/>
                <w:kern w:val="0"/>
                <w:sz w:val="22"/>
                <w:szCs w:val="22"/>
                <w:highlight w:val="none"/>
              </w:rPr>
            </w:pPr>
          </w:p>
        </w:tc>
      </w:tr>
    </w:tbl>
    <w:p w14:paraId="3EEC89AD">
      <w:pPr>
        <w:spacing w:line="440" w:lineRule="exact"/>
        <w:ind w:right="720"/>
        <w:rPr>
          <w:rFonts w:hint="eastAsia" w:ascii="宋体" w:hAnsi="宋体" w:eastAsia="宋体" w:cs="宋体"/>
          <w:sz w:val="24"/>
          <w:highlight w:val="none"/>
        </w:rPr>
      </w:pPr>
    </w:p>
    <w:p w14:paraId="2A31D4D3">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14:paraId="148169ED">
      <w:pPr>
        <w:snapToGrid w:val="0"/>
        <w:spacing w:before="50" w:after="120" w:afterLines="50"/>
        <w:jc w:val="left"/>
        <w:rPr>
          <w:rFonts w:hint="eastAsia" w:ascii="宋体" w:hAnsi="宋体" w:eastAsia="宋体" w:cs="宋体"/>
          <w:b/>
          <w:color w:val="000000"/>
          <w:sz w:val="24"/>
          <w:highlight w:val="none"/>
        </w:rPr>
      </w:pPr>
    </w:p>
    <w:p w14:paraId="0EAF894B">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14:paraId="3ECA6CE7">
      <w:pPr>
        <w:spacing w:line="440" w:lineRule="exact"/>
        <w:ind w:right="840"/>
        <w:jc w:val="right"/>
        <w:rPr>
          <w:rFonts w:hint="eastAsia" w:ascii="宋体" w:hAnsi="宋体" w:eastAsia="宋体" w:cs="宋体"/>
          <w:sz w:val="24"/>
          <w:szCs w:val="24"/>
          <w:highlight w:val="none"/>
        </w:rPr>
        <w:sectPr>
          <w:footerReference r:id="rId8" w:type="default"/>
          <w:pgSz w:w="11906" w:h="16838"/>
          <w:pgMar w:top="1247" w:right="1361" w:bottom="1247" w:left="1361" w:header="851" w:footer="1219" w:gutter="0"/>
          <w:pgNumType w:fmt="decimal"/>
          <w:cols w:space="720" w:num="1"/>
          <w:docGrid w:linePitch="312" w:charSpace="0"/>
        </w:sectPr>
      </w:pPr>
    </w:p>
    <w:p w14:paraId="6F4F57F2">
      <w:pPr>
        <w:snapToGrid w:val="0"/>
        <w:spacing w:before="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13</w:t>
      </w:r>
      <w:r>
        <w:rPr>
          <w:rFonts w:hint="eastAsia" w:ascii="宋体" w:hAnsi="宋体" w:eastAsia="宋体" w:cs="宋体"/>
          <w:color w:val="000000"/>
          <w:sz w:val="24"/>
          <w:highlight w:val="none"/>
        </w:rPr>
        <w:t>.供应商类似合同案例一览表</w:t>
      </w:r>
    </w:p>
    <w:p w14:paraId="4629794B">
      <w:pPr>
        <w:snapToGrid w:val="0"/>
        <w:spacing w:before="50" w:after="120" w:afterLines="50"/>
        <w:jc w:val="center"/>
        <w:rPr>
          <w:rFonts w:hint="eastAsia" w:ascii="宋体" w:hAnsi="宋体"/>
          <w:b/>
          <w:sz w:val="24"/>
          <w:lang w:val="en-US" w:eastAsia="zh-CN"/>
        </w:rPr>
      </w:pPr>
    </w:p>
    <w:p w14:paraId="41FA3B1E">
      <w:pPr>
        <w:snapToGrid w:val="0"/>
        <w:spacing w:before="50" w:after="120" w:afterLines="50"/>
        <w:jc w:val="center"/>
        <w:rPr>
          <w:rFonts w:ascii="宋体" w:hAnsi="宋体"/>
          <w:b/>
          <w:sz w:val="24"/>
        </w:rPr>
      </w:pPr>
      <w:r>
        <w:rPr>
          <w:rFonts w:hint="eastAsia" w:ascii="宋体" w:hAnsi="宋体"/>
          <w:b/>
          <w:sz w:val="24"/>
        </w:rPr>
        <w:t>供应商类似合同案例一览表</w:t>
      </w:r>
    </w:p>
    <w:p w14:paraId="18803906">
      <w:pPr>
        <w:snapToGrid w:val="0"/>
        <w:spacing w:before="120" w:beforeLines="50" w:after="50" w:line="480" w:lineRule="auto"/>
        <w:ind w:firstLine="1068" w:firstLineChars="445"/>
        <w:rPr>
          <w:rFonts w:ascii="宋体" w:hAnsi="宋体"/>
          <w:bCs/>
          <w:sz w:val="24"/>
        </w:rPr>
      </w:pPr>
    </w:p>
    <w:p w14:paraId="23ADE11D">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5E392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center"/>
          </w:tcPr>
          <w:p w14:paraId="0EFECF65">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70CAEA9">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76B08ECF">
            <w:pPr>
              <w:snapToGrid w:val="0"/>
              <w:spacing w:line="360" w:lineRule="auto"/>
              <w:jc w:val="center"/>
              <w:rPr>
                <w:rFonts w:ascii="宋体" w:hAnsi="宋体"/>
                <w:sz w:val="24"/>
              </w:rPr>
            </w:pPr>
            <w:r>
              <w:rPr>
                <w:rFonts w:hint="eastAsia" w:ascii="宋体" w:hAnsi="宋体"/>
                <w:sz w:val="24"/>
              </w:rPr>
              <w:t>合同金额</w:t>
            </w:r>
          </w:p>
          <w:p w14:paraId="33272580">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noWrap w:val="0"/>
            <w:vAlign w:val="center"/>
          </w:tcPr>
          <w:p w14:paraId="6D997331">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3227EDE9">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EE86556">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1798B54E">
            <w:pPr>
              <w:widowControl/>
              <w:spacing w:line="360" w:lineRule="exact"/>
              <w:jc w:val="left"/>
              <w:rPr>
                <w:rFonts w:ascii="宋体" w:hAnsi="宋体"/>
                <w:sz w:val="24"/>
              </w:rPr>
            </w:pPr>
            <w:r>
              <w:rPr>
                <w:rFonts w:hint="eastAsia" w:ascii="宋体" w:hAnsi="宋体"/>
                <w:sz w:val="24"/>
              </w:rPr>
              <w:t>联系电话</w:t>
            </w:r>
          </w:p>
        </w:tc>
      </w:tr>
      <w:tr w14:paraId="546B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1C2DAC9D">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1FC65C92">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2AEBA3C5">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E48162A">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394ABFFD">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0C0B8056">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65BDD24A">
            <w:pPr>
              <w:snapToGrid w:val="0"/>
              <w:spacing w:line="240" w:lineRule="exact"/>
              <w:jc w:val="left"/>
              <w:rPr>
                <w:rFonts w:ascii="宋体" w:hAnsi="宋体"/>
                <w:sz w:val="24"/>
              </w:rPr>
            </w:pPr>
          </w:p>
        </w:tc>
      </w:tr>
      <w:tr w14:paraId="485C5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61ECE1D7">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6D1D71D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798A28F9">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1BA0CC1">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5FCF7865">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6DBDB680">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27EC91C4">
            <w:pPr>
              <w:snapToGrid w:val="0"/>
              <w:spacing w:before="50" w:after="120" w:afterLines="50" w:line="400" w:lineRule="exact"/>
              <w:jc w:val="left"/>
              <w:rPr>
                <w:rFonts w:ascii="宋体" w:hAnsi="宋体"/>
                <w:color w:val="000000"/>
                <w:sz w:val="24"/>
                <w:szCs w:val="20"/>
              </w:rPr>
            </w:pPr>
          </w:p>
        </w:tc>
      </w:tr>
      <w:tr w14:paraId="3CD89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4BB37616">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5F9A2F37">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149AEEEC">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F06CCEA">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0756B87E">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27A602EF">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394BEEE8">
            <w:pPr>
              <w:snapToGrid w:val="0"/>
              <w:spacing w:before="50" w:after="120" w:afterLines="50" w:line="400" w:lineRule="exact"/>
              <w:jc w:val="left"/>
              <w:rPr>
                <w:rFonts w:ascii="宋体" w:hAnsi="宋体"/>
                <w:color w:val="000000"/>
                <w:sz w:val="24"/>
                <w:szCs w:val="20"/>
              </w:rPr>
            </w:pPr>
          </w:p>
        </w:tc>
      </w:tr>
      <w:tr w14:paraId="30287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3B5A843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470AF853">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6E091D9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CDD4E9B">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4B0D378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2F2E8C9F">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5E2CA82B">
            <w:pPr>
              <w:snapToGrid w:val="0"/>
              <w:spacing w:before="50" w:after="120" w:afterLines="50" w:line="400" w:lineRule="exact"/>
              <w:jc w:val="left"/>
              <w:rPr>
                <w:rFonts w:ascii="宋体" w:hAnsi="宋体"/>
                <w:color w:val="000000"/>
                <w:sz w:val="24"/>
                <w:szCs w:val="20"/>
              </w:rPr>
            </w:pPr>
          </w:p>
        </w:tc>
      </w:tr>
      <w:tr w14:paraId="0CE58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2B5EFFD8">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31B93181">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6E91DD89">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FF684E7">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5CC2E74A">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7B1DE0AB">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1737F6D0">
            <w:pPr>
              <w:snapToGrid w:val="0"/>
              <w:spacing w:before="50" w:after="120" w:afterLines="50" w:line="400" w:lineRule="exact"/>
              <w:jc w:val="left"/>
              <w:rPr>
                <w:rFonts w:ascii="宋体" w:hAnsi="宋体"/>
                <w:color w:val="000000"/>
                <w:sz w:val="24"/>
                <w:szCs w:val="20"/>
              </w:rPr>
            </w:pPr>
          </w:p>
        </w:tc>
      </w:tr>
    </w:tbl>
    <w:p w14:paraId="6B673E4E">
      <w:pPr>
        <w:pStyle w:val="1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1695683D">
      <w:pPr>
        <w:pStyle w:val="14"/>
        <w:snapToGrid w:val="0"/>
        <w:ind w:firstLine="360" w:firstLineChars="150"/>
        <w:rPr>
          <w:rFonts w:ascii="宋体" w:hAnsi="宋体" w:eastAsia="宋体"/>
          <w:color w:val="000000"/>
          <w:sz w:val="24"/>
          <w:szCs w:val="24"/>
        </w:rPr>
      </w:pPr>
    </w:p>
    <w:p w14:paraId="4365963F">
      <w:pPr>
        <w:pStyle w:val="14"/>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5CC9ACCF">
      <w:pPr>
        <w:pStyle w:val="92"/>
        <w:rPr>
          <w:rFonts w:hint="eastAsia"/>
        </w:rPr>
        <w:sectPr>
          <w:pgSz w:w="16838" w:h="11906" w:orient="landscape"/>
          <w:pgMar w:top="1361" w:right="1247" w:bottom="1361" w:left="1247" w:header="851" w:footer="1219" w:gutter="0"/>
          <w:pgNumType w:fmt="decimal"/>
          <w:cols w:space="720" w:num="1"/>
          <w:docGrid w:linePitch="312" w:charSpace="0"/>
        </w:sectPr>
      </w:pPr>
    </w:p>
    <w:p w14:paraId="60A26654">
      <w:pPr>
        <w:snapToGrid w:val="0"/>
        <w:spacing w:before="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.商务及技术响应表格式：</w:t>
      </w:r>
    </w:p>
    <w:p w14:paraId="548E4EDB">
      <w:pPr>
        <w:snapToGrid w:val="0"/>
        <w:spacing w:before="50"/>
        <w:jc w:val="left"/>
        <w:rPr>
          <w:rFonts w:hint="eastAsia" w:ascii="宋体" w:hAnsi="宋体" w:eastAsia="宋体" w:cs="宋体"/>
          <w:color w:val="000000"/>
          <w:sz w:val="24"/>
          <w:highlight w:val="none"/>
        </w:rPr>
      </w:pPr>
    </w:p>
    <w:p w14:paraId="4D291286">
      <w:pPr>
        <w:snapToGrid w:val="0"/>
        <w:spacing w:before="5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商务及技术响应表</w:t>
      </w:r>
    </w:p>
    <w:p w14:paraId="42460715">
      <w:pPr>
        <w:snapToGrid w:val="0"/>
        <w:spacing w:before="120" w:beforeLines="50" w:after="50" w:line="360" w:lineRule="auto"/>
        <w:jc w:val="center"/>
        <w:rPr>
          <w:rFonts w:hint="eastAsia" w:ascii="宋体" w:hAnsi="宋体" w:eastAsia="宋体" w:cs="宋体"/>
          <w:bCs/>
          <w:color w:val="000000"/>
          <w:sz w:val="24"/>
          <w:highlight w:val="none"/>
        </w:rPr>
      </w:pPr>
    </w:p>
    <w:p w14:paraId="4A2B347A">
      <w:pPr>
        <w:snapToGrid w:val="0"/>
        <w:spacing w:before="120" w:beforeLines="50" w:after="50" w:line="480" w:lineRule="auto"/>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项目名称：</w:t>
      </w:r>
    </w:p>
    <w:p w14:paraId="562BC702">
      <w:pPr>
        <w:snapToGrid w:val="0"/>
        <w:spacing w:before="120" w:beforeLines="50" w:after="50" w:line="48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29C59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05C594AD">
            <w:pPr>
              <w:snapToGrid w:val="0"/>
              <w:spacing w:before="120" w:beforeLines="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AEF7ED7">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E5E42FB">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0F66DFB">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39B5DBA">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55355733">
            <w:pPr>
              <w:snapToGrid w:val="0"/>
              <w:spacing w:before="120" w:beforeLines="5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相应内容在响应文件中页码</w:t>
            </w:r>
          </w:p>
        </w:tc>
      </w:tr>
      <w:tr w14:paraId="6D513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0143EC9B">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6886333">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4A46660">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7D28268">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95615BC">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0D3E42C0">
            <w:pPr>
              <w:snapToGrid w:val="0"/>
              <w:spacing w:before="120" w:beforeLines="50" w:line="360" w:lineRule="auto"/>
              <w:rPr>
                <w:rFonts w:hint="eastAsia" w:ascii="宋体" w:hAnsi="宋体" w:eastAsia="宋体" w:cs="宋体"/>
                <w:color w:val="000000"/>
                <w:sz w:val="24"/>
                <w:szCs w:val="20"/>
                <w:highlight w:val="none"/>
              </w:rPr>
            </w:pPr>
          </w:p>
        </w:tc>
      </w:tr>
      <w:tr w14:paraId="5E0A7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67A5FEAA">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654C137">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DD5F2B7">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09BB76C">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3BE7A9D">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710AEA1F">
            <w:pPr>
              <w:snapToGrid w:val="0"/>
              <w:spacing w:before="120" w:beforeLines="50" w:line="360" w:lineRule="auto"/>
              <w:rPr>
                <w:rFonts w:hint="eastAsia" w:ascii="宋体" w:hAnsi="宋体" w:eastAsia="宋体" w:cs="宋体"/>
                <w:color w:val="000000"/>
                <w:sz w:val="24"/>
                <w:szCs w:val="20"/>
                <w:highlight w:val="none"/>
              </w:rPr>
            </w:pPr>
          </w:p>
        </w:tc>
      </w:tr>
      <w:tr w14:paraId="24114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21AB283C">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1AE4123">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F850AC8">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DBBBE91">
            <w:pPr>
              <w:snapToGrid w:val="0"/>
              <w:spacing w:before="120" w:beforeLines="50" w:line="360" w:lineRule="auto"/>
              <w:ind w:left="86"/>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F01B2F6">
            <w:pPr>
              <w:snapToGrid w:val="0"/>
              <w:spacing w:before="120" w:beforeLines="50" w:line="360" w:lineRule="auto"/>
              <w:ind w:left="86"/>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24FADFC7">
            <w:pPr>
              <w:snapToGrid w:val="0"/>
              <w:spacing w:before="120" w:beforeLines="50" w:line="360" w:lineRule="auto"/>
              <w:ind w:left="86"/>
              <w:rPr>
                <w:rFonts w:hint="eastAsia" w:ascii="宋体" w:hAnsi="宋体" w:eastAsia="宋体" w:cs="宋体"/>
                <w:color w:val="000000"/>
                <w:sz w:val="24"/>
                <w:szCs w:val="20"/>
                <w:highlight w:val="none"/>
              </w:rPr>
            </w:pPr>
          </w:p>
        </w:tc>
      </w:tr>
      <w:tr w14:paraId="61D86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2D6D1878">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060A1F5">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197B222">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5CEA463">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5E65EA9">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649B35B9">
            <w:pPr>
              <w:snapToGrid w:val="0"/>
              <w:spacing w:before="120" w:beforeLines="50" w:line="360" w:lineRule="auto"/>
              <w:rPr>
                <w:rFonts w:hint="eastAsia" w:ascii="宋体" w:hAnsi="宋体" w:eastAsia="宋体" w:cs="宋体"/>
                <w:color w:val="000000"/>
                <w:sz w:val="24"/>
                <w:szCs w:val="20"/>
                <w:highlight w:val="none"/>
              </w:rPr>
            </w:pPr>
          </w:p>
        </w:tc>
      </w:tr>
      <w:tr w14:paraId="27435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14:paraId="16BA3551">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675BE1">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585B5AA">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58267B2">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53E10B8">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01C1617D">
            <w:pPr>
              <w:snapToGrid w:val="0"/>
              <w:spacing w:before="120" w:beforeLines="50" w:line="360" w:lineRule="auto"/>
              <w:rPr>
                <w:rFonts w:hint="eastAsia" w:ascii="宋体" w:hAnsi="宋体" w:eastAsia="宋体" w:cs="宋体"/>
                <w:color w:val="000000"/>
                <w:sz w:val="24"/>
                <w:szCs w:val="20"/>
                <w:highlight w:val="none"/>
              </w:rPr>
            </w:pPr>
          </w:p>
        </w:tc>
      </w:tr>
      <w:tr w14:paraId="647AF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03019182">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197D149">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C7191CA">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19CACE0">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F08448D">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52DCA997">
            <w:pPr>
              <w:snapToGrid w:val="0"/>
              <w:spacing w:before="120" w:beforeLines="50" w:line="360" w:lineRule="auto"/>
              <w:rPr>
                <w:rFonts w:hint="eastAsia" w:ascii="宋体" w:hAnsi="宋体" w:eastAsia="宋体" w:cs="宋体"/>
                <w:color w:val="000000"/>
                <w:sz w:val="24"/>
                <w:szCs w:val="20"/>
                <w:highlight w:val="none"/>
              </w:rPr>
            </w:pPr>
          </w:p>
        </w:tc>
      </w:tr>
      <w:tr w14:paraId="7A4D2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5609A487">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05673F9">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C33218B">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FF7F55B">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DDCD6F1">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7A9CAE9A">
            <w:pPr>
              <w:snapToGrid w:val="0"/>
              <w:spacing w:before="120" w:beforeLines="50" w:line="360" w:lineRule="auto"/>
              <w:rPr>
                <w:rFonts w:hint="eastAsia" w:ascii="宋体" w:hAnsi="宋体" w:eastAsia="宋体" w:cs="宋体"/>
                <w:color w:val="000000"/>
                <w:sz w:val="24"/>
                <w:szCs w:val="20"/>
                <w:highlight w:val="none"/>
              </w:rPr>
            </w:pPr>
          </w:p>
        </w:tc>
      </w:tr>
    </w:tbl>
    <w:p w14:paraId="5AE79E9E">
      <w:pPr>
        <w:snapToGrid w:val="0"/>
        <w:spacing w:line="400" w:lineRule="exact"/>
        <w:rPr>
          <w:rFonts w:hint="eastAsia" w:ascii="宋体" w:hAnsi="宋体" w:eastAsia="宋体" w:cs="宋体"/>
          <w:b/>
          <w:sz w:val="24"/>
          <w:szCs w:val="20"/>
          <w:highlight w:val="none"/>
          <w:u w:val="single"/>
          <w:shd w:val="pct10" w:color="auto" w:fill="FFFFFF"/>
        </w:rPr>
      </w:pPr>
      <w:r>
        <w:rPr>
          <w:rFonts w:hint="eastAsia" w:ascii="宋体" w:hAnsi="宋体" w:eastAsia="宋体" w:cs="宋体"/>
          <w:b/>
          <w:sz w:val="24"/>
          <w:szCs w:val="20"/>
          <w:highlight w:val="none"/>
          <w:u w:val="single"/>
          <w:shd w:val="pct10" w:color="auto" w:fill="FFFFFF"/>
        </w:rPr>
        <w:t>特别说明：</w:t>
      </w:r>
    </w:p>
    <w:p w14:paraId="06E48F47">
      <w:pPr>
        <w:snapToGrid w:val="0"/>
        <w:spacing w:line="400" w:lineRule="exact"/>
        <w:rPr>
          <w:rFonts w:hint="eastAsia" w:ascii="宋体" w:hAnsi="宋体" w:eastAsia="宋体" w:cs="宋体"/>
          <w:b/>
          <w:sz w:val="24"/>
          <w:highlight w:val="none"/>
          <w:u w:val="single"/>
          <w:shd w:val="pct10" w:color="auto" w:fill="FFFFFF"/>
        </w:rPr>
      </w:pPr>
      <w:r>
        <w:rPr>
          <w:rFonts w:hint="eastAsia" w:ascii="宋体" w:hAnsi="宋体" w:eastAsia="宋体" w:cs="宋体"/>
          <w:b/>
          <w:sz w:val="24"/>
          <w:highlight w:val="none"/>
          <w:u w:val="single"/>
          <w:shd w:val="pct10" w:color="auto" w:fill="FFFFFF"/>
        </w:rPr>
        <w:t>1、投标人应在此表中将招标文件中列明</w:t>
      </w:r>
      <w:bookmarkStart w:id="144" w:name="_Hlk535995896"/>
      <w:r>
        <w:rPr>
          <w:rFonts w:hint="eastAsia" w:ascii="宋体" w:hAnsi="宋体" w:eastAsia="宋体" w:cs="宋体"/>
          <w:b/>
          <w:sz w:val="24"/>
          <w:highlight w:val="none"/>
          <w:u w:val="single"/>
          <w:shd w:val="pct10" w:color="auto" w:fill="FFFFFF"/>
        </w:rPr>
        <w:t>的商务要求和技术参数要求的正偏离或负偏离的应标内容详细写明，</w:t>
      </w:r>
      <w:bookmarkEnd w:id="144"/>
      <w:r>
        <w:rPr>
          <w:rFonts w:hint="eastAsia" w:ascii="宋体" w:hAnsi="宋体" w:eastAsia="宋体" w:cs="宋体"/>
          <w:b/>
          <w:sz w:val="24"/>
          <w:highlight w:val="none"/>
          <w:u w:val="single"/>
          <w:shd w:val="pct10" w:color="auto" w:fill="FFFFFF"/>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7BF4B9CD">
      <w:pPr>
        <w:snapToGrid w:val="0"/>
        <w:spacing w:line="400" w:lineRule="exact"/>
        <w:rPr>
          <w:rFonts w:hint="eastAsia" w:ascii="宋体" w:hAnsi="宋体" w:eastAsia="宋体" w:cs="宋体"/>
          <w:b/>
          <w:sz w:val="24"/>
          <w:highlight w:val="none"/>
          <w:u w:val="single"/>
          <w:shd w:val="pct10" w:color="auto" w:fill="FFFFFF"/>
        </w:rPr>
      </w:pPr>
      <w:r>
        <w:rPr>
          <w:rFonts w:hint="eastAsia" w:ascii="宋体" w:hAnsi="宋体" w:eastAsia="宋体" w:cs="宋体"/>
          <w:b/>
          <w:sz w:val="24"/>
          <w:highlight w:val="none"/>
          <w:u w:val="single"/>
          <w:shd w:val="pct10" w:color="auto" w:fill="FFFFFF"/>
        </w:rPr>
        <w:t>2、如果在本表格中仅填写完全响应而不列出详细的应标内容，不予认可该商务及技术条款已作响应。</w:t>
      </w:r>
    </w:p>
    <w:p w14:paraId="085A06B3">
      <w:pPr>
        <w:pStyle w:val="29"/>
        <w:snapToGrid w:val="0"/>
        <w:spacing w:beforeLines="0" w:afterLines="0" w:line="240" w:lineRule="auto"/>
        <w:rPr>
          <w:rFonts w:hint="eastAsia" w:ascii="宋体" w:hAnsi="宋体" w:eastAsia="宋体" w:cs="宋体"/>
          <w:color w:val="000000"/>
          <w:spacing w:val="20"/>
          <w:highlight w:val="none"/>
        </w:rPr>
      </w:pPr>
    </w:p>
    <w:p w14:paraId="104EAC22">
      <w:pPr>
        <w:pStyle w:val="29"/>
        <w:snapToGrid w:val="0"/>
        <w:spacing w:beforeLines="0" w:afterLines="0" w:line="240" w:lineRule="auto"/>
        <w:rPr>
          <w:rFonts w:hint="eastAsia" w:ascii="宋体" w:hAnsi="宋体" w:eastAsia="宋体" w:cs="宋体"/>
          <w:b/>
          <w:color w:val="000000"/>
          <w:highlight w:val="none"/>
        </w:rPr>
      </w:pPr>
      <w:r>
        <w:rPr>
          <w:rFonts w:hint="eastAsia" w:ascii="宋体" w:hAnsi="宋体" w:eastAsia="宋体" w:cs="宋体"/>
          <w:b/>
          <w:color w:val="000000"/>
          <w:spacing w:val="20"/>
          <w:highlight w:val="none"/>
        </w:rPr>
        <w:t>法定代表人签字（或盖章）：            供应商（盖章）：</w:t>
      </w:r>
    </w:p>
    <w:p w14:paraId="1A9A9132">
      <w:pPr>
        <w:widowControl/>
        <w:jc w:val="left"/>
        <w:rPr>
          <w:rFonts w:hint="eastAsia" w:ascii="宋体" w:hAnsi="宋体" w:eastAsia="宋体" w:cs="宋体"/>
          <w:b/>
          <w:color w:val="000000"/>
          <w:sz w:val="24"/>
          <w:highlight w:val="none"/>
        </w:rPr>
      </w:pPr>
    </w:p>
    <w:p w14:paraId="6FCD8BD9">
      <w:pPr>
        <w:snapToGrid w:val="0"/>
        <w:spacing w:before="50" w:after="120" w:afterLines="50"/>
        <w:jc w:val="left"/>
        <w:rPr>
          <w:rFonts w:hint="eastAsia" w:ascii="宋体" w:hAnsi="宋体" w:eastAsia="宋体" w:cs="宋体"/>
          <w:b/>
          <w:color w:val="000000"/>
          <w:sz w:val="24"/>
          <w:szCs w:val="20"/>
          <w:highlight w:val="none"/>
        </w:rPr>
      </w:pPr>
      <w:bookmarkStart w:id="145" w:name="_Toc265669851"/>
      <w:r>
        <w:rPr>
          <w:rFonts w:hint="eastAsia" w:ascii="宋体" w:hAnsi="宋体" w:eastAsia="宋体" w:cs="宋体"/>
          <w:b/>
          <w:color w:val="000000"/>
          <w:sz w:val="24"/>
          <w:szCs w:val="20"/>
          <w:highlight w:val="none"/>
        </w:rPr>
        <w:t>日期:_____年___月___日</w:t>
      </w:r>
    </w:p>
    <w:p w14:paraId="6E774D6E">
      <w:pPr>
        <w:snapToGrid w:val="0"/>
        <w:spacing w:before="50" w:after="120" w:afterLines="50"/>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5BB294C6">
      <w:pPr>
        <w:snapToGrid w:val="0"/>
        <w:spacing w:before="50" w:after="120" w:afterLines="50"/>
        <w:jc w:val="center"/>
        <w:outlineLvl w:val="1"/>
        <w:rPr>
          <w:rFonts w:hint="eastAsia" w:ascii="宋体" w:hAnsi="宋体" w:eastAsia="宋体" w:cs="宋体"/>
          <w:b/>
          <w:color w:val="000000"/>
          <w:sz w:val="24"/>
          <w:highlight w:val="none"/>
        </w:rPr>
      </w:pPr>
    </w:p>
    <w:bookmarkEnd w:id="84"/>
    <w:bookmarkEnd w:id="145"/>
    <w:p w14:paraId="12EDAEAA">
      <w:pPr>
        <w:snapToGrid w:val="0"/>
        <w:spacing w:before="50" w:after="120" w:afterLines="50"/>
        <w:jc w:val="center"/>
        <w:outlineLvl w:val="1"/>
        <w:rPr>
          <w:rFonts w:hint="eastAsia" w:ascii="宋体" w:hAnsi="宋体" w:eastAsia="宋体" w:cs="宋体"/>
          <w:b/>
          <w:color w:val="000000"/>
          <w:sz w:val="30"/>
          <w:szCs w:val="30"/>
          <w:highlight w:val="none"/>
        </w:rPr>
      </w:pPr>
      <w:bookmarkStart w:id="146" w:name="_Toc466534754"/>
      <w:bookmarkStart w:id="147" w:name="_Toc19193"/>
      <w:r>
        <w:rPr>
          <w:rFonts w:hint="eastAsia" w:ascii="宋体" w:hAnsi="宋体" w:eastAsia="宋体" w:cs="宋体"/>
          <w:b/>
          <w:color w:val="000000"/>
          <w:sz w:val="30"/>
          <w:szCs w:val="30"/>
          <w:highlight w:val="none"/>
        </w:rPr>
        <w:t>三、报价文件格式</w:t>
      </w:r>
      <w:bookmarkEnd w:id="146"/>
      <w:bookmarkEnd w:id="147"/>
    </w:p>
    <w:p w14:paraId="6BEA3865">
      <w:pPr>
        <w:snapToGrid w:val="0"/>
        <w:spacing w:before="120" w:beforeLines="50" w:after="50"/>
        <w:ind w:firstLine="645"/>
        <w:jc w:val="center"/>
        <w:rPr>
          <w:rFonts w:hint="eastAsia" w:ascii="宋体" w:hAnsi="宋体" w:eastAsia="宋体" w:cs="宋体"/>
          <w:color w:val="000000"/>
          <w:sz w:val="24"/>
          <w:szCs w:val="20"/>
          <w:highlight w:val="none"/>
        </w:rPr>
      </w:pPr>
      <w:r>
        <w:rPr>
          <w:rFonts w:hint="eastAsia" w:ascii="宋体" w:hAnsi="宋体" w:eastAsia="宋体" w:cs="宋体"/>
          <w:bCs/>
          <w:color w:val="000000"/>
          <w:sz w:val="24"/>
          <w:highlight w:val="none"/>
        </w:rPr>
        <w:t xml:space="preserve"> </w:t>
      </w:r>
    </w:p>
    <w:p w14:paraId="6199A26E">
      <w:pPr>
        <w:snapToGrid w:val="0"/>
        <w:spacing w:before="120" w:beforeLines="50" w:after="50"/>
        <w:rPr>
          <w:rFonts w:hint="eastAsia" w:ascii="宋体" w:hAnsi="宋体" w:eastAsia="宋体" w:cs="宋体"/>
          <w:color w:val="000000"/>
          <w:sz w:val="24"/>
          <w:szCs w:val="20"/>
          <w:highlight w:val="none"/>
        </w:rPr>
      </w:pPr>
    </w:p>
    <w:p w14:paraId="76100646">
      <w:pPr>
        <w:snapToGrid w:val="0"/>
        <w:spacing w:before="120" w:beforeLines="50" w:after="50"/>
        <w:rPr>
          <w:rFonts w:hint="eastAsia" w:ascii="宋体" w:hAnsi="宋体" w:eastAsia="宋体" w:cs="宋体"/>
          <w:color w:val="000000"/>
          <w:sz w:val="24"/>
          <w:szCs w:val="20"/>
          <w:highlight w:val="none"/>
        </w:rPr>
      </w:pPr>
    </w:p>
    <w:p w14:paraId="212F4177">
      <w:pPr>
        <w:snapToGrid w:val="0"/>
        <w:spacing w:before="120" w:beforeLines="50" w:after="50"/>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w:t>
      </w:r>
      <w:r>
        <w:rPr>
          <w:rFonts w:hint="eastAsia" w:ascii="宋体" w:hAnsi="宋体" w:cs="宋体"/>
          <w:color w:val="000000"/>
          <w:sz w:val="28"/>
          <w:szCs w:val="28"/>
          <w:highlight w:val="none"/>
          <w:lang w:val="en-US" w:eastAsia="zh-CN"/>
        </w:rPr>
        <w:t>5</w:t>
      </w:r>
      <w:r>
        <w:rPr>
          <w:rFonts w:hint="eastAsia" w:ascii="宋体" w:hAnsi="宋体" w:eastAsia="宋体" w:cs="宋体"/>
          <w:color w:val="000000"/>
          <w:sz w:val="28"/>
          <w:szCs w:val="28"/>
          <w:highlight w:val="none"/>
        </w:rPr>
        <w:t xml:space="preserve">.报价文件封面格式： </w:t>
      </w:r>
    </w:p>
    <w:p w14:paraId="72764C46">
      <w:pPr>
        <w:snapToGrid w:val="0"/>
        <w:spacing w:before="120" w:beforeLines="50" w:after="5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报 价 文 件</w:t>
      </w:r>
    </w:p>
    <w:p w14:paraId="7E61EA7F">
      <w:pPr>
        <w:snapToGrid w:val="0"/>
        <w:spacing w:before="120" w:beforeLines="50" w:after="5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 xml:space="preserve"> </w:t>
      </w:r>
    </w:p>
    <w:p w14:paraId="7DF361A3">
      <w:pPr>
        <w:snapToGrid w:val="0"/>
        <w:spacing w:before="120" w:beforeLines="50" w:after="50" w:line="360" w:lineRule="auto"/>
        <w:jc w:val="center"/>
        <w:rPr>
          <w:rFonts w:hint="eastAsia" w:ascii="宋体" w:hAnsi="宋体" w:eastAsia="宋体" w:cs="宋体"/>
          <w:bCs/>
          <w:color w:val="000000"/>
          <w:sz w:val="28"/>
          <w:szCs w:val="28"/>
          <w:highlight w:val="none"/>
        </w:rPr>
      </w:pPr>
    </w:p>
    <w:p w14:paraId="74702923">
      <w:pPr>
        <w:snapToGrid w:val="0"/>
        <w:spacing w:before="120" w:beforeLines="50" w:after="50" w:line="360" w:lineRule="auto"/>
        <w:ind w:firstLine="1246" w:firstLineChars="445"/>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项目名称：</w:t>
      </w:r>
    </w:p>
    <w:p w14:paraId="4EC8F9AA">
      <w:pPr>
        <w:snapToGrid w:val="0"/>
        <w:spacing w:before="120" w:beforeLines="50" w:after="50"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     项目编号：</w:t>
      </w:r>
    </w:p>
    <w:p w14:paraId="55D06BA0">
      <w:pPr>
        <w:pStyle w:val="5"/>
        <w:snapToGrid w:val="0"/>
        <w:spacing w:before="50" w:after="50" w:line="360" w:lineRule="auto"/>
        <w:ind w:firstLine="1164" w:firstLineChars="416"/>
        <w:rPr>
          <w:rFonts w:hint="eastAsia" w:ascii="宋体" w:hAnsi="宋体" w:eastAsia="宋体" w:cs="宋体"/>
          <w:bCs/>
          <w:color w:val="000000"/>
          <w:sz w:val="28"/>
          <w:szCs w:val="28"/>
          <w:highlight w:val="none"/>
        </w:rPr>
      </w:pPr>
    </w:p>
    <w:p w14:paraId="1EB56ABC">
      <w:pPr>
        <w:pStyle w:val="5"/>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供应商名称：</w:t>
      </w:r>
    </w:p>
    <w:p w14:paraId="20B113B9">
      <w:pPr>
        <w:pStyle w:val="5"/>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供应商地址：</w:t>
      </w:r>
    </w:p>
    <w:p w14:paraId="3A397B9B">
      <w:pPr>
        <w:snapToGrid w:val="0"/>
        <w:spacing w:before="120" w:beforeLines="50" w:after="50"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6902DA62">
      <w:pPr>
        <w:snapToGrid w:val="0"/>
        <w:spacing w:before="120" w:beforeLines="50" w:after="50"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年  月  日</w:t>
      </w:r>
    </w:p>
    <w:p w14:paraId="623D75A3">
      <w:pPr>
        <w:pStyle w:val="29"/>
        <w:snapToGrid w:val="0"/>
        <w:spacing w:beforeLines="0" w:afterLines="0" w:line="240" w:lineRule="auto"/>
        <w:rPr>
          <w:rFonts w:hint="eastAsia" w:ascii="宋体" w:hAnsi="宋体" w:eastAsia="宋体" w:cs="宋体"/>
          <w:color w:val="000000"/>
          <w:highlight w:val="none"/>
        </w:rPr>
      </w:pPr>
      <w:r>
        <w:rPr>
          <w:rFonts w:hint="eastAsia" w:ascii="宋体" w:hAnsi="宋体" w:eastAsia="宋体" w:cs="宋体"/>
          <w:color w:val="000000"/>
          <w:highlight w:val="none"/>
        </w:rPr>
        <w:br w:type="page"/>
      </w:r>
      <w:r>
        <w:rPr>
          <w:rFonts w:hint="eastAsia" w:ascii="宋体" w:hAnsi="宋体" w:eastAsia="宋体" w:cs="宋体"/>
          <w:color w:val="000000"/>
          <w:highlight w:val="none"/>
        </w:rPr>
        <w:t>1</w:t>
      </w:r>
      <w:r>
        <w:rPr>
          <w:rFonts w:hint="eastAsia" w:hAnsi="宋体" w:cs="宋体"/>
          <w:color w:val="000000"/>
          <w:highlight w:val="none"/>
          <w:lang w:val="en-US" w:eastAsia="zh-CN"/>
        </w:rPr>
        <w:t>6</w:t>
      </w:r>
      <w:r>
        <w:rPr>
          <w:rFonts w:hint="eastAsia" w:ascii="宋体" w:hAnsi="宋体" w:eastAsia="宋体" w:cs="宋体"/>
          <w:color w:val="000000"/>
          <w:highlight w:val="none"/>
        </w:rPr>
        <w:t>.开标一览表格式：</w:t>
      </w:r>
    </w:p>
    <w:p w14:paraId="6A35FCFF">
      <w:pPr>
        <w:pStyle w:val="29"/>
        <w:snapToGrid w:val="0"/>
        <w:spacing w:beforeLines="0" w:afterLines="0" w:line="240" w:lineRule="auto"/>
        <w:jc w:val="center"/>
        <w:rPr>
          <w:rFonts w:hint="eastAsia" w:ascii="宋体" w:hAnsi="宋体" w:eastAsia="宋体" w:cs="宋体"/>
          <w:b/>
          <w:color w:val="000000"/>
          <w:highlight w:val="none"/>
        </w:rPr>
      </w:pPr>
      <w:r>
        <w:rPr>
          <w:rFonts w:hint="eastAsia" w:ascii="宋体" w:hAnsi="宋体" w:eastAsia="宋体" w:cs="宋体"/>
          <w:b/>
          <w:color w:val="000000"/>
          <w:highlight w:val="none"/>
        </w:rPr>
        <w:t>开标一览表</w:t>
      </w:r>
    </w:p>
    <w:p w14:paraId="13D89EF1">
      <w:pPr>
        <w:snapToGrid w:val="0"/>
        <w:spacing w:before="120" w:beforeLines="50" w:after="50" w:line="480" w:lineRule="auto"/>
        <w:rPr>
          <w:rFonts w:hint="eastAsia" w:ascii="宋体" w:hAnsi="宋体" w:eastAsia="宋体" w:cs="宋体"/>
          <w:b/>
          <w:color w:val="000000"/>
          <w:sz w:val="24"/>
          <w:highlight w:val="none"/>
        </w:rPr>
      </w:pPr>
    </w:p>
    <w:p w14:paraId="58CBF0D1">
      <w:pPr>
        <w:snapToGrid w:val="0"/>
        <w:spacing w:before="120" w:beforeLines="50" w:after="50" w:line="480" w:lineRule="auto"/>
        <w:ind w:firstLine="588" w:firstLineChars="245"/>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项目名称：</w:t>
      </w:r>
    </w:p>
    <w:p w14:paraId="6E5840EC">
      <w:pPr>
        <w:snapToGrid w:val="0"/>
        <w:spacing w:before="120" w:beforeLines="50" w:after="50" w:line="48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213"/>
        <w:gridCol w:w="2410"/>
      </w:tblGrid>
      <w:tr w14:paraId="1826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14:paraId="64ADD070">
            <w:pPr>
              <w:pStyle w:val="29"/>
              <w:snapToGrid w:val="0"/>
              <w:spacing w:beforeLines="0" w:afterLines="0" w:line="240" w:lineRule="auto"/>
              <w:jc w:val="center"/>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名称</w:t>
            </w:r>
          </w:p>
        </w:tc>
        <w:tc>
          <w:tcPr>
            <w:tcW w:w="5213" w:type="dxa"/>
            <w:noWrap w:val="0"/>
            <w:vAlign w:val="center"/>
          </w:tcPr>
          <w:p w14:paraId="725E0590">
            <w:pPr>
              <w:pStyle w:val="29"/>
              <w:snapToGrid w:val="0"/>
              <w:spacing w:beforeLines="0" w:afterLines="0" w:line="240" w:lineRule="auto"/>
              <w:jc w:val="center"/>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内容</w:t>
            </w:r>
          </w:p>
        </w:tc>
        <w:tc>
          <w:tcPr>
            <w:tcW w:w="2410" w:type="dxa"/>
            <w:noWrap w:val="0"/>
            <w:vAlign w:val="center"/>
          </w:tcPr>
          <w:p w14:paraId="5305DA3B">
            <w:pPr>
              <w:pStyle w:val="29"/>
              <w:snapToGrid w:val="0"/>
              <w:spacing w:beforeLines="0" w:afterLines="0" w:line="240" w:lineRule="auto"/>
              <w:jc w:val="center"/>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下浮率</w:t>
            </w:r>
          </w:p>
        </w:tc>
      </w:tr>
      <w:tr w14:paraId="34A3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728" w:type="dxa"/>
            <w:noWrap w:val="0"/>
            <w:vAlign w:val="center"/>
          </w:tcPr>
          <w:p w14:paraId="65A107D7">
            <w:pPr>
              <w:pStyle w:val="29"/>
              <w:snapToGrid w:val="0"/>
              <w:spacing w:beforeLines="0" w:afterLines="0" w:line="240" w:lineRule="auto"/>
              <w:jc w:val="center"/>
              <w:rPr>
                <w:rFonts w:hint="eastAsia" w:ascii="宋体" w:hAnsi="宋体" w:eastAsia="宋体" w:cs="宋体"/>
                <w:b/>
                <w:color w:val="000000"/>
                <w:kern w:val="2"/>
                <w:highlight w:val="none"/>
              </w:rPr>
            </w:pPr>
          </w:p>
          <w:p w14:paraId="2F0DC663">
            <w:pPr>
              <w:pStyle w:val="29"/>
              <w:snapToGrid w:val="0"/>
              <w:spacing w:beforeLines="0" w:afterLines="0" w:line="240" w:lineRule="auto"/>
              <w:jc w:val="center"/>
              <w:rPr>
                <w:rFonts w:hint="eastAsia" w:ascii="宋体" w:hAnsi="宋体" w:eastAsia="宋体" w:cs="宋体"/>
                <w:color w:val="000000"/>
                <w:kern w:val="2"/>
                <w:highlight w:val="none"/>
              </w:rPr>
            </w:pPr>
            <w:r>
              <w:rPr>
                <w:rFonts w:hint="eastAsia" w:ascii="宋体" w:hAnsi="宋体" w:eastAsia="宋体" w:cs="宋体"/>
                <w:color w:val="000000"/>
                <w:kern w:val="2"/>
                <w:highlight w:val="none"/>
              </w:rPr>
              <w:t>投</w:t>
            </w:r>
            <w:r>
              <w:rPr>
                <w:rFonts w:hint="eastAsia" w:ascii="宋体" w:hAnsi="宋体" w:eastAsia="宋体" w:cs="宋体"/>
                <w:kern w:val="2"/>
                <w:highlight w:val="none"/>
              </w:rPr>
              <w:t>标</w:t>
            </w:r>
            <w:r>
              <w:rPr>
                <w:rFonts w:hint="eastAsia" w:ascii="宋体" w:hAnsi="宋体" w:eastAsia="宋体" w:cs="宋体"/>
                <w:b/>
                <w:bCs/>
                <w:kern w:val="2"/>
                <w:highlight w:val="none"/>
              </w:rPr>
              <w:t>总</w:t>
            </w:r>
            <w:r>
              <w:rPr>
                <w:rFonts w:hint="eastAsia" w:ascii="宋体" w:hAnsi="宋体" w:eastAsia="宋体" w:cs="宋体"/>
                <w:kern w:val="2"/>
                <w:highlight w:val="none"/>
              </w:rPr>
              <w:t>报价</w:t>
            </w:r>
          </w:p>
          <w:p w14:paraId="754E416D">
            <w:pPr>
              <w:pStyle w:val="29"/>
              <w:snapToGrid w:val="0"/>
              <w:spacing w:beforeLines="0" w:afterLines="0" w:line="240" w:lineRule="auto"/>
              <w:rPr>
                <w:rFonts w:hint="eastAsia" w:ascii="宋体" w:hAnsi="宋体" w:eastAsia="宋体" w:cs="宋体"/>
                <w:b/>
                <w:color w:val="000000"/>
                <w:kern w:val="2"/>
                <w:highlight w:val="none"/>
              </w:rPr>
            </w:pPr>
          </w:p>
        </w:tc>
        <w:tc>
          <w:tcPr>
            <w:tcW w:w="5213" w:type="dxa"/>
            <w:noWrap w:val="0"/>
            <w:vAlign w:val="center"/>
          </w:tcPr>
          <w:p w14:paraId="5B412F38">
            <w:pPr>
              <w:pStyle w:val="29"/>
              <w:snapToGrid w:val="0"/>
              <w:spacing w:beforeLines="0" w:afterLines="0" w:line="240" w:lineRule="auto"/>
              <w:rPr>
                <w:rFonts w:hint="eastAsia" w:ascii="宋体" w:hAnsi="宋体" w:eastAsia="宋体" w:cs="宋体"/>
                <w:color w:val="000000"/>
                <w:kern w:val="2"/>
                <w:highlight w:val="none"/>
              </w:rPr>
            </w:pPr>
          </w:p>
          <w:p w14:paraId="11AF55C6">
            <w:pPr>
              <w:pStyle w:val="29"/>
              <w:snapToGrid w:val="0"/>
              <w:spacing w:beforeLines="0" w:afterLines="0" w:line="240" w:lineRule="auto"/>
              <w:ind w:left="240" w:hanging="240" w:hangingChars="100"/>
              <w:rPr>
                <w:rFonts w:hint="eastAsia" w:ascii="宋体" w:hAnsi="宋体" w:eastAsia="宋体" w:cs="宋体"/>
                <w:kern w:val="2"/>
                <w:highlight w:val="none"/>
              </w:rPr>
            </w:pPr>
            <w:r>
              <w:rPr>
                <w:rFonts w:hint="eastAsia" w:ascii="宋体" w:hAnsi="宋体" w:eastAsia="宋体" w:cs="宋体"/>
                <w:color w:val="000000"/>
                <w:kern w:val="2"/>
                <w:highlight w:val="none"/>
              </w:rPr>
              <w:t>大写</w:t>
            </w:r>
            <w:r>
              <w:rPr>
                <w:rFonts w:hint="eastAsia" w:ascii="宋体" w:hAnsi="宋体" w:eastAsia="宋体" w:cs="宋体"/>
                <w:kern w:val="2"/>
                <w:highlight w:val="none"/>
              </w:rPr>
              <w:t>：人民币</w:t>
            </w:r>
            <w:r>
              <w:rPr>
                <w:rFonts w:hint="eastAsia" w:ascii="宋体" w:hAnsi="宋体" w:eastAsia="宋体" w:cs="宋体"/>
                <w:kern w:val="2"/>
                <w:highlight w:val="none"/>
                <w:u w:val="single"/>
              </w:rPr>
              <w:t xml:space="preserve">    </w:t>
            </w:r>
            <w:r>
              <w:rPr>
                <w:rFonts w:hint="eastAsia" w:ascii="宋体" w:hAnsi="宋体" w:eastAsia="宋体" w:cs="宋体"/>
                <w:kern w:val="2"/>
                <w:highlight w:val="none"/>
              </w:rPr>
              <w:t>拾</w:t>
            </w:r>
            <w:r>
              <w:rPr>
                <w:rFonts w:hint="eastAsia" w:ascii="宋体" w:hAnsi="宋体" w:eastAsia="宋体" w:cs="宋体"/>
                <w:kern w:val="2"/>
                <w:highlight w:val="none"/>
                <w:u w:val="single"/>
              </w:rPr>
              <w:t xml:space="preserve">   </w:t>
            </w:r>
            <w:r>
              <w:rPr>
                <w:rFonts w:hint="eastAsia" w:ascii="宋体" w:hAnsi="宋体" w:eastAsia="宋体" w:cs="宋体"/>
                <w:kern w:val="2"/>
                <w:highlight w:val="none"/>
              </w:rPr>
              <w:t>万</w:t>
            </w:r>
            <w:r>
              <w:rPr>
                <w:rFonts w:hint="eastAsia" w:ascii="宋体" w:hAnsi="宋体" w:eastAsia="宋体" w:cs="宋体"/>
                <w:kern w:val="2"/>
                <w:highlight w:val="none"/>
                <w:u w:val="single"/>
              </w:rPr>
              <w:t xml:space="preserve">   </w:t>
            </w:r>
            <w:r>
              <w:rPr>
                <w:rFonts w:hint="eastAsia" w:ascii="宋体" w:hAnsi="宋体" w:eastAsia="宋体" w:cs="宋体"/>
                <w:kern w:val="2"/>
                <w:highlight w:val="none"/>
              </w:rPr>
              <w:t>仟</w:t>
            </w:r>
            <w:r>
              <w:rPr>
                <w:rFonts w:hint="eastAsia" w:ascii="宋体" w:hAnsi="宋体" w:eastAsia="宋体" w:cs="宋体"/>
                <w:kern w:val="2"/>
                <w:highlight w:val="none"/>
                <w:u w:val="single"/>
              </w:rPr>
              <w:t xml:space="preserve">   </w:t>
            </w:r>
            <w:r>
              <w:rPr>
                <w:rFonts w:hint="eastAsia" w:ascii="宋体" w:hAnsi="宋体" w:eastAsia="宋体" w:cs="宋体"/>
                <w:kern w:val="2"/>
                <w:highlight w:val="none"/>
              </w:rPr>
              <w:t>佰</w:t>
            </w:r>
            <w:r>
              <w:rPr>
                <w:rFonts w:hint="eastAsia" w:ascii="宋体" w:hAnsi="宋体" w:eastAsia="宋体" w:cs="宋体"/>
                <w:kern w:val="2"/>
                <w:highlight w:val="none"/>
                <w:u w:val="single"/>
              </w:rPr>
              <w:t xml:space="preserve">   </w:t>
            </w:r>
            <w:r>
              <w:rPr>
                <w:rFonts w:hint="eastAsia" w:ascii="宋体" w:hAnsi="宋体" w:eastAsia="宋体" w:cs="宋体"/>
                <w:kern w:val="2"/>
                <w:highlight w:val="none"/>
              </w:rPr>
              <w:t>拾</w:t>
            </w:r>
            <w:r>
              <w:rPr>
                <w:rFonts w:hint="eastAsia" w:ascii="宋体" w:hAnsi="宋体" w:eastAsia="宋体" w:cs="宋体"/>
                <w:kern w:val="2"/>
                <w:highlight w:val="none"/>
                <w:u w:val="single"/>
              </w:rPr>
              <w:t xml:space="preserve">    </w:t>
            </w:r>
            <w:r>
              <w:rPr>
                <w:rFonts w:hint="eastAsia" w:ascii="宋体" w:hAnsi="宋体" w:eastAsia="宋体" w:cs="宋体"/>
                <w:kern w:val="2"/>
                <w:highlight w:val="none"/>
              </w:rPr>
              <w:t xml:space="preserve">元 </w:t>
            </w:r>
            <w:r>
              <w:rPr>
                <w:rFonts w:hint="eastAsia" w:ascii="宋体" w:hAnsi="宋体" w:eastAsia="宋体" w:cs="宋体"/>
                <w:kern w:val="2"/>
                <w:highlight w:val="none"/>
                <w:u w:val="single"/>
              </w:rPr>
              <w:t xml:space="preserve">    </w:t>
            </w:r>
            <w:r>
              <w:rPr>
                <w:rFonts w:hint="eastAsia" w:ascii="宋体" w:hAnsi="宋体" w:eastAsia="宋体" w:cs="宋体"/>
                <w:kern w:val="2"/>
                <w:highlight w:val="none"/>
              </w:rPr>
              <w:t>角</w:t>
            </w:r>
            <w:r>
              <w:rPr>
                <w:rFonts w:hint="eastAsia" w:ascii="宋体" w:hAnsi="宋体" w:eastAsia="宋体" w:cs="宋体"/>
                <w:kern w:val="2"/>
                <w:highlight w:val="none"/>
                <w:u w:val="single"/>
              </w:rPr>
              <w:t xml:space="preserve">    </w:t>
            </w:r>
            <w:r>
              <w:rPr>
                <w:rFonts w:hint="eastAsia" w:ascii="宋体" w:hAnsi="宋体" w:eastAsia="宋体" w:cs="宋体"/>
                <w:kern w:val="2"/>
                <w:highlight w:val="none"/>
              </w:rPr>
              <w:t>分整</w:t>
            </w:r>
          </w:p>
          <w:p w14:paraId="72E3777B">
            <w:pPr>
              <w:pStyle w:val="29"/>
              <w:snapToGrid w:val="0"/>
              <w:spacing w:beforeLines="0" w:afterLines="0" w:line="240" w:lineRule="auto"/>
              <w:rPr>
                <w:rFonts w:hint="eastAsia" w:ascii="宋体" w:hAnsi="宋体" w:eastAsia="宋体" w:cs="宋体"/>
                <w:kern w:val="2"/>
                <w:highlight w:val="none"/>
              </w:rPr>
            </w:pPr>
          </w:p>
          <w:p w14:paraId="0623E444">
            <w:pPr>
              <w:pStyle w:val="29"/>
              <w:snapToGrid w:val="0"/>
              <w:spacing w:beforeLines="0" w:afterLines="0" w:line="240" w:lineRule="auto"/>
              <w:rPr>
                <w:rFonts w:hint="eastAsia" w:ascii="宋体" w:hAnsi="宋体" w:eastAsia="宋体" w:cs="宋体"/>
                <w:kern w:val="2"/>
                <w:highlight w:val="none"/>
              </w:rPr>
            </w:pPr>
            <w:r>
              <w:rPr>
                <w:rFonts w:hint="eastAsia" w:ascii="宋体" w:hAnsi="宋体" w:eastAsia="宋体" w:cs="宋体"/>
                <w:kern w:val="2"/>
                <w:highlight w:val="none"/>
              </w:rPr>
              <w:t>小写：</w:t>
            </w:r>
            <w:r>
              <w:rPr>
                <w:rFonts w:hint="eastAsia" w:ascii="宋体" w:hAnsi="宋体" w:eastAsia="宋体" w:cs="宋体"/>
                <w:kern w:val="2"/>
                <w:highlight w:val="none"/>
                <w:u w:val="single"/>
              </w:rPr>
              <w:t>￥</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kern w:val="2"/>
                <w:highlight w:val="none"/>
              </w:rPr>
              <w:t>元整</w:t>
            </w:r>
          </w:p>
        </w:tc>
        <w:tc>
          <w:tcPr>
            <w:tcW w:w="2410" w:type="dxa"/>
            <w:noWrap w:val="0"/>
            <w:vAlign w:val="top"/>
          </w:tcPr>
          <w:p w14:paraId="16AF04C8">
            <w:pPr>
              <w:pStyle w:val="29"/>
              <w:snapToGrid w:val="0"/>
              <w:spacing w:beforeLines="0" w:afterLines="0" w:line="240" w:lineRule="auto"/>
              <w:rPr>
                <w:rFonts w:hint="eastAsia" w:ascii="宋体" w:hAnsi="宋体" w:eastAsia="宋体" w:cs="宋体"/>
                <w:b/>
                <w:color w:val="000000"/>
                <w:kern w:val="2"/>
                <w:highlight w:val="none"/>
              </w:rPr>
            </w:pPr>
          </w:p>
          <w:p w14:paraId="644DF78D">
            <w:pPr>
              <w:pStyle w:val="29"/>
              <w:snapToGrid w:val="0"/>
              <w:spacing w:beforeLines="0" w:afterLines="0" w:line="240" w:lineRule="auto"/>
              <w:rPr>
                <w:rFonts w:hint="eastAsia" w:ascii="宋体" w:hAnsi="宋体" w:eastAsia="宋体" w:cs="宋体"/>
                <w:b/>
                <w:color w:val="000000"/>
                <w:kern w:val="2"/>
                <w:highlight w:val="none"/>
              </w:rPr>
            </w:pPr>
          </w:p>
          <w:p w14:paraId="0D005C95">
            <w:pPr>
              <w:pStyle w:val="29"/>
              <w:snapToGrid w:val="0"/>
              <w:spacing w:beforeLines="0" w:afterLines="0" w:line="240" w:lineRule="auto"/>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本项目投标下浮率为</w:t>
            </w:r>
            <w:r>
              <w:rPr>
                <w:rFonts w:hint="eastAsia" w:ascii="宋体" w:hAnsi="宋体" w:eastAsia="宋体" w:cs="宋体"/>
                <w:b/>
                <w:color w:val="000000"/>
                <w:kern w:val="2"/>
                <w:highlight w:val="none"/>
                <w:u w:val="single"/>
              </w:rPr>
              <w:t xml:space="preserve">      </w:t>
            </w:r>
            <w:r>
              <w:rPr>
                <w:rFonts w:hint="eastAsia" w:ascii="宋体" w:hAnsi="宋体" w:eastAsia="宋体" w:cs="宋体"/>
                <w:b/>
                <w:color w:val="000000"/>
                <w:kern w:val="2"/>
                <w:highlight w:val="none"/>
              </w:rPr>
              <w:t>%</w:t>
            </w:r>
          </w:p>
        </w:tc>
      </w:tr>
      <w:tr w14:paraId="5DA9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728" w:type="dxa"/>
            <w:noWrap w:val="0"/>
            <w:vAlign w:val="center"/>
          </w:tcPr>
          <w:p w14:paraId="128CA743">
            <w:pPr>
              <w:pStyle w:val="29"/>
              <w:snapToGrid w:val="0"/>
              <w:spacing w:beforeLines="0" w:afterLines="0" w:line="240" w:lineRule="auto"/>
              <w:rPr>
                <w:rFonts w:hint="eastAsia" w:ascii="宋体" w:hAnsi="宋体" w:eastAsia="宋体" w:cs="宋体"/>
                <w:b/>
                <w:color w:val="000000"/>
                <w:kern w:val="2"/>
                <w:highlight w:val="none"/>
                <w:lang w:eastAsia="zh-CN"/>
              </w:rPr>
            </w:pPr>
            <w:r>
              <w:rPr>
                <w:rFonts w:hint="eastAsia" w:hAnsi="宋体" w:cs="宋体"/>
                <w:b/>
                <w:color w:val="000000"/>
                <w:kern w:val="2"/>
                <w:highlight w:val="none"/>
                <w:lang w:eastAsia="zh-CN"/>
              </w:rPr>
              <w:t>工期</w:t>
            </w:r>
          </w:p>
        </w:tc>
        <w:tc>
          <w:tcPr>
            <w:tcW w:w="5213" w:type="dxa"/>
            <w:noWrap w:val="0"/>
            <w:vAlign w:val="center"/>
          </w:tcPr>
          <w:p w14:paraId="7DE850F4">
            <w:pPr>
              <w:pStyle w:val="29"/>
              <w:snapToGrid w:val="0"/>
              <w:spacing w:beforeLines="0" w:afterLines="0" w:line="240" w:lineRule="auto"/>
              <w:rPr>
                <w:rFonts w:hint="default" w:ascii="宋体" w:hAnsi="宋体" w:eastAsia="宋体" w:cs="宋体"/>
                <w:kern w:val="2"/>
                <w:highlight w:val="none"/>
                <w:lang w:val="en-US" w:eastAsia="zh-CN"/>
              </w:rPr>
            </w:pPr>
            <w:r>
              <w:rPr>
                <w:rFonts w:hint="eastAsia" w:ascii="宋体" w:hAnsi="宋体" w:eastAsia="宋体" w:cs="宋体"/>
                <w:bCs/>
                <w:color w:val="000000"/>
                <w:sz w:val="24"/>
                <w:highlight w:val="none"/>
                <w:u w:val="single"/>
                <w:lang w:val="en-US" w:eastAsia="zh-CN"/>
              </w:rPr>
              <w:t xml:space="preserve">                       </w:t>
            </w:r>
            <w:r>
              <w:rPr>
                <w:rFonts w:hint="eastAsia" w:hAnsi="宋体" w:cs="宋体"/>
                <w:kern w:val="2"/>
                <w:highlight w:val="none"/>
                <w:lang w:eastAsia="zh-CN"/>
              </w:rPr>
              <w:t>日历天</w:t>
            </w:r>
          </w:p>
        </w:tc>
        <w:tc>
          <w:tcPr>
            <w:tcW w:w="2410" w:type="dxa"/>
            <w:noWrap w:val="0"/>
            <w:vAlign w:val="top"/>
          </w:tcPr>
          <w:p w14:paraId="7C6B1495">
            <w:pPr>
              <w:pStyle w:val="29"/>
              <w:snapToGrid w:val="0"/>
              <w:spacing w:beforeLines="0" w:afterLines="0" w:line="240" w:lineRule="auto"/>
              <w:rPr>
                <w:rFonts w:hint="eastAsia" w:ascii="宋体" w:hAnsi="宋体" w:eastAsia="宋体" w:cs="宋体"/>
                <w:b/>
                <w:color w:val="000000"/>
                <w:kern w:val="2"/>
                <w:highlight w:val="none"/>
              </w:rPr>
            </w:pPr>
          </w:p>
        </w:tc>
      </w:tr>
    </w:tbl>
    <w:p w14:paraId="150EB7C2">
      <w:pPr>
        <w:pStyle w:val="29"/>
        <w:snapToGrid w:val="0"/>
        <w:spacing w:beforeLines="0" w:afterLines="0" w:line="240" w:lineRule="auto"/>
        <w:rPr>
          <w:rFonts w:hint="eastAsia" w:ascii="宋体" w:hAnsi="宋体" w:eastAsia="宋体" w:cs="宋体"/>
          <w:b/>
          <w:color w:val="000000"/>
          <w:highlight w:val="none"/>
        </w:rPr>
      </w:pPr>
    </w:p>
    <w:p w14:paraId="5286F681">
      <w:pPr>
        <w:pStyle w:val="29"/>
        <w:snapToGrid w:val="0"/>
        <w:spacing w:beforeLines="0" w:afterLines="0"/>
        <w:rPr>
          <w:rFonts w:hint="eastAsia" w:ascii="宋体" w:hAnsi="宋体" w:eastAsia="宋体" w:cs="宋体"/>
          <w:b/>
          <w:color w:val="FF0000"/>
          <w:kern w:val="2"/>
          <w:szCs w:val="20"/>
          <w:highlight w:val="none"/>
        </w:rPr>
      </w:pPr>
    </w:p>
    <w:p w14:paraId="48423BB1">
      <w:pPr>
        <w:pStyle w:val="46"/>
        <w:spacing w:before="0" w:beforeAutospacing="0" w:after="0" w:afterAutospacing="0" w:line="400" w:lineRule="exact"/>
        <w:rPr>
          <w:rFonts w:hint="eastAsia" w:ascii="宋体" w:hAnsi="宋体" w:eastAsia="宋体" w:cs="宋体"/>
          <w:b/>
          <w:color w:val="FF0000"/>
          <w:kern w:val="2"/>
          <w:szCs w:val="20"/>
          <w:highlight w:val="none"/>
        </w:rPr>
      </w:pPr>
      <w:r>
        <w:rPr>
          <w:rFonts w:hint="eastAsia" w:ascii="宋体" w:hAnsi="宋体" w:eastAsia="宋体" w:cs="宋体"/>
          <w:b/>
          <w:color w:val="000000"/>
          <w:kern w:val="2"/>
          <w:highlight w:val="none"/>
        </w:rPr>
        <w:t>备注：本项目最高限价为</w:t>
      </w:r>
      <w:r>
        <w:rPr>
          <w:rFonts w:hint="eastAsia" w:cs="宋体"/>
          <w:b/>
          <w:highlight w:val="none"/>
          <w:u w:val="single"/>
          <w:shd w:val="pct10" w:color="auto" w:fill="FFFFFF"/>
          <w:lang w:val="en-US" w:eastAsia="zh-CN"/>
        </w:rPr>
        <w:t>858330</w:t>
      </w:r>
      <w:r>
        <w:rPr>
          <w:rFonts w:hint="eastAsia" w:ascii="宋体" w:hAnsi="宋体" w:eastAsia="宋体" w:cs="宋体"/>
          <w:b/>
          <w:highlight w:val="none"/>
          <w:u w:val="single"/>
          <w:shd w:val="pct10" w:color="auto" w:fill="FFFFFF"/>
        </w:rPr>
        <w:t>元【即本项目投标下浮率不少于</w:t>
      </w:r>
      <w:r>
        <w:rPr>
          <w:rFonts w:hint="eastAsia" w:cs="宋体"/>
          <w:b/>
          <w:highlight w:val="none"/>
          <w:u w:val="single"/>
          <w:shd w:val="pct10" w:color="auto" w:fill="FFFFFF"/>
          <w:lang w:val="en-US" w:eastAsia="zh-CN"/>
        </w:rPr>
        <w:t>12</w:t>
      </w:r>
      <w:r>
        <w:rPr>
          <w:rFonts w:hint="eastAsia" w:ascii="宋体" w:hAnsi="宋体" w:eastAsia="宋体" w:cs="宋体"/>
          <w:b/>
          <w:highlight w:val="none"/>
          <w:u w:val="single"/>
          <w:shd w:val="pct10" w:color="auto" w:fill="FFFFFF"/>
        </w:rPr>
        <w:t>%，即97537</w:t>
      </w:r>
      <w:r>
        <w:rPr>
          <w:rFonts w:hint="eastAsia" w:cs="宋体"/>
          <w:b/>
          <w:highlight w:val="none"/>
          <w:u w:val="single"/>
          <w:shd w:val="pct10" w:color="auto" w:fill="FFFFFF"/>
          <w:lang w:val="en-US" w:eastAsia="zh-CN"/>
        </w:rPr>
        <w:t>6</w:t>
      </w:r>
      <w:r>
        <w:rPr>
          <w:rFonts w:hint="eastAsia" w:ascii="宋体" w:hAnsi="宋体" w:eastAsia="宋体" w:cs="宋体"/>
          <w:b/>
          <w:highlight w:val="none"/>
          <w:u w:val="single"/>
          <w:shd w:val="pct10" w:color="auto" w:fill="FFFFFF"/>
          <w:lang w:eastAsia="zh-CN"/>
        </w:rPr>
        <w:t>元</w:t>
      </w:r>
      <w:r>
        <w:rPr>
          <w:rFonts w:hint="eastAsia" w:ascii="宋体" w:hAnsi="宋体" w:eastAsia="宋体" w:cs="宋体"/>
          <w:b/>
          <w:highlight w:val="none"/>
          <w:u w:val="single"/>
          <w:shd w:val="pct10" w:color="auto" w:fill="FFFFFF"/>
        </w:rPr>
        <w:t>*（1-</w:t>
      </w:r>
      <w:r>
        <w:rPr>
          <w:rFonts w:hint="eastAsia" w:cs="宋体"/>
          <w:b/>
          <w:highlight w:val="none"/>
          <w:u w:val="single"/>
          <w:shd w:val="pct10" w:color="auto" w:fill="FFFFFF"/>
          <w:lang w:val="en-US" w:eastAsia="zh-CN"/>
        </w:rPr>
        <w:t>12</w:t>
      </w:r>
      <w:r>
        <w:rPr>
          <w:rFonts w:hint="eastAsia" w:ascii="宋体" w:hAnsi="宋体" w:eastAsia="宋体" w:cs="宋体"/>
          <w:b/>
          <w:highlight w:val="none"/>
          <w:u w:val="single"/>
          <w:shd w:val="pct10" w:color="auto" w:fill="FFFFFF"/>
        </w:rPr>
        <w:t>%）】</w:t>
      </w:r>
      <w:r>
        <w:rPr>
          <w:rFonts w:hint="eastAsia" w:ascii="宋体" w:hAnsi="宋体" w:eastAsia="宋体" w:cs="宋体"/>
          <w:b/>
          <w:color w:val="000000"/>
          <w:kern w:val="2"/>
          <w:highlight w:val="none"/>
        </w:rPr>
        <w:t>超过最高限价为无效标。竣工决算按照本项目最终投标下浮率进行决算。</w:t>
      </w:r>
    </w:p>
    <w:p w14:paraId="38031842">
      <w:pPr>
        <w:snapToGrid w:val="0"/>
        <w:spacing w:before="50" w:after="120" w:afterLines="50" w:line="360" w:lineRule="auto"/>
        <w:jc w:val="left"/>
        <w:rPr>
          <w:rFonts w:hint="eastAsia" w:ascii="宋体" w:hAnsi="宋体" w:eastAsia="宋体" w:cs="宋体"/>
          <w:color w:val="000000"/>
          <w:sz w:val="24"/>
          <w:szCs w:val="20"/>
          <w:highlight w:val="none"/>
        </w:rPr>
      </w:pPr>
    </w:p>
    <w:p w14:paraId="43C6EA65">
      <w:pPr>
        <w:pStyle w:val="29"/>
        <w:snapToGrid w:val="0"/>
        <w:spacing w:beforeLines="0" w:afterLines="0" w:line="240" w:lineRule="auto"/>
        <w:rPr>
          <w:rFonts w:hint="eastAsia" w:ascii="宋体" w:hAnsi="宋体" w:eastAsia="宋体" w:cs="宋体"/>
          <w:b/>
          <w:color w:val="000000"/>
          <w:spacing w:val="20"/>
          <w:highlight w:val="none"/>
        </w:rPr>
      </w:pPr>
      <w:r>
        <w:rPr>
          <w:rFonts w:hint="eastAsia" w:ascii="宋体" w:hAnsi="宋体" w:eastAsia="宋体" w:cs="宋体"/>
          <w:b/>
          <w:color w:val="000000"/>
          <w:spacing w:val="20"/>
          <w:highlight w:val="none"/>
        </w:rPr>
        <w:t xml:space="preserve">法定代表人签字（或盖章）：            供应商（盖章）：  </w:t>
      </w:r>
    </w:p>
    <w:p w14:paraId="7A56998A">
      <w:pPr>
        <w:pStyle w:val="29"/>
        <w:snapToGrid w:val="0"/>
        <w:spacing w:beforeLines="0" w:afterLines="0" w:line="240" w:lineRule="auto"/>
        <w:rPr>
          <w:rFonts w:hint="eastAsia" w:ascii="宋体" w:hAnsi="宋体" w:eastAsia="宋体" w:cs="宋体"/>
          <w:color w:val="000000"/>
          <w:highlight w:val="none"/>
        </w:rPr>
      </w:pPr>
    </w:p>
    <w:p w14:paraId="3BA73795">
      <w:pPr>
        <w:snapToGrid w:val="0"/>
        <w:spacing w:before="50" w:after="120" w:afterLines="50"/>
        <w:jc w:val="left"/>
        <w:rPr>
          <w:rFonts w:hint="eastAsia" w:ascii="宋体" w:hAnsi="宋体" w:eastAsia="宋体" w:cs="宋体"/>
          <w:b/>
          <w:color w:val="000000"/>
          <w:sz w:val="24"/>
          <w:szCs w:val="20"/>
          <w:highlight w:val="none"/>
        </w:rPr>
      </w:pPr>
    </w:p>
    <w:p w14:paraId="73648EEB">
      <w:pPr>
        <w:snapToGrid w:val="0"/>
        <w:spacing w:before="50" w:after="120" w:afterLines="50"/>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日期:_____年___月___日</w:t>
      </w:r>
    </w:p>
    <w:p w14:paraId="5F93DAB3">
      <w:pPr>
        <w:pStyle w:val="29"/>
        <w:snapToGrid w:val="0"/>
        <w:spacing w:before="120" w:beforeLines="0" w:after="120" w:afterLines="0"/>
        <w:jc w:val="left"/>
        <w:rPr>
          <w:rFonts w:hint="eastAsia" w:ascii="宋体" w:hAnsi="宋体" w:eastAsia="宋体" w:cs="宋体"/>
          <w:highlight w:val="none"/>
        </w:rPr>
      </w:pPr>
      <w:r>
        <w:rPr>
          <w:rFonts w:hint="eastAsia" w:ascii="宋体" w:hAnsi="宋体" w:eastAsia="宋体" w:cs="宋体"/>
          <w:b/>
          <w:color w:val="000000"/>
          <w:sz w:val="24"/>
          <w:szCs w:val="20"/>
          <w:highlight w:val="none"/>
        </w:rPr>
        <w:br w:type="page"/>
      </w:r>
      <w:r>
        <w:rPr>
          <w:rFonts w:hint="eastAsia" w:ascii="宋体" w:hAnsi="宋体" w:eastAsia="宋体" w:cs="宋体"/>
          <w:highlight w:val="none"/>
        </w:rPr>
        <w:t>1</w:t>
      </w:r>
      <w:r>
        <w:rPr>
          <w:rFonts w:hint="eastAsia" w:hAnsi="宋体" w:cs="宋体"/>
          <w:highlight w:val="none"/>
          <w:lang w:val="en-US" w:eastAsia="zh-CN"/>
        </w:rPr>
        <w:t>7</w:t>
      </w:r>
      <w:r>
        <w:rPr>
          <w:rFonts w:hint="eastAsia" w:ascii="宋体" w:hAnsi="宋体" w:eastAsia="宋体" w:cs="宋体"/>
          <w:highlight w:val="none"/>
        </w:rPr>
        <w:t>.政府采购活动现场确认声明书</w:t>
      </w:r>
    </w:p>
    <w:p w14:paraId="7BD821A9">
      <w:pPr>
        <w:snapToGrid w:val="0"/>
        <w:spacing w:line="500" w:lineRule="exact"/>
        <w:jc w:val="center"/>
        <w:rPr>
          <w:rFonts w:hint="eastAsia" w:ascii="宋体" w:hAnsi="宋体" w:eastAsia="宋体" w:cs="宋体"/>
          <w:color w:val="000000"/>
          <w:sz w:val="44"/>
          <w:szCs w:val="44"/>
          <w:highlight w:val="none"/>
        </w:rPr>
      </w:pPr>
    </w:p>
    <w:p w14:paraId="04AABDDC">
      <w:pPr>
        <w:snapToGrid w:val="0"/>
        <w:spacing w:line="5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政府采购活动现场确认声明书</w:t>
      </w:r>
    </w:p>
    <w:p w14:paraId="0EE90BD1">
      <w:pPr>
        <w:snapToGrid w:val="0"/>
        <w:spacing w:line="500" w:lineRule="exact"/>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（采购组织机构名称）：</w:t>
      </w:r>
    </w:p>
    <w:p w14:paraId="2E1F8C8E">
      <w:pPr>
        <w:widowControl/>
        <w:spacing w:line="360" w:lineRule="exact"/>
        <w:ind w:firstLine="504"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spacing w:val="6"/>
          <w:kern w:val="0"/>
          <w:sz w:val="24"/>
          <w:highlight w:val="none"/>
          <w:lang w:val="zh-CN"/>
        </w:rPr>
        <w:t>本人经由</w:t>
      </w:r>
      <w:r>
        <w:rPr>
          <w:rFonts w:hint="eastAsia" w:ascii="宋体" w:hAnsi="宋体" w:eastAsia="宋体" w:cs="宋体"/>
          <w:color w:val="000000"/>
          <w:spacing w:val="6"/>
          <w:kern w:val="0"/>
          <w:sz w:val="24"/>
          <w:highlight w:val="none"/>
          <w:u w:val="single"/>
          <w:lang w:val="zh-CN"/>
        </w:rPr>
        <w:t xml:space="preserve">                             </w:t>
      </w:r>
      <w:r>
        <w:rPr>
          <w:rFonts w:hint="eastAsia" w:ascii="宋体" w:hAnsi="宋体" w:eastAsia="宋体" w:cs="宋体"/>
          <w:color w:val="000000"/>
          <w:spacing w:val="6"/>
          <w:kern w:val="0"/>
          <w:sz w:val="24"/>
          <w:highlight w:val="none"/>
          <w:lang w:val="zh-CN"/>
        </w:rPr>
        <w:t>单位</w:t>
      </w:r>
      <w:r>
        <w:rPr>
          <w:rFonts w:hint="eastAsia" w:ascii="宋体" w:hAnsi="宋体" w:eastAsia="宋体" w:cs="宋体"/>
          <w:color w:val="000000"/>
          <w:spacing w:val="6"/>
          <w:kern w:val="0"/>
          <w:sz w:val="24"/>
          <w:highlight w:val="none"/>
          <w:u w:val="single"/>
          <w:lang w:val="zh-CN"/>
        </w:rPr>
        <w:t xml:space="preserve">         (法人代表)</w:t>
      </w:r>
      <w:r>
        <w:rPr>
          <w:rFonts w:hint="eastAsia" w:ascii="宋体" w:hAnsi="宋体" w:eastAsia="宋体" w:cs="宋体"/>
          <w:color w:val="000000"/>
          <w:spacing w:val="6"/>
          <w:kern w:val="0"/>
          <w:sz w:val="24"/>
          <w:highlight w:val="none"/>
          <w:lang w:val="zh-CN"/>
        </w:rPr>
        <w:t>合法授权参加</w:t>
      </w:r>
      <w:r>
        <w:rPr>
          <w:rFonts w:hint="eastAsia" w:ascii="宋体" w:hAnsi="宋体" w:eastAsia="宋体" w:cs="宋体"/>
          <w:color w:val="000000"/>
          <w:kern w:val="0"/>
          <w:sz w:val="24"/>
          <w:highlight w:val="none"/>
          <w:u w:val="single"/>
          <w:lang w:val="zh-CN"/>
        </w:rPr>
        <w:t xml:space="preserve">                      采购</w:t>
      </w:r>
      <w:r>
        <w:rPr>
          <w:rFonts w:hint="eastAsia" w:ascii="宋体" w:hAnsi="宋体" w:eastAsia="宋体" w:cs="宋体"/>
          <w:color w:val="000000"/>
          <w:spacing w:val="6"/>
          <w:kern w:val="0"/>
          <w:sz w:val="24"/>
          <w:highlight w:val="none"/>
          <w:u w:val="single"/>
          <w:lang w:val="zh-CN"/>
        </w:rPr>
        <w:t>（编号：       ）</w:t>
      </w:r>
      <w:r>
        <w:rPr>
          <w:rFonts w:hint="eastAsia" w:ascii="宋体" w:hAnsi="宋体" w:eastAsia="宋体" w:cs="宋体"/>
          <w:color w:val="000000"/>
          <w:spacing w:val="6"/>
          <w:kern w:val="0"/>
          <w:sz w:val="24"/>
          <w:highlight w:val="none"/>
          <w:lang w:val="zh-CN"/>
        </w:rPr>
        <w:t>政府采购活动，经与本单位法人代表（负责人）联系确认，现就有关公平竞争事项郑重声明如下：</w:t>
      </w:r>
    </w:p>
    <w:p w14:paraId="21A217F3">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一、本单位与采购人之间</w:t>
      </w:r>
    </w:p>
    <w:p w14:paraId="27B5F73C">
      <w:pPr>
        <w:widowControl/>
        <w:snapToGrid w:val="0"/>
        <w:spacing w:line="440" w:lineRule="exact"/>
        <w:ind w:left="454"/>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□不存在利害关系</w:t>
      </w:r>
    </w:p>
    <w:p w14:paraId="7F0264A4">
      <w:pPr>
        <w:widowControl/>
        <w:snapToGrid w:val="0"/>
        <w:spacing w:line="440" w:lineRule="exact"/>
        <w:ind w:left="454"/>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□存在下列利害关系：</w:t>
      </w:r>
    </w:p>
    <w:p w14:paraId="05A6C526">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A.投资关系    B.行政隶属关系    C.业务指导关系</w:t>
      </w:r>
    </w:p>
    <w:p w14:paraId="4372D193">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D.其他可能</w:t>
      </w:r>
      <w:r>
        <w:rPr>
          <w:rFonts w:hint="eastAsia" w:ascii="宋体" w:hAnsi="宋体" w:eastAsia="宋体" w:cs="宋体"/>
          <w:color w:val="000000"/>
          <w:sz w:val="24"/>
          <w:highlight w:val="none"/>
        </w:rPr>
        <w:t>影响采购公正的</w:t>
      </w:r>
      <w:r>
        <w:rPr>
          <w:rFonts w:hint="eastAsia" w:ascii="宋体" w:hAnsi="宋体" w:eastAsia="宋体" w:cs="宋体"/>
          <w:color w:val="000000"/>
          <w:kern w:val="0"/>
          <w:sz w:val="24"/>
          <w:highlight w:val="none"/>
        </w:rPr>
        <w:t>利害关系。</w:t>
      </w:r>
    </w:p>
    <w:p w14:paraId="479CF42E">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spacing w:val="6"/>
          <w:sz w:val="24"/>
          <w:highlight w:val="none"/>
        </w:rPr>
        <w:t>二、</w:t>
      </w:r>
      <w:r>
        <w:rPr>
          <w:rFonts w:hint="eastAsia" w:ascii="宋体" w:hAnsi="宋体" w:eastAsia="宋体" w:cs="宋体"/>
          <w:color w:val="000000"/>
          <w:kern w:val="0"/>
          <w:sz w:val="24"/>
          <w:highlight w:val="none"/>
        </w:rPr>
        <w:t>现已清楚知道参加本项目采购活动的其他所有供应商名称，本单位</w:t>
      </w:r>
    </w:p>
    <w:p w14:paraId="3E6E75B3">
      <w:pPr>
        <w:widowControl/>
        <w:snapToGrid w:val="0"/>
        <w:spacing w:line="44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□与其他所有供应商之间均不存在利害关系</w:t>
      </w:r>
    </w:p>
    <w:p w14:paraId="76D93FB6">
      <w:pPr>
        <w:widowControl/>
        <w:snapToGrid w:val="0"/>
        <w:spacing w:line="44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□与之间存在下列利害关系：</w:t>
      </w:r>
    </w:p>
    <w:p w14:paraId="667A5ED7">
      <w:pPr>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A.法定代表人或负责人或实际控制人是同一人</w:t>
      </w:r>
    </w:p>
    <w:p w14:paraId="0DA5494D">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B.法定代表人或负责人或实际控制人是夫妻关系</w:t>
      </w:r>
    </w:p>
    <w:p w14:paraId="27D905B9">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C.法定代表人或负责人或实际控制人是直系血亲关系</w:t>
      </w:r>
    </w:p>
    <w:p w14:paraId="35026FA1">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D.法定代表人或负责人或实际控制人存在三代以内旁系血亲关系</w:t>
      </w:r>
    </w:p>
    <w:p w14:paraId="6137F45B">
      <w:pPr>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E.法定代表人或负责人或实际控制人存在近姻亲关系</w:t>
      </w:r>
    </w:p>
    <w:p w14:paraId="2B7AF877">
      <w:pPr>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F.法定代表人或负责人或实际控制人存在股份控制或实际控制关系</w:t>
      </w:r>
    </w:p>
    <w:p w14:paraId="449941EC">
      <w:pPr>
        <w:snapToGrid w:val="0"/>
        <w:spacing w:line="440" w:lineRule="exact"/>
        <w:outlineLvl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bookmarkStart w:id="148" w:name="_Toc11244"/>
      <w:bookmarkStart w:id="149" w:name="_Toc4996"/>
      <w:r>
        <w:rPr>
          <w:rFonts w:hint="eastAsia" w:ascii="宋体" w:hAnsi="宋体" w:eastAsia="宋体" w:cs="宋体"/>
          <w:color w:val="000000"/>
          <w:kern w:val="0"/>
          <w:sz w:val="24"/>
          <w:highlight w:val="none"/>
        </w:rPr>
        <w:t>G.存在共同直接或间接投资设立子公司、联营企业和合营企业情况</w:t>
      </w:r>
      <w:bookmarkEnd w:id="148"/>
      <w:bookmarkEnd w:id="149"/>
    </w:p>
    <w:p w14:paraId="564A8430">
      <w:pPr>
        <w:snapToGrid w:val="0"/>
        <w:spacing w:line="440" w:lineRule="exact"/>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H.存在分级代理或代销关系、同一生产制造商关系、</w:t>
      </w:r>
      <w:r>
        <w:rPr>
          <w:rFonts w:hint="eastAsia" w:ascii="宋体" w:hAnsi="宋体" w:eastAsia="宋体" w:cs="宋体"/>
          <w:color w:val="000000"/>
          <w:sz w:val="24"/>
          <w:highlight w:val="none"/>
        </w:rPr>
        <w:t>管理关系、重要业务（占主营业务收入50%以上）或重要财务往来关系（如融资）等其他实质性控制关系</w:t>
      </w:r>
    </w:p>
    <w:p w14:paraId="2E73C09B">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sz w:val="24"/>
          <w:highlight w:val="none"/>
        </w:rPr>
        <w:t>I</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其他利害关系情况</w:t>
      </w:r>
      <w:r>
        <w:rPr>
          <w:rFonts w:hint="eastAsia" w:ascii="宋体" w:hAnsi="宋体" w:eastAsia="宋体" w:cs="宋体"/>
          <w:color w:val="000000"/>
          <w:kern w:val="0"/>
          <w:sz w:val="24"/>
          <w:highlight w:val="none"/>
        </w:rPr>
        <w:t>。</w:t>
      </w:r>
    </w:p>
    <w:p w14:paraId="7470984F">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三、现已清楚知道并</w:t>
      </w:r>
      <w:r>
        <w:rPr>
          <w:rFonts w:hint="eastAsia" w:ascii="宋体" w:hAnsi="宋体" w:eastAsia="宋体" w:cs="宋体"/>
          <w:color w:val="000000"/>
          <w:kern w:val="0"/>
          <w:sz w:val="24"/>
          <w:highlight w:val="none"/>
        </w:rPr>
        <w:t>严格遵守政府采购法律法规和现场纪律。</w:t>
      </w:r>
    </w:p>
    <w:p w14:paraId="7E13E3F0">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四、我发现供应商之间存在或可能存在上述第二条第项利害关系。</w:t>
      </w:r>
    </w:p>
    <w:p w14:paraId="7EE6A140">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□不存在利害关系</w:t>
      </w:r>
    </w:p>
    <w:p w14:paraId="3DC7CCD2">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□存在下列利害关系</w:t>
      </w:r>
    </w:p>
    <w:p w14:paraId="5DB16B2A">
      <w:pPr>
        <w:snapToGrid w:val="0"/>
        <w:spacing w:line="500" w:lineRule="exact"/>
        <w:ind w:firstLine="480" w:firstLineChars="200"/>
        <w:rPr>
          <w:rFonts w:hint="eastAsia" w:ascii="宋体" w:hAnsi="宋体" w:eastAsia="宋体" w:cs="宋体"/>
          <w:color w:val="000000"/>
          <w:sz w:val="24"/>
          <w:highlight w:val="none"/>
        </w:rPr>
      </w:pPr>
    </w:p>
    <w:p w14:paraId="568F1EEB">
      <w:pPr>
        <w:snapToGrid w:val="0"/>
        <w:spacing w:line="50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供应商代表签名：</w:t>
      </w:r>
    </w:p>
    <w:p w14:paraId="430D1F38">
      <w:pPr>
        <w:ind w:firstLine="3840" w:firstLineChars="1600"/>
        <w:rPr>
          <w:rFonts w:hint="eastAsia" w:ascii="宋体" w:hAnsi="宋体" w:eastAsia="宋体" w:cs="宋体"/>
          <w:color w:val="000000"/>
          <w:sz w:val="24"/>
          <w:highlight w:val="none"/>
        </w:rPr>
      </w:pPr>
    </w:p>
    <w:p w14:paraId="00AD18AF">
      <w:pPr>
        <w:ind w:firstLine="5880" w:firstLineChars="24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sectPr>
      <w:headerReference r:id="rId9" w:type="default"/>
      <w:footerReference r:id="rId10" w:type="default"/>
      <w:footerReference r:id="rId11"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HelveticaNeueLT Std Lt">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昆仑仿宋">
    <w:altName w:val="仿宋"/>
    <w:panose1 w:val="00000000000000000000"/>
    <w:charset w:val="86"/>
    <w:family w:val="modern"/>
    <w:pitch w:val="default"/>
    <w:sig w:usb0="00000000" w:usb1="00000000" w:usb2="00000010" w:usb3="00000000" w:csb0="00040000" w:csb1="00000000"/>
  </w:font>
  <w:font w:name="Garamond">
    <w:panose1 w:val="02020502050306020203"/>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wis721 Lt BT">
    <w:altName w:val="微软雅黑"/>
    <w:panose1 w:val="020B0403020202020204"/>
    <w:charset w:val="00"/>
    <w:family w:val="swiss"/>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EtGsHeiBold">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C9CF">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59181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g+F3gEAAMEDAAAOAAAAAAAA&#10;AAEAIAAAAB4BAABkcnMvZTJvRG9jLnhtbFBLBQYAAAAABgAGAFkBAABuBQAAAAA=&#10;">
              <v:fill on="f" focussize="0,0"/>
              <v:stroke on="f"/>
              <v:imagedata o:title=""/>
              <o:lock v:ext="edit" aspectratio="f"/>
              <v:textbox inset="0mm,0mm,0mm,0mm" style="mso-fit-shape-to-text:t;">
                <w:txbxContent>
                  <w:p w14:paraId="7459181F">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EA81F">
    <w:pPr>
      <w:pStyle w:val="441"/>
      <w:rPr>
        <w:rStyle w:val="195"/>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A82D07">
                          <w:pPr>
                            <w:pStyle w:val="34"/>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KXqDLAQAAqAMAAA4AAAAAAAAAAQAgAAAAHgEAAGRycy9lMm9E&#10;b2MueG1sUEsFBgAAAAAGAAYAWQEAAFsFAAAAAA==&#10;">
              <v:fill on="f" focussize="0,0"/>
              <v:stroke on="f"/>
              <v:imagedata o:title=""/>
              <o:lock v:ext="edit" aspectratio="f"/>
              <v:textbox inset="0mm,0mm,0mm,0mm" style="mso-fit-shape-to-text:t;">
                <w:txbxContent>
                  <w:p w14:paraId="21A82D07">
                    <w:pPr>
                      <w:pStyle w:val="34"/>
                    </w:pPr>
                    <w:r>
                      <w:fldChar w:fldCharType="begin"/>
                    </w:r>
                    <w:r>
                      <w:instrText xml:space="preserve"> PAGE  \* MERGEFORMAT </w:instrText>
                    </w:r>
                    <w:r>
                      <w:fldChar w:fldCharType="separate"/>
                    </w:r>
                    <w:r>
                      <w:t>59</w:t>
                    </w:r>
                    <w:r>
                      <w:fldChar w:fldCharType="end"/>
                    </w:r>
                  </w:p>
                </w:txbxContent>
              </v:textbox>
            </v:shape>
          </w:pict>
        </mc:Fallback>
      </mc:AlternateContent>
    </w:r>
    <w:r>
      <w:rPr>
        <w:rStyle w:val="19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CA4FA7D">
                          <w:pPr>
                            <w:pStyle w:val="441"/>
                            <w:rPr>
                              <w:rStyle w:val="195"/>
                            </w:rPr>
                          </w:pPr>
                        </w:p>
                        <w:p w14:paraId="5BF3AD52">
                          <w:pPr>
                            <w:rPr>
                              <w:rStyle w:val="195"/>
                            </w:rPr>
                          </w:pPr>
                        </w:p>
                      </w:txbxContent>
                    </wps:txbx>
                    <wps:bodyPr wrap="square" lIns="0" tIns="0" rIns="0" bIns="0" upright="1"/>
                  </wps:wsp>
                </a:graphicData>
              </a:graphic>
            </wp:anchor>
          </w:drawing>
        </mc:Choice>
        <mc:Fallback>
          <w:pict>
            <v:shape id="文本框 9"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E8h8VM0BAACZAwAADgAAAAAAAAABACAAAAAhAQAAZHJz&#10;L2Uyb0RvYy54bWxQSwUGAAAAAAYABgBZAQAAYAUAAAAA&#10;">
              <v:fill on="f" focussize="0,0"/>
              <v:stroke on="f" weight="1.25pt"/>
              <v:imagedata o:title=""/>
              <o:lock v:ext="edit" aspectratio="f"/>
              <v:textbox inset="0mm,0mm,0mm,0mm">
                <w:txbxContent>
                  <w:p w14:paraId="0CA4FA7D">
                    <w:pPr>
                      <w:pStyle w:val="441"/>
                      <w:rPr>
                        <w:rStyle w:val="195"/>
                      </w:rPr>
                    </w:pPr>
                  </w:p>
                  <w:p w14:paraId="5BF3AD52">
                    <w:pPr>
                      <w:rPr>
                        <w:rStyle w:val="195"/>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D59F7">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94D3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58</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7B3d8BAADB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5fNlUqgPUFHiXaBUHF75gfZm9gM5E/GhjTb9iRKjOOl7vuqrBmQyXVqv1uuSQpJi84Hwi/vrIQK+&#10;Ud6yZNQ80gCzruL0DnBMnVNSNedvtTF5iMb95SDM5ClS72OPycJhP0yE9r45Ex96CVSn8/ELZz3t&#10;Qc0drT1n5q0jmdPKzEacjf1sCCfpYs2Rs9F8jeNqHUPUhy4vW2oKwssjUqeZQGpjrD11R5PNEkxb&#10;mFbnz3POun9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i7B3d8BAADBAwAADgAAAAAA&#10;AAABACAAAAAeAQAAZHJzL2Uyb0RvYy54bWxQSwUGAAAAAAYABgBZAQAAbwUAAAAA&#10;">
              <v:fill on="f" focussize="0,0"/>
              <v:stroke on="f"/>
              <v:imagedata o:title=""/>
              <o:lock v:ext="edit" aspectratio="f"/>
              <v:textbox inset="0mm,0mm,0mm,0mm" style="mso-fit-shape-to-text:t;">
                <w:txbxContent>
                  <w:p w14:paraId="3F094D3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58</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F5840">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65878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60</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QWZ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pfceaEpYGff3w///x9/vWN&#10;zcurR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V1BZl4QEAAMEDAAAOAAAA&#10;AAAAAAEAIAAAAB4BAABkcnMvZTJvRG9jLnhtbFBLBQYAAAAABgAGAFkBAABxBQAAAAA=&#10;">
              <v:fill on="f" focussize="0,0"/>
              <v:stroke on="f"/>
              <v:imagedata o:title=""/>
              <o:lock v:ext="edit" aspectratio="f"/>
              <v:textbox inset="0mm,0mm,0mm,0mm" style="mso-fit-shape-to-text:t;">
                <w:txbxContent>
                  <w:p w14:paraId="7465878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60</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07D2">
    <w:pPr>
      <w:pStyle w:val="3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B71E9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70</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qWISV4QEAAMEDAAAOAAAA&#10;AAAAAAEAIAAAAB4BAABkcnMvZTJvRG9jLnhtbFBLBQYAAAAABgAGAFkBAABxBQAAAAA=&#10;">
              <v:fill on="f" focussize="0,0"/>
              <v:stroke on="f"/>
              <v:imagedata o:title=""/>
              <o:lock v:ext="edit" aspectratio="f"/>
              <v:textbox inset="0mm,0mm,0mm,0mm" style="mso-fit-shape-to-text:t;">
                <w:txbxContent>
                  <w:p w14:paraId="3BB71E9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70</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9A4A">
    <w:pPr>
      <w:pStyle w:val="34"/>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1BC8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TelZP4QEAAMEDAAAOAAAA&#10;AAAAAAEAIAAAAB4BAABkcnMvZTJvRG9jLnhtbFBLBQYAAAAABgAGAFkBAABxBQAAAAA=&#10;">
              <v:fill on="f" focussize="0,0"/>
              <v:stroke on="f"/>
              <v:imagedata o:title=""/>
              <o:lock v:ext="edit" aspectratio="f"/>
              <v:textbox inset="0mm,0mm,0mm,0mm" style="mso-fit-shape-to-text:t;">
                <w:txbxContent>
                  <w:p w14:paraId="7881BC8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71</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A4C1B">
    <w:pPr>
      <w:pStyle w:val="34"/>
      <w:framePr w:wrap="around" w:vAnchor="text" w:hAnchor="margin" w:xAlign="right" w:y="1"/>
      <w:rPr>
        <w:rStyle w:val="55"/>
      </w:rPr>
    </w:pPr>
    <w:r>
      <w:fldChar w:fldCharType="begin"/>
    </w:r>
    <w:r>
      <w:rPr>
        <w:rStyle w:val="55"/>
      </w:rPr>
      <w:instrText xml:space="preserve">PAGE  </w:instrText>
    </w:r>
    <w:r>
      <w:fldChar w:fldCharType="separate"/>
    </w:r>
    <w:r>
      <w:rPr>
        <w:rStyle w:val="55"/>
      </w:rPr>
      <w:t>53</w:t>
    </w:r>
    <w:r>
      <w:fldChar w:fldCharType="end"/>
    </w:r>
  </w:p>
  <w:p w14:paraId="11976EF7">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F178F">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8A809">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BF636"/>
    <w:multiLevelType w:val="singleLevel"/>
    <w:tmpl w:val="97CBF636"/>
    <w:lvl w:ilvl="0" w:tentative="0">
      <w:start w:val="3"/>
      <w:numFmt w:val="decimal"/>
      <w:suff w:val="nothing"/>
      <w:lvlText w:val="（%1）"/>
      <w:lvlJc w:val="left"/>
    </w:lvl>
  </w:abstractNum>
  <w:abstractNum w:abstractNumId="1">
    <w:nsid w:val="F75C0651"/>
    <w:multiLevelType w:val="singleLevel"/>
    <w:tmpl w:val="F75C0651"/>
    <w:lvl w:ilvl="0" w:tentative="0">
      <w:start w:val="3"/>
      <w:numFmt w:val="chineseCounting"/>
      <w:suff w:val="nothing"/>
      <w:lvlText w:val="%1、"/>
      <w:lvlJc w:val="left"/>
      <w:rPr>
        <w:rFonts w:hint="eastAsia"/>
      </w:rPr>
    </w:lvl>
  </w:abstractNum>
  <w:abstractNum w:abstractNumId="2">
    <w:nsid w:val="FFFFFFFE"/>
    <w:multiLevelType w:val="singleLevel"/>
    <w:tmpl w:val="FFFFFFFE"/>
    <w:lvl w:ilvl="0" w:tentative="0">
      <w:start w:val="0"/>
      <w:numFmt w:val="bullet"/>
      <w:lvlText w:val="*"/>
      <w:lvlJc w:val="left"/>
    </w:lvl>
  </w:abstractNum>
  <w:abstractNum w:abstractNumId="3">
    <w:nsid w:val="00000003"/>
    <w:multiLevelType w:val="multilevel"/>
    <w:tmpl w:val="00000003"/>
    <w:lvl w:ilvl="0" w:tentative="0">
      <w:start w:val="1"/>
      <w:numFmt w:val="bullet"/>
      <w:pStyle w:val="436"/>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1D92129"/>
    <w:multiLevelType w:val="multilevel"/>
    <w:tmpl w:val="01D92129"/>
    <w:lvl w:ilvl="0" w:tentative="0">
      <w:start w:val="1"/>
      <w:numFmt w:val="bullet"/>
      <w:pStyle w:val="38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5D30890"/>
    <w:multiLevelType w:val="singleLevel"/>
    <w:tmpl w:val="35D30890"/>
    <w:lvl w:ilvl="0" w:tentative="0">
      <w:start w:val="10"/>
      <w:numFmt w:val="decimal"/>
      <w:suff w:val="nothing"/>
      <w:lvlText w:val="%1．"/>
      <w:lvlJc w:val="left"/>
    </w:lvl>
  </w:abstractNum>
  <w:num w:numId="1">
    <w:abstractNumId w:val="4"/>
  </w:num>
  <w:num w:numId="2">
    <w:abstractNumId w:val="3"/>
  </w:num>
  <w:num w:numId="3">
    <w:abstractNumId w:val="2"/>
    <w:lvlOverride w:ilvl="0">
      <w:lvl w:ilvl="0" w:tentative="1">
        <w:start w:val="0"/>
        <w:numFmt w:val="bullet"/>
        <w:pStyle w:val="439"/>
        <w:lvlText w:val=""/>
        <w:legacy w:legacy="1" w:legacySpace="0" w:legacyIndent="360"/>
        <w:lvlJc w:val="left"/>
        <w:rPr>
          <w:rFonts w:hint="default" w:ascii="Symbol" w:hAnsi="Symbol"/>
        </w:rPr>
      </w:lvl>
    </w:lvlOverride>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MGNhOGI4NTU1YTlmZTM1MzJjY2Y0NzM2ZWRhMGQifQ=="/>
  </w:docVars>
  <w:rsids>
    <w:rsidRoot w:val="00172A27"/>
    <w:rsid w:val="000000D7"/>
    <w:rsid w:val="000008D7"/>
    <w:rsid w:val="00000982"/>
    <w:rsid w:val="00001E7D"/>
    <w:rsid w:val="0000218A"/>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44A"/>
    <w:rsid w:val="000349CC"/>
    <w:rsid w:val="00034DF7"/>
    <w:rsid w:val="00035249"/>
    <w:rsid w:val="00035C6C"/>
    <w:rsid w:val="00035E6B"/>
    <w:rsid w:val="0003695F"/>
    <w:rsid w:val="00036E4C"/>
    <w:rsid w:val="000405F2"/>
    <w:rsid w:val="000408BF"/>
    <w:rsid w:val="0004133E"/>
    <w:rsid w:val="00042B0A"/>
    <w:rsid w:val="00042D09"/>
    <w:rsid w:val="0004358C"/>
    <w:rsid w:val="000443E9"/>
    <w:rsid w:val="00044E24"/>
    <w:rsid w:val="00044F8D"/>
    <w:rsid w:val="0004562C"/>
    <w:rsid w:val="00046410"/>
    <w:rsid w:val="000506AD"/>
    <w:rsid w:val="0005164C"/>
    <w:rsid w:val="000524DA"/>
    <w:rsid w:val="00052BAF"/>
    <w:rsid w:val="00054012"/>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5F6E"/>
    <w:rsid w:val="000772F2"/>
    <w:rsid w:val="0008015A"/>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8F9"/>
    <w:rsid w:val="000A0F94"/>
    <w:rsid w:val="000A1780"/>
    <w:rsid w:val="000A2141"/>
    <w:rsid w:val="000A30AE"/>
    <w:rsid w:val="000A4402"/>
    <w:rsid w:val="000A47A9"/>
    <w:rsid w:val="000A4A91"/>
    <w:rsid w:val="000A57BB"/>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33F"/>
    <w:rsid w:val="000D0441"/>
    <w:rsid w:val="000D13FC"/>
    <w:rsid w:val="000D2F5F"/>
    <w:rsid w:val="000D3740"/>
    <w:rsid w:val="000D4F44"/>
    <w:rsid w:val="000D5B51"/>
    <w:rsid w:val="000D6F06"/>
    <w:rsid w:val="000D7912"/>
    <w:rsid w:val="000D7B12"/>
    <w:rsid w:val="000E0048"/>
    <w:rsid w:val="000E083E"/>
    <w:rsid w:val="000E4506"/>
    <w:rsid w:val="000E57C9"/>
    <w:rsid w:val="000E6FED"/>
    <w:rsid w:val="000E7566"/>
    <w:rsid w:val="000F15B9"/>
    <w:rsid w:val="000F1697"/>
    <w:rsid w:val="000F1A29"/>
    <w:rsid w:val="000F1A7E"/>
    <w:rsid w:val="000F1AAD"/>
    <w:rsid w:val="000F27C0"/>
    <w:rsid w:val="000F3B22"/>
    <w:rsid w:val="000F3CF8"/>
    <w:rsid w:val="000F4804"/>
    <w:rsid w:val="000F49E3"/>
    <w:rsid w:val="000F53A6"/>
    <w:rsid w:val="000F6C7C"/>
    <w:rsid w:val="000F6E11"/>
    <w:rsid w:val="0010004F"/>
    <w:rsid w:val="00101512"/>
    <w:rsid w:val="00101ECD"/>
    <w:rsid w:val="00102B24"/>
    <w:rsid w:val="00104CD7"/>
    <w:rsid w:val="001061BD"/>
    <w:rsid w:val="001062CB"/>
    <w:rsid w:val="0010729C"/>
    <w:rsid w:val="00107348"/>
    <w:rsid w:val="001075D4"/>
    <w:rsid w:val="00107922"/>
    <w:rsid w:val="00111ED2"/>
    <w:rsid w:val="00112758"/>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0961"/>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77"/>
    <w:rsid w:val="00155E87"/>
    <w:rsid w:val="00156693"/>
    <w:rsid w:val="0016040E"/>
    <w:rsid w:val="00160693"/>
    <w:rsid w:val="001612A1"/>
    <w:rsid w:val="0016160D"/>
    <w:rsid w:val="00161A17"/>
    <w:rsid w:val="00161FC4"/>
    <w:rsid w:val="001628F1"/>
    <w:rsid w:val="00162D1F"/>
    <w:rsid w:val="00162E76"/>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394D"/>
    <w:rsid w:val="00194715"/>
    <w:rsid w:val="0019594D"/>
    <w:rsid w:val="00195E96"/>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D33"/>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034"/>
    <w:rsid w:val="001E1109"/>
    <w:rsid w:val="001E1151"/>
    <w:rsid w:val="001E127E"/>
    <w:rsid w:val="001E31D0"/>
    <w:rsid w:val="001E5205"/>
    <w:rsid w:val="001E5BEF"/>
    <w:rsid w:val="001E5E95"/>
    <w:rsid w:val="001E5F02"/>
    <w:rsid w:val="001E6332"/>
    <w:rsid w:val="001F2640"/>
    <w:rsid w:val="001F2932"/>
    <w:rsid w:val="001F392B"/>
    <w:rsid w:val="001F3E92"/>
    <w:rsid w:val="001F3EAA"/>
    <w:rsid w:val="001F6379"/>
    <w:rsid w:val="001F6544"/>
    <w:rsid w:val="001F6B58"/>
    <w:rsid w:val="001F7B66"/>
    <w:rsid w:val="00200040"/>
    <w:rsid w:val="0020035C"/>
    <w:rsid w:val="0020087F"/>
    <w:rsid w:val="00200932"/>
    <w:rsid w:val="00201789"/>
    <w:rsid w:val="00201C88"/>
    <w:rsid w:val="00202F5D"/>
    <w:rsid w:val="00203374"/>
    <w:rsid w:val="0020352F"/>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3787D"/>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1E9"/>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C91"/>
    <w:rsid w:val="00277F63"/>
    <w:rsid w:val="00280F48"/>
    <w:rsid w:val="0028211A"/>
    <w:rsid w:val="00282B55"/>
    <w:rsid w:val="00282B5F"/>
    <w:rsid w:val="00286157"/>
    <w:rsid w:val="002868C5"/>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71A"/>
    <w:rsid w:val="002A4208"/>
    <w:rsid w:val="002A42AF"/>
    <w:rsid w:val="002A50CC"/>
    <w:rsid w:val="002A5810"/>
    <w:rsid w:val="002A5A9C"/>
    <w:rsid w:val="002A6BEB"/>
    <w:rsid w:val="002A788D"/>
    <w:rsid w:val="002A7FD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807"/>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42D"/>
    <w:rsid w:val="002F1A1A"/>
    <w:rsid w:val="002F1B2E"/>
    <w:rsid w:val="002F1D96"/>
    <w:rsid w:val="002F2FCB"/>
    <w:rsid w:val="002F3C06"/>
    <w:rsid w:val="002F5B07"/>
    <w:rsid w:val="002F6102"/>
    <w:rsid w:val="002F634E"/>
    <w:rsid w:val="002F636D"/>
    <w:rsid w:val="002F675E"/>
    <w:rsid w:val="002F6A3D"/>
    <w:rsid w:val="002F6E85"/>
    <w:rsid w:val="002F76A9"/>
    <w:rsid w:val="002F7B52"/>
    <w:rsid w:val="002F7C39"/>
    <w:rsid w:val="00300A2B"/>
    <w:rsid w:val="003043B1"/>
    <w:rsid w:val="00304AD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DA4"/>
    <w:rsid w:val="00327650"/>
    <w:rsid w:val="003316EC"/>
    <w:rsid w:val="00331D49"/>
    <w:rsid w:val="00331F9B"/>
    <w:rsid w:val="00334654"/>
    <w:rsid w:val="0033497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73D"/>
    <w:rsid w:val="00376A08"/>
    <w:rsid w:val="0038004D"/>
    <w:rsid w:val="00381AEA"/>
    <w:rsid w:val="00382054"/>
    <w:rsid w:val="00382960"/>
    <w:rsid w:val="00382CFD"/>
    <w:rsid w:val="00383812"/>
    <w:rsid w:val="003844F9"/>
    <w:rsid w:val="0038467A"/>
    <w:rsid w:val="00387FE6"/>
    <w:rsid w:val="00390167"/>
    <w:rsid w:val="003907BF"/>
    <w:rsid w:val="00390F53"/>
    <w:rsid w:val="00390FB9"/>
    <w:rsid w:val="003914F6"/>
    <w:rsid w:val="003925E5"/>
    <w:rsid w:val="003929B0"/>
    <w:rsid w:val="0039334B"/>
    <w:rsid w:val="00393E07"/>
    <w:rsid w:val="003948D5"/>
    <w:rsid w:val="00397FEA"/>
    <w:rsid w:val="003A16DC"/>
    <w:rsid w:val="003A4BDD"/>
    <w:rsid w:val="003A5A64"/>
    <w:rsid w:val="003B00AB"/>
    <w:rsid w:val="003B019E"/>
    <w:rsid w:val="003B0824"/>
    <w:rsid w:val="003B2154"/>
    <w:rsid w:val="003B4974"/>
    <w:rsid w:val="003B6A1C"/>
    <w:rsid w:val="003B7008"/>
    <w:rsid w:val="003B7350"/>
    <w:rsid w:val="003C4BD9"/>
    <w:rsid w:val="003C5346"/>
    <w:rsid w:val="003D0193"/>
    <w:rsid w:val="003D03F0"/>
    <w:rsid w:val="003D09B1"/>
    <w:rsid w:val="003D0A44"/>
    <w:rsid w:val="003D1FC7"/>
    <w:rsid w:val="003D2E31"/>
    <w:rsid w:val="003D3178"/>
    <w:rsid w:val="003D5701"/>
    <w:rsid w:val="003D5815"/>
    <w:rsid w:val="003D5F19"/>
    <w:rsid w:val="003D65AB"/>
    <w:rsid w:val="003D6A6D"/>
    <w:rsid w:val="003D74D0"/>
    <w:rsid w:val="003D7D78"/>
    <w:rsid w:val="003E13E7"/>
    <w:rsid w:val="003E187C"/>
    <w:rsid w:val="003E24A2"/>
    <w:rsid w:val="003E34ED"/>
    <w:rsid w:val="003E3D48"/>
    <w:rsid w:val="003E484E"/>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4EA7"/>
    <w:rsid w:val="0042526A"/>
    <w:rsid w:val="004255DD"/>
    <w:rsid w:val="004258F5"/>
    <w:rsid w:val="00425EFE"/>
    <w:rsid w:val="00426CD5"/>
    <w:rsid w:val="00427253"/>
    <w:rsid w:val="00427DCB"/>
    <w:rsid w:val="00427ED9"/>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6424"/>
    <w:rsid w:val="00447856"/>
    <w:rsid w:val="00450403"/>
    <w:rsid w:val="004506DD"/>
    <w:rsid w:val="00450DBF"/>
    <w:rsid w:val="0045107F"/>
    <w:rsid w:val="004536F2"/>
    <w:rsid w:val="00454065"/>
    <w:rsid w:val="004540F2"/>
    <w:rsid w:val="004541D1"/>
    <w:rsid w:val="00454873"/>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34B"/>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8ED"/>
    <w:rsid w:val="00492999"/>
    <w:rsid w:val="00492EE9"/>
    <w:rsid w:val="00493030"/>
    <w:rsid w:val="004948B7"/>
    <w:rsid w:val="00494D2A"/>
    <w:rsid w:val="00496694"/>
    <w:rsid w:val="00496B00"/>
    <w:rsid w:val="00497111"/>
    <w:rsid w:val="0049728A"/>
    <w:rsid w:val="00497453"/>
    <w:rsid w:val="00497BFB"/>
    <w:rsid w:val="00497EDD"/>
    <w:rsid w:val="004A093C"/>
    <w:rsid w:val="004A2107"/>
    <w:rsid w:val="004A2E19"/>
    <w:rsid w:val="004A496A"/>
    <w:rsid w:val="004A4991"/>
    <w:rsid w:val="004A4B1D"/>
    <w:rsid w:val="004A5065"/>
    <w:rsid w:val="004A59BD"/>
    <w:rsid w:val="004A6419"/>
    <w:rsid w:val="004A7021"/>
    <w:rsid w:val="004A77AC"/>
    <w:rsid w:val="004A77E7"/>
    <w:rsid w:val="004B2058"/>
    <w:rsid w:val="004B2093"/>
    <w:rsid w:val="004B2232"/>
    <w:rsid w:val="004B2F9A"/>
    <w:rsid w:val="004B3ACD"/>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95"/>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DA5"/>
    <w:rsid w:val="004E64F8"/>
    <w:rsid w:val="004E6F43"/>
    <w:rsid w:val="004F100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70F"/>
    <w:rsid w:val="00532C84"/>
    <w:rsid w:val="00532ED6"/>
    <w:rsid w:val="00533367"/>
    <w:rsid w:val="00533B10"/>
    <w:rsid w:val="00533DE1"/>
    <w:rsid w:val="00533EF0"/>
    <w:rsid w:val="0053440A"/>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10C8"/>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5FD"/>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580A"/>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5FE8"/>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22F"/>
    <w:rsid w:val="005D442F"/>
    <w:rsid w:val="005D4E36"/>
    <w:rsid w:val="005D5BD0"/>
    <w:rsid w:val="005D61DB"/>
    <w:rsid w:val="005D732D"/>
    <w:rsid w:val="005D7C55"/>
    <w:rsid w:val="005D7EA6"/>
    <w:rsid w:val="005E1487"/>
    <w:rsid w:val="005E1852"/>
    <w:rsid w:val="005E1C7F"/>
    <w:rsid w:val="005E2262"/>
    <w:rsid w:val="005E46B8"/>
    <w:rsid w:val="005E4A76"/>
    <w:rsid w:val="005E5890"/>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46D"/>
    <w:rsid w:val="0062361C"/>
    <w:rsid w:val="0062578B"/>
    <w:rsid w:val="00625AB1"/>
    <w:rsid w:val="00626E87"/>
    <w:rsid w:val="0062726C"/>
    <w:rsid w:val="00627CE5"/>
    <w:rsid w:val="00627F93"/>
    <w:rsid w:val="00630666"/>
    <w:rsid w:val="00630EBB"/>
    <w:rsid w:val="00631751"/>
    <w:rsid w:val="0063180E"/>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67C"/>
    <w:rsid w:val="0065473B"/>
    <w:rsid w:val="00654A8A"/>
    <w:rsid w:val="00654D40"/>
    <w:rsid w:val="006561AA"/>
    <w:rsid w:val="0065671E"/>
    <w:rsid w:val="00656AB7"/>
    <w:rsid w:val="006575D4"/>
    <w:rsid w:val="00657814"/>
    <w:rsid w:val="0066038A"/>
    <w:rsid w:val="00660B7F"/>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433"/>
    <w:rsid w:val="00672E9E"/>
    <w:rsid w:val="00672FCC"/>
    <w:rsid w:val="00674CBB"/>
    <w:rsid w:val="0067544D"/>
    <w:rsid w:val="00675881"/>
    <w:rsid w:val="00675F26"/>
    <w:rsid w:val="00677A0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2FFA"/>
    <w:rsid w:val="00693C31"/>
    <w:rsid w:val="00694E4B"/>
    <w:rsid w:val="00695ECA"/>
    <w:rsid w:val="00696216"/>
    <w:rsid w:val="00696638"/>
    <w:rsid w:val="006967BC"/>
    <w:rsid w:val="00697219"/>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3F77"/>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431C"/>
    <w:rsid w:val="006D5E60"/>
    <w:rsid w:val="006D6844"/>
    <w:rsid w:val="006D7637"/>
    <w:rsid w:val="006D7C77"/>
    <w:rsid w:val="006E0469"/>
    <w:rsid w:val="006E0C48"/>
    <w:rsid w:val="006E0D69"/>
    <w:rsid w:val="006E193B"/>
    <w:rsid w:val="006E1A0A"/>
    <w:rsid w:val="006E21AA"/>
    <w:rsid w:val="006E2961"/>
    <w:rsid w:val="006E3E26"/>
    <w:rsid w:val="006E48C8"/>
    <w:rsid w:val="006E5254"/>
    <w:rsid w:val="006E77FD"/>
    <w:rsid w:val="006F2C39"/>
    <w:rsid w:val="006F30CE"/>
    <w:rsid w:val="006F4491"/>
    <w:rsid w:val="006F456A"/>
    <w:rsid w:val="006F46A2"/>
    <w:rsid w:val="006F472E"/>
    <w:rsid w:val="006F6602"/>
    <w:rsid w:val="00700F4B"/>
    <w:rsid w:val="007011B1"/>
    <w:rsid w:val="00701488"/>
    <w:rsid w:val="00701BC8"/>
    <w:rsid w:val="00701CCF"/>
    <w:rsid w:val="00701F11"/>
    <w:rsid w:val="00702A62"/>
    <w:rsid w:val="00702BF0"/>
    <w:rsid w:val="0070374E"/>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078A"/>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044"/>
    <w:rsid w:val="0075692C"/>
    <w:rsid w:val="007572E2"/>
    <w:rsid w:val="00757AE5"/>
    <w:rsid w:val="00757B9F"/>
    <w:rsid w:val="00760400"/>
    <w:rsid w:val="00761BE5"/>
    <w:rsid w:val="00761E4C"/>
    <w:rsid w:val="007620F1"/>
    <w:rsid w:val="007657C5"/>
    <w:rsid w:val="0076654C"/>
    <w:rsid w:val="007670D7"/>
    <w:rsid w:val="00771F70"/>
    <w:rsid w:val="00773673"/>
    <w:rsid w:val="007743EF"/>
    <w:rsid w:val="007748FD"/>
    <w:rsid w:val="0077572E"/>
    <w:rsid w:val="00780A8F"/>
    <w:rsid w:val="0078168D"/>
    <w:rsid w:val="00781A77"/>
    <w:rsid w:val="007820B1"/>
    <w:rsid w:val="0078279E"/>
    <w:rsid w:val="00782B2E"/>
    <w:rsid w:val="00782B6C"/>
    <w:rsid w:val="007832FD"/>
    <w:rsid w:val="007838C2"/>
    <w:rsid w:val="00784AA8"/>
    <w:rsid w:val="00785689"/>
    <w:rsid w:val="00785AC9"/>
    <w:rsid w:val="00785C2C"/>
    <w:rsid w:val="007862A1"/>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59B2"/>
    <w:rsid w:val="007A60F7"/>
    <w:rsid w:val="007A6B44"/>
    <w:rsid w:val="007A715E"/>
    <w:rsid w:val="007A749D"/>
    <w:rsid w:val="007B0B97"/>
    <w:rsid w:val="007B0C07"/>
    <w:rsid w:val="007B1BFE"/>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79D"/>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1"/>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02D2"/>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0FA"/>
    <w:rsid w:val="00813EC8"/>
    <w:rsid w:val="00814050"/>
    <w:rsid w:val="00814667"/>
    <w:rsid w:val="00814F9E"/>
    <w:rsid w:val="00816D5D"/>
    <w:rsid w:val="008173AC"/>
    <w:rsid w:val="00817F91"/>
    <w:rsid w:val="008218AE"/>
    <w:rsid w:val="008219DF"/>
    <w:rsid w:val="00821E23"/>
    <w:rsid w:val="00822632"/>
    <w:rsid w:val="00824570"/>
    <w:rsid w:val="008246B8"/>
    <w:rsid w:val="00825E6B"/>
    <w:rsid w:val="00827336"/>
    <w:rsid w:val="00827FBC"/>
    <w:rsid w:val="00830535"/>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37F4"/>
    <w:rsid w:val="00884508"/>
    <w:rsid w:val="00884B37"/>
    <w:rsid w:val="00884F96"/>
    <w:rsid w:val="00885738"/>
    <w:rsid w:val="00886C0F"/>
    <w:rsid w:val="00886D59"/>
    <w:rsid w:val="00887FA2"/>
    <w:rsid w:val="008925C1"/>
    <w:rsid w:val="00892996"/>
    <w:rsid w:val="00892E87"/>
    <w:rsid w:val="008931C4"/>
    <w:rsid w:val="00894AE4"/>
    <w:rsid w:val="0089561B"/>
    <w:rsid w:val="008959E2"/>
    <w:rsid w:val="008961CD"/>
    <w:rsid w:val="008967BC"/>
    <w:rsid w:val="00896B67"/>
    <w:rsid w:val="00896D1E"/>
    <w:rsid w:val="00897DFF"/>
    <w:rsid w:val="008A0B30"/>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A83"/>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59F0"/>
    <w:rsid w:val="008E6C72"/>
    <w:rsid w:val="008F0063"/>
    <w:rsid w:val="008F03E1"/>
    <w:rsid w:val="008F040E"/>
    <w:rsid w:val="008F1670"/>
    <w:rsid w:val="008F16F8"/>
    <w:rsid w:val="008F18E9"/>
    <w:rsid w:val="008F1EAD"/>
    <w:rsid w:val="008F2382"/>
    <w:rsid w:val="008F28DD"/>
    <w:rsid w:val="008F62A5"/>
    <w:rsid w:val="008F783E"/>
    <w:rsid w:val="008F7BC8"/>
    <w:rsid w:val="00900273"/>
    <w:rsid w:val="00900DF9"/>
    <w:rsid w:val="009010C0"/>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689A"/>
    <w:rsid w:val="00917069"/>
    <w:rsid w:val="009171B2"/>
    <w:rsid w:val="0091779D"/>
    <w:rsid w:val="00917F23"/>
    <w:rsid w:val="009219B8"/>
    <w:rsid w:val="00921E59"/>
    <w:rsid w:val="009225F0"/>
    <w:rsid w:val="00922605"/>
    <w:rsid w:val="00922817"/>
    <w:rsid w:val="009228EF"/>
    <w:rsid w:val="00923B05"/>
    <w:rsid w:val="00923E4B"/>
    <w:rsid w:val="009240FA"/>
    <w:rsid w:val="00925AA6"/>
    <w:rsid w:val="00925C55"/>
    <w:rsid w:val="00927270"/>
    <w:rsid w:val="0092770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6DBB"/>
    <w:rsid w:val="00967024"/>
    <w:rsid w:val="00970C87"/>
    <w:rsid w:val="009711AC"/>
    <w:rsid w:val="009717DF"/>
    <w:rsid w:val="00972722"/>
    <w:rsid w:val="00972BC6"/>
    <w:rsid w:val="009731B9"/>
    <w:rsid w:val="009737F7"/>
    <w:rsid w:val="00973A0E"/>
    <w:rsid w:val="00973FF1"/>
    <w:rsid w:val="0097619E"/>
    <w:rsid w:val="0097692E"/>
    <w:rsid w:val="00977C10"/>
    <w:rsid w:val="00980D34"/>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24C3"/>
    <w:rsid w:val="009B3263"/>
    <w:rsid w:val="009B4775"/>
    <w:rsid w:val="009B478C"/>
    <w:rsid w:val="009B47A3"/>
    <w:rsid w:val="009B7951"/>
    <w:rsid w:val="009B7BE6"/>
    <w:rsid w:val="009C1156"/>
    <w:rsid w:val="009C15D3"/>
    <w:rsid w:val="009C1AF4"/>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4D45"/>
    <w:rsid w:val="009D5166"/>
    <w:rsid w:val="009D60B5"/>
    <w:rsid w:val="009D700C"/>
    <w:rsid w:val="009D726E"/>
    <w:rsid w:val="009D76FA"/>
    <w:rsid w:val="009E07C3"/>
    <w:rsid w:val="009E085B"/>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5CD"/>
    <w:rsid w:val="00A026E8"/>
    <w:rsid w:val="00A02FC0"/>
    <w:rsid w:val="00A03A3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8A1"/>
    <w:rsid w:val="00A23A09"/>
    <w:rsid w:val="00A24F1F"/>
    <w:rsid w:val="00A25013"/>
    <w:rsid w:val="00A26195"/>
    <w:rsid w:val="00A26BE8"/>
    <w:rsid w:val="00A27EB6"/>
    <w:rsid w:val="00A27FC6"/>
    <w:rsid w:val="00A33226"/>
    <w:rsid w:val="00A33B35"/>
    <w:rsid w:val="00A362B4"/>
    <w:rsid w:val="00A367BE"/>
    <w:rsid w:val="00A369D2"/>
    <w:rsid w:val="00A36F37"/>
    <w:rsid w:val="00A41396"/>
    <w:rsid w:val="00A429BC"/>
    <w:rsid w:val="00A43DC3"/>
    <w:rsid w:val="00A442A0"/>
    <w:rsid w:val="00A4648A"/>
    <w:rsid w:val="00A46625"/>
    <w:rsid w:val="00A502CA"/>
    <w:rsid w:val="00A539BF"/>
    <w:rsid w:val="00A53E62"/>
    <w:rsid w:val="00A55830"/>
    <w:rsid w:val="00A56463"/>
    <w:rsid w:val="00A56B41"/>
    <w:rsid w:val="00A577BE"/>
    <w:rsid w:val="00A57A27"/>
    <w:rsid w:val="00A57A82"/>
    <w:rsid w:val="00A62E81"/>
    <w:rsid w:val="00A6303B"/>
    <w:rsid w:val="00A640A1"/>
    <w:rsid w:val="00A64565"/>
    <w:rsid w:val="00A64842"/>
    <w:rsid w:val="00A65007"/>
    <w:rsid w:val="00A65A85"/>
    <w:rsid w:val="00A67335"/>
    <w:rsid w:val="00A674CB"/>
    <w:rsid w:val="00A67BCE"/>
    <w:rsid w:val="00A703E2"/>
    <w:rsid w:val="00A70CC5"/>
    <w:rsid w:val="00A711AE"/>
    <w:rsid w:val="00A71FEE"/>
    <w:rsid w:val="00A72999"/>
    <w:rsid w:val="00A7347C"/>
    <w:rsid w:val="00A73A59"/>
    <w:rsid w:val="00A73EAC"/>
    <w:rsid w:val="00A74781"/>
    <w:rsid w:val="00A7606B"/>
    <w:rsid w:val="00A76EB5"/>
    <w:rsid w:val="00A76FE0"/>
    <w:rsid w:val="00A77A50"/>
    <w:rsid w:val="00A80372"/>
    <w:rsid w:val="00A8074E"/>
    <w:rsid w:val="00A81511"/>
    <w:rsid w:val="00A818AC"/>
    <w:rsid w:val="00A81B92"/>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2B"/>
    <w:rsid w:val="00A979A7"/>
    <w:rsid w:val="00AA03BB"/>
    <w:rsid w:val="00AA086A"/>
    <w:rsid w:val="00AA0C41"/>
    <w:rsid w:val="00AA0DC5"/>
    <w:rsid w:val="00AA14B3"/>
    <w:rsid w:val="00AA1D5E"/>
    <w:rsid w:val="00AA21AA"/>
    <w:rsid w:val="00AA3656"/>
    <w:rsid w:val="00AA3B1F"/>
    <w:rsid w:val="00AA53A7"/>
    <w:rsid w:val="00AA695D"/>
    <w:rsid w:val="00AA6980"/>
    <w:rsid w:val="00AA7118"/>
    <w:rsid w:val="00AA7493"/>
    <w:rsid w:val="00AB0855"/>
    <w:rsid w:val="00AB08E6"/>
    <w:rsid w:val="00AB0C8E"/>
    <w:rsid w:val="00AB0CE1"/>
    <w:rsid w:val="00AB13F1"/>
    <w:rsid w:val="00AB2EA0"/>
    <w:rsid w:val="00AB30C6"/>
    <w:rsid w:val="00AB34F8"/>
    <w:rsid w:val="00AB3BA7"/>
    <w:rsid w:val="00AB44E7"/>
    <w:rsid w:val="00AB45C3"/>
    <w:rsid w:val="00AB49E8"/>
    <w:rsid w:val="00AB51D1"/>
    <w:rsid w:val="00AB5AB3"/>
    <w:rsid w:val="00AB5F93"/>
    <w:rsid w:val="00AB6396"/>
    <w:rsid w:val="00AB7309"/>
    <w:rsid w:val="00AB7328"/>
    <w:rsid w:val="00AC0ACB"/>
    <w:rsid w:val="00AC10B5"/>
    <w:rsid w:val="00AC1AB3"/>
    <w:rsid w:val="00AC1BE8"/>
    <w:rsid w:val="00AC3432"/>
    <w:rsid w:val="00AC3577"/>
    <w:rsid w:val="00AC3773"/>
    <w:rsid w:val="00AC6B35"/>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51C"/>
    <w:rsid w:val="00AE5864"/>
    <w:rsid w:val="00AE6C1A"/>
    <w:rsid w:val="00AE6E0B"/>
    <w:rsid w:val="00AF04EA"/>
    <w:rsid w:val="00AF0923"/>
    <w:rsid w:val="00AF0DD2"/>
    <w:rsid w:val="00AF1679"/>
    <w:rsid w:val="00AF2BC0"/>
    <w:rsid w:val="00AF3546"/>
    <w:rsid w:val="00AF3B8D"/>
    <w:rsid w:val="00AF3BDD"/>
    <w:rsid w:val="00AF43EF"/>
    <w:rsid w:val="00AF478C"/>
    <w:rsid w:val="00AF591D"/>
    <w:rsid w:val="00AF6246"/>
    <w:rsid w:val="00AF77F1"/>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4A0"/>
    <w:rsid w:val="00B30946"/>
    <w:rsid w:val="00B3244D"/>
    <w:rsid w:val="00B331A7"/>
    <w:rsid w:val="00B338D0"/>
    <w:rsid w:val="00B35DCE"/>
    <w:rsid w:val="00B361B8"/>
    <w:rsid w:val="00B361D3"/>
    <w:rsid w:val="00B37B3D"/>
    <w:rsid w:val="00B402E7"/>
    <w:rsid w:val="00B40906"/>
    <w:rsid w:val="00B40FA1"/>
    <w:rsid w:val="00B41D1B"/>
    <w:rsid w:val="00B41E3A"/>
    <w:rsid w:val="00B43793"/>
    <w:rsid w:val="00B44771"/>
    <w:rsid w:val="00B45E77"/>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2FC"/>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0DEE"/>
    <w:rsid w:val="00BB1EC4"/>
    <w:rsid w:val="00BB1F53"/>
    <w:rsid w:val="00BB1F55"/>
    <w:rsid w:val="00BB245C"/>
    <w:rsid w:val="00BB246C"/>
    <w:rsid w:val="00BB257C"/>
    <w:rsid w:val="00BB398F"/>
    <w:rsid w:val="00BB40BB"/>
    <w:rsid w:val="00BB418B"/>
    <w:rsid w:val="00BB42D5"/>
    <w:rsid w:val="00BB4C45"/>
    <w:rsid w:val="00BB50DB"/>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68C3"/>
    <w:rsid w:val="00BD7989"/>
    <w:rsid w:val="00BD7FB4"/>
    <w:rsid w:val="00BE0C4E"/>
    <w:rsid w:val="00BE1095"/>
    <w:rsid w:val="00BE1276"/>
    <w:rsid w:val="00BE1EE3"/>
    <w:rsid w:val="00BE2BCC"/>
    <w:rsid w:val="00BE3AB9"/>
    <w:rsid w:val="00BE43E6"/>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1C9B"/>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5D0"/>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1DCD"/>
    <w:rsid w:val="00C73F96"/>
    <w:rsid w:val="00C759EE"/>
    <w:rsid w:val="00C75C00"/>
    <w:rsid w:val="00C76451"/>
    <w:rsid w:val="00C768F8"/>
    <w:rsid w:val="00C77B40"/>
    <w:rsid w:val="00C800F6"/>
    <w:rsid w:val="00C80E68"/>
    <w:rsid w:val="00C80F4B"/>
    <w:rsid w:val="00C82464"/>
    <w:rsid w:val="00C830DB"/>
    <w:rsid w:val="00C8395D"/>
    <w:rsid w:val="00C83A12"/>
    <w:rsid w:val="00C8452A"/>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0518"/>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332"/>
    <w:rsid w:val="00CC2B3E"/>
    <w:rsid w:val="00CC2BFA"/>
    <w:rsid w:val="00CC384F"/>
    <w:rsid w:val="00CC4A76"/>
    <w:rsid w:val="00CC4BA0"/>
    <w:rsid w:val="00CC5255"/>
    <w:rsid w:val="00CC536A"/>
    <w:rsid w:val="00CC5A9B"/>
    <w:rsid w:val="00CC5B42"/>
    <w:rsid w:val="00CC639B"/>
    <w:rsid w:val="00CC6A74"/>
    <w:rsid w:val="00CC7295"/>
    <w:rsid w:val="00CC7991"/>
    <w:rsid w:val="00CD084C"/>
    <w:rsid w:val="00CD09CF"/>
    <w:rsid w:val="00CD0C05"/>
    <w:rsid w:val="00CD10F7"/>
    <w:rsid w:val="00CD11EF"/>
    <w:rsid w:val="00CD13C6"/>
    <w:rsid w:val="00CD3A64"/>
    <w:rsid w:val="00CD55BD"/>
    <w:rsid w:val="00CD6066"/>
    <w:rsid w:val="00CE0B30"/>
    <w:rsid w:val="00CE129F"/>
    <w:rsid w:val="00CE147F"/>
    <w:rsid w:val="00CE262C"/>
    <w:rsid w:val="00CE2844"/>
    <w:rsid w:val="00CE2A4C"/>
    <w:rsid w:val="00CE33D2"/>
    <w:rsid w:val="00CE5117"/>
    <w:rsid w:val="00CE61DD"/>
    <w:rsid w:val="00CE6234"/>
    <w:rsid w:val="00CE6AC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5828"/>
    <w:rsid w:val="00D06100"/>
    <w:rsid w:val="00D06BCF"/>
    <w:rsid w:val="00D0776C"/>
    <w:rsid w:val="00D1161B"/>
    <w:rsid w:val="00D12646"/>
    <w:rsid w:val="00D12BC3"/>
    <w:rsid w:val="00D14325"/>
    <w:rsid w:val="00D15850"/>
    <w:rsid w:val="00D15B63"/>
    <w:rsid w:val="00D16571"/>
    <w:rsid w:val="00D175DF"/>
    <w:rsid w:val="00D1760E"/>
    <w:rsid w:val="00D203D4"/>
    <w:rsid w:val="00D21169"/>
    <w:rsid w:val="00D218B8"/>
    <w:rsid w:val="00D224F4"/>
    <w:rsid w:val="00D2313B"/>
    <w:rsid w:val="00D2424A"/>
    <w:rsid w:val="00D246DF"/>
    <w:rsid w:val="00D24EFB"/>
    <w:rsid w:val="00D25158"/>
    <w:rsid w:val="00D25C84"/>
    <w:rsid w:val="00D26167"/>
    <w:rsid w:val="00D2650A"/>
    <w:rsid w:val="00D2650B"/>
    <w:rsid w:val="00D275D3"/>
    <w:rsid w:val="00D30921"/>
    <w:rsid w:val="00D3123A"/>
    <w:rsid w:val="00D31838"/>
    <w:rsid w:val="00D3279B"/>
    <w:rsid w:val="00D335CC"/>
    <w:rsid w:val="00D35462"/>
    <w:rsid w:val="00D35ABE"/>
    <w:rsid w:val="00D374F0"/>
    <w:rsid w:val="00D37523"/>
    <w:rsid w:val="00D40319"/>
    <w:rsid w:val="00D414ED"/>
    <w:rsid w:val="00D422F9"/>
    <w:rsid w:val="00D431ED"/>
    <w:rsid w:val="00D43292"/>
    <w:rsid w:val="00D4359A"/>
    <w:rsid w:val="00D4396E"/>
    <w:rsid w:val="00D45450"/>
    <w:rsid w:val="00D45500"/>
    <w:rsid w:val="00D50F12"/>
    <w:rsid w:val="00D523F7"/>
    <w:rsid w:val="00D52788"/>
    <w:rsid w:val="00D52D41"/>
    <w:rsid w:val="00D52E51"/>
    <w:rsid w:val="00D537C1"/>
    <w:rsid w:val="00D55F7A"/>
    <w:rsid w:val="00D5624F"/>
    <w:rsid w:val="00D56B19"/>
    <w:rsid w:val="00D57566"/>
    <w:rsid w:val="00D5781E"/>
    <w:rsid w:val="00D609BA"/>
    <w:rsid w:val="00D60C1A"/>
    <w:rsid w:val="00D60DB7"/>
    <w:rsid w:val="00D61311"/>
    <w:rsid w:val="00D61745"/>
    <w:rsid w:val="00D618FF"/>
    <w:rsid w:val="00D62437"/>
    <w:rsid w:val="00D6259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880"/>
    <w:rsid w:val="00D83EB5"/>
    <w:rsid w:val="00D857AA"/>
    <w:rsid w:val="00D85F6A"/>
    <w:rsid w:val="00D87633"/>
    <w:rsid w:val="00D879D4"/>
    <w:rsid w:val="00D90B32"/>
    <w:rsid w:val="00D91698"/>
    <w:rsid w:val="00D91AE0"/>
    <w:rsid w:val="00D91DB4"/>
    <w:rsid w:val="00D95A2C"/>
    <w:rsid w:val="00D95BC5"/>
    <w:rsid w:val="00D96135"/>
    <w:rsid w:val="00D971E1"/>
    <w:rsid w:val="00D9775F"/>
    <w:rsid w:val="00DA2100"/>
    <w:rsid w:val="00DA27B3"/>
    <w:rsid w:val="00DA32E6"/>
    <w:rsid w:val="00DA32F7"/>
    <w:rsid w:val="00DA4C1F"/>
    <w:rsid w:val="00DA4F2F"/>
    <w:rsid w:val="00DA4FA4"/>
    <w:rsid w:val="00DA5246"/>
    <w:rsid w:val="00DA659F"/>
    <w:rsid w:val="00DA6D8D"/>
    <w:rsid w:val="00DA718C"/>
    <w:rsid w:val="00DA76F4"/>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350C"/>
    <w:rsid w:val="00DE58E8"/>
    <w:rsid w:val="00DE6F54"/>
    <w:rsid w:val="00DF06A8"/>
    <w:rsid w:val="00DF0D83"/>
    <w:rsid w:val="00DF1164"/>
    <w:rsid w:val="00DF1AAF"/>
    <w:rsid w:val="00DF398F"/>
    <w:rsid w:val="00DF47D9"/>
    <w:rsid w:val="00DF51A2"/>
    <w:rsid w:val="00DF76D9"/>
    <w:rsid w:val="00E004C1"/>
    <w:rsid w:val="00E00AB6"/>
    <w:rsid w:val="00E00C4D"/>
    <w:rsid w:val="00E01FE6"/>
    <w:rsid w:val="00E02DC9"/>
    <w:rsid w:val="00E0588A"/>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1A8C"/>
    <w:rsid w:val="00E22D89"/>
    <w:rsid w:val="00E22ED8"/>
    <w:rsid w:val="00E23228"/>
    <w:rsid w:val="00E247E1"/>
    <w:rsid w:val="00E24882"/>
    <w:rsid w:val="00E2493B"/>
    <w:rsid w:val="00E254CB"/>
    <w:rsid w:val="00E26121"/>
    <w:rsid w:val="00E269C4"/>
    <w:rsid w:val="00E302BF"/>
    <w:rsid w:val="00E31D7E"/>
    <w:rsid w:val="00E33727"/>
    <w:rsid w:val="00E3466C"/>
    <w:rsid w:val="00E353AE"/>
    <w:rsid w:val="00E35608"/>
    <w:rsid w:val="00E35ADC"/>
    <w:rsid w:val="00E35EE1"/>
    <w:rsid w:val="00E373BD"/>
    <w:rsid w:val="00E37BCA"/>
    <w:rsid w:val="00E4049C"/>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93B"/>
    <w:rsid w:val="00E53BEE"/>
    <w:rsid w:val="00E544FA"/>
    <w:rsid w:val="00E551DD"/>
    <w:rsid w:val="00E56B4F"/>
    <w:rsid w:val="00E5767B"/>
    <w:rsid w:val="00E57918"/>
    <w:rsid w:val="00E60141"/>
    <w:rsid w:val="00E60300"/>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0E6A"/>
    <w:rsid w:val="00E8179F"/>
    <w:rsid w:val="00E817AA"/>
    <w:rsid w:val="00E81FAB"/>
    <w:rsid w:val="00E821F4"/>
    <w:rsid w:val="00E82C8C"/>
    <w:rsid w:val="00E83548"/>
    <w:rsid w:val="00E83FBE"/>
    <w:rsid w:val="00E86F6E"/>
    <w:rsid w:val="00E90699"/>
    <w:rsid w:val="00E90B73"/>
    <w:rsid w:val="00E90E2A"/>
    <w:rsid w:val="00E90E72"/>
    <w:rsid w:val="00E92173"/>
    <w:rsid w:val="00E924E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9CE"/>
    <w:rsid w:val="00EB20C0"/>
    <w:rsid w:val="00EB2339"/>
    <w:rsid w:val="00EB2737"/>
    <w:rsid w:val="00EB2796"/>
    <w:rsid w:val="00EB3111"/>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18CA"/>
    <w:rsid w:val="00ED2957"/>
    <w:rsid w:val="00ED4274"/>
    <w:rsid w:val="00ED4FC5"/>
    <w:rsid w:val="00ED5219"/>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3C14"/>
    <w:rsid w:val="00F25255"/>
    <w:rsid w:val="00F257D7"/>
    <w:rsid w:val="00F266ED"/>
    <w:rsid w:val="00F26960"/>
    <w:rsid w:val="00F26AFA"/>
    <w:rsid w:val="00F26EAF"/>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3752"/>
    <w:rsid w:val="00F44250"/>
    <w:rsid w:val="00F44947"/>
    <w:rsid w:val="00F44967"/>
    <w:rsid w:val="00F44ED5"/>
    <w:rsid w:val="00F4618A"/>
    <w:rsid w:val="00F46F96"/>
    <w:rsid w:val="00F477A4"/>
    <w:rsid w:val="00F50572"/>
    <w:rsid w:val="00F50644"/>
    <w:rsid w:val="00F508A6"/>
    <w:rsid w:val="00F50945"/>
    <w:rsid w:val="00F51456"/>
    <w:rsid w:val="00F52125"/>
    <w:rsid w:val="00F527D4"/>
    <w:rsid w:val="00F53E33"/>
    <w:rsid w:val="00F547EF"/>
    <w:rsid w:val="00F54A02"/>
    <w:rsid w:val="00F565F6"/>
    <w:rsid w:val="00F57071"/>
    <w:rsid w:val="00F60F99"/>
    <w:rsid w:val="00F61DDC"/>
    <w:rsid w:val="00F62400"/>
    <w:rsid w:val="00F629A4"/>
    <w:rsid w:val="00F62AD4"/>
    <w:rsid w:val="00F62FFF"/>
    <w:rsid w:val="00F6391A"/>
    <w:rsid w:val="00F63A5E"/>
    <w:rsid w:val="00F63F39"/>
    <w:rsid w:val="00F64F4D"/>
    <w:rsid w:val="00F66E3B"/>
    <w:rsid w:val="00F67762"/>
    <w:rsid w:val="00F67FE3"/>
    <w:rsid w:val="00F71AF7"/>
    <w:rsid w:val="00F72384"/>
    <w:rsid w:val="00F741FD"/>
    <w:rsid w:val="00F751D6"/>
    <w:rsid w:val="00F7541F"/>
    <w:rsid w:val="00F756EF"/>
    <w:rsid w:val="00F75C9C"/>
    <w:rsid w:val="00F76C5F"/>
    <w:rsid w:val="00F76E60"/>
    <w:rsid w:val="00F76F64"/>
    <w:rsid w:val="00F775DA"/>
    <w:rsid w:val="00F77B08"/>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862"/>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4C1C"/>
    <w:rsid w:val="00FB56C6"/>
    <w:rsid w:val="00FB5D60"/>
    <w:rsid w:val="00FB5E0A"/>
    <w:rsid w:val="00FB5F56"/>
    <w:rsid w:val="00FB739D"/>
    <w:rsid w:val="00FC00BE"/>
    <w:rsid w:val="00FC0A44"/>
    <w:rsid w:val="00FC1D60"/>
    <w:rsid w:val="00FC253B"/>
    <w:rsid w:val="00FC2607"/>
    <w:rsid w:val="00FC3048"/>
    <w:rsid w:val="00FC3079"/>
    <w:rsid w:val="00FC3243"/>
    <w:rsid w:val="00FC3425"/>
    <w:rsid w:val="00FC4155"/>
    <w:rsid w:val="00FC485A"/>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21A"/>
    <w:rsid w:val="00FD530F"/>
    <w:rsid w:val="00FD557D"/>
    <w:rsid w:val="00FD5699"/>
    <w:rsid w:val="00FD6227"/>
    <w:rsid w:val="00FE015C"/>
    <w:rsid w:val="00FE0F0C"/>
    <w:rsid w:val="00FE1109"/>
    <w:rsid w:val="00FE256A"/>
    <w:rsid w:val="00FE2C61"/>
    <w:rsid w:val="00FE3DA6"/>
    <w:rsid w:val="00FE4298"/>
    <w:rsid w:val="00FE74A7"/>
    <w:rsid w:val="00FF0D92"/>
    <w:rsid w:val="00FF1458"/>
    <w:rsid w:val="00FF14B0"/>
    <w:rsid w:val="00FF2B09"/>
    <w:rsid w:val="00FF39B0"/>
    <w:rsid w:val="00FF43F9"/>
    <w:rsid w:val="00FF4860"/>
    <w:rsid w:val="00FF54FF"/>
    <w:rsid w:val="00FF6EF2"/>
    <w:rsid w:val="00FF78FC"/>
    <w:rsid w:val="01024F49"/>
    <w:rsid w:val="021327EC"/>
    <w:rsid w:val="02DD4B65"/>
    <w:rsid w:val="0302499B"/>
    <w:rsid w:val="03676E31"/>
    <w:rsid w:val="037F6A76"/>
    <w:rsid w:val="04695DC4"/>
    <w:rsid w:val="048D72D0"/>
    <w:rsid w:val="04F15634"/>
    <w:rsid w:val="051331B7"/>
    <w:rsid w:val="05E036DF"/>
    <w:rsid w:val="05F52E44"/>
    <w:rsid w:val="06426774"/>
    <w:rsid w:val="064D224E"/>
    <w:rsid w:val="066A23CE"/>
    <w:rsid w:val="068936D5"/>
    <w:rsid w:val="06E635A4"/>
    <w:rsid w:val="070652B6"/>
    <w:rsid w:val="070D398F"/>
    <w:rsid w:val="071541D5"/>
    <w:rsid w:val="079D006E"/>
    <w:rsid w:val="07EE142B"/>
    <w:rsid w:val="087A23B3"/>
    <w:rsid w:val="08D320C4"/>
    <w:rsid w:val="09405407"/>
    <w:rsid w:val="09944532"/>
    <w:rsid w:val="0A4B3EE6"/>
    <w:rsid w:val="0A666C37"/>
    <w:rsid w:val="0ADA2CE1"/>
    <w:rsid w:val="0BA1138B"/>
    <w:rsid w:val="0C3951E5"/>
    <w:rsid w:val="0C692B03"/>
    <w:rsid w:val="0CC269AB"/>
    <w:rsid w:val="0D290219"/>
    <w:rsid w:val="0D2A790F"/>
    <w:rsid w:val="0D5E1580"/>
    <w:rsid w:val="0DF33DFE"/>
    <w:rsid w:val="0E04443A"/>
    <w:rsid w:val="0F0F66E2"/>
    <w:rsid w:val="0F50156B"/>
    <w:rsid w:val="0F6257B1"/>
    <w:rsid w:val="0F642161"/>
    <w:rsid w:val="0FBF66B5"/>
    <w:rsid w:val="10070555"/>
    <w:rsid w:val="10447B4E"/>
    <w:rsid w:val="10753A1E"/>
    <w:rsid w:val="10B732A8"/>
    <w:rsid w:val="11387595"/>
    <w:rsid w:val="11907B95"/>
    <w:rsid w:val="11AD363C"/>
    <w:rsid w:val="11B13E2F"/>
    <w:rsid w:val="11B86360"/>
    <w:rsid w:val="11C71DD4"/>
    <w:rsid w:val="11E46FC8"/>
    <w:rsid w:val="11E5626B"/>
    <w:rsid w:val="12140558"/>
    <w:rsid w:val="12DC11CD"/>
    <w:rsid w:val="13223FD3"/>
    <w:rsid w:val="13906911"/>
    <w:rsid w:val="13F01394"/>
    <w:rsid w:val="13F0160F"/>
    <w:rsid w:val="145A737F"/>
    <w:rsid w:val="14CE430C"/>
    <w:rsid w:val="153D2DFC"/>
    <w:rsid w:val="15E775A0"/>
    <w:rsid w:val="16A0625A"/>
    <w:rsid w:val="16C410D0"/>
    <w:rsid w:val="176B4DF7"/>
    <w:rsid w:val="17721F13"/>
    <w:rsid w:val="18811059"/>
    <w:rsid w:val="18A20056"/>
    <w:rsid w:val="18C71FD9"/>
    <w:rsid w:val="191026BE"/>
    <w:rsid w:val="1928016F"/>
    <w:rsid w:val="195871A7"/>
    <w:rsid w:val="19973B8B"/>
    <w:rsid w:val="1AB43076"/>
    <w:rsid w:val="1AF85D80"/>
    <w:rsid w:val="1B850525"/>
    <w:rsid w:val="1B933868"/>
    <w:rsid w:val="1BAE17DA"/>
    <w:rsid w:val="1BC91BBD"/>
    <w:rsid w:val="1C70581F"/>
    <w:rsid w:val="1C9909EE"/>
    <w:rsid w:val="1D2A7A89"/>
    <w:rsid w:val="1D504DCD"/>
    <w:rsid w:val="1D6B4707"/>
    <w:rsid w:val="1DC518B3"/>
    <w:rsid w:val="1E035A45"/>
    <w:rsid w:val="1E8634C9"/>
    <w:rsid w:val="1EFD26F8"/>
    <w:rsid w:val="1F12708E"/>
    <w:rsid w:val="1F16791E"/>
    <w:rsid w:val="1F5E479D"/>
    <w:rsid w:val="1F660472"/>
    <w:rsid w:val="1F670949"/>
    <w:rsid w:val="1F8B708B"/>
    <w:rsid w:val="203939A0"/>
    <w:rsid w:val="206C3758"/>
    <w:rsid w:val="20B50F13"/>
    <w:rsid w:val="20E833E5"/>
    <w:rsid w:val="20F55BE2"/>
    <w:rsid w:val="210E5AF4"/>
    <w:rsid w:val="22CB122E"/>
    <w:rsid w:val="23591382"/>
    <w:rsid w:val="23631211"/>
    <w:rsid w:val="23D11B74"/>
    <w:rsid w:val="23DF1FBF"/>
    <w:rsid w:val="246615F4"/>
    <w:rsid w:val="249473FB"/>
    <w:rsid w:val="24CA1486"/>
    <w:rsid w:val="24CE07EB"/>
    <w:rsid w:val="25191BB9"/>
    <w:rsid w:val="25D2603C"/>
    <w:rsid w:val="25F26940"/>
    <w:rsid w:val="263C1B2D"/>
    <w:rsid w:val="26405998"/>
    <w:rsid w:val="27FA0D7D"/>
    <w:rsid w:val="28684C4F"/>
    <w:rsid w:val="286B211C"/>
    <w:rsid w:val="2940217C"/>
    <w:rsid w:val="298567F4"/>
    <w:rsid w:val="2A6B6907"/>
    <w:rsid w:val="2A777809"/>
    <w:rsid w:val="2AE33B0C"/>
    <w:rsid w:val="2AEA40CF"/>
    <w:rsid w:val="2B20285C"/>
    <w:rsid w:val="2B485137"/>
    <w:rsid w:val="2BBA2B48"/>
    <w:rsid w:val="2BD27F4B"/>
    <w:rsid w:val="2BFA3382"/>
    <w:rsid w:val="2C182496"/>
    <w:rsid w:val="2C267E1B"/>
    <w:rsid w:val="2C9F60BD"/>
    <w:rsid w:val="2CE51A84"/>
    <w:rsid w:val="2CE93B00"/>
    <w:rsid w:val="2D2259AF"/>
    <w:rsid w:val="2DB26D83"/>
    <w:rsid w:val="2DFE372F"/>
    <w:rsid w:val="2E576B12"/>
    <w:rsid w:val="2EE365D5"/>
    <w:rsid w:val="2EF40029"/>
    <w:rsid w:val="2F1A13BF"/>
    <w:rsid w:val="2F9C2D97"/>
    <w:rsid w:val="2FCB0637"/>
    <w:rsid w:val="30393171"/>
    <w:rsid w:val="30DB7DFD"/>
    <w:rsid w:val="319677F1"/>
    <w:rsid w:val="31DE6698"/>
    <w:rsid w:val="320529BE"/>
    <w:rsid w:val="329029E9"/>
    <w:rsid w:val="32BA08C4"/>
    <w:rsid w:val="337B1564"/>
    <w:rsid w:val="3399797E"/>
    <w:rsid w:val="34390907"/>
    <w:rsid w:val="34735BC7"/>
    <w:rsid w:val="34DD43ED"/>
    <w:rsid w:val="34F66B3E"/>
    <w:rsid w:val="35374E47"/>
    <w:rsid w:val="35584DBD"/>
    <w:rsid w:val="35596DB2"/>
    <w:rsid w:val="35672B63"/>
    <w:rsid w:val="35E61CC9"/>
    <w:rsid w:val="362C2FE1"/>
    <w:rsid w:val="36D502CA"/>
    <w:rsid w:val="36D816C9"/>
    <w:rsid w:val="37536C4B"/>
    <w:rsid w:val="37CA1A51"/>
    <w:rsid w:val="38855EC9"/>
    <w:rsid w:val="393C1063"/>
    <w:rsid w:val="394D2D96"/>
    <w:rsid w:val="395D6842"/>
    <w:rsid w:val="3A126680"/>
    <w:rsid w:val="3B6B7D21"/>
    <w:rsid w:val="3BA9294D"/>
    <w:rsid w:val="3C3F62A1"/>
    <w:rsid w:val="3C7C6973"/>
    <w:rsid w:val="3CE221E4"/>
    <w:rsid w:val="3D1A1E0C"/>
    <w:rsid w:val="3DEF1AAF"/>
    <w:rsid w:val="3E432AAE"/>
    <w:rsid w:val="3E6C78DA"/>
    <w:rsid w:val="3E862AE7"/>
    <w:rsid w:val="3F367C34"/>
    <w:rsid w:val="3FF7703A"/>
    <w:rsid w:val="40030432"/>
    <w:rsid w:val="407F0314"/>
    <w:rsid w:val="40813AF9"/>
    <w:rsid w:val="408A7F92"/>
    <w:rsid w:val="40DC5002"/>
    <w:rsid w:val="40DE7E11"/>
    <w:rsid w:val="415E62C9"/>
    <w:rsid w:val="4168185D"/>
    <w:rsid w:val="41C757A4"/>
    <w:rsid w:val="42817A79"/>
    <w:rsid w:val="429F402B"/>
    <w:rsid w:val="42C104C4"/>
    <w:rsid w:val="42F535F3"/>
    <w:rsid w:val="43032C79"/>
    <w:rsid w:val="43061027"/>
    <w:rsid w:val="432B081F"/>
    <w:rsid w:val="435D0784"/>
    <w:rsid w:val="43635058"/>
    <w:rsid w:val="444B1789"/>
    <w:rsid w:val="44CE2AC1"/>
    <w:rsid w:val="45322C08"/>
    <w:rsid w:val="454A18D9"/>
    <w:rsid w:val="456966D8"/>
    <w:rsid w:val="457062A9"/>
    <w:rsid w:val="457912A8"/>
    <w:rsid w:val="457A544A"/>
    <w:rsid w:val="458E51E2"/>
    <w:rsid w:val="45EA2A45"/>
    <w:rsid w:val="461C1F2F"/>
    <w:rsid w:val="46BD028A"/>
    <w:rsid w:val="47026F71"/>
    <w:rsid w:val="47321452"/>
    <w:rsid w:val="47B45086"/>
    <w:rsid w:val="47C67CF7"/>
    <w:rsid w:val="47E80B4B"/>
    <w:rsid w:val="47FE114E"/>
    <w:rsid w:val="485E04E5"/>
    <w:rsid w:val="492F4E9E"/>
    <w:rsid w:val="49830203"/>
    <w:rsid w:val="49971A5F"/>
    <w:rsid w:val="49D7304D"/>
    <w:rsid w:val="4A91694F"/>
    <w:rsid w:val="4A9D5D4B"/>
    <w:rsid w:val="4B6D5408"/>
    <w:rsid w:val="4BCC7DC4"/>
    <w:rsid w:val="4BD81A9B"/>
    <w:rsid w:val="4BEB4F19"/>
    <w:rsid w:val="4C266E50"/>
    <w:rsid w:val="4D253AD6"/>
    <w:rsid w:val="4D7C725D"/>
    <w:rsid w:val="4E231FB4"/>
    <w:rsid w:val="4E323247"/>
    <w:rsid w:val="4EEA2B78"/>
    <w:rsid w:val="4F4B7313"/>
    <w:rsid w:val="4FF11F2B"/>
    <w:rsid w:val="50413D53"/>
    <w:rsid w:val="506F77CC"/>
    <w:rsid w:val="50AA1500"/>
    <w:rsid w:val="50F10C45"/>
    <w:rsid w:val="5121467D"/>
    <w:rsid w:val="514D7996"/>
    <w:rsid w:val="516E3547"/>
    <w:rsid w:val="52164850"/>
    <w:rsid w:val="52E066C6"/>
    <w:rsid w:val="534F527F"/>
    <w:rsid w:val="539B41DB"/>
    <w:rsid w:val="54300BF2"/>
    <w:rsid w:val="54386EC6"/>
    <w:rsid w:val="54574912"/>
    <w:rsid w:val="549815BD"/>
    <w:rsid w:val="552E6CC2"/>
    <w:rsid w:val="55413561"/>
    <w:rsid w:val="555C1BDF"/>
    <w:rsid w:val="5604774E"/>
    <w:rsid w:val="56524E22"/>
    <w:rsid w:val="56F10CD3"/>
    <w:rsid w:val="57053173"/>
    <w:rsid w:val="577367A5"/>
    <w:rsid w:val="577506C4"/>
    <w:rsid w:val="57CB39F3"/>
    <w:rsid w:val="57FA32B8"/>
    <w:rsid w:val="58433B69"/>
    <w:rsid w:val="58710B0D"/>
    <w:rsid w:val="58BB2EAA"/>
    <w:rsid w:val="58BB4665"/>
    <w:rsid w:val="58CE49F6"/>
    <w:rsid w:val="593777F1"/>
    <w:rsid w:val="5A0B1292"/>
    <w:rsid w:val="5A366BCB"/>
    <w:rsid w:val="5A87245F"/>
    <w:rsid w:val="5A994CF7"/>
    <w:rsid w:val="5B1375B9"/>
    <w:rsid w:val="5B1638A1"/>
    <w:rsid w:val="5B9367C2"/>
    <w:rsid w:val="5BDA5857"/>
    <w:rsid w:val="5C7211AD"/>
    <w:rsid w:val="5CD70935"/>
    <w:rsid w:val="5D02154D"/>
    <w:rsid w:val="5D1D5C03"/>
    <w:rsid w:val="5E80225F"/>
    <w:rsid w:val="5E8E422D"/>
    <w:rsid w:val="5EAD35DC"/>
    <w:rsid w:val="5F470527"/>
    <w:rsid w:val="5FBE1A74"/>
    <w:rsid w:val="600E7F2E"/>
    <w:rsid w:val="604C581B"/>
    <w:rsid w:val="60806DF2"/>
    <w:rsid w:val="60967E83"/>
    <w:rsid w:val="6143540C"/>
    <w:rsid w:val="618512B8"/>
    <w:rsid w:val="619A5257"/>
    <w:rsid w:val="61F1473C"/>
    <w:rsid w:val="625E4788"/>
    <w:rsid w:val="62812085"/>
    <w:rsid w:val="62A63A93"/>
    <w:rsid w:val="63A11842"/>
    <w:rsid w:val="63DC4040"/>
    <w:rsid w:val="63F76886"/>
    <w:rsid w:val="642C023F"/>
    <w:rsid w:val="64681141"/>
    <w:rsid w:val="65A61CC2"/>
    <w:rsid w:val="65EC303D"/>
    <w:rsid w:val="66073AD1"/>
    <w:rsid w:val="66C50FDC"/>
    <w:rsid w:val="66E70716"/>
    <w:rsid w:val="6757343D"/>
    <w:rsid w:val="6815226D"/>
    <w:rsid w:val="68721717"/>
    <w:rsid w:val="688A5411"/>
    <w:rsid w:val="68C938A2"/>
    <w:rsid w:val="68CC67D0"/>
    <w:rsid w:val="694C526B"/>
    <w:rsid w:val="69CF7629"/>
    <w:rsid w:val="69E241DF"/>
    <w:rsid w:val="69EA352F"/>
    <w:rsid w:val="6A804005"/>
    <w:rsid w:val="6AAB271F"/>
    <w:rsid w:val="6B230BCA"/>
    <w:rsid w:val="6B715CB5"/>
    <w:rsid w:val="6B824725"/>
    <w:rsid w:val="6BF17173"/>
    <w:rsid w:val="6C764AAF"/>
    <w:rsid w:val="6D306E1D"/>
    <w:rsid w:val="6D5202C8"/>
    <w:rsid w:val="6D553610"/>
    <w:rsid w:val="6D8E6B16"/>
    <w:rsid w:val="6DA81BB4"/>
    <w:rsid w:val="6E105530"/>
    <w:rsid w:val="6E570C95"/>
    <w:rsid w:val="6EA80D9A"/>
    <w:rsid w:val="6F3E0F14"/>
    <w:rsid w:val="7107740D"/>
    <w:rsid w:val="712F6A01"/>
    <w:rsid w:val="71423832"/>
    <w:rsid w:val="726776FB"/>
    <w:rsid w:val="727605AA"/>
    <w:rsid w:val="744C1178"/>
    <w:rsid w:val="746B5CA8"/>
    <w:rsid w:val="748E5B2A"/>
    <w:rsid w:val="74C35E1A"/>
    <w:rsid w:val="75181EBD"/>
    <w:rsid w:val="75316B9D"/>
    <w:rsid w:val="753E5F6A"/>
    <w:rsid w:val="76460A5E"/>
    <w:rsid w:val="769D5C87"/>
    <w:rsid w:val="76D95719"/>
    <w:rsid w:val="77416CA0"/>
    <w:rsid w:val="77424D0E"/>
    <w:rsid w:val="77B765E6"/>
    <w:rsid w:val="77D61EC8"/>
    <w:rsid w:val="78982CDA"/>
    <w:rsid w:val="78A359BD"/>
    <w:rsid w:val="799A30FB"/>
    <w:rsid w:val="7A6A7ECB"/>
    <w:rsid w:val="7AC67582"/>
    <w:rsid w:val="7B51456B"/>
    <w:rsid w:val="7BD37ED8"/>
    <w:rsid w:val="7BF77879"/>
    <w:rsid w:val="7C167159"/>
    <w:rsid w:val="7C1E325F"/>
    <w:rsid w:val="7CB32CD9"/>
    <w:rsid w:val="7CBF672E"/>
    <w:rsid w:val="7D7B1963"/>
    <w:rsid w:val="7D846636"/>
    <w:rsid w:val="7DD91AC2"/>
    <w:rsid w:val="7EE85D12"/>
    <w:rsid w:val="7F1D3F70"/>
    <w:rsid w:val="7F824294"/>
    <w:rsid w:val="7FEA0306"/>
    <w:rsid w:val="7FF94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5"/>
    <w:link w:val="63"/>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5"/>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6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67"/>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68"/>
    <w:qFormat/>
    <w:uiPriority w:val="0"/>
    <w:pPr>
      <w:keepNext/>
      <w:keepLines/>
      <w:spacing w:before="240" w:after="64" w:line="320" w:lineRule="auto"/>
      <w:outlineLvl w:val="6"/>
    </w:pPr>
    <w:rPr>
      <w:b/>
      <w:bCs/>
      <w:kern w:val="0"/>
      <w:sz w:val="24"/>
    </w:rPr>
  </w:style>
  <w:style w:type="paragraph" w:styleId="10">
    <w:name w:val="heading 8"/>
    <w:basedOn w:val="1"/>
    <w:next w:val="1"/>
    <w:link w:val="69"/>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70"/>
    <w:qFormat/>
    <w:uiPriority w:val="0"/>
    <w:pPr>
      <w:keepNext/>
      <w:keepLines/>
      <w:spacing w:before="240" w:after="64" w:line="320" w:lineRule="auto"/>
      <w:outlineLvl w:val="8"/>
    </w:pPr>
    <w:rPr>
      <w:rFonts w:ascii="Arial" w:hAnsi="Arial" w:eastAsia="黑体"/>
      <w:kern w:val="0"/>
      <w:sz w:val="20"/>
      <w:szCs w:val="21"/>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5">
    <w:name w:val="Normal Indent"/>
    <w:basedOn w:val="1"/>
    <w:link w:val="64"/>
    <w:qFormat/>
    <w:uiPriority w:val="0"/>
    <w:pPr>
      <w:ind w:firstLine="420"/>
    </w:pPr>
    <w:rPr>
      <w:kern w:val="0"/>
      <w:sz w:val="20"/>
      <w:szCs w:val="20"/>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71"/>
    <w:qFormat/>
    <w:uiPriority w:val="99"/>
    <w:pPr>
      <w:shd w:val="clear" w:color="auto" w:fill="000080"/>
    </w:pPr>
    <w:rPr>
      <w:kern w:val="0"/>
      <w:sz w:val="20"/>
    </w:rPr>
  </w:style>
  <w:style w:type="paragraph" w:styleId="17">
    <w:name w:val="toa heading"/>
    <w:basedOn w:val="1"/>
    <w:next w:val="1"/>
    <w:link w:val="72"/>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73"/>
    <w:qFormat/>
    <w:uiPriority w:val="0"/>
    <w:pPr>
      <w:jc w:val="left"/>
    </w:pPr>
    <w:rPr>
      <w:kern w:val="0"/>
      <w:sz w:val="20"/>
    </w:rPr>
  </w:style>
  <w:style w:type="paragraph" w:styleId="19">
    <w:name w:val="Body Text 3"/>
    <w:basedOn w:val="1"/>
    <w:link w:val="74"/>
    <w:qFormat/>
    <w:uiPriority w:val="0"/>
    <w:pPr>
      <w:snapToGrid w:val="0"/>
      <w:spacing w:before="50" w:after="50"/>
    </w:pPr>
    <w:rPr>
      <w:rFonts w:hAnsi="宋体" w:eastAsia="仿宋_GB2312"/>
      <w:b/>
      <w:bCs/>
      <w:kern w:val="0"/>
      <w:sz w:val="24"/>
      <w:szCs w:val="20"/>
    </w:rPr>
  </w:style>
  <w:style w:type="paragraph" w:styleId="20">
    <w:name w:val="Body Text"/>
    <w:basedOn w:val="1"/>
    <w:next w:val="21"/>
    <w:link w:val="75"/>
    <w:qFormat/>
    <w:uiPriority w:val="0"/>
    <w:pPr>
      <w:spacing w:after="120"/>
    </w:pPr>
    <w:rPr>
      <w:kern w:val="0"/>
      <w:sz w:val="28"/>
    </w:rPr>
  </w:style>
  <w:style w:type="paragraph" w:styleId="21">
    <w:name w:val="Body Text First Indent"/>
    <w:basedOn w:val="20"/>
    <w:next w:val="22"/>
    <w:link w:val="90"/>
    <w:qFormat/>
    <w:uiPriority w:val="0"/>
    <w:pPr>
      <w:spacing w:beforeLines="50" w:afterLines="50" w:line="360" w:lineRule="auto"/>
      <w:ind w:firstLine="480" w:firstLineChars="200"/>
    </w:pPr>
    <w:rPr>
      <w:sz w:val="24"/>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Body Text Indent"/>
    <w:basedOn w:val="1"/>
    <w:next w:val="1"/>
    <w:link w:val="76"/>
    <w:qFormat/>
    <w:uiPriority w:val="0"/>
    <w:pPr>
      <w:spacing w:line="200" w:lineRule="exact"/>
      <w:ind w:firstLine="301"/>
    </w:pPr>
    <w:rPr>
      <w:rFonts w:ascii="宋体" w:hAnsi="Courier New"/>
      <w:spacing w:val="-4"/>
      <w:kern w:val="0"/>
      <w:sz w:val="18"/>
      <w:szCs w:val="20"/>
    </w:rPr>
  </w:style>
  <w:style w:type="paragraph" w:styleId="24">
    <w:name w:val="List Number 3"/>
    <w:basedOn w:val="1"/>
    <w:qFormat/>
    <w:uiPriority w:val="0"/>
    <w:pPr>
      <w:tabs>
        <w:tab w:val="left" w:pos="1200"/>
      </w:tabs>
      <w:ind w:left="1200" w:hanging="360"/>
    </w:pPr>
  </w:style>
  <w:style w:type="paragraph" w:styleId="25">
    <w:name w:val="List 2"/>
    <w:basedOn w:val="1"/>
    <w:qFormat/>
    <w:uiPriority w:val="0"/>
    <w:pPr>
      <w:ind w:left="100" w:leftChars="200" w:hanging="200" w:hangingChars="200"/>
    </w:pPr>
    <w:rPr>
      <w:sz w:val="28"/>
    </w:rPr>
  </w:style>
  <w:style w:type="paragraph" w:styleId="26">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77"/>
    <w:qFormat/>
    <w:uiPriority w:val="0"/>
    <w:pPr>
      <w:spacing w:beforeLines="50" w:afterLines="50" w:line="400" w:lineRule="exact"/>
    </w:pPr>
    <w:rPr>
      <w:rFonts w:ascii="宋体" w:hAnsi="Courier New"/>
      <w:kern w:val="0"/>
      <w:sz w:val="24"/>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78"/>
    <w:qFormat/>
    <w:uiPriority w:val="0"/>
    <w:pPr>
      <w:ind w:left="2500" w:leftChars="2500"/>
    </w:pPr>
    <w:rPr>
      <w:rFonts w:eastAsia="楷体_GB2312"/>
      <w:kern w:val="0"/>
      <w:sz w:val="32"/>
      <w:szCs w:val="20"/>
    </w:rPr>
  </w:style>
  <w:style w:type="paragraph" w:styleId="32">
    <w:name w:val="Body Text Indent 2"/>
    <w:basedOn w:val="1"/>
    <w:link w:val="79"/>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80"/>
    <w:qFormat/>
    <w:uiPriority w:val="99"/>
    <w:rPr>
      <w:kern w:val="0"/>
      <w:sz w:val="18"/>
      <w:szCs w:val="18"/>
    </w:rPr>
  </w:style>
  <w:style w:type="paragraph" w:styleId="34">
    <w:name w:val="footer"/>
    <w:basedOn w:val="1"/>
    <w:link w:val="81"/>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8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qFormat/>
    <w:uiPriority w:val="39"/>
    <w:pPr>
      <w:spacing w:before="480" w:after="480" w:line="240" w:lineRule="auto"/>
    </w:pPr>
    <w:rPr>
      <w:rFonts w:ascii="Times New Roman" w:hAnsi="Times New Roman"/>
      <w:sz w:val="28"/>
    </w:rPr>
  </w:style>
  <w:style w:type="paragraph" w:styleId="37">
    <w:name w:val="toc 4"/>
    <w:basedOn w:val="1"/>
    <w:next w:val="1"/>
    <w:unhideWhenUsed/>
    <w:qFormat/>
    <w:uiPriority w:val="39"/>
    <w:pPr>
      <w:ind w:left="1260" w:leftChars="600"/>
    </w:pPr>
    <w:rPr>
      <w:rFonts w:ascii="Calibri" w:hAnsi="Calibri"/>
      <w:szCs w:val="22"/>
    </w:rPr>
  </w:style>
  <w:style w:type="paragraph" w:styleId="38">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link w:val="84"/>
    <w:qFormat/>
    <w:uiPriority w:val="0"/>
    <w:pPr>
      <w:snapToGrid w:val="0"/>
      <w:jc w:val="left"/>
    </w:pPr>
    <w:rPr>
      <w:rFonts w:eastAsia="仿宋_GB2312"/>
      <w:sz w:val="18"/>
    </w:rPr>
  </w:style>
  <w:style w:type="paragraph" w:styleId="41">
    <w:name w:val="Body Text Indent 3"/>
    <w:basedOn w:val="1"/>
    <w:link w:val="85"/>
    <w:qFormat/>
    <w:uiPriority w:val="0"/>
    <w:pPr>
      <w:snapToGrid w:val="0"/>
      <w:ind w:firstLine="480" w:firstLineChars="200"/>
      <w:jc w:val="left"/>
    </w:pPr>
    <w:rPr>
      <w:rFonts w:ascii="仿宋_GB2312" w:hAnsi="宋体" w:eastAsia="仿宋_GB2312"/>
      <w:color w:val="000000"/>
      <w:kern w:val="0"/>
      <w:sz w:val="24"/>
    </w:rPr>
  </w:style>
  <w:style w:type="paragraph" w:styleId="42">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3">
    <w:name w:val="toc 2"/>
    <w:basedOn w:val="1"/>
    <w:next w:val="1"/>
    <w:qFormat/>
    <w:uiPriority w:val="39"/>
    <w:pPr>
      <w:ind w:left="420" w:leftChars="200"/>
    </w:pPr>
  </w:style>
  <w:style w:type="paragraph" w:styleId="44">
    <w:name w:val="toc 9"/>
    <w:basedOn w:val="1"/>
    <w:next w:val="1"/>
    <w:unhideWhenUsed/>
    <w:qFormat/>
    <w:uiPriority w:val="39"/>
    <w:pPr>
      <w:ind w:left="3360" w:leftChars="1600"/>
    </w:pPr>
    <w:rPr>
      <w:rFonts w:ascii="Calibri" w:hAnsi="Calibri"/>
      <w:szCs w:val="22"/>
    </w:rPr>
  </w:style>
  <w:style w:type="paragraph" w:styleId="45">
    <w:name w:val="Body Text 2"/>
    <w:basedOn w:val="1"/>
    <w:link w:val="86"/>
    <w:qFormat/>
    <w:uiPriority w:val="99"/>
    <w:pPr>
      <w:widowControl/>
      <w:snapToGrid w:val="0"/>
      <w:spacing w:before="50" w:afterLines="50" w:line="400" w:lineRule="exact"/>
      <w:jc w:val="left"/>
    </w:pPr>
    <w:rPr>
      <w:rFonts w:ascii="宋体" w:hAnsi="宋体"/>
      <w:color w:val="000000"/>
      <w:kern w:val="0"/>
      <w:sz w:val="24"/>
    </w:rPr>
  </w:style>
  <w:style w:type="paragraph" w:styleId="46">
    <w:name w:val="Normal (Web)"/>
    <w:basedOn w:val="1"/>
    <w:link w:val="87"/>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360" w:lineRule="auto"/>
      <w:jc w:val="center"/>
    </w:pPr>
    <w:rPr>
      <w:rFonts w:ascii="宋体" w:hAnsi="宋体"/>
      <w:bCs/>
    </w:rPr>
  </w:style>
  <w:style w:type="paragraph" w:styleId="48">
    <w:name w:val="Title"/>
    <w:basedOn w:val="1"/>
    <w:next w:val="1"/>
    <w:link w:val="88"/>
    <w:qFormat/>
    <w:uiPriority w:val="0"/>
    <w:pPr>
      <w:spacing w:before="240" w:after="60"/>
      <w:jc w:val="center"/>
      <w:outlineLvl w:val="0"/>
    </w:pPr>
    <w:rPr>
      <w:rFonts w:ascii="Cambria" w:hAnsi="Cambria"/>
      <w:b/>
      <w:bCs/>
      <w:kern w:val="0"/>
      <w:sz w:val="32"/>
      <w:szCs w:val="32"/>
    </w:rPr>
  </w:style>
  <w:style w:type="paragraph" w:styleId="49">
    <w:name w:val="annotation subject"/>
    <w:basedOn w:val="18"/>
    <w:next w:val="18"/>
    <w:link w:val="89"/>
    <w:qFormat/>
    <w:uiPriority w:val="99"/>
    <w:rPr>
      <w:b/>
      <w:bCs/>
    </w:rPr>
  </w:style>
  <w:style w:type="paragraph" w:styleId="50">
    <w:name w:val="Body Text First Indent 2"/>
    <w:basedOn w:val="23"/>
    <w:link w:val="91"/>
    <w:qFormat/>
    <w:uiPriority w:val="0"/>
    <w:pPr>
      <w:spacing w:line="240" w:lineRule="auto"/>
      <w:ind w:firstLine="420" w:firstLineChars="200"/>
    </w:pPr>
    <w:rPr>
      <w:rFonts w:ascii="Times New Roman" w:hAnsi="Times New Roman"/>
      <w:sz w:val="21"/>
      <w:szCs w:val="24"/>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color w:val="000000"/>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Emphasis"/>
    <w:qFormat/>
    <w:uiPriority w:val="0"/>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1">
    <w:name w:val="标题 1 Char1"/>
    <w:link w:val="2"/>
    <w:qFormat/>
    <w:uiPriority w:val="9"/>
    <w:rPr>
      <w:rFonts w:ascii="Times New Roman" w:hAnsi="Times New Roman" w:eastAsia="宋体" w:cs="Times New Roman"/>
      <w:b/>
      <w:bCs/>
      <w:kern w:val="44"/>
      <w:sz w:val="44"/>
      <w:szCs w:val="44"/>
    </w:rPr>
  </w:style>
  <w:style w:type="character" w:customStyle="1" w:styleId="62">
    <w:name w:val="标题 2 Char1"/>
    <w:link w:val="3"/>
    <w:qFormat/>
    <w:uiPriority w:val="9"/>
    <w:rPr>
      <w:rFonts w:ascii="Arial" w:hAnsi="Arial" w:eastAsia="黑体" w:cs="Times New Roman"/>
      <w:b/>
      <w:bCs/>
      <w:kern w:val="0"/>
      <w:sz w:val="32"/>
      <w:szCs w:val="32"/>
    </w:rPr>
  </w:style>
  <w:style w:type="character" w:customStyle="1" w:styleId="63">
    <w:name w:val="标题 3 Char2"/>
    <w:link w:val="4"/>
    <w:qFormat/>
    <w:uiPriority w:val="0"/>
    <w:rPr>
      <w:rFonts w:ascii="Times New Roman" w:hAnsi="Times New Roman" w:eastAsia="楷体_GB2312" w:cs="Times New Roman"/>
      <w:b/>
      <w:bCs/>
      <w:kern w:val="0"/>
      <w:sz w:val="32"/>
      <w:szCs w:val="32"/>
    </w:rPr>
  </w:style>
  <w:style w:type="character" w:customStyle="1" w:styleId="64">
    <w:name w:val="正文缩进 Char1"/>
    <w:link w:val="5"/>
    <w:qFormat/>
    <w:uiPriority w:val="0"/>
    <w:rPr>
      <w:rFonts w:eastAsia="宋体"/>
    </w:rPr>
  </w:style>
  <w:style w:type="character" w:customStyle="1" w:styleId="65">
    <w:name w:val="标题 4 Char1"/>
    <w:link w:val="6"/>
    <w:qFormat/>
    <w:uiPriority w:val="0"/>
    <w:rPr>
      <w:rFonts w:ascii="Arial" w:hAnsi="Arial" w:eastAsia="黑体" w:cs="Times New Roman"/>
      <w:b/>
      <w:bCs/>
      <w:kern w:val="0"/>
      <w:sz w:val="28"/>
      <w:szCs w:val="28"/>
    </w:rPr>
  </w:style>
  <w:style w:type="character" w:customStyle="1" w:styleId="66">
    <w:name w:val="标题 5 Char1"/>
    <w:link w:val="7"/>
    <w:qFormat/>
    <w:uiPriority w:val="9"/>
    <w:rPr>
      <w:rFonts w:ascii="Times New Roman" w:hAnsi="Times New Roman" w:eastAsia="宋体" w:cs="Times New Roman"/>
      <w:b/>
      <w:bCs/>
      <w:kern w:val="0"/>
      <w:sz w:val="28"/>
      <w:szCs w:val="28"/>
    </w:rPr>
  </w:style>
  <w:style w:type="character" w:customStyle="1" w:styleId="67">
    <w:name w:val="标题 6 Char1"/>
    <w:link w:val="8"/>
    <w:qFormat/>
    <w:uiPriority w:val="0"/>
    <w:rPr>
      <w:rFonts w:ascii="Arial" w:hAnsi="Arial" w:eastAsia="黑体" w:cs="Times New Roman"/>
      <w:b/>
      <w:bCs/>
      <w:kern w:val="0"/>
      <w:sz w:val="24"/>
      <w:szCs w:val="24"/>
    </w:rPr>
  </w:style>
  <w:style w:type="character" w:customStyle="1" w:styleId="68">
    <w:name w:val="标题 7 Char1"/>
    <w:link w:val="9"/>
    <w:qFormat/>
    <w:uiPriority w:val="0"/>
    <w:rPr>
      <w:rFonts w:ascii="Times New Roman" w:hAnsi="Times New Roman" w:eastAsia="宋体" w:cs="Times New Roman"/>
      <w:b/>
      <w:bCs/>
      <w:kern w:val="0"/>
      <w:sz w:val="24"/>
      <w:szCs w:val="24"/>
    </w:rPr>
  </w:style>
  <w:style w:type="character" w:customStyle="1" w:styleId="69">
    <w:name w:val="标题 8 Char1"/>
    <w:link w:val="10"/>
    <w:qFormat/>
    <w:uiPriority w:val="0"/>
    <w:rPr>
      <w:rFonts w:ascii="Arial" w:hAnsi="Arial" w:eastAsia="黑体" w:cs="Times New Roman"/>
      <w:kern w:val="0"/>
      <w:sz w:val="24"/>
      <w:szCs w:val="24"/>
    </w:rPr>
  </w:style>
  <w:style w:type="character" w:customStyle="1" w:styleId="70">
    <w:name w:val="标题 9 Char1"/>
    <w:link w:val="11"/>
    <w:qFormat/>
    <w:uiPriority w:val="0"/>
    <w:rPr>
      <w:rFonts w:ascii="Arial" w:hAnsi="Arial" w:eastAsia="黑体" w:cs="Times New Roman"/>
      <w:kern w:val="0"/>
      <w:sz w:val="20"/>
      <w:szCs w:val="21"/>
    </w:rPr>
  </w:style>
  <w:style w:type="character" w:customStyle="1" w:styleId="71">
    <w:name w:val="文档结构图 Char2"/>
    <w:link w:val="16"/>
    <w:qFormat/>
    <w:uiPriority w:val="99"/>
    <w:rPr>
      <w:szCs w:val="24"/>
      <w:shd w:val="clear" w:color="auto" w:fill="000080"/>
    </w:rPr>
  </w:style>
  <w:style w:type="character" w:customStyle="1" w:styleId="72">
    <w:name w:val="引文目录标题 Char1"/>
    <w:link w:val="17"/>
    <w:qFormat/>
    <w:uiPriority w:val="0"/>
    <w:rPr>
      <w:rFonts w:ascii="Arial" w:hAnsi="Arial" w:eastAsia="宋体" w:cs="Times New Roman"/>
      <w:kern w:val="0"/>
      <w:sz w:val="24"/>
      <w:szCs w:val="20"/>
    </w:rPr>
  </w:style>
  <w:style w:type="character" w:customStyle="1" w:styleId="73">
    <w:name w:val="批注文字 Char2"/>
    <w:link w:val="18"/>
    <w:qFormat/>
    <w:uiPriority w:val="0"/>
    <w:rPr>
      <w:szCs w:val="24"/>
    </w:rPr>
  </w:style>
  <w:style w:type="character" w:customStyle="1" w:styleId="74">
    <w:name w:val="正文文本 3 Char2"/>
    <w:link w:val="19"/>
    <w:qFormat/>
    <w:uiPriority w:val="0"/>
    <w:rPr>
      <w:rFonts w:hAnsi="宋体" w:eastAsia="仿宋_GB2312"/>
      <w:b/>
      <w:bCs/>
      <w:sz w:val="24"/>
    </w:rPr>
  </w:style>
  <w:style w:type="character" w:customStyle="1" w:styleId="75">
    <w:name w:val="正文文本 Char2"/>
    <w:link w:val="20"/>
    <w:qFormat/>
    <w:uiPriority w:val="0"/>
    <w:rPr>
      <w:rFonts w:ascii="Times New Roman" w:hAnsi="Times New Roman" w:eastAsia="宋体" w:cs="Times New Roman"/>
      <w:kern w:val="0"/>
      <w:sz w:val="28"/>
      <w:szCs w:val="24"/>
    </w:rPr>
  </w:style>
  <w:style w:type="character" w:customStyle="1" w:styleId="76">
    <w:name w:val="正文文本缩进 Char2"/>
    <w:link w:val="23"/>
    <w:qFormat/>
    <w:uiPriority w:val="0"/>
    <w:rPr>
      <w:rFonts w:ascii="宋体" w:hAnsi="Courier New"/>
      <w:spacing w:val="-4"/>
      <w:sz w:val="18"/>
    </w:rPr>
  </w:style>
  <w:style w:type="character" w:customStyle="1" w:styleId="77">
    <w:name w:val="纯文本 Char4"/>
    <w:link w:val="29"/>
    <w:qFormat/>
    <w:uiPriority w:val="0"/>
    <w:rPr>
      <w:rFonts w:ascii="宋体" w:hAnsi="Courier New" w:eastAsia="宋体"/>
      <w:sz w:val="24"/>
      <w:szCs w:val="24"/>
    </w:rPr>
  </w:style>
  <w:style w:type="character" w:customStyle="1" w:styleId="78">
    <w:name w:val="日期 Char2"/>
    <w:link w:val="31"/>
    <w:qFormat/>
    <w:uiPriority w:val="0"/>
    <w:rPr>
      <w:rFonts w:eastAsia="楷体_GB2312"/>
      <w:sz w:val="32"/>
    </w:rPr>
  </w:style>
  <w:style w:type="character" w:customStyle="1" w:styleId="79">
    <w:name w:val="正文文本缩进 2 Char2"/>
    <w:link w:val="32"/>
    <w:qFormat/>
    <w:uiPriority w:val="0"/>
    <w:rPr>
      <w:rFonts w:ascii="仿宋_GB2312" w:hAnsi="宋体" w:cs="Arial"/>
      <w:b/>
      <w:bCs/>
      <w:color w:val="000000"/>
      <w:sz w:val="24"/>
      <w:szCs w:val="24"/>
    </w:rPr>
  </w:style>
  <w:style w:type="character" w:customStyle="1" w:styleId="80">
    <w:name w:val="批注框文本 Char2"/>
    <w:link w:val="33"/>
    <w:qFormat/>
    <w:uiPriority w:val="99"/>
    <w:rPr>
      <w:sz w:val="18"/>
      <w:szCs w:val="18"/>
    </w:rPr>
  </w:style>
  <w:style w:type="character" w:customStyle="1" w:styleId="81">
    <w:name w:val="页脚 Char3"/>
    <w:link w:val="34"/>
    <w:qFormat/>
    <w:uiPriority w:val="99"/>
    <w:rPr>
      <w:rFonts w:eastAsia="黑体"/>
      <w:sz w:val="18"/>
      <w:szCs w:val="18"/>
    </w:rPr>
  </w:style>
  <w:style w:type="character" w:customStyle="1" w:styleId="82">
    <w:name w:val="页眉 Char2"/>
    <w:link w:val="35"/>
    <w:qFormat/>
    <w:uiPriority w:val="99"/>
    <w:rPr>
      <w:rFonts w:eastAsia="仿宋_GB2312"/>
      <w:sz w:val="18"/>
    </w:rPr>
  </w:style>
  <w:style w:type="character" w:customStyle="1" w:styleId="83">
    <w:name w:val="副标题 Char"/>
    <w:basedOn w:val="53"/>
    <w:link w:val="38"/>
    <w:qFormat/>
    <w:uiPriority w:val="0"/>
    <w:rPr>
      <w:rFonts w:ascii="Cambria" w:hAnsi="Cambria"/>
      <w:b/>
      <w:bCs/>
      <w:kern w:val="28"/>
      <w:sz w:val="32"/>
      <w:szCs w:val="32"/>
    </w:rPr>
  </w:style>
  <w:style w:type="character" w:customStyle="1" w:styleId="84">
    <w:name w:val="脚注文本 Char"/>
    <w:basedOn w:val="53"/>
    <w:link w:val="40"/>
    <w:qFormat/>
    <w:uiPriority w:val="0"/>
    <w:rPr>
      <w:rFonts w:eastAsia="仿宋_GB2312"/>
      <w:kern w:val="2"/>
      <w:sz w:val="18"/>
      <w:szCs w:val="24"/>
    </w:rPr>
  </w:style>
  <w:style w:type="character" w:customStyle="1" w:styleId="85">
    <w:name w:val="正文文本缩进 3 Char2"/>
    <w:link w:val="41"/>
    <w:qFormat/>
    <w:uiPriority w:val="0"/>
    <w:rPr>
      <w:rFonts w:ascii="仿宋_GB2312" w:hAnsi="宋体" w:eastAsia="仿宋_GB2312"/>
      <w:color w:val="000000"/>
      <w:sz w:val="24"/>
      <w:szCs w:val="24"/>
    </w:rPr>
  </w:style>
  <w:style w:type="character" w:customStyle="1" w:styleId="86">
    <w:name w:val="正文文本 2 Char2"/>
    <w:link w:val="45"/>
    <w:qFormat/>
    <w:uiPriority w:val="99"/>
    <w:rPr>
      <w:rFonts w:ascii="宋体" w:hAnsi="宋体"/>
      <w:color w:val="000000"/>
      <w:sz w:val="24"/>
      <w:szCs w:val="24"/>
    </w:rPr>
  </w:style>
  <w:style w:type="character" w:customStyle="1" w:styleId="87">
    <w:name w:val="普通(网站) Char1"/>
    <w:link w:val="46"/>
    <w:qFormat/>
    <w:uiPriority w:val="0"/>
    <w:rPr>
      <w:rFonts w:ascii="宋体" w:hAnsi="宋体"/>
      <w:sz w:val="24"/>
      <w:szCs w:val="24"/>
    </w:rPr>
  </w:style>
  <w:style w:type="character" w:customStyle="1" w:styleId="88">
    <w:name w:val="标题 Char2"/>
    <w:link w:val="48"/>
    <w:qFormat/>
    <w:uiPriority w:val="0"/>
    <w:rPr>
      <w:rFonts w:ascii="Cambria" w:hAnsi="Cambria"/>
      <w:b/>
      <w:bCs/>
      <w:sz w:val="32"/>
      <w:szCs w:val="32"/>
    </w:rPr>
  </w:style>
  <w:style w:type="character" w:customStyle="1" w:styleId="89">
    <w:name w:val="批注主题 Char2"/>
    <w:link w:val="49"/>
    <w:qFormat/>
    <w:uiPriority w:val="99"/>
    <w:rPr>
      <w:b/>
      <w:bCs/>
      <w:szCs w:val="24"/>
    </w:rPr>
  </w:style>
  <w:style w:type="character" w:customStyle="1" w:styleId="90">
    <w:name w:val="正文首行缩进 Char2"/>
    <w:link w:val="21"/>
    <w:qFormat/>
    <w:uiPriority w:val="0"/>
    <w:rPr>
      <w:sz w:val="24"/>
      <w:szCs w:val="24"/>
    </w:rPr>
  </w:style>
  <w:style w:type="character" w:customStyle="1" w:styleId="91">
    <w:name w:val="正文首行缩进 2 Char"/>
    <w:basedOn w:val="76"/>
    <w:link w:val="50"/>
    <w:qFormat/>
    <w:uiPriority w:val="0"/>
    <w:rPr>
      <w:rFonts w:ascii="宋体" w:hAnsi="Courier New"/>
      <w:spacing w:val="-4"/>
      <w:sz w:val="21"/>
      <w:szCs w:val="24"/>
    </w:rPr>
  </w:style>
  <w:style w:type="paragraph" w:customStyle="1" w:styleId="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3">
    <w:name w:val="中等深浅网格 2 字符"/>
    <w:link w:val="94"/>
    <w:qFormat/>
    <w:uiPriority w:val="1"/>
    <w:rPr>
      <w:kern w:val="2"/>
      <w:sz w:val="21"/>
      <w:szCs w:val="24"/>
      <w:lang w:val="en-US" w:eastAsia="zh-CN" w:bidi="ar-SA"/>
    </w:rPr>
  </w:style>
  <w:style w:type="paragraph" w:customStyle="1" w:styleId="94">
    <w:name w:val="中等深浅网格 21"/>
    <w:link w:val="9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Char Char27"/>
    <w:qFormat/>
    <w:uiPriority w:val="0"/>
    <w:rPr>
      <w:b/>
      <w:bCs/>
      <w:kern w:val="44"/>
      <w:sz w:val="44"/>
      <w:szCs w:val="44"/>
    </w:rPr>
  </w:style>
  <w:style w:type="character" w:customStyle="1" w:styleId="96">
    <w:name w:val="普通文字 Char Char"/>
    <w:qFormat/>
    <w:uiPriority w:val="0"/>
    <w:rPr>
      <w:rFonts w:ascii="宋体" w:hAnsi="Courier New" w:eastAsia="宋体" w:cs="Times New Roman"/>
      <w:szCs w:val="20"/>
    </w:rPr>
  </w:style>
  <w:style w:type="character" w:customStyle="1" w:styleId="97">
    <w:name w:val="批注框文本 Char1"/>
    <w:semiHidden/>
    <w:qFormat/>
    <w:uiPriority w:val="99"/>
    <w:rPr>
      <w:rFonts w:ascii="Times New Roman" w:hAnsi="Times New Roman" w:eastAsia="宋体" w:cs="Times New Roman"/>
      <w:sz w:val="18"/>
      <w:szCs w:val="18"/>
    </w:rPr>
  </w:style>
  <w:style w:type="character" w:customStyle="1" w:styleId="98">
    <w:name w:val="Char Char12"/>
    <w:qFormat/>
    <w:uiPriority w:val="0"/>
    <w:rPr>
      <w:rFonts w:ascii="仿宋_GB2312" w:hAnsi="宋体" w:eastAsia="仿宋_GB2312"/>
      <w:color w:val="000000"/>
      <w:kern w:val="2"/>
      <w:sz w:val="24"/>
      <w:szCs w:val="24"/>
    </w:rPr>
  </w:style>
  <w:style w:type="character" w:customStyle="1" w:styleId="99">
    <w:name w:val="style551"/>
    <w:qFormat/>
    <w:uiPriority w:val="0"/>
    <w:rPr>
      <w:rFonts w:hint="default" w:ascii="Arial" w:hAnsi="Arial" w:cs="Arial"/>
      <w:color w:val="333333"/>
      <w:sz w:val="18"/>
      <w:szCs w:val="18"/>
    </w:rPr>
  </w:style>
  <w:style w:type="character" w:customStyle="1" w:styleId="100">
    <w:name w:val="正文文本 2 Char"/>
    <w:qFormat/>
    <w:uiPriority w:val="99"/>
    <w:rPr>
      <w:rFonts w:ascii="宋体" w:hAnsi="宋体"/>
      <w:color w:val="000000"/>
      <w:sz w:val="24"/>
      <w:szCs w:val="24"/>
    </w:rPr>
  </w:style>
  <w:style w:type="character" w:customStyle="1" w:styleId="101">
    <w:name w:val="标书正文格式 Char"/>
    <w:link w:val="102"/>
    <w:qFormat/>
    <w:uiPriority w:val="0"/>
    <w:rPr>
      <w:rFonts w:eastAsia="楷体_GB2312"/>
      <w:kern w:val="2"/>
      <w:sz w:val="24"/>
      <w:szCs w:val="24"/>
      <w:lang w:val="en-US" w:eastAsia="zh-CN" w:bidi="ar-SA"/>
    </w:rPr>
  </w:style>
  <w:style w:type="paragraph" w:customStyle="1" w:styleId="102">
    <w:name w:val="标书正文格式"/>
    <w:link w:val="101"/>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03">
    <w:name w:val="段落文本 Char"/>
    <w:link w:val="104"/>
    <w:qFormat/>
    <w:uiPriority w:val="0"/>
    <w:rPr>
      <w:rFonts w:eastAsia="宋体"/>
      <w:szCs w:val="21"/>
      <w:lang w:bidi="ar-SA"/>
    </w:rPr>
  </w:style>
  <w:style w:type="paragraph" w:customStyle="1" w:styleId="104">
    <w:name w:val="段落文本"/>
    <w:basedOn w:val="1"/>
    <w:link w:val="103"/>
    <w:qFormat/>
    <w:uiPriority w:val="0"/>
    <w:pPr>
      <w:spacing w:line="360" w:lineRule="auto"/>
      <w:ind w:firstLine="420"/>
    </w:pPr>
    <w:rPr>
      <w:kern w:val="0"/>
      <w:sz w:val="20"/>
      <w:szCs w:val="21"/>
    </w:rPr>
  </w:style>
  <w:style w:type="character" w:customStyle="1" w:styleId="105">
    <w:name w:val="样式 (中文) 放宋 小四号"/>
    <w:qFormat/>
    <w:uiPriority w:val="0"/>
    <w:rPr>
      <w:rFonts w:eastAsia="仿宋_GB2312"/>
      <w:sz w:val="24"/>
    </w:rPr>
  </w:style>
  <w:style w:type="character" w:customStyle="1" w:styleId="106">
    <w:name w:val="def正文 Char Char"/>
    <w:link w:val="107"/>
    <w:qFormat/>
    <w:uiPriority w:val="0"/>
    <w:rPr>
      <w:sz w:val="24"/>
      <w:szCs w:val="24"/>
    </w:rPr>
  </w:style>
  <w:style w:type="paragraph" w:customStyle="1" w:styleId="107">
    <w:name w:val="def正文"/>
    <w:basedOn w:val="20"/>
    <w:link w:val="106"/>
    <w:qFormat/>
    <w:uiPriority w:val="0"/>
    <w:pPr>
      <w:widowControl/>
      <w:spacing w:after="0" w:line="360" w:lineRule="auto"/>
      <w:ind w:firstLine="510"/>
      <w:jc w:val="left"/>
    </w:pPr>
    <w:rPr>
      <w:sz w:val="24"/>
    </w:rPr>
  </w:style>
  <w:style w:type="character" w:customStyle="1" w:styleId="108">
    <w:name w:val="正文文本缩进 2 Char1"/>
    <w:semiHidden/>
    <w:qFormat/>
    <w:uiPriority w:val="99"/>
    <w:rPr>
      <w:rFonts w:ascii="Times New Roman" w:hAnsi="Times New Roman" w:eastAsia="宋体" w:cs="Times New Roman"/>
      <w:szCs w:val="24"/>
    </w:rPr>
  </w:style>
  <w:style w:type="character" w:customStyle="1" w:styleId="109">
    <w:name w:val="style171"/>
    <w:qFormat/>
    <w:uiPriority w:val="0"/>
    <w:rPr>
      <w:sz w:val="20"/>
      <w:szCs w:val="20"/>
    </w:rPr>
  </w:style>
  <w:style w:type="character" w:customStyle="1" w:styleId="110">
    <w:name w:val="日期 Char1"/>
    <w:semiHidden/>
    <w:qFormat/>
    <w:uiPriority w:val="99"/>
    <w:rPr>
      <w:rFonts w:ascii="Times New Roman" w:hAnsi="Times New Roman" w:eastAsia="宋体" w:cs="Times New Roman"/>
      <w:szCs w:val="24"/>
    </w:rPr>
  </w:style>
  <w:style w:type="character" w:customStyle="1" w:styleId="111">
    <w:name w:val="批注框文本 Char"/>
    <w:qFormat/>
    <w:uiPriority w:val="99"/>
    <w:rPr>
      <w:sz w:val="18"/>
      <w:szCs w:val="18"/>
    </w:rPr>
  </w:style>
  <w:style w:type="character" w:customStyle="1" w:styleId="112">
    <w:name w:val="纯文本 Char2"/>
    <w:semiHidden/>
    <w:qFormat/>
    <w:uiPriority w:val="99"/>
    <w:rPr>
      <w:rFonts w:ascii="宋体" w:hAnsi="Courier New" w:eastAsia="宋体" w:cs="Courier New"/>
      <w:szCs w:val="21"/>
    </w:rPr>
  </w:style>
  <w:style w:type="character" w:customStyle="1" w:styleId="113">
    <w:name w:val="标题 6 Char"/>
    <w:qFormat/>
    <w:uiPriority w:val="0"/>
    <w:rPr>
      <w:rFonts w:ascii="Arial" w:hAnsi="Arial" w:eastAsia="黑体" w:cs="Times New Roman"/>
      <w:b/>
      <w:bCs/>
      <w:kern w:val="0"/>
      <w:sz w:val="24"/>
      <w:szCs w:val="24"/>
    </w:rPr>
  </w:style>
  <w:style w:type="character" w:customStyle="1" w:styleId="114">
    <w:name w:val="正文文本缩进 Char1"/>
    <w:semiHidden/>
    <w:qFormat/>
    <w:uiPriority w:val="99"/>
    <w:rPr>
      <w:rFonts w:ascii="Times New Roman" w:hAnsi="Times New Roman" w:eastAsia="宋体" w:cs="Times New Roman"/>
      <w:szCs w:val="24"/>
    </w:rPr>
  </w:style>
  <w:style w:type="character" w:customStyle="1" w:styleId="115">
    <w:name w:val="普通 (Web) Char1"/>
    <w:qFormat/>
    <w:locked/>
    <w:uiPriority w:val="0"/>
    <w:rPr>
      <w:rFonts w:ascii="宋体" w:hAnsi="宋体" w:eastAsia="宋体"/>
      <w:sz w:val="24"/>
      <w:szCs w:val="24"/>
      <w:lang w:val="en-US" w:eastAsia="zh-CN" w:bidi="ar-SA"/>
    </w:rPr>
  </w:style>
  <w:style w:type="character" w:customStyle="1" w:styleId="116">
    <w:name w:val="Char Char19"/>
    <w:qFormat/>
    <w:uiPriority w:val="0"/>
    <w:rPr>
      <w:rFonts w:ascii="Arial" w:hAnsi="Arial" w:eastAsia="黑体"/>
      <w:kern w:val="2"/>
      <w:sz w:val="21"/>
      <w:szCs w:val="21"/>
    </w:rPr>
  </w:style>
  <w:style w:type="character" w:customStyle="1" w:styleId="117">
    <w:name w:val="标题 Char"/>
    <w:qFormat/>
    <w:uiPriority w:val="0"/>
    <w:rPr>
      <w:rFonts w:ascii="Cambria" w:hAnsi="Cambria"/>
      <w:b/>
      <w:bCs/>
      <w:sz w:val="32"/>
      <w:szCs w:val="32"/>
    </w:rPr>
  </w:style>
  <w:style w:type="character" w:customStyle="1" w:styleId="118">
    <w:name w:val="Char Char23"/>
    <w:qFormat/>
    <w:uiPriority w:val="0"/>
    <w:rPr>
      <w:b/>
      <w:bCs/>
      <w:kern w:val="2"/>
      <w:sz w:val="28"/>
      <w:szCs w:val="28"/>
    </w:rPr>
  </w:style>
  <w:style w:type="character" w:customStyle="1" w:styleId="119">
    <w:name w:val="cn1"/>
    <w:qFormat/>
    <w:uiPriority w:val="0"/>
  </w:style>
  <w:style w:type="character" w:customStyle="1" w:styleId="120">
    <w:name w:val="Char Char8"/>
    <w:qFormat/>
    <w:uiPriority w:val="0"/>
    <w:rPr>
      <w:rFonts w:eastAsia="楷体_GB2312"/>
      <w:kern w:val="2"/>
      <w:sz w:val="32"/>
    </w:rPr>
  </w:style>
  <w:style w:type="character" w:customStyle="1" w:styleId="121">
    <w:name w:val="批注文字 Char"/>
    <w:qFormat/>
    <w:uiPriority w:val="0"/>
    <w:rPr>
      <w:szCs w:val="24"/>
    </w:rPr>
  </w:style>
  <w:style w:type="character" w:customStyle="1" w:styleId="122">
    <w:name w:val="正文1 Char Char"/>
    <w:link w:val="123"/>
    <w:qFormat/>
    <w:uiPriority w:val="0"/>
    <w:rPr>
      <w:rFonts w:ascii="宋体" w:hAnsi="宋体" w:eastAsia="宋体"/>
      <w:color w:val="000000"/>
      <w:sz w:val="24"/>
    </w:rPr>
  </w:style>
  <w:style w:type="paragraph" w:customStyle="1" w:styleId="123">
    <w:name w:val="正文1"/>
    <w:basedOn w:val="20"/>
    <w:next w:val="1"/>
    <w:link w:val="122"/>
    <w:qFormat/>
    <w:uiPriority w:val="0"/>
    <w:pPr>
      <w:spacing w:line="360" w:lineRule="auto"/>
      <w:ind w:firstLine="200" w:firstLineChars="200"/>
      <w:jc w:val="left"/>
    </w:pPr>
    <w:rPr>
      <w:rFonts w:ascii="宋体" w:hAnsi="宋体"/>
      <w:color w:val="000000"/>
      <w:kern w:val="0"/>
      <w:sz w:val="24"/>
      <w:szCs w:val="20"/>
    </w:rPr>
  </w:style>
  <w:style w:type="character" w:customStyle="1" w:styleId="124">
    <w:name w:val="正文缩进 Char"/>
    <w:qFormat/>
    <w:uiPriority w:val="0"/>
    <w:rPr>
      <w:rFonts w:eastAsia="宋体"/>
    </w:rPr>
  </w:style>
  <w:style w:type="character" w:customStyle="1" w:styleId="125">
    <w:name w:val="* table text Char"/>
    <w:link w:val="126"/>
    <w:qFormat/>
    <w:locked/>
    <w:uiPriority w:val="0"/>
    <w:rPr>
      <w:rFonts w:ascii="Arial" w:hAnsi="Arial" w:eastAsia="宋体"/>
      <w:color w:val="333333"/>
      <w:sz w:val="18"/>
      <w:szCs w:val="18"/>
      <w:lang w:bidi="ar-SA"/>
    </w:rPr>
  </w:style>
  <w:style w:type="paragraph" w:customStyle="1" w:styleId="126">
    <w:name w:val="* table text"/>
    <w:basedOn w:val="1"/>
    <w:link w:val="125"/>
    <w:qFormat/>
    <w:uiPriority w:val="0"/>
    <w:pPr>
      <w:widowControl/>
    </w:pPr>
    <w:rPr>
      <w:rFonts w:ascii="Arial" w:hAnsi="Arial"/>
      <w:color w:val="333333"/>
      <w:kern w:val="0"/>
      <w:sz w:val="18"/>
      <w:szCs w:val="18"/>
    </w:rPr>
  </w:style>
  <w:style w:type="character" w:customStyle="1" w:styleId="127">
    <w:name w:val="Char Char16"/>
    <w:qFormat/>
    <w:uiPriority w:val="0"/>
    <w:rPr>
      <w:rFonts w:ascii="宋体" w:hAnsi="Courier New"/>
      <w:spacing w:val="-4"/>
      <w:kern w:val="2"/>
      <w:sz w:val="18"/>
    </w:rPr>
  </w:style>
  <w:style w:type="character" w:customStyle="1" w:styleId="128">
    <w:name w:val="￥正文 Char Char"/>
    <w:qFormat/>
    <w:uiPriority w:val="0"/>
    <w:rPr>
      <w:rFonts w:ascii="Calibri" w:hAnsi="Calibri"/>
      <w:sz w:val="24"/>
    </w:rPr>
  </w:style>
  <w:style w:type="character" w:customStyle="1" w:styleId="129">
    <w:name w:val="纯文本 字符"/>
    <w:qFormat/>
    <w:uiPriority w:val="0"/>
    <w:rPr>
      <w:rFonts w:ascii="宋体" w:hAnsi="Courier New"/>
      <w:sz w:val="24"/>
      <w:szCs w:val="24"/>
    </w:rPr>
  </w:style>
  <w:style w:type="character" w:customStyle="1" w:styleId="130">
    <w:name w:val="普通(网站) Char"/>
    <w:qFormat/>
    <w:uiPriority w:val="0"/>
    <w:rPr>
      <w:rFonts w:ascii="宋体" w:hAnsi="宋体"/>
      <w:sz w:val="24"/>
      <w:szCs w:val="24"/>
    </w:rPr>
  </w:style>
  <w:style w:type="character" w:customStyle="1" w:styleId="131">
    <w:name w:val="Char Char7"/>
    <w:qFormat/>
    <w:uiPriority w:val="0"/>
    <w:rPr>
      <w:rFonts w:eastAsia="宋体"/>
      <w:kern w:val="2"/>
      <w:sz w:val="21"/>
      <w:lang w:val="en-US" w:eastAsia="zh-CN" w:bidi="ar-SA"/>
    </w:rPr>
  </w:style>
  <w:style w:type="character" w:customStyle="1" w:styleId="132">
    <w:name w:val="Header Char"/>
    <w:qFormat/>
    <w:locked/>
    <w:uiPriority w:val="0"/>
    <w:rPr>
      <w:rFonts w:ascii="Calibri" w:hAnsi="Calibri" w:eastAsia="宋体" w:cs="Times New Roman"/>
      <w:sz w:val="18"/>
      <w:szCs w:val="18"/>
    </w:rPr>
  </w:style>
  <w:style w:type="character" w:customStyle="1" w:styleId="133">
    <w:name w:val="Heading 4 Char"/>
    <w:qFormat/>
    <w:locked/>
    <w:uiPriority w:val="0"/>
    <w:rPr>
      <w:rFonts w:cs="Times New Roman"/>
      <w:b/>
      <w:sz w:val="21"/>
    </w:rPr>
  </w:style>
  <w:style w:type="character" w:customStyle="1" w:styleId="134">
    <w:name w:val="Heading 1 Char"/>
    <w:qFormat/>
    <w:locked/>
    <w:uiPriority w:val="0"/>
    <w:rPr>
      <w:rFonts w:cs="Times New Roman"/>
      <w:b/>
      <w:bCs/>
      <w:kern w:val="44"/>
      <w:sz w:val="44"/>
      <w:szCs w:val="44"/>
    </w:rPr>
  </w:style>
  <w:style w:type="character" w:customStyle="1" w:styleId="135">
    <w:name w:val="Char Char14"/>
    <w:qFormat/>
    <w:uiPriority w:val="0"/>
    <w:rPr>
      <w:kern w:val="2"/>
      <w:sz w:val="18"/>
      <w:szCs w:val="18"/>
    </w:rPr>
  </w:style>
  <w:style w:type="character" w:customStyle="1" w:styleId="136">
    <w:name w:val="H4 Char"/>
    <w:qFormat/>
    <w:uiPriority w:val="0"/>
    <w:rPr>
      <w:rFonts w:ascii="Arial" w:hAnsi="Arial" w:eastAsia="黑体" w:cs="Times New Roman"/>
      <w:b/>
      <w:bCs/>
      <w:sz w:val="28"/>
      <w:szCs w:val="28"/>
    </w:rPr>
  </w:style>
  <w:style w:type="character" w:customStyle="1" w:styleId="137">
    <w:name w:val="Char Char4"/>
    <w:qFormat/>
    <w:uiPriority w:val="0"/>
    <w:rPr>
      <w:rFonts w:ascii="宋体" w:hAnsi="Courier New" w:eastAsia="宋体"/>
      <w:kern w:val="2"/>
      <w:sz w:val="24"/>
      <w:szCs w:val="24"/>
      <w:lang w:val="en-US" w:eastAsia="zh-CN" w:bidi="ar-SA"/>
    </w:rPr>
  </w:style>
  <w:style w:type="character" w:customStyle="1" w:styleId="138">
    <w:name w:val="Char Char2"/>
    <w:qFormat/>
    <w:uiPriority w:val="0"/>
    <w:rPr>
      <w:rFonts w:ascii="宋体" w:hAnsi="宋体"/>
      <w:color w:val="000000"/>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Footer Char"/>
    <w:qFormat/>
    <w:locked/>
    <w:uiPriority w:val="0"/>
    <w:rPr>
      <w:rFonts w:ascii="Calibri" w:hAnsi="Calibri" w:eastAsia="宋体" w:cs="Times New Roman"/>
      <w:sz w:val="18"/>
      <w:szCs w:val="18"/>
    </w:rPr>
  </w:style>
  <w:style w:type="character" w:customStyle="1" w:styleId="141">
    <w:name w:val="样式7 Char"/>
    <w:qFormat/>
    <w:uiPriority w:val="0"/>
    <w:rPr>
      <w:rFonts w:eastAsia="宋体" w:cs="宋体"/>
      <w:kern w:val="2"/>
      <w:sz w:val="24"/>
      <w:szCs w:val="24"/>
      <w:lang w:val="en-US" w:eastAsia="zh-CN" w:bidi="ar-SA"/>
    </w:rPr>
  </w:style>
  <w:style w:type="character" w:customStyle="1" w:styleId="142">
    <w:name w:val="newscontent1"/>
    <w:qFormat/>
    <w:uiPriority w:val="0"/>
    <w:rPr>
      <w:rFonts w:hint="default" w:ascii="Verdana" w:hAnsi="Verdana"/>
      <w:color w:val="333333"/>
      <w:sz w:val="18"/>
      <w:szCs w:val="18"/>
    </w:rPr>
  </w:style>
  <w:style w:type="character" w:customStyle="1" w:styleId="143">
    <w:name w:val="Heading 9 Char"/>
    <w:semiHidden/>
    <w:qFormat/>
    <w:locked/>
    <w:uiPriority w:val="0"/>
    <w:rPr>
      <w:rFonts w:ascii="Cambria" w:hAnsi="Cambria" w:eastAsia="宋体" w:cs="Times New Roman"/>
      <w:kern w:val="0"/>
      <w:sz w:val="21"/>
      <w:szCs w:val="21"/>
    </w:rPr>
  </w:style>
  <w:style w:type="character" w:customStyle="1" w:styleId="144">
    <w:name w:val="font41"/>
    <w:qFormat/>
    <w:uiPriority w:val="0"/>
    <w:rPr>
      <w:rFonts w:hint="eastAsia" w:ascii="宋体" w:hAnsi="宋体" w:eastAsia="宋体" w:cs="宋体"/>
      <w:color w:val="000000"/>
      <w:sz w:val="20"/>
      <w:szCs w:val="20"/>
      <w:u w:val="none"/>
    </w:rPr>
  </w:style>
  <w:style w:type="character" w:customStyle="1" w:styleId="145">
    <w:name w:val="Heading 6 Char"/>
    <w:semiHidden/>
    <w:qFormat/>
    <w:locked/>
    <w:uiPriority w:val="0"/>
    <w:rPr>
      <w:rFonts w:ascii="Cambria" w:hAnsi="Cambria" w:eastAsia="宋体" w:cs="Times New Roman"/>
      <w:b/>
      <w:bCs/>
      <w:kern w:val="0"/>
      <w:sz w:val="24"/>
      <w:szCs w:val="24"/>
    </w:rPr>
  </w:style>
  <w:style w:type="character" w:customStyle="1" w:styleId="146">
    <w:name w:val="标题 3 Char"/>
    <w:qFormat/>
    <w:uiPriority w:val="0"/>
    <w:rPr>
      <w:rFonts w:ascii="Times New Roman" w:hAnsi="Times New Roman" w:eastAsia="楷体_GB2312" w:cs="Times New Roman"/>
      <w:b/>
      <w:bCs/>
      <w:kern w:val="0"/>
      <w:sz w:val="32"/>
      <w:szCs w:val="32"/>
    </w:rPr>
  </w:style>
  <w:style w:type="character" w:customStyle="1" w:styleId="147">
    <w:name w:val="Char Char18"/>
    <w:qFormat/>
    <w:uiPriority w:val="0"/>
    <w:rPr>
      <w:rFonts w:eastAsia="黑体"/>
      <w:sz w:val="18"/>
      <w:szCs w:val="18"/>
    </w:rPr>
  </w:style>
  <w:style w:type="character" w:customStyle="1" w:styleId="148">
    <w:name w:val="日期 Char"/>
    <w:qFormat/>
    <w:uiPriority w:val="0"/>
    <w:rPr>
      <w:rFonts w:eastAsia="楷体_GB2312"/>
      <w:sz w:val="32"/>
    </w:rPr>
  </w:style>
  <w:style w:type="character" w:customStyle="1" w:styleId="149">
    <w:name w:val="标题 5 Char"/>
    <w:qFormat/>
    <w:uiPriority w:val="9"/>
    <w:rPr>
      <w:rFonts w:ascii="Times New Roman" w:hAnsi="Times New Roman" w:eastAsia="宋体" w:cs="Times New Roman"/>
      <w:b/>
      <w:bCs/>
      <w:kern w:val="0"/>
      <w:sz w:val="28"/>
      <w:szCs w:val="28"/>
    </w:rPr>
  </w:style>
  <w:style w:type="character" w:customStyle="1" w:styleId="150">
    <w:name w:val="正文首行缩进1 Char"/>
    <w:qFormat/>
    <w:uiPriority w:val="0"/>
    <w:rPr>
      <w:rFonts w:ascii="Arial" w:hAnsi="Arial" w:eastAsia="宋体"/>
      <w:sz w:val="24"/>
      <w:szCs w:val="21"/>
      <w:lang w:bidi="ar-SA"/>
    </w:rPr>
  </w:style>
  <w:style w:type="character" w:customStyle="1" w:styleId="151">
    <w:name w:val="zhenwen14"/>
    <w:qFormat/>
    <w:uiPriority w:val="0"/>
    <w:rPr>
      <w:color w:val="085994"/>
      <w:sz w:val="18"/>
      <w:szCs w:val="18"/>
    </w:rPr>
  </w:style>
  <w:style w:type="character" w:customStyle="1" w:styleId="152">
    <w:name w:val="wj1"/>
    <w:qFormat/>
    <w:uiPriority w:val="0"/>
    <w:rPr>
      <w:color w:val="000000"/>
      <w:sz w:val="18"/>
      <w:szCs w:val="18"/>
      <w:u w:val="none"/>
    </w:rPr>
  </w:style>
  <w:style w:type="character" w:customStyle="1" w:styleId="153">
    <w:name w:val="纯文本 Char"/>
    <w:qFormat/>
    <w:uiPriority w:val="0"/>
    <w:rPr>
      <w:rFonts w:ascii="宋体" w:hAnsi="Courier New" w:eastAsia="宋体"/>
      <w:sz w:val="24"/>
      <w:szCs w:val="24"/>
    </w:rPr>
  </w:style>
  <w:style w:type="character" w:customStyle="1" w:styleId="154">
    <w:name w:val="Item List Char"/>
    <w:link w:val="155"/>
    <w:qFormat/>
    <w:uiPriority w:val="0"/>
    <w:rPr>
      <w:rFonts w:cs="Arial"/>
      <w:kern w:val="2"/>
      <w:sz w:val="21"/>
      <w:szCs w:val="21"/>
      <w:lang w:val="en-US" w:eastAsia="zh-CN" w:bidi="ar-SA"/>
    </w:rPr>
  </w:style>
  <w:style w:type="paragraph" w:customStyle="1" w:styleId="155">
    <w:name w:val="Item List"/>
    <w:link w:val="15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56">
    <w:name w:val="纯文本 Char3"/>
    <w:qFormat/>
    <w:uiPriority w:val="0"/>
    <w:rPr>
      <w:rFonts w:ascii="宋体" w:hAnsi="Courier New" w:eastAsia="宋体"/>
      <w:sz w:val="24"/>
      <w:szCs w:val="24"/>
    </w:rPr>
  </w:style>
  <w:style w:type="character" w:customStyle="1" w:styleId="157">
    <w:name w:val="con-all2"/>
    <w:qFormat/>
    <w:uiPriority w:val="0"/>
  </w:style>
  <w:style w:type="character" w:customStyle="1" w:styleId="158">
    <w:name w:val="正文文本缩进 2 Char"/>
    <w:qFormat/>
    <w:uiPriority w:val="0"/>
    <w:rPr>
      <w:rFonts w:ascii="仿宋_GB2312" w:hAnsi="宋体" w:cs="Arial"/>
      <w:b/>
      <w:bCs/>
      <w:color w:val="000000"/>
      <w:sz w:val="24"/>
      <w:szCs w:val="24"/>
    </w:rPr>
  </w:style>
  <w:style w:type="character" w:customStyle="1" w:styleId="159">
    <w:name w:val="Plain Text Char"/>
    <w:semiHidden/>
    <w:qFormat/>
    <w:locked/>
    <w:uiPriority w:val="0"/>
    <w:rPr>
      <w:rFonts w:ascii="宋体" w:hAnsi="Courier New" w:cs="Courier New"/>
      <w:kern w:val="0"/>
      <w:sz w:val="21"/>
      <w:szCs w:val="21"/>
    </w:rPr>
  </w:style>
  <w:style w:type="character" w:customStyle="1" w:styleId="160">
    <w:name w:val="style211"/>
    <w:qFormat/>
    <w:uiPriority w:val="0"/>
    <w:rPr>
      <w:color w:val="0000FF"/>
    </w:rPr>
  </w:style>
  <w:style w:type="character" w:customStyle="1" w:styleId="161">
    <w:name w:val="标题 9 Char"/>
    <w:qFormat/>
    <w:uiPriority w:val="0"/>
    <w:rPr>
      <w:rFonts w:ascii="Arial" w:hAnsi="Arial" w:eastAsia="黑体" w:cs="Times New Roman"/>
      <w:kern w:val="0"/>
      <w:sz w:val="20"/>
      <w:szCs w:val="21"/>
    </w:rPr>
  </w:style>
  <w:style w:type="character" w:customStyle="1" w:styleId="162">
    <w:name w:val="!标题3 Ctrl+3 Char"/>
    <w:link w:val="163"/>
    <w:qFormat/>
    <w:locked/>
    <w:uiPriority w:val="0"/>
    <w:rPr>
      <w:rFonts w:ascii="Arial" w:hAnsi="Arial" w:eastAsia="黑体"/>
      <w:b/>
      <w:kern w:val="2"/>
      <w:sz w:val="32"/>
      <w:szCs w:val="32"/>
    </w:rPr>
  </w:style>
  <w:style w:type="paragraph" w:customStyle="1" w:styleId="163">
    <w:name w:val="!标题3 Ctrl+3"/>
    <w:basedOn w:val="4"/>
    <w:next w:val="1"/>
    <w:link w:val="162"/>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64">
    <w:name w:val="正文文本 Char1"/>
    <w:qFormat/>
    <w:uiPriority w:val="0"/>
    <w:rPr>
      <w:rFonts w:ascii="Times New Roman" w:hAnsi="Times New Roman" w:eastAsia="宋体" w:cs="Times New Roman"/>
      <w:kern w:val="0"/>
      <w:sz w:val="28"/>
      <w:szCs w:val="24"/>
    </w:rPr>
  </w:style>
  <w:style w:type="character" w:customStyle="1" w:styleId="165">
    <w:name w:val="文章正文 Char Char"/>
    <w:link w:val="166"/>
    <w:qFormat/>
    <w:uiPriority w:val="0"/>
    <w:rPr>
      <w:rFonts w:ascii="宋体" w:hAnsi="宋体"/>
      <w:sz w:val="24"/>
      <w:szCs w:val="24"/>
    </w:rPr>
  </w:style>
  <w:style w:type="paragraph" w:customStyle="1" w:styleId="166">
    <w:name w:val="文章正文"/>
    <w:basedOn w:val="1"/>
    <w:link w:val="165"/>
    <w:qFormat/>
    <w:uiPriority w:val="0"/>
    <w:pPr>
      <w:spacing w:line="360" w:lineRule="auto"/>
      <w:ind w:firstLine="200" w:firstLineChars="200"/>
      <w:jc w:val="left"/>
    </w:pPr>
    <w:rPr>
      <w:rFonts w:ascii="宋体" w:hAnsi="宋体"/>
      <w:kern w:val="0"/>
      <w:sz w:val="24"/>
    </w:rPr>
  </w:style>
  <w:style w:type="character" w:customStyle="1" w:styleId="167">
    <w:name w:val="font61"/>
    <w:qFormat/>
    <w:uiPriority w:val="0"/>
    <w:rPr>
      <w:rFonts w:hint="eastAsia" w:ascii="宋体" w:hAnsi="宋体" w:eastAsia="宋体" w:cs="宋体"/>
      <w:color w:val="000000"/>
      <w:sz w:val="24"/>
      <w:szCs w:val="24"/>
      <w:u w:val="none"/>
    </w:rPr>
  </w:style>
  <w:style w:type="character" w:customStyle="1" w:styleId="168">
    <w:name w:val="Balloon Text Char"/>
    <w:qFormat/>
    <w:locked/>
    <w:uiPriority w:val="0"/>
    <w:rPr>
      <w:rFonts w:cs="Times New Roman"/>
      <w:sz w:val="18"/>
      <w:szCs w:val="18"/>
    </w:rPr>
  </w:style>
  <w:style w:type="character" w:customStyle="1" w:styleId="169">
    <w:name w:val="缺省文本 Char"/>
    <w:link w:val="170"/>
    <w:qFormat/>
    <w:uiPriority w:val="0"/>
    <w:rPr>
      <w:rFonts w:ascii="Arial" w:hAnsi="Arial"/>
      <w:szCs w:val="21"/>
    </w:rPr>
  </w:style>
  <w:style w:type="paragraph" w:customStyle="1" w:styleId="170">
    <w:name w:val="缺省文本"/>
    <w:basedOn w:val="1"/>
    <w:link w:val="169"/>
    <w:qFormat/>
    <w:uiPriority w:val="0"/>
    <w:pPr>
      <w:autoSpaceDE w:val="0"/>
      <w:autoSpaceDN w:val="0"/>
      <w:adjustRightInd w:val="0"/>
      <w:spacing w:line="360" w:lineRule="auto"/>
      <w:jc w:val="left"/>
    </w:pPr>
    <w:rPr>
      <w:rFonts w:ascii="Arial" w:hAnsi="Arial"/>
      <w:kern w:val="0"/>
      <w:sz w:val="20"/>
      <w:szCs w:val="21"/>
    </w:rPr>
  </w:style>
  <w:style w:type="character" w:customStyle="1" w:styleId="171">
    <w:name w:val="h Char"/>
    <w:qFormat/>
    <w:uiPriority w:val="0"/>
    <w:rPr>
      <w:rFonts w:ascii="Times New Roman" w:hAnsi="Times New Roman" w:eastAsia="宋体" w:cs="Times New Roman"/>
      <w:sz w:val="18"/>
      <w:szCs w:val="18"/>
    </w:rPr>
  </w:style>
  <w:style w:type="character" w:customStyle="1" w:styleId="172">
    <w:name w:val="正文文字缩进4字符 Char"/>
    <w:qFormat/>
    <w:uiPriority w:val="0"/>
    <w:rPr>
      <w:rFonts w:ascii="Times New Roman" w:hAnsi="Times New Roman" w:eastAsia="宋体" w:cs="Times New Roman"/>
      <w:sz w:val="24"/>
      <w:szCs w:val="24"/>
    </w:rPr>
  </w:style>
  <w:style w:type="character" w:customStyle="1" w:styleId="173">
    <w:name w:val="Char Char5"/>
    <w:qFormat/>
    <w:uiPriority w:val="0"/>
    <w:rPr>
      <w:rFonts w:ascii="宋体" w:hAnsi="宋体"/>
      <w:sz w:val="24"/>
      <w:szCs w:val="24"/>
    </w:rPr>
  </w:style>
  <w:style w:type="character" w:customStyle="1" w:styleId="174">
    <w:name w:val="文档结构图 Char"/>
    <w:qFormat/>
    <w:uiPriority w:val="99"/>
    <w:rPr>
      <w:szCs w:val="24"/>
      <w:shd w:val="clear" w:color="auto" w:fill="000080"/>
    </w:rPr>
  </w:style>
  <w:style w:type="character" w:customStyle="1" w:styleId="175">
    <w:name w:val="font71"/>
    <w:qFormat/>
    <w:uiPriority w:val="0"/>
    <w:rPr>
      <w:rFonts w:hint="default" w:ascii="Arial" w:hAnsi="Arial" w:cs="Arial"/>
      <w:color w:val="auto"/>
      <w:sz w:val="20"/>
      <w:szCs w:val="20"/>
      <w:u w:val="none"/>
    </w:rPr>
  </w:style>
  <w:style w:type="character" w:customStyle="1" w:styleId="176">
    <w:name w:val="Heading 8 Char"/>
    <w:semiHidden/>
    <w:qFormat/>
    <w:locked/>
    <w:uiPriority w:val="0"/>
    <w:rPr>
      <w:rFonts w:ascii="Cambria" w:hAnsi="Cambria" w:eastAsia="宋体" w:cs="Times New Roman"/>
      <w:kern w:val="0"/>
      <w:sz w:val="24"/>
      <w:szCs w:val="24"/>
    </w:rPr>
  </w:style>
  <w:style w:type="character" w:customStyle="1" w:styleId="177">
    <w:name w:val="font91"/>
    <w:qFormat/>
    <w:uiPriority w:val="0"/>
    <w:rPr>
      <w:rFonts w:hint="default" w:ascii="Arial" w:hAnsi="Arial" w:cs="Arial"/>
      <w:b/>
      <w:color w:val="auto"/>
      <w:sz w:val="20"/>
      <w:szCs w:val="20"/>
      <w:u w:val="none"/>
    </w:rPr>
  </w:style>
  <w:style w:type="character" w:customStyle="1" w:styleId="178">
    <w:name w:val="Char Char24"/>
    <w:qFormat/>
    <w:uiPriority w:val="0"/>
    <w:rPr>
      <w:rFonts w:ascii="Arial" w:hAnsi="Arial" w:eastAsia="黑体"/>
      <w:b/>
      <w:bCs/>
      <w:kern w:val="2"/>
      <w:sz w:val="28"/>
      <w:szCs w:val="28"/>
    </w:rPr>
  </w:style>
  <w:style w:type="character" w:customStyle="1" w:styleId="179">
    <w:name w:val="文档结构图 Char1"/>
    <w:semiHidden/>
    <w:qFormat/>
    <w:uiPriority w:val="99"/>
    <w:rPr>
      <w:rFonts w:ascii="宋体" w:hAnsi="Times New Roman" w:eastAsia="宋体" w:cs="Times New Roman"/>
      <w:sz w:val="18"/>
      <w:szCs w:val="18"/>
    </w:rPr>
  </w:style>
  <w:style w:type="character" w:customStyle="1" w:styleId="180">
    <w:name w:val="标题 1 Char Char"/>
    <w:qFormat/>
    <w:uiPriority w:val="0"/>
    <w:rPr>
      <w:rFonts w:eastAsia="宋体"/>
      <w:b/>
      <w:spacing w:val="-2"/>
      <w:sz w:val="24"/>
      <w:lang w:val="en-US" w:eastAsia="zh-CN" w:bidi="ar-SA"/>
    </w:rPr>
  </w:style>
  <w:style w:type="character" w:customStyle="1" w:styleId="181">
    <w:name w:val="未处理的提及1"/>
    <w:basedOn w:val="53"/>
    <w:unhideWhenUsed/>
    <w:qFormat/>
    <w:uiPriority w:val="99"/>
    <w:rPr>
      <w:color w:val="605E5C"/>
      <w:shd w:val="clear" w:color="auto" w:fill="E1DFDD"/>
    </w:rPr>
  </w:style>
  <w:style w:type="character" w:customStyle="1" w:styleId="182">
    <w:name w:val="页眉 Char1"/>
    <w:semiHidden/>
    <w:qFormat/>
    <w:uiPriority w:val="99"/>
    <w:rPr>
      <w:rFonts w:ascii="Times New Roman" w:hAnsi="Times New Roman" w:eastAsia="宋体" w:cs="Times New Roman"/>
      <w:sz w:val="18"/>
      <w:szCs w:val="18"/>
    </w:rPr>
  </w:style>
  <w:style w:type="character" w:customStyle="1" w:styleId="183">
    <w:name w:val="Char Char10"/>
    <w:qFormat/>
    <w:uiPriority w:val="0"/>
    <w:rPr>
      <w:kern w:val="2"/>
      <w:sz w:val="21"/>
      <w:szCs w:val="24"/>
      <w:shd w:val="clear" w:color="auto" w:fill="000080"/>
    </w:rPr>
  </w:style>
  <w:style w:type="character" w:customStyle="1" w:styleId="184">
    <w:name w:val="粘贴正文 Char"/>
    <w:link w:val="185"/>
    <w:qFormat/>
    <w:uiPriority w:val="0"/>
    <w:rPr>
      <w:kern w:val="2"/>
      <w:sz w:val="24"/>
      <w:szCs w:val="21"/>
      <w:lang w:val="en-US" w:eastAsia="zh-CN" w:bidi="ar-SA"/>
    </w:rPr>
  </w:style>
  <w:style w:type="paragraph" w:customStyle="1" w:styleId="185">
    <w:name w:val="粘贴正文"/>
    <w:link w:val="184"/>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86">
    <w:name w:val="页脚 Char1"/>
    <w:semiHidden/>
    <w:qFormat/>
    <w:uiPriority w:val="99"/>
    <w:rPr>
      <w:rFonts w:ascii="Times New Roman" w:hAnsi="Times New Roman" w:eastAsia="宋体" w:cs="Times New Roman"/>
      <w:sz w:val="18"/>
      <w:szCs w:val="18"/>
    </w:rPr>
  </w:style>
  <w:style w:type="character" w:customStyle="1" w:styleId="187">
    <w:name w:val="样式 加粗"/>
    <w:qFormat/>
    <w:uiPriority w:val="0"/>
    <w:rPr>
      <w:rFonts w:eastAsia="仿宋_GB2312"/>
      <w:b/>
      <w:bCs/>
      <w:sz w:val="24"/>
    </w:rPr>
  </w:style>
  <w:style w:type="character" w:customStyle="1" w:styleId="188">
    <w:name w:val="普通段落 Char"/>
    <w:link w:val="189"/>
    <w:qFormat/>
    <w:uiPriority w:val="0"/>
    <w:rPr>
      <w:rFonts w:ascii="Arial" w:hAnsi="Arial" w:eastAsia="宋体"/>
      <w:lang w:bidi="ar-SA"/>
    </w:rPr>
  </w:style>
  <w:style w:type="paragraph" w:customStyle="1" w:styleId="189">
    <w:name w:val="普通段落"/>
    <w:basedOn w:val="1"/>
    <w:link w:val="188"/>
    <w:qFormat/>
    <w:uiPriority w:val="0"/>
    <w:pPr>
      <w:spacing w:after="240" w:line="276" w:lineRule="auto"/>
    </w:pPr>
    <w:rPr>
      <w:rFonts w:ascii="Arial" w:hAnsi="Arial"/>
      <w:kern w:val="0"/>
      <w:sz w:val="20"/>
      <w:szCs w:val="20"/>
    </w:rPr>
  </w:style>
  <w:style w:type="character" w:customStyle="1" w:styleId="190">
    <w:name w:val="正文文本 3 Char1"/>
    <w:semiHidden/>
    <w:qFormat/>
    <w:uiPriority w:val="99"/>
    <w:rPr>
      <w:rFonts w:ascii="Times New Roman" w:hAnsi="Times New Roman" w:eastAsia="宋体" w:cs="Times New Roman"/>
      <w:sz w:val="16"/>
      <w:szCs w:val="16"/>
    </w:rPr>
  </w:style>
  <w:style w:type="character" w:customStyle="1" w:styleId="191">
    <w:name w:val="标题 7 Char"/>
    <w:qFormat/>
    <w:uiPriority w:val="0"/>
    <w:rPr>
      <w:rFonts w:ascii="Times New Roman" w:hAnsi="Times New Roman" w:eastAsia="宋体" w:cs="Times New Roman"/>
      <w:b/>
      <w:bCs/>
      <w:kern w:val="0"/>
      <w:sz w:val="24"/>
      <w:szCs w:val="24"/>
    </w:rPr>
  </w:style>
  <w:style w:type="character" w:customStyle="1" w:styleId="192">
    <w:name w:val="3zw"/>
    <w:qFormat/>
    <w:uiPriority w:val="0"/>
  </w:style>
  <w:style w:type="character" w:customStyle="1" w:styleId="193">
    <w:name w:val="A正文 Char"/>
    <w:link w:val="194"/>
    <w:qFormat/>
    <w:uiPriority w:val="0"/>
    <w:rPr>
      <w:szCs w:val="24"/>
    </w:rPr>
  </w:style>
  <w:style w:type="paragraph" w:customStyle="1" w:styleId="194">
    <w:name w:val="A正文"/>
    <w:basedOn w:val="1"/>
    <w:link w:val="193"/>
    <w:qFormat/>
    <w:uiPriority w:val="0"/>
    <w:pPr>
      <w:spacing w:line="360" w:lineRule="auto"/>
      <w:ind w:firstLine="200" w:firstLineChars="200"/>
    </w:pPr>
    <w:rPr>
      <w:kern w:val="0"/>
      <w:sz w:val="20"/>
    </w:rPr>
  </w:style>
  <w:style w:type="character" w:customStyle="1" w:styleId="195">
    <w:name w:val="NormalCharacter"/>
    <w:semiHidden/>
    <w:qFormat/>
    <w:uiPriority w:val="0"/>
  </w:style>
  <w:style w:type="character" w:customStyle="1" w:styleId="196">
    <w:name w:val="正文缩进 字符1"/>
    <w:qFormat/>
    <w:uiPriority w:val="0"/>
  </w:style>
  <w:style w:type="character" w:customStyle="1" w:styleId="197">
    <w:name w:val="正文样式 Char"/>
    <w:link w:val="198"/>
    <w:qFormat/>
    <w:uiPriority w:val="0"/>
    <w:rPr>
      <w:rFonts w:ascii="宋体" w:hAnsi="Calibri" w:eastAsia="宋体" w:cs="宋体"/>
      <w:sz w:val="24"/>
      <w:szCs w:val="24"/>
      <w:lang w:val="zh-CN" w:eastAsia="en-US" w:bidi="he-IL"/>
    </w:rPr>
  </w:style>
  <w:style w:type="paragraph" w:customStyle="1" w:styleId="198">
    <w:name w:val="正文样式"/>
    <w:basedOn w:val="1"/>
    <w:link w:val="197"/>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99">
    <w:name w:val="Char Char3"/>
    <w:qFormat/>
    <w:uiPriority w:val="0"/>
    <w:rPr>
      <w:kern w:val="2"/>
      <w:sz w:val="24"/>
      <w:szCs w:val="24"/>
    </w:rPr>
  </w:style>
  <w:style w:type="character" w:customStyle="1" w:styleId="200">
    <w:name w:val="标题 1 Char"/>
    <w:qFormat/>
    <w:uiPriority w:val="9"/>
    <w:rPr>
      <w:rFonts w:ascii="Times New Roman" w:hAnsi="Times New Roman" w:eastAsia="宋体" w:cs="Times New Roman"/>
      <w:b/>
      <w:bCs/>
      <w:kern w:val="44"/>
      <w:sz w:val="44"/>
      <w:szCs w:val="44"/>
    </w:rPr>
  </w:style>
  <w:style w:type="character" w:customStyle="1" w:styleId="201">
    <w:name w:val="font01"/>
    <w:basedOn w:val="53"/>
    <w:qFormat/>
    <w:uiPriority w:val="0"/>
    <w:rPr>
      <w:rFonts w:hint="eastAsia" w:ascii="宋体" w:hAnsi="宋体" w:eastAsia="宋体" w:cs="宋体"/>
      <w:color w:val="000000"/>
      <w:sz w:val="24"/>
      <w:szCs w:val="24"/>
      <w:u w:val="none"/>
    </w:rPr>
  </w:style>
  <w:style w:type="character" w:customStyle="1" w:styleId="202">
    <w:name w:val="font51"/>
    <w:qFormat/>
    <w:uiPriority w:val="0"/>
    <w:rPr>
      <w:rFonts w:hint="eastAsia" w:ascii="宋体" w:hAnsi="宋体" w:eastAsia="宋体" w:cs="宋体"/>
      <w:color w:val="auto"/>
      <w:sz w:val="18"/>
      <w:szCs w:val="18"/>
      <w:u w:val="none"/>
    </w:rPr>
  </w:style>
  <w:style w:type="character" w:customStyle="1" w:styleId="203">
    <w:name w:val="常规 Char"/>
    <w:link w:val="204"/>
    <w:qFormat/>
    <w:uiPriority w:val="0"/>
    <w:rPr>
      <w:rFonts w:eastAsia="宋体"/>
      <w:szCs w:val="21"/>
      <w:lang w:bidi="ar-SA"/>
    </w:rPr>
  </w:style>
  <w:style w:type="paragraph" w:customStyle="1" w:styleId="204">
    <w:name w:val="常规"/>
    <w:basedOn w:val="1"/>
    <w:link w:val="203"/>
    <w:qFormat/>
    <w:uiPriority w:val="0"/>
    <w:pPr>
      <w:spacing w:beforeLines="100" w:afterLines="100"/>
      <w:ind w:left="1134"/>
    </w:pPr>
    <w:rPr>
      <w:kern w:val="0"/>
      <w:sz w:val="20"/>
      <w:szCs w:val="21"/>
    </w:rPr>
  </w:style>
  <w:style w:type="character" w:customStyle="1" w:styleId="205">
    <w:name w:val="Char Char25"/>
    <w:qFormat/>
    <w:uiPriority w:val="0"/>
    <w:rPr>
      <w:rFonts w:eastAsia="楷体_GB2312"/>
      <w:b/>
      <w:bCs/>
      <w:kern w:val="2"/>
      <w:sz w:val="32"/>
      <w:szCs w:val="32"/>
    </w:rPr>
  </w:style>
  <w:style w:type="character" w:customStyle="1" w:styleId="206">
    <w:name w:val="Heading 5 Char"/>
    <w:semiHidden/>
    <w:qFormat/>
    <w:locked/>
    <w:uiPriority w:val="0"/>
    <w:rPr>
      <w:rFonts w:cs="Times New Roman"/>
      <w:b/>
      <w:bCs/>
      <w:kern w:val="0"/>
      <w:sz w:val="28"/>
      <w:szCs w:val="28"/>
    </w:rPr>
  </w:style>
  <w:style w:type="character" w:customStyle="1" w:styleId="207">
    <w:name w:val="标题 Char1"/>
    <w:qFormat/>
    <w:uiPriority w:val="10"/>
    <w:rPr>
      <w:rFonts w:ascii="Cambria" w:hAnsi="Cambria" w:eastAsia="宋体" w:cs="Times New Roman"/>
      <w:b/>
      <w:bCs/>
      <w:sz w:val="32"/>
      <w:szCs w:val="32"/>
    </w:rPr>
  </w:style>
  <w:style w:type="character" w:customStyle="1" w:styleId="208">
    <w:name w:val="无格式标题 Char"/>
    <w:link w:val="209"/>
    <w:qFormat/>
    <w:uiPriority w:val="0"/>
    <w:rPr>
      <w:rFonts w:ascii="微软雅黑" w:hAnsi="微软雅黑" w:eastAsia="微软雅黑"/>
      <w:b/>
      <w:szCs w:val="24"/>
      <w:lang w:bidi="ar-SA"/>
    </w:rPr>
  </w:style>
  <w:style w:type="paragraph" w:customStyle="1" w:styleId="209">
    <w:name w:val="无格式标题"/>
    <w:basedOn w:val="1"/>
    <w:link w:val="208"/>
    <w:qFormat/>
    <w:uiPriority w:val="0"/>
    <w:pPr>
      <w:spacing w:line="360" w:lineRule="auto"/>
    </w:pPr>
    <w:rPr>
      <w:rFonts w:ascii="微软雅黑" w:hAnsi="微软雅黑" w:eastAsia="微软雅黑"/>
      <w:b/>
      <w:kern w:val="0"/>
      <w:sz w:val="20"/>
    </w:rPr>
  </w:style>
  <w:style w:type="character" w:customStyle="1" w:styleId="210">
    <w:name w:val="Heading 3 - old Char"/>
    <w:qFormat/>
    <w:uiPriority w:val="0"/>
    <w:rPr>
      <w:rFonts w:ascii="Times New Roman" w:hAnsi="Times New Roman" w:eastAsia="宋体" w:cs="Times New Roman"/>
      <w:b/>
      <w:bCs/>
      <w:sz w:val="32"/>
      <w:szCs w:val="32"/>
    </w:rPr>
  </w:style>
  <w:style w:type="character" w:customStyle="1" w:styleId="211">
    <w:name w:val="正文文本缩进 Char"/>
    <w:qFormat/>
    <w:uiPriority w:val="0"/>
    <w:rPr>
      <w:rFonts w:ascii="宋体" w:hAnsi="Courier New"/>
      <w:spacing w:val="-4"/>
      <w:sz w:val="18"/>
    </w:rPr>
  </w:style>
  <w:style w:type="character" w:customStyle="1" w:styleId="212">
    <w:name w:val="页脚 Char2"/>
    <w:qFormat/>
    <w:uiPriority w:val="99"/>
    <w:rPr>
      <w:rFonts w:eastAsia="黑体"/>
      <w:sz w:val="18"/>
      <w:szCs w:val="18"/>
    </w:rPr>
  </w:style>
  <w:style w:type="character" w:customStyle="1" w:styleId="213">
    <w:name w:val="表正文 Char"/>
    <w:qFormat/>
    <w:uiPriority w:val="0"/>
    <w:rPr>
      <w:rFonts w:ascii="Times New Roman" w:hAnsi="Times New Roman" w:eastAsia="宋体" w:cs="Times New Roman"/>
      <w:szCs w:val="24"/>
    </w:rPr>
  </w:style>
  <w:style w:type="character" w:customStyle="1" w:styleId="214">
    <w:name w:val="font31"/>
    <w:qFormat/>
    <w:uiPriority w:val="0"/>
    <w:rPr>
      <w:rFonts w:hint="default" w:ascii="Times New Roman" w:hAnsi="Times New Roman" w:cs="Times New Roman"/>
      <w:color w:val="000000"/>
      <w:sz w:val="20"/>
      <w:szCs w:val="20"/>
      <w:u w:val="none"/>
    </w:rPr>
  </w:style>
  <w:style w:type="character" w:customStyle="1" w:styleId="215">
    <w:name w:val="￥正文 Char"/>
    <w:link w:val="216"/>
    <w:qFormat/>
    <w:uiPriority w:val="0"/>
    <w:rPr>
      <w:rFonts w:ascii="Calibri" w:hAnsi="Calibri" w:eastAsia="宋体"/>
      <w:sz w:val="24"/>
      <w:lang w:bidi="ar-SA"/>
    </w:rPr>
  </w:style>
  <w:style w:type="paragraph" w:customStyle="1" w:styleId="216">
    <w:name w:val="￥正文"/>
    <w:basedOn w:val="1"/>
    <w:link w:val="215"/>
    <w:qFormat/>
    <w:uiPriority w:val="0"/>
    <w:pPr>
      <w:spacing w:line="360" w:lineRule="auto"/>
      <w:ind w:firstLine="200" w:firstLineChars="200"/>
    </w:pPr>
    <w:rPr>
      <w:rFonts w:ascii="Calibri" w:hAnsi="Calibri"/>
      <w:kern w:val="0"/>
      <w:sz w:val="24"/>
      <w:szCs w:val="20"/>
    </w:rPr>
  </w:style>
  <w:style w:type="character" w:customStyle="1" w:styleId="217">
    <w:name w:val="内容文本 Char"/>
    <w:link w:val="218"/>
    <w:qFormat/>
    <w:uiPriority w:val="0"/>
    <w:rPr>
      <w:rFonts w:ascii="宋体" w:hAnsi="宋体" w:eastAsia="宋体"/>
      <w:kern w:val="2"/>
      <w:sz w:val="24"/>
      <w:szCs w:val="24"/>
      <w:lang w:bidi="ar-SA"/>
    </w:rPr>
  </w:style>
  <w:style w:type="paragraph" w:customStyle="1" w:styleId="218">
    <w:name w:val="内容文本"/>
    <w:basedOn w:val="1"/>
    <w:link w:val="217"/>
    <w:qFormat/>
    <w:uiPriority w:val="0"/>
    <w:pPr>
      <w:spacing w:line="360" w:lineRule="auto"/>
      <w:ind w:firstLine="480" w:firstLineChars="200"/>
    </w:pPr>
    <w:rPr>
      <w:rFonts w:ascii="宋体" w:hAnsi="宋体"/>
      <w:sz w:val="24"/>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批注主题 Char"/>
    <w:qFormat/>
    <w:uiPriority w:val="99"/>
    <w:rPr>
      <w:b/>
      <w:bCs/>
      <w:szCs w:val="24"/>
    </w:rPr>
  </w:style>
  <w:style w:type="character" w:customStyle="1" w:styleId="222">
    <w:name w:val="普通 (Web) Char"/>
    <w:qFormat/>
    <w:uiPriority w:val="0"/>
    <w:rPr>
      <w:rFonts w:ascii="宋体" w:hAnsi="宋体" w:eastAsia="宋体" w:cs="Times New Roman"/>
      <w:kern w:val="0"/>
      <w:sz w:val="24"/>
      <w:szCs w:val="24"/>
    </w:rPr>
  </w:style>
  <w:style w:type="character" w:customStyle="1" w:styleId="223">
    <w:name w:val="Char Char1"/>
    <w:qFormat/>
    <w:uiPriority w:val="0"/>
    <w:rPr>
      <w:kern w:val="2"/>
      <w:sz w:val="21"/>
      <w:szCs w:val="24"/>
    </w:rPr>
  </w:style>
  <w:style w:type="character" w:customStyle="1" w:styleId="224">
    <w:name w:val="Char Char111"/>
    <w:qFormat/>
    <w:uiPriority w:val="0"/>
    <w:rPr>
      <w:kern w:val="2"/>
      <w:sz w:val="28"/>
      <w:szCs w:val="24"/>
    </w:rPr>
  </w:style>
  <w:style w:type="character" w:customStyle="1" w:styleId="225">
    <w:name w:val="Char Char6"/>
    <w:qFormat/>
    <w:uiPriority w:val="0"/>
    <w:rPr>
      <w:rFonts w:ascii="Cambria" w:hAnsi="Cambria"/>
      <w:b/>
      <w:bCs/>
      <w:kern w:val="2"/>
      <w:sz w:val="32"/>
      <w:szCs w:val="32"/>
    </w:rPr>
  </w:style>
  <w:style w:type="character" w:customStyle="1" w:styleId="226">
    <w:name w:val="font81"/>
    <w:qFormat/>
    <w:uiPriority w:val="0"/>
    <w:rPr>
      <w:rFonts w:hint="eastAsia" w:ascii="宋体" w:hAnsi="宋体" w:eastAsia="宋体" w:cs="宋体"/>
      <w:color w:val="000000"/>
      <w:sz w:val="20"/>
      <w:szCs w:val="20"/>
      <w:u w:val="none"/>
      <w:vertAlign w:val="superscript"/>
    </w:rPr>
  </w:style>
  <w:style w:type="character" w:customStyle="1" w:styleId="227">
    <w:name w:val="Char Char20"/>
    <w:qFormat/>
    <w:uiPriority w:val="0"/>
    <w:rPr>
      <w:rFonts w:ascii="Arial" w:hAnsi="Arial" w:eastAsia="黑体"/>
      <w:kern w:val="2"/>
      <w:sz w:val="24"/>
      <w:szCs w:val="24"/>
    </w:rPr>
  </w:style>
  <w:style w:type="character" w:customStyle="1" w:styleId="228">
    <w:name w:val="body1"/>
    <w:qFormat/>
    <w:uiPriority w:val="0"/>
    <w:rPr>
      <w:rFonts w:hint="default"/>
      <w:sz w:val="18"/>
    </w:rPr>
  </w:style>
  <w:style w:type="character" w:customStyle="1" w:styleId="229">
    <w:name w:val="中等深浅网格 1 - 强调文字颜色 2 Char"/>
    <w:link w:val="230"/>
    <w:qFormat/>
    <w:uiPriority w:val="0"/>
    <w:rPr>
      <w:rFonts w:ascii="Calibri" w:hAnsi="Calibri" w:eastAsia="宋体"/>
      <w:sz w:val="24"/>
      <w:lang w:bidi="ar-SA"/>
    </w:rPr>
  </w:style>
  <w:style w:type="paragraph" w:customStyle="1" w:styleId="230">
    <w:name w:val="中等深浅网格 1 - 强调文字颜色 21"/>
    <w:basedOn w:val="1"/>
    <w:link w:val="229"/>
    <w:qFormat/>
    <w:uiPriority w:val="0"/>
    <w:pPr>
      <w:spacing w:line="360" w:lineRule="auto"/>
      <w:ind w:firstLine="420" w:firstLineChars="200"/>
    </w:pPr>
    <w:rPr>
      <w:rFonts w:ascii="Calibri" w:hAnsi="Calibri"/>
      <w:kern w:val="0"/>
      <w:sz w:val="24"/>
      <w:szCs w:val="20"/>
    </w:rPr>
  </w:style>
  <w:style w:type="character" w:customStyle="1" w:styleId="231">
    <w:name w:val="Body Text Indent 3 Char"/>
    <w:qFormat/>
    <w:locked/>
    <w:uiPriority w:val="0"/>
    <w:rPr>
      <w:rFonts w:cs="Times New Roman"/>
      <w:kern w:val="2"/>
      <w:sz w:val="16"/>
      <w:szCs w:val="16"/>
    </w:rPr>
  </w:style>
  <w:style w:type="character" w:customStyle="1" w:styleId="232">
    <w:name w:val="H2 Char"/>
    <w:qFormat/>
    <w:uiPriority w:val="0"/>
    <w:rPr>
      <w:rFonts w:ascii="Cambria" w:hAnsi="Cambria" w:eastAsia="宋体" w:cs="Times New Roman"/>
      <w:b/>
      <w:bCs/>
      <w:sz w:val="32"/>
      <w:szCs w:val="32"/>
    </w:rPr>
  </w:style>
  <w:style w:type="character" w:customStyle="1" w:styleId="233">
    <w:name w:val="Char Char17"/>
    <w:qFormat/>
    <w:uiPriority w:val="0"/>
    <w:rPr>
      <w:rFonts w:ascii="仿宋_GB2312" w:hAnsi="宋体" w:cs="Arial"/>
      <w:b/>
      <w:bCs/>
      <w:color w:val="000000"/>
      <w:kern w:val="2"/>
      <w:sz w:val="24"/>
      <w:szCs w:val="24"/>
    </w:rPr>
  </w:style>
  <w:style w:type="character" w:customStyle="1" w:styleId="234">
    <w:name w:val="页脚 Char"/>
    <w:qFormat/>
    <w:uiPriority w:val="99"/>
    <w:rPr>
      <w:rFonts w:eastAsia="Calibri"/>
      <w:sz w:val="21"/>
    </w:rPr>
  </w:style>
  <w:style w:type="character" w:customStyle="1" w:styleId="235">
    <w:name w:val="A7"/>
    <w:qFormat/>
    <w:uiPriority w:val="0"/>
    <w:rPr>
      <w:rFonts w:ascii="HelveticaNeueLT Std Lt" w:eastAsia="HelveticaNeueLT Std Lt" w:cs="HelveticaNeueLT Std Lt"/>
      <w:color w:val="000000"/>
      <w:sz w:val="20"/>
      <w:szCs w:val="20"/>
    </w:rPr>
  </w:style>
  <w:style w:type="character" w:customStyle="1" w:styleId="236">
    <w:name w:val="正文文本缩进 3 Char1"/>
    <w:semiHidden/>
    <w:qFormat/>
    <w:uiPriority w:val="99"/>
    <w:rPr>
      <w:rFonts w:ascii="Times New Roman" w:hAnsi="Times New Roman" w:eastAsia="宋体" w:cs="Times New Roman"/>
      <w:sz w:val="16"/>
      <w:szCs w:val="16"/>
    </w:rPr>
  </w:style>
  <w:style w:type="character" w:customStyle="1" w:styleId="237">
    <w:name w:val="表格文本 Char Char"/>
    <w:link w:val="238"/>
    <w:qFormat/>
    <w:uiPriority w:val="0"/>
    <w:rPr>
      <w:rFonts w:ascii="Arial" w:hAnsi="Arial"/>
      <w:kern w:val="2"/>
      <w:sz w:val="21"/>
      <w:szCs w:val="21"/>
      <w:lang w:val="en-US" w:eastAsia="zh-CN" w:bidi="ar-SA"/>
    </w:rPr>
  </w:style>
  <w:style w:type="paragraph" w:customStyle="1" w:styleId="238">
    <w:name w:val="表格文本 Char"/>
    <w:link w:val="237"/>
    <w:qFormat/>
    <w:uiPriority w:val="0"/>
    <w:pPr>
      <w:tabs>
        <w:tab w:val="decimal" w:pos="0"/>
      </w:tabs>
    </w:pPr>
    <w:rPr>
      <w:rFonts w:ascii="Arial" w:hAnsi="Arial" w:eastAsia="宋体" w:cs="Times New Roman"/>
      <w:kern w:val="2"/>
      <w:sz w:val="21"/>
      <w:szCs w:val="21"/>
      <w:lang w:val="en-US" w:eastAsia="zh-CN" w:bidi="ar-SA"/>
    </w:rPr>
  </w:style>
  <w:style w:type="character" w:customStyle="1" w:styleId="239">
    <w:name w:val="Char Char1111"/>
    <w:qFormat/>
    <w:uiPriority w:val="0"/>
    <w:rPr>
      <w:kern w:val="2"/>
      <w:sz w:val="28"/>
      <w:szCs w:val="24"/>
    </w:rPr>
  </w:style>
  <w:style w:type="character" w:customStyle="1" w:styleId="240">
    <w:name w:val="font11"/>
    <w:qFormat/>
    <w:uiPriority w:val="0"/>
    <w:rPr>
      <w:rFonts w:hint="default" w:ascii="Times New Roman" w:hAnsi="Times New Roman" w:cs="Times New Roman"/>
      <w:color w:val="000000"/>
      <w:sz w:val="20"/>
      <w:szCs w:val="20"/>
      <w:u w:val="none"/>
    </w:rPr>
  </w:style>
  <w:style w:type="character" w:customStyle="1" w:styleId="241">
    <w:name w:val="正文文本 Char"/>
    <w:qFormat/>
    <w:uiPriority w:val="0"/>
    <w:rPr>
      <w:rFonts w:ascii="Times New Roman" w:hAnsi="Times New Roman" w:eastAsia="宋体" w:cs="Times New Roman"/>
      <w:szCs w:val="24"/>
    </w:rPr>
  </w:style>
  <w:style w:type="character" w:customStyle="1" w:styleId="242">
    <w:name w:val="引文目录标题 Char"/>
    <w:qFormat/>
    <w:uiPriority w:val="0"/>
    <w:rPr>
      <w:rFonts w:ascii="Arial" w:hAnsi="Arial" w:eastAsia="宋体" w:cs="Times New Roman"/>
      <w:kern w:val="0"/>
      <w:sz w:val="24"/>
      <w:szCs w:val="20"/>
    </w:rPr>
  </w:style>
  <w:style w:type="character" w:customStyle="1" w:styleId="243">
    <w:name w:val="标题 4 Char"/>
    <w:qFormat/>
    <w:uiPriority w:val="0"/>
    <w:rPr>
      <w:rFonts w:ascii="Arial" w:hAnsi="Arial" w:eastAsia="黑体" w:cs="Times New Roman"/>
      <w:b/>
      <w:bCs/>
      <w:kern w:val="0"/>
      <w:sz w:val="28"/>
      <w:szCs w:val="28"/>
    </w:rPr>
  </w:style>
  <w:style w:type="character" w:customStyle="1" w:styleId="244">
    <w:name w:val="Char Char22"/>
    <w:qFormat/>
    <w:uiPriority w:val="0"/>
    <w:rPr>
      <w:rFonts w:ascii="Arial" w:hAnsi="Arial" w:eastAsia="黑体"/>
      <w:b/>
      <w:bCs/>
      <w:kern w:val="2"/>
      <w:sz w:val="24"/>
      <w:szCs w:val="24"/>
    </w:rPr>
  </w:style>
  <w:style w:type="character" w:customStyle="1" w:styleId="245">
    <w:name w:val="正文文本缩进 3 Char"/>
    <w:qFormat/>
    <w:uiPriority w:val="0"/>
    <w:rPr>
      <w:rFonts w:ascii="仿宋_GB2312" w:hAnsi="宋体" w:eastAsia="仿宋_GB2312"/>
      <w:color w:val="000000"/>
      <w:sz w:val="24"/>
      <w:szCs w:val="24"/>
    </w:rPr>
  </w:style>
  <w:style w:type="character" w:customStyle="1" w:styleId="246">
    <w:name w:val="彩色列表 - 着色 1 字符"/>
    <w:link w:val="247"/>
    <w:qFormat/>
    <w:locked/>
    <w:uiPriority w:val="34"/>
    <w:rPr>
      <w:rFonts w:ascii="Times New Roman" w:hAnsi="Times New Roman"/>
      <w:kern w:val="2"/>
      <w:sz w:val="21"/>
      <w:szCs w:val="24"/>
    </w:rPr>
  </w:style>
  <w:style w:type="paragraph" w:customStyle="1" w:styleId="247">
    <w:name w:val="彩色列表 - 着色 11"/>
    <w:basedOn w:val="1"/>
    <w:link w:val="246"/>
    <w:qFormat/>
    <w:uiPriority w:val="34"/>
    <w:pPr>
      <w:ind w:firstLine="420" w:firstLineChars="200"/>
    </w:pPr>
  </w:style>
  <w:style w:type="character" w:customStyle="1" w:styleId="248">
    <w:name w:val="正文文本 3 Char"/>
    <w:qFormat/>
    <w:uiPriority w:val="0"/>
    <w:rPr>
      <w:rFonts w:hAnsi="宋体" w:eastAsia="仿宋_GB2312"/>
      <w:b/>
      <w:bCs/>
      <w:sz w:val="24"/>
    </w:rPr>
  </w:style>
  <w:style w:type="character" w:customStyle="1" w:styleId="249">
    <w:name w:val="标题 8 Char"/>
    <w:qFormat/>
    <w:uiPriority w:val="0"/>
    <w:rPr>
      <w:rFonts w:ascii="Arial" w:hAnsi="Arial" w:eastAsia="黑体" w:cs="Times New Roman"/>
      <w:kern w:val="0"/>
      <w:sz w:val="24"/>
      <w:szCs w:val="24"/>
    </w:rPr>
  </w:style>
  <w:style w:type="character" w:customStyle="1" w:styleId="250">
    <w:name w:val="Char Char15"/>
    <w:qFormat/>
    <w:uiPriority w:val="0"/>
    <w:rPr>
      <w:rFonts w:hAnsi="宋体" w:eastAsia="仿宋_GB2312"/>
      <w:b/>
      <w:bCs/>
      <w:kern w:val="2"/>
      <w:sz w:val="24"/>
    </w:rPr>
  </w:style>
  <w:style w:type="character" w:customStyle="1" w:styleId="251">
    <w:name w:val="Heading 7 Char"/>
    <w:semiHidden/>
    <w:qFormat/>
    <w:locked/>
    <w:uiPriority w:val="0"/>
    <w:rPr>
      <w:rFonts w:cs="Times New Roman"/>
      <w:b/>
      <w:bCs/>
      <w:kern w:val="0"/>
      <w:sz w:val="24"/>
      <w:szCs w:val="24"/>
    </w:rPr>
  </w:style>
  <w:style w:type="character" w:customStyle="1" w:styleId="252">
    <w:name w:val="Heading 2 Char"/>
    <w:semiHidden/>
    <w:qFormat/>
    <w:locked/>
    <w:uiPriority w:val="0"/>
    <w:rPr>
      <w:rFonts w:ascii="Cambria" w:hAnsi="Cambria" w:eastAsia="宋体" w:cs="Times New Roman"/>
      <w:b/>
      <w:bCs/>
      <w:kern w:val="0"/>
      <w:sz w:val="32"/>
      <w:szCs w:val="32"/>
    </w:rPr>
  </w:style>
  <w:style w:type="character" w:customStyle="1" w:styleId="253">
    <w:name w:val="txt1"/>
    <w:qFormat/>
    <w:uiPriority w:val="0"/>
    <w:rPr>
      <w:rFonts w:hint="default" w:ascii="ˎ̥" w:hAnsi="ˎ̥"/>
      <w:sz w:val="18"/>
      <w:szCs w:val="18"/>
    </w:rPr>
  </w:style>
  <w:style w:type="character" w:customStyle="1" w:styleId="254">
    <w:name w:val="批注主题 Char1"/>
    <w:semiHidden/>
    <w:qFormat/>
    <w:uiPriority w:val="99"/>
    <w:rPr>
      <w:rFonts w:ascii="Times New Roman" w:hAnsi="Times New Roman" w:eastAsia="宋体" w:cs="Times New Roman"/>
      <w:b/>
      <w:bCs/>
      <w:szCs w:val="24"/>
    </w:rPr>
  </w:style>
  <w:style w:type="character" w:customStyle="1" w:styleId="255">
    <w:name w:val="BOD 4 Char Char"/>
    <w:qFormat/>
    <w:uiPriority w:val="0"/>
    <w:rPr>
      <w:rFonts w:ascii="Arial" w:hAnsi="Arial" w:eastAsia="黑体" w:cs="Times New Roman"/>
      <w:b/>
      <w:bCs/>
      <w:sz w:val="24"/>
      <w:szCs w:val="24"/>
    </w:rPr>
  </w:style>
  <w:style w:type="character" w:customStyle="1" w:styleId="256">
    <w:name w:val="Body Text Char"/>
    <w:semiHidden/>
    <w:qFormat/>
    <w:locked/>
    <w:uiPriority w:val="0"/>
    <w:rPr>
      <w:rFonts w:cs="Times New Roman"/>
      <w:kern w:val="0"/>
      <w:sz w:val="21"/>
      <w:szCs w:val="21"/>
    </w:rPr>
  </w:style>
  <w:style w:type="character" w:customStyle="1" w:styleId="257">
    <w:name w:val="Char Char26"/>
    <w:qFormat/>
    <w:uiPriority w:val="0"/>
    <w:rPr>
      <w:rFonts w:ascii="Arial" w:hAnsi="Arial" w:eastAsia="黑体"/>
      <w:b/>
      <w:bCs/>
      <w:kern w:val="2"/>
      <w:sz w:val="32"/>
      <w:szCs w:val="32"/>
    </w:rPr>
  </w:style>
  <w:style w:type="character" w:customStyle="1" w:styleId="258">
    <w:name w:val="标题 2 Char"/>
    <w:qFormat/>
    <w:uiPriority w:val="9"/>
    <w:rPr>
      <w:rFonts w:ascii="Arial" w:hAnsi="Arial" w:eastAsia="黑体" w:cs="Times New Roman"/>
      <w:b/>
      <w:bCs/>
      <w:kern w:val="0"/>
      <w:sz w:val="32"/>
      <w:szCs w:val="32"/>
    </w:rPr>
  </w:style>
  <w:style w:type="character" w:customStyle="1" w:styleId="259">
    <w:name w:val="纯文本 Char1"/>
    <w:qFormat/>
    <w:uiPriority w:val="0"/>
    <w:rPr>
      <w:rFonts w:ascii="宋体" w:hAnsi="Courier New" w:eastAsia="宋体"/>
      <w:kern w:val="2"/>
      <w:sz w:val="24"/>
      <w:szCs w:val="24"/>
      <w:lang w:val="en-US" w:eastAsia="zh-CN" w:bidi="ar-SA"/>
    </w:rPr>
  </w:style>
  <w:style w:type="character" w:customStyle="1" w:styleId="260">
    <w:name w:val="Normal Indent Char"/>
    <w:qFormat/>
    <w:locked/>
    <w:uiPriority w:val="0"/>
    <w:rPr>
      <w:sz w:val="20"/>
    </w:rPr>
  </w:style>
  <w:style w:type="character" w:customStyle="1" w:styleId="261">
    <w:name w:val="纯文本 字符1"/>
    <w:qFormat/>
    <w:locked/>
    <w:uiPriority w:val="0"/>
    <w:rPr>
      <w:rFonts w:ascii="宋体" w:hAnsi="Courier New"/>
      <w:sz w:val="24"/>
      <w:szCs w:val="24"/>
    </w:rPr>
  </w:style>
  <w:style w:type="character" w:customStyle="1" w:styleId="262">
    <w:name w:val="正文首行缩进 Char1"/>
    <w:semiHidden/>
    <w:qFormat/>
    <w:uiPriority w:val="99"/>
    <w:rPr>
      <w:rFonts w:ascii="Times New Roman" w:hAnsi="Times New Roman" w:eastAsia="宋体" w:cs="Times New Roman"/>
      <w:szCs w:val="24"/>
    </w:rPr>
  </w:style>
  <w:style w:type="character" w:customStyle="1" w:styleId="263">
    <w:name w:val="font21"/>
    <w:qFormat/>
    <w:uiPriority w:val="0"/>
    <w:rPr>
      <w:rFonts w:hint="eastAsia" w:ascii="宋体" w:hAnsi="宋体" w:eastAsia="宋体" w:cs="宋体"/>
      <w:color w:val="000000"/>
      <w:sz w:val="20"/>
      <w:szCs w:val="20"/>
      <w:u w:val="none"/>
    </w:rPr>
  </w:style>
  <w:style w:type="character" w:customStyle="1" w:styleId="264">
    <w:name w:val="正文文本 2 Char1"/>
    <w:semiHidden/>
    <w:qFormat/>
    <w:uiPriority w:val="99"/>
    <w:rPr>
      <w:rFonts w:ascii="Times New Roman" w:hAnsi="Times New Roman" w:eastAsia="宋体" w:cs="Times New Roman"/>
      <w:szCs w:val="24"/>
    </w:rPr>
  </w:style>
  <w:style w:type="character" w:customStyle="1" w:styleId="265">
    <w:name w:val="Char Char13"/>
    <w:qFormat/>
    <w:uiPriority w:val="0"/>
    <w:rPr>
      <w:b/>
      <w:bCs/>
      <w:kern w:val="2"/>
      <w:sz w:val="21"/>
      <w:szCs w:val="24"/>
    </w:rPr>
  </w:style>
  <w:style w:type="character" w:customStyle="1" w:styleId="266">
    <w:name w:val="H1 Char"/>
    <w:qFormat/>
    <w:uiPriority w:val="0"/>
    <w:rPr>
      <w:rFonts w:ascii="Times New Roman" w:hAnsi="Times New Roman" w:eastAsia="宋体" w:cs="Times New Roman"/>
      <w:b/>
      <w:bCs/>
      <w:kern w:val="44"/>
      <w:sz w:val="44"/>
      <w:szCs w:val="44"/>
    </w:rPr>
  </w:style>
  <w:style w:type="character" w:customStyle="1" w:styleId="267">
    <w:name w:val="标题 3 Char1"/>
    <w:qFormat/>
    <w:uiPriority w:val="0"/>
    <w:rPr>
      <w:rFonts w:ascii="Times New Roman" w:hAnsi="Times New Roman" w:eastAsia="宋体" w:cs="Times New Roman"/>
      <w:b/>
      <w:bCs/>
      <w:sz w:val="32"/>
      <w:szCs w:val="32"/>
    </w:rPr>
  </w:style>
  <w:style w:type="character" w:customStyle="1" w:styleId="268">
    <w:name w:val="正文首行缩进 Char"/>
    <w:link w:val="269"/>
    <w:qFormat/>
    <w:uiPriority w:val="0"/>
    <w:rPr>
      <w:sz w:val="24"/>
      <w:szCs w:val="24"/>
    </w:rPr>
  </w:style>
  <w:style w:type="paragraph" w:customStyle="1" w:styleId="269">
    <w:name w:val="_Style 394"/>
    <w:basedOn w:val="1"/>
    <w:next w:val="1"/>
    <w:link w:val="268"/>
    <w:unhideWhenUsed/>
    <w:qFormat/>
    <w:uiPriority w:val="0"/>
    <w:pPr>
      <w:ind w:left="2940" w:leftChars="1400"/>
    </w:pPr>
    <w:rPr>
      <w:kern w:val="0"/>
      <w:sz w:val="24"/>
    </w:rPr>
  </w:style>
  <w:style w:type="character" w:customStyle="1" w:styleId="270">
    <w:name w:val="正文文本缩进 字符"/>
    <w:qFormat/>
    <w:uiPriority w:val="0"/>
    <w:rPr>
      <w:rFonts w:ascii="宋体" w:hAnsi="Courier New"/>
      <w:spacing w:val="-4"/>
      <w:sz w:val="18"/>
    </w:rPr>
  </w:style>
  <w:style w:type="character" w:customStyle="1" w:styleId="271">
    <w:name w:val="Char Char21"/>
    <w:qFormat/>
    <w:uiPriority w:val="0"/>
    <w:rPr>
      <w:b/>
      <w:bCs/>
      <w:kern w:val="2"/>
      <w:sz w:val="24"/>
      <w:szCs w:val="24"/>
    </w:rPr>
  </w:style>
  <w:style w:type="character" w:customStyle="1" w:styleId="272">
    <w:name w:val="Char Char9"/>
    <w:qFormat/>
    <w:uiPriority w:val="0"/>
    <w:rPr>
      <w:rFonts w:eastAsia="仿宋_GB2312"/>
      <w:kern w:val="2"/>
      <w:sz w:val="18"/>
    </w:rPr>
  </w:style>
  <w:style w:type="character" w:customStyle="1" w:styleId="273">
    <w:name w:val="页眉 Char"/>
    <w:qFormat/>
    <w:uiPriority w:val="99"/>
    <w:rPr>
      <w:rFonts w:eastAsia="仿宋_GB2312"/>
      <w:sz w:val="18"/>
    </w:rPr>
  </w:style>
  <w:style w:type="character" w:customStyle="1" w:styleId="274">
    <w:name w:val="Heading 3 Char"/>
    <w:semiHidden/>
    <w:qFormat/>
    <w:locked/>
    <w:uiPriority w:val="0"/>
    <w:rPr>
      <w:rFonts w:cs="Times New Roman"/>
      <w:b/>
      <w:bCs/>
      <w:kern w:val="0"/>
      <w:sz w:val="32"/>
      <w:szCs w:val="32"/>
    </w:rPr>
  </w:style>
  <w:style w:type="character" w:customStyle="1" w:styleId="275">
    <w:name w:val="unnamed21"/>
    <w:qFormat/>
    <w:uiPriority w:val="0"/>
    <w:rPr>
      <w:b/>
      <w:bCs/>
      <w:spacing w:val="330"/>
      <w:sz w:val="21"/>
      <w:szCs w:val="21"/>
    </w:rPr>
  </w:style>
  <w:style w:type="paragraph" w:customStyle="1" w:styleId="27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7">
    <w:name w:val="Normal Indent1"/>
    <w:basedOn w:val="1"/>
    <w:qFormat/>
    <w:uiPriority w:val="0"/>
    <w:pPr>
      <w:ind w:firstLine="420" w:firstLineChars="200"/>
    </w:pPr>
  </w:style>
  <w:style w:type="paragraph" w:customStyle="1" w:styleId="27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styleId="279">
    <w:name w:val="List Paragraph"/>
    <w:basedOn w:val="1"/>
    <w:qFormat/>
    <w:uiPriority w:val="99"/>
    <w:pPr>
      <w:ind w:firstLine="420" w:firstLineChars="200"/>
    </w:pPr>
  </w:style>
  <w:style w:type="paragraph" w:customStyle="1" w:styleId="280">
    <w:name w:val="默认段落字体 Para Char Char Char Char Char Char Char Char Char1 Char Char Char Char"/>
    <w:basedOn w:val="1"/>
    <w:qFormat/>
    <w:uiPriority w:val="0"/>
    <w:rPr>
      <w:rFonts w:ascii="Tahoma" w:hAnsi="Tahoma"/>
      <w:sz w:val="24"/>
      <w:szCs w:val="20"/>
    </w:rPr>
  </w:style>
  <w:style w:type="paragraph" w:customStyle="1" w:styleId="281">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2">
    <w:name w:val="默认段落字体 Para Char"/>
    <w:basedOn w:val="1"/>
    <w:qFormat/>
    <w:uiPriority w:val="0"/>
    <w:rPr>
      <w:szCs w:val="20"/>
    </w:rPr>
  </w:style>
  <w:style w:type="paragraph" w:customStyle="1" w:styleId="28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84">
    <w:name w:val="此正文"/>
    <w:basedOn w:val="1"/>
    <w:qFormat/>
    <w:uiPriority w:val="0"/>
    <w:pPr>
      <w:spacing w:line="360" w:lineRule="auto"/>
      <w:ind w:firstLine="200" w:firstLineChars="200"/>
    </w:pPr>
    <w:rPr>
      <w:sz w:val="24"/>
    </w:rPr>
  </w:style>
  <w:style w:type="paragraph" w:customStyle="1" w:styleId="285">
    <w:name w:val="样式 A正文 + 首行缩进:  0 字符"/>
    <w:basedOn w:val="194"/>
    <w:qFormat/>
    <w:uiPriority w:val="0"/>
    <w:pPr>
      <w:spacing w:line="240" w:lineRule="auto"/>
      <w:ind w:firstLine="0" w:firstLineChars="0"/>
    </w:pPr>
    <w:rPr>
      <w:rFonts w:cs="宋体"/>
      <w:szCs w:val="20"/>
    </w:rPr>
  </w:style>
  <w:style w:type="paragraph" w:customStyle="1" w:styleId="28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7">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288">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9">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91">
    <w:name w:val="Char Char"/>
    <w:basedOn w:val="1"/>
    <w:qFormat/>
    <w:uiPriority w:val="0"/>
    <w:pPr>
      <w:jc w:val="center"/>
    </w:pPr>
    <w:rPr>
      <w:rFonts w:ascii="仿宋_GB2312" w:eastAsia="仿宋_GB2312"/>
      <w:b/>
      <w:kern w:val="0"/>
      <w:sz w:val="32"/>
      <w:szCs w:val="32"/>
      <w:lang w:val="en-GB"/>
    </w:rPr>
  </w:style>
  <w:style w:type="paragraph" w:customStyle="1" w:styleId="29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9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5">
    <w:name w:val="BodyText"/>
    <w:basedOn w:val="1"/>
    <w:next w:val="296"/>
    <w:qFormat/>
    <w:uiPriority w:val="0"/>
    <w:pPr>
      <w:textAlignment w:val="baseline"/>
    </w:pPr>
    <w:rPr>
      <w:rFonts w:ascii="宋体" w:hAnsi="宋体"/>
      <w:szCs w:val="21"/>
      <w:lang w:val="zh-CN" w:bidi="zh-CN"/>
    </w:rPr>
  </w:style>
  <w:style w:type="paragraph" w:customStyle="1" w:styleId="296">
    <w:name w:val="TOC2"/>
    <w:basedOn w:val="1"/>
    <w:next w:val="1"/>
    <w:qFormat/>
    <w:uiPriority w:val="0"/>
    <w:pPr>
      <w:ind w:left="420" w:leftChars="200"/>
      <w:textAlignment w:val="baseline"/>
    </w:pPr>
  </w:style>
  <w:style w:type="paragraph" w:customStyle="1" w:styleId="29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29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0">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0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30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3">
    <w:name w:val="Table Text"/>
    <w:basedOn w:val="1"/>
    <w:qFormat/>
    <w:uiPriority w:val="0"/>
    <w:rPr>
      <w:sz w:val="18"/>
    </w:rPr>
  </w:style>
  <w:style w:type="paragraph" w:customStyle="1" w:styleId="304">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0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0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0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1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1">
    <w:name w:val="列出段落2"/>
    <w:basedOn w:val="1"/>
    <w:qFormat/>
    <w:uiPriority w:val="0"/>
    <w:pPr>
      <w:ind w:firstLine="420" w:firstLineChars="200"/>
    </w:pPr>
  </w:style>
  <w:style w:type="paragraph" w:customStyle="1" w:styleId="31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4">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15">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1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17">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18">
    <w:name w:val="图片"/>
    <w:basedOn w:val="1"/>
    <w:next w:val="1"/>
    <w:qFormat/>
    <w:uiPriority w:val="0"/>
    <w:pPr>
      <w:jc w:val="center"/>
    </w:pPr>
  </w:style>
  <w:style w:type="paragraph" w:customStyle="1" w:styleId="31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0">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21">
    <w:name w:val="正文符号1"/>
    <w:basedOn w:val="322"/>
    <w:qFormat/>
    <w:uiPriority w:val="0"/>
    <w:pPr>
      <w:tabs>
        <w:tab w:val="left" w:pos="1080"/>
      </w:tabs>
      <w:ind w:left="1134" w:firstLine="0" w:firstLineChars="0"/>
    </w:pPr>
  </w:style>
  <w:style w:type="paragraph" w:customStyle="1" w:styleId="322">
    <w:name w:val="正文首行缩进2字"/>
    <w:basedOn w:val="1"/>
    <w:qFormat/>
    <w:uiPriority w:val="0"/>
    <w:pPr>
      <w:spacing w:line="360" w:lineRule="auto"/>
      <w:ind w:firstLine="412" w:firstLineChars="196"/>
    </w:pPr>
    <w:rPr>
      <w:rFonts w:ascii="宋体" w:hAnsi="宋体"/>
      <w:kern w:val="0"/>
      <w:szCs w:val="21"/>
    </w:rPr>
  </w:style>
  <w:style w:type="paragraph" w:customStyle="1" w:styleId="32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4">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25">
    <w:name w:val="样式25"/>
    <w:basedOn w:val="1"/>
    <w:qFormat/>
    <w:uiPriority w:val="0"/>
    <w:pPr>
      <w:tabs>
        <w:tab w:val="left" w:pos="180"/>
      </w:tabs>
      <w:ind w:left="1260" w:hanging="720"/>
    </w:pPr>
    <w:rPr>
      <w:sz w:val="24"/>
      <w:szCs w:val="20"/>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9">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3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3">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334">
    <w:name w:val="签发人"/>
    <w:basedOn w:val="1"/>
    <w:qFormat/>
    <w:uiPriority w:val="0"/>
    <w:rPr>
      <w:rFonts w:eastAsia="楷体"/>
      <w:sz w:val="32"/>
    </w:rPr>
  </w:style>
  <w:style w:type="paragraph" w:customStyle="1" w:styleId="335">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3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7">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38">
    <w:name w:val="p16"/>
    <w:basedOn w:val="1"/>
    <w:qFormat/>
    <w:uiPriority w:val="0"/>
    <w:pPr>
      <w:widowControl/>
    </w:pPr>
    <w:rPr>
      <w:rFonts w:ascii="Arial" w:hAnsi="Arial" w:cs="Arial"/>
      <w:color w:val="333333"/>
      <w:kern w:val="0"/>
      <w:sz w:val="18"/>
      <w:szCs w:val="18"/>
    </w:rPr>
  </w:style>
  <w:style w:type="paragraph" w:customStyle="1" w:styleId="339">
    <w:name w:val="样式23"/>
    <w:basedOn w:val="340"/>
    <w:qFormat/>
    <w:uiPriority w:val="0"/>
    <w:pPr>
      <w:tabs>
        <w:tab w:val="left" w:pos="420"/>
      </w:tabs>
      <w:adjustRightInd w:val="0"/>
      <w:snapToGrid w:val="0"/>
      <w:spacing w:after="0" w:line="240" w:lineRule="auto"/>
    </w:pPr>
    <w:rPr>
      <w:szCs w:val="20"/>
    </w:rPr>
  </w:style>
  <w:style w:type="paragraph" w:customStyle="1" w:styleId="340">
    <w:name w:val="小点说明"/>
    <w:basedOn w:val="1"/>
    <w:qFormat/>
    <w:uiPriority w:val="0"/>
    <w:pPr>
      <w:tabs>
        <w:tab w:val="left" w:pos="420"/>
      </w:tabs>
      <w:spacing w:after="80" w:line="360" w:lineRule="auto"/>
      <w:ind w:left="420" w:hanging="420"/>
    </w:pPr>
    <w:rPr>
      <w:sz w:val="24"/>
    </w:rPr>
  </w:style>
  <w:style w:type="paragraph" w:customStyle="1" w:styleId="341">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42">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343">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4">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4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47">
    <w:name w:val="p0"/>
    <w:basedOn w:val="1"/>
    <w:qFormat/>
    <w:uiPriority w:val="0"/>
    <w:pPr>
      <w:widowControl/>
      <w:jc w:val="left"/>
    </w:pPr>
    <w:rPr>
      <w:rFonts w:ascii="宋体" w:hAnsi="宋体"/>
      <w:kern w:val="0"/>
      <w:sz w:val="20"/>
      <w:szCs w:val="20"/>
    </w:rPr>
  </w:style>
  <w:style w:type="paragraph" w:customStyle="1" w:styleId="348">
    <w:name w:val="Item Step in Table"/>
    <w:basedOn w:val="1"/>
    <w:qFormat/>
    <w:uiPriority w:val="0"/>
    <w:pPr>
      <w:tabs>
        <w:tab w:val="left" w:pos="420"/>
      </w:tabs>
      <w:ind w:left="420" w:hanging="420"/>
      <w:jc w:val="left"/>
    </w:pPr>
  </w:style>
  <w:style w:type="paragraph" w:customStyle="1" w:styleId="3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0">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351">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52">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5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55">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356">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57">
    <w:name w:val="Char11"/>
    <w:basedOn w:val="1"/>
    <w:qFormat/>
    <w:uiPriority w:val="0"/>
    <w:rPr>
      <w:rFonts w:ascii="仿宋_GB2312" w:hAnsi="宋体" w:eastAsia="仿宋_GB2312" w:cs="宋体"/>
      <w:b/>
      <w:sz w:val="32"/>
      <w:szCs w:val="32"/>
    </w:rPr>
  </w:style>
  <w:style w:type="paragraph" w:customStyle="1" w:styleId="358">
    <w:name w:val="_Style 3941"/>
    <w:basedOn w:val="1"/>
    <w:next w:val="1"/>
    <w:unhideWhenUsed/>
    <w:qFormat/>
    <w:uiPriority w:val="0"/>
    <w:pPr>
      <w:ind w:left="2940" w:leftChars="1400"/>
    </w:pPr>
    <w:rPr>
      <w:kern w:val="0"/>
      <w:sz w:val="24"/>
    </w:rPr>
  </w:style>
  <w:style w:type="paragraph" w:customStyle="1" w:styleId="359">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360">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6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p19"/>
    <w:basedOn w:val="1"/>
    <w:qFormat/>
    <w:uiPriority w:val="0"/>
    <w:pPr>
      <w:widowControl/>
      <w:spacing w:beforeLines="100" w:afterLines="100"/>
      <w:ind w:left="1134"/>
    </w:pPr>
    <w:rPr>
      <w:kern w:val="0"/>
      <w:szCs w:val="21"/>
    </w:rPr>
  </w:style>
  <w:style w:type="paragraph" w:customStyle="1" w:styleId="365">
    <w:name w:val="样式 正文缩进 + 首行缩进:  2 字符"/>
    <w:basedOn w:val="5"/>
    <w:qFormat/>
    <w:uiPriority w:val="0"/>
    <w:pPr>
      <w:spacing w:after="80" w:line="360" w:lineRule="auto"/>
      <w:ind w:firstLine="480" w:firstLineChars="200"/>
    </w:pPr>
    <w:rPr>
      <w:sz w:val="24"/>
    </w:rPr>
  </w:style>
  <w:style w:type="paragraph" w:customStyle="1" w:styleId="366">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67">
    <w:name w:val="p18"/>
    <w:basedOn w:val="1"/>
    <w:qFormat/>
    <w:uiPriority w:val="0"/>
    <w:pPr>
      <w:widowControl/>
      <w:spacing w:afterLines="100"/>
      <w:ind w:left="1134"/>
      <w:jc w:val="center"/>
    </w:pPr>
    <w:rPr>
      <w:kern w:val="0"/>
      <w:sz w:val="18"/>
      <w:szCs w:val="18"/>
    </w:rPr>
  </w:style>
  <w:style w:type="paragraph" w:customStyle="1" w:styleId="368">
    <w:name w:val="项目正文"/>
    <w:basedOn w:val="1"/>
    <w:qFormat/>
    <w:uiPriority w:val="0"/>
    <w:pPr>
      <w:ind w:left="420" w:hanging="420"/>
    </w:pPr>
    <w:rPr>
      <w:sz w:val="28"/>
      <w:szCs w:val="20"/>
    </w:rPr>
  </w:style>
  <w:style w:type="paragraph" w:customStyle="1" w:styleId="369">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70">
    <w:name w:val="二级编号"/>
    <w:basedOn w:val="1"/>
    <w:qFormat/>
    <w:uiPriority w:val="0"/>
    <w:pPr>
      <w:tabs>
        <w:tab w:val="left" w:pos="851"/>
      </w:tabs>
      <w:spacing w:line="360" w:lineRule="auto"/>
      <w:jc w:val="left"/>
    </w:pPr>
    <w:rPr>
      <w:rFonts w:cs="宋体"/>
      <w:sz w:val="24"/>
      <w:szCs w:val="20"/>
    </w:rPr>
  </w:style>
  <w:style w:type="paragraph" w:customStyle="1" w:styleId="371">
    <w:name w:val="Char111"/>
    <w:basedOn w:val="1"/>
    <w:qFormat/>
    <w:uiPriority w:val="0"/>
    <w:rPr>
      <w:rFonts w:ascii="仿宋_GB2312" w:hAnsi="宋体" w:eastAsia="仿宋_GB2312" w:cs="宋体"/>
      <w:b/>
      <w:sz w:val="32"/>
      <w:szCs w:val="32"/>
    </w:rPr>
  </w:style>
  <w:style w:type="paragraph" w:customStyle="1" w:styleId="372">
    <w:name w:val="正文段"/>
    <w:basedOn w:val="1"/>
    <w:qFormat/>
    <w:uiPriority w:val="0"/>
    <w:pPr>
      <w:widowControl/>
      <w:snapToGrid w:val="0"/>
      <w:spacing w:afterLines="50"/>
      <w:ind w:firstLine="200" w:firstLineChars="200"/>
    </w:pPr>
    <w:rPr>
      <w:kern w:val="0"/>
      <w:sz w:val="24"/>
      <w:szCs w:val="20"/>
    </w:rPr>
  </w:style>
  <w:style w:type="paragraph" w:customStyle="1" w:styleId="373">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374">
    <w:name w:val="简单回函地址"/>
    <w:basedOn w:val="1"/>
    <w:qFormat/>
    <w:uiPriority w:val="0"/>
    <w:rPr>
      <w:szCs w:val="20"/>
    </w:rPr>
  </w:style>
  <w:style w:type="paragraph" w:customStyle="1" w:styleId="375">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7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7">
    <w:name w:val="样式26"/>
    <w:basedOn w:val="325"/>
    <w:qFormat/>
    <w:uiPriority w:val="0"/>
    <w:pPr>
      <w:tabs>
        <w:tab w:val="left" w:pos="1580"/>
      </w:tabs>
      <w:ind w:left="1603" w:hanging="363"/>
    </w:pPr>
  </w:style>
  <w:style w:type="paragraph" w:customStyle="1" w:styleId="378">
    <w:name w:val="Char Char Char Char Char Char"/>
    <w:basedOn w:val="1"/>
    <w:qFormat/>
    <w:uiPriority w:val="0"/>
    <w:pPr>
      <w:ind w:firstLine="200" w:firstLineChars="200"/>
    </w:pPr>
    <w:rPr>
      <w:szCs w:val="20"/>
    </w:rPr>
  </w:style>
  <w:style w:type="paragraph" w:customStyle="1" w:styleId="37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80">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81">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83">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84">
    <w:name w:val="列出段落1"/>
    <w:basedOn w:val="1"/>
    <w:qFormat/>
    <w:uiPriority w:val="0"/>
    <w:pPr>
      <w:spacing w:line="360" w:lineRule="auto"/>
      <w:ind w:firstLine="420" w:firstLineChars="200"/>
    </w:pPr>
    <w:rPr>
      <w:rFonts w:ascii="宋体" w:hAnsi="宋体"/>
      <w:sz w:val="24"/>
    </w:rPr>
  </w:style>
  <w:style w:type="paragraph" w:customStyle="1" w:styleId="385">
    <w:name w:val="段落正文 Char Char"/>
    <w:basedOn w:val="1"/>
    <w:qFormat/>
    <w:uiPriority w:val="0"/>
    <w:pPr>
      <w:spacing w:line="360" w:lineRule="auto"/>
      <w:ind w:firstLine="461" w:firstLineChars="192"/>
    </w:pPr>
    <w:rPr>
      <w:rFonts w:ascii="宋体" w:hAnsi="宋体"/>
      <w:sz w:val="24"/>
    </w:rPr>
  </w:style>
  <w:style w:type="paragraph" w:customStyle="1" w:styleId="38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88">
    <w:name w:val="Item Step"/>
    <w:basedOn w:val="1"/>
    <w:qFormat/>
    <w:uiPriority w:val="0"/>
    <w:pPr>
      <w:widowControl/>
      <w:numPr>
        <w:ilvl w:val="0"/>
        <w:numId w:val="1"/>
      </w:numPr>
      <w:spacing w:afterLines="50"/>
      <w:jc w:val="left"/>
    </w:pPr>
  </w:style>
  <w:style w:type="paragraph" w:customStyle="1" w:styleId="389">
    <w:name w:val="5"/>
    <w:qFormat/>
    <w:uiPriority w:val="0"/>
    <w:rPr>
      <w:rFonts w:ascii="Times New Roman" w:hAnsi="Times New Roman" w:eastAsia="宋体" w:cs="Times New Roman"/>
      <w:kern w:val="2"/>
      <w:sz w:val="21"/>
      <w:szCs w:val="22"/>
      <w:lang w:val="en-US" w:eastAsia="zh-CN" w:bidi="ar-SA"/>
    </w:rPr>
  </w:style>
  <w:style w:type="paragraph" w:customStyle="1" w:styleId="39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9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92">
    <w:name w:val="Heading2"/>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3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94">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95">
    <w:name w:val="列表段落1"/>
    <w:basedOn w:val="1"/>
    <w:qFormat/>
    <w:uiPriority w:val="34"/>
    <w:pPr>
      <w:ind w:firstLine="420" w:firstLineChars="200"/>
    </w:pPr>
  </w:style>
  <w:style w:type="paragraph" w:customStyle="1" w:styleId="396">
    <w:name w:val="Pa5"/>
    <w:basedOn w:val="1"/>
    <w:next w:val="1"/>
    <w:qFormat/>
    <w:uiPriority w:val="0"/>
    <w:pPr>
      <w:spacing w:line="241" w:lineRule="auto"/>
      <w:ind w:firstLine="1680" w:firstLineChars="200"/>
    </w:pPr>
    <w:rPr>
      <w:rFonts w:ascii="EtGsHeiBold" w:eastAsia="EtGsHeiBold"/>
      <w:sz w:val="24"/>
    </w:rPr>
  </w:style>
  <w:style w:type="paragraph" w:customStyle="1" w:styleId="397">
    <w:name w:val="次小点说明"/>
    <w:basedOn w:val="5"/>
    <w:qFormat/>
    <w:uiPriority w:val="0"/>
    <w:pPr>
      <w:tabs>
        <w:tab w:val="left" w:pos="720"/>
      </w:tabs>
      <w:spacing w:line="360" w:lineRule="auto"/>
      <w:ind w:left="777" w:hanging="417"/>
    </w:pPr>
    <w:rPr>
      <w:sz w:val="24"/>
    </w:rPr>
  </w:style>
  <w:style w:type="paragraph" w:customStyle="1" w:styleId="39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99">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00">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401">
    <w:name w:val="Figure"/>
    <w:basedOn w:val="1"/>
    <w:next w:val="402"/>
    <w:qFormat/>
    <w:uiPriority w:val="0"/>
    <w:pPr>
      <w:keepNext/>
      <w:keepLines/>
      <w:ind w:left="1134"/>
      <w:jc w:val="center"/>
    </w:pPr>
  </w:style>
  <w:style w:type="paragraph" w:customStyle="1" w:styleId="402">
    <w:name w:val="Figure Description"/>
    <w:basedOn w:val="401"/>
    <w:next w:val="204"/>
    <w:qFormat/>
    <w:uiPriority w:val="0"/>
    <w:pPr>
      <w:tabs>
        <w:tab w:val="left" w:pos="680"/>
      </w:tabs>
      <w:spacing w:afterLines="100"/>
    </w:pPr>
    <w:rPr>
      <w:sz w:val="18"/>
    </w:rPr>
  </w:style>
  <w:style w:type="paragraph" w:customStyle="1" w:styleId="403">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404">
    <w:name w:val="首行缩进"/>
    <w:basedOn w:val="1"/>
    <w:qFormat/>
    <w:uiPriority w:val="0"/>
    <w:pPr>
      <w:spacing w:line="360" w:lineRule="auto"/>
      <w:ind w:firstLine="720"/>
    </w:pPr>
    <w:rPr>
      <w:szCs w:val="21"/>
    </w:rPr>
  </w:style>
  <w:style w:type="paragraph" w:customStyle="1" w:styleId="405">
    <w:name w:val="样式 样式1 + 首行缩进:  2 字符"/>
    <w:basedOn w:val="1"/>
    <w:qFormat/>
    <w:uiPriority w:val="0"/>
    <w:pPr>
      <w:spacing w:line="360" w:lineRule="exact"/>
      <w:ind w:firstLine="420" w:firstLineChars="200"/>
    </w:pPr>
    <w:rPr>
      <w:rFonts w:ascii="Arial" w:hAnsi="Arial" w:cs="宋体"/>
    </w:rPr>
  </w:style>
  <w:style w:type="paragraph" w:customStyle="1" w:styleId="40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40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08">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4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1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11">
    <w:name w:val="[Normal]"/>
    <w:qFormat/>
    <w:uiPriority w:val="0"/>
    <w:rPr>
      <w:rFonts w:ascii="宋体" w:hAnsi="宋体" w:eastAsia="宋体" w:cs="Times New Roman"/>
      <w:sz w:val="24"/>
      <w:szCs w:val="22"/>
      <w:lang w:val="zh-CN" w:eastAsia="zh-CN" w:bidi="ar-SA"/>
    </w:rPr>
  </w:style>
  <w:style w:type="paragraph" w:customStyle="1" w:styleId="41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413">
    <w:name w:val="Char Char11"/>
    <w:basedOn w:val="1"/>
    <w:qFormat/>
    <w:uiPriority w:val="0"/>
    <w:pPr>
      <w:widowControl/>
      <w:jc w:val="left"/>
    </w:pPr>
    <w:rPr>
      <w:sz w:val="36"/>
    </w:rPr>
  </w:style>
  <w:style w:type="paragraph" w:customStyle="1" w:styleId="41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4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1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17">
    <w:name w:val="Char"/>
    <w:basedOn w:val="1"/>
    <w:qFormat/>
    <w:uiPriority w:val="0"/>
    <w:rPr>
      <w:rFonts w:ascii="仿宋_GB2312" w:eastAsia="仿宋_GB2312"/>
      <w:b/>
      <w:sz w:val="32"/>
      <w:szCs w:val="32"/>
    </w:rPr>
  </w:style>
  <w:style w:type="paragraph" w:customStyle="1" w:styleId="418">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419">
    <w:name w:val="BodyText1I"/>
    <w:basedOn w:val="1"/>
    <w:next w:val="1"/>
    <w:qFormat/>
    <w:uiPriority w:val="0"/>
    <w:pPr>
      <w:spacing w:line="460" w:lineRule="exact"/>
      <w:ind w:firstLine="488"/>
    </w:pPr>
    <w:rPr>
      <w:rFonts w:ascii="宋体"/>
      <w:sz w:val="24"/>
    </w:rPr>
  </w:style>
  <w:style w:type="paragraph" w:customStyle="1" w:styleId="420">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421">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2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2"/>
      <w:sz w:val="28"/>
      <w:szCs w:val="20"/>
    </w:rPr>
  </w:style>
  <w:style w:type="paragraph" w:customStyle="1" w:styleId="423">
    <w:name w:val="Table Heading"/>
    <w:basedOn w:val="1"/>
    <w:qFormat/>
    <w:uiPriority w:val="0"/>
    <w:pPr>
      <w:jc w:val="center"/>
    </w:pPr>
    <w:rPr>
      <w:rFonts w:ascii="Arial" w:hAnsi="Arial" w:eastAsia="黑体"/>
      <w:b/>
    </w:rPr>
  </w:style>
  <w:style w:type="paragraph" w:customStyle="1" w:styleId="424">
    <w:name w:val="_Style 3"/>
    <w:basedOn w:val="1"/>
    <w:qFormat/>
    <w:uiPriority w:val="34"/>
    <w:pPr>
      <w:spacing w:line="360" w:lineRule="auto"/>
      <w:ind w:firstLine="420" w:firstLineChars="200"/>
    </w:pPr>
    <w:rPr>
      <w:rFonts w:ascii="Calibri" w:hAnsi="Calibri"/>
      <w:szCs w:val="22"/>
    </w:rPr>
  </w:style>
  <w:style w:type="paragraph" w:customStyle="1" w:styleId="425">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42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27">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428">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42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3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31">
    <w:name w:val="Block"/>
    <w:basedOn w:val="1"/>
    <w:next w:val="204"/>
    <w:qFormat/>
    <w:uiPriority w:val="0"/>
    <w:pPr>
      <w:tabs>
        <w:tab w:val="left" w:pos="0"/>
      </w:tabs>
    </w:pPr>
    <w:rPr>
      <w:rFonts w:ascii="Arial" w:hAnsi="Arial" w:eastAsia="楷体_GB2312"/>
      <w:color w:val="000080"/>
      <w:sz w:val="28"/>
      <w:szCs w:val="28"/>
    </w:rPr>
  </w:style>
  <w:style w:type="paragraph" w:customStyle="1" w:styleId="4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3">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434">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6">
    <w:name w:val="Item List in Table"/>
    <w:basedOn w:val="1"/>
    <w:qFormat/>
    <w:uiPriority w:val="0"/>
    <w:pPr>
      <w:numPr>
        <w:ilvl w:val="0"/>
        <w:numId w:val="2"/>
      </w:numPr>
      <w:jc w:val="left"/>
    </w:pPr>
  </w:style>
  <w:style w:type="paragraph" w:customStyle="1" w:styleId="437">
    <w:name w:val="Char2"/>
    <w:basedOn w:val="1"/>
    <w:qFormat/>
    <w:uiPriority w:val="0"/>
    <w:pPr>
      <w:spacing w:line="240" w:lineRule="atLeast"/>
      <w:ind w:left="420" w:firstLine="420"/>
    </w:pPr>
  </w:style>
  <w:style w:type="paragraph" w:customStyle="1" w:styleId="438">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439">
    <w:name w:val="标题1"/>
    <w:basedOn w:val="2"/>
    <w:next w:val="1"/>
    <w:qFormat/>
    <w:uiPriority w:val="0"/>
    <w:pPr>
      <w:numPr>
        <w:ilvl w:val="0"/>
        <w:numId w:val="3"/>
      </w:numPr>
      <w:spacing w:before="0" w:after="0" w:line="360" w:lineRule="auto"/>
      <w:jc w:val="left"/>
    </w:pPr>
    <w:rPr>
      <w:rFonts w:ascii="华文中宋" w:hAnsi="华文中宋" w:eastAsia="华文中宋"/>
      <w:szCs w:val="36"/>
    </w:rPr>
  </w:style>
  <w:style w:type="table" w:customStyle="1" w:styleId="440">
    <w:name w:val="网格型1"/>
    <w:basedOn w:val="5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1">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85</Pages>
  <Words>21107</Words>
  <Characters>22248</Characters>
  <Lines>404</Lines>
  <Paragraphs>114</Paragraphs>
  <TotalTime>0</TotalTime>
  <ScaleCrop>false</ScaleCrop>
  <LinksUpToDate>false</LinksUpToDate>
  <CharactersWithSpaces>22406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2024-01-06T06:34:00Z</dcterms:created>
  <dc:creator>Sky123.Org</dc:creator>
  <cp:lastModifiedBy>Administrator</cp:lastModifiedBy>
  <cp:lastPrinted>2024-12-05T09:07:00Z</cp:lastPrinted>
  <dcterms:modified xsi:type="dcterms:W3CDTF">2025-01-23T08:22:34Z</dcterms:modified>
  <dc:title>临海市政府采购</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3B5D8E7647C04DF3B6CAA86CB07D1FD8_13</vt:lpwstr>
  </property>
  <property fmtid="{D5CDD505-2E9C-101B-9397-08002B2CF9AE}" pid="4" name="KSOTemplateDocerSaveRecord">
    <vt:lpwstr>eyJoZGlkIjoiMjRjNTIzYmYyYzU1ZjlmNmM5MzI1ZGVhNjg2ZGI3NTcifQ==</vt:lpwstr>
  </property>
</Properties>
</file>