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57"/>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项目名称：</w:t>
      </w:r>
      <w:r>
        <w:rPr>
          <w:rFonts w:hint="eastAsia" w:ascii="宋体" w:hAnsi="宋体"/>
          <w:b/>
          <w:bCs/>
          <w:color w:val="auto"/>
          <w:sz w:val="28"/>
          <w:szCs w:val="28"/>
          <w:highlight w:val="none"/>
          <w:lang w:eastAsia="zh-CN"/>
        </w:rPr>
        <w:t>临海市白水洋镇2024第三批土地整治项目技术服务</w:t>
      </w:r>
    </w:p>
    <w:p w14:paraId="08E7909C">
      <w:pPr>
        <w:adjustRightInd w:val="0"/>
        <w:snapToGrid w:val="0"/>
        <w:spacing w:line="360" w:lineRule="auto"/>
        <w:ind w:left="1521" w:hanging="1521" w:hangingChars="541"/>
        <w:rPr>
          <w:rFonts w:hint="default" w:ascii="宋体" w:hAnsi="宋体" w:eastAsia="宋体" w:cs="Arial"/>
          <w:bCs/>
          <w:color w:val="auto"/>
          <w:sz w:val="28"/>
          <w:szCs w:val="28"/>
          <w:lang w:val="en-US" w:eastAsia="zh-CN"/>
        </w:rPr>
      </w:pPr>
      <w:r>
        <w:rPr>
          <w:rFonts w:hint="eastAsia" w:ascii="宋体" w:hAnsi="宋体"/>
          <w:b/>
          <w:bCs/>
          <w:color w:val="auto"/>
          <w:sz w:val="28"/>
          <w:szCs w:val="28"/>
        </w:rPr>
        <w:t>项目编号：</w:t>
      </w:r>
      <w:r>
        <w:rPr>
          <w:rFonts w:hint="eastAsia" w:ascii="宋体" w:hAnsi="宋体" w:cs="宋体"/>
          <w:b/>
          <w:bCs/>
          <w:color w:val="000000"/>
          <w:sz w:val="28"/>
          <w:szCs w:val="28"/>
        </w:rPr>
        <w:t>ZJTY-202</w:t>
      </w:r>
      <w:r>
        <w:rPr>
          <w:rFonts w:hint="eastAsia" w:ascii="宋体" w:hAnsi="宋体" w:cs="宋体"/>
          <w:b/>
          <w:bCs/>
          <w:color w:val="000000"/>
          <w:sz w:val="28"/>
          <w:szCs w:val="28"/>
          <w:lang w:val="en-US" w:eastAsia="zh-CN"/>
        </w:rPr>
        <w:t>502</w:t>
      </w:r>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0" w:name="_Toc7405"/>
      <w:bookmarkStart w:id="1" w:name="_Toc29891"/>
      <w:r>
        <w:rPr>
          <w:rFonts w:hint="eastAsia" w:ascii="宋体" w:hAnsi="宋体"/>
          <w:b/>
          <w:bCs/>
          <w:color w:val="auto"/>
          <w:sz w:val="28"/>
          <w:szCs w:val="28"/>
          <w:highlight w:val="none"/>
        </w:rPr>
        <w:t>采购单位：临海市自然资源和规划局（盖章）</w:t>
      </w:r>
      <w:bookmarkEnd w:id="0"/>
      <w:bookmarkEnd w:id="1"/>
    </w:p>
    <w:p w14:paraId="629A5E99">
      <w:pPr>
        <w:adjustRightInd w:val="0"/>
        <w:snapToGrid w:val="0"/>
        <w:spacing w:line="360" w:lineRule="auto"/>
        <w:outlineLvl w:val="0"/>
        <w:rPr>
          <w:rFonts w:hint="eastAsia" w:ascii="宋体" w:hAnsi="宋体"/>
          <w:b/>
          <w:bCs/>
          <w:color w:val="auto"/>
          <w:sz w:val="28"/>
          <w:szCs w:val="28"/>
          <w:highlight w:val="none"/>
        </w:rPr>
      </w:pPr>
      <w:bookmarkStart w:id="2" w:name="_Toc21100"/>
      <w:r>
        <w:rPr>
          <w:rFonts w:hint="eastAsia" w:ascii="宋体" w:hAnsi="宋体"/>
          <w:b/>
          <w:bCs/>
          <w:color w:val="auto"/>
          <w:sz w:val="28"/>
          <w:szCs w:val="28"/>
          <w:highlight w:val="none"/>
        </w:rPr>
        <w:t xml:space="preserve">联系人：黄先生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电话：0576-85138926</w:t>
      </w:r>
      <w:bookmarkEnd w:id="2"/>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3" w:name="_Toc20570"/>
      <w:bookmarkStart w:id="4" w:name="_Toc26789"/>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浙江同益咨询有限公司</w:t>
      </w:r>
      <w:r>
        <w:rPr>
          <w:rFonts w:hint="eastAsia" w:ascii="宋体" w:hAnsi="宋体"/>
          <w:b/>
          <w:bCs/>
          <w:color w:val="auto"/>
          <w:sz w:val="28"/>
          <w:szCs w:val="28"/>
          <w:highlight w:val="none"/>
        </w:rPr>
        <w:t>（盖章）</w:t>
      </w:r>
      <w:bookmarkEnd w:id="3"/>
      <w:bookmarkEnd w:id="4"/>
    </w:p>
    <w:p w14:paraId="716E538B">
      <w:pPr>
        <w:adjustRightInd w:val="0"/>
        <w:snapToGrid w:val="0"/>
        <w:spacing w:line="360" w:lineRule="auto"/>
        <w:outlineLvl w:val="0"/>
        <w:rPr>
          <w:rFonts w:hint="default" w:ascii="宋体" w:hAnsi="宋体" w:eastAsia="宋体"/>
          <w:b/>
          <w:bCs/>
          <w:color w:val="auto"/>
          <w:sz w:val="28"/>
          <w:szCs w:val="28"/>
          <w:highlight w:val="none"/>
          <w:lang w:val="en-US" w:eastAsia="zh-CN"/>
        </w:rPr>
      </w:pPr>
      <w:bookmarkStart w:id="5" w:name="_Toc2080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洪女士</w:t>
      </w:r>
      <w:r>
        <w:rPr>
          <w:rFonts w:hint="eastAsia" w:ascii="宋体" w:hAnsi="宋体"/>
          <w:b/>
          <w:bCs/>
          <w:color w:val="auto"/>
          <w:sz w:val="28"/>
          <w:szCs w:val="28"/>
          <w:highlight w:val="none"/>
        </w:rPr>
        <w:t xml:space="preserve">       电话：0576-85</w:t>
      </w:r>
      <w:bookmarkEnd w:id="5"/>
      <w:r>
        <w:rPr>
          <w:rFonts w:hint="eastAsia" w:ascii="宋体" w:hAnsi="宋体"/>
          <w:b/>
          <w:bCs/>
          <w:color w:val="auto"/>
          <w:sz w:val="28"/>
          <w:szCs w:val="28"/>
          <w:highlight w:val="none"/>
          <w:lang w:val="en-US" w:eastAsia="zh-CN"/>
        </w:rPr>
        <w:t>805388</w:t>
      </w:r>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一</w:t>
      </w:r>
      <w:r>
        <w:rPr>
          <w:rFonts w:hint="eastAsia" w:ascii="宋体" w:hAnsi="宋体"/>
          <w:b/>
          <w:bCs/>
          <w:color w:val="auto"/>
          <w:sz w:val="28"/>
          <w:szCs w:val="28"/>
        </w:rPr>
        <w:t xml:space="preserve">月 </w:t>
      </w:r>
    </w:p>
    <w:p w14:paraId="7A4EF5E1">
      <w:pPr>
        <w:pStyle w:val="28"/>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751BDC5F">
      <w:pPr>
        <w:pStyle w:val="28"/>
        <w:spacing w:beforeLines="0" w:afterLines="0" w:line="360" w:lineRule="auto"/>
        <w:rPr>
          <w:rFonts w:ascii="创艺简标宋" w:hAnsi="宋体" w:eastAsia="创艺简标宋"/>
          <w:color w:val="auto"/>
          <w:sz w:val="44"/>
          <w:szCs w:val="44"/>
        </w:rPr>
      </w:pPr>
    </w:p>
    <w:p w14:paraId="6C571AD1">
      <w:pPr>
        <w:pStyle w:val="28"/>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36F51BA7">
      <w:pPr>
        <w:pStyle w:val="35"/>
        <w:spacing w:line="480" w:lineRule="auto"/>
        <w:rPr>
          <w:rFonts w:ascii="宋体" w:hAnsi="宋体"/>
          <w:b/>
          <w:color w:val="auto"/>
          <w:sz w:val="28"/>
          <w:szCs w:val="28"/>
        </w:rPr>
      </w:pPr>
    </w:p>
    <w:p w14:paraId="52D1B1C4">
      <w:pPr>
        <w:pStyle w:val="35"/>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5"/>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579E1862">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5"/>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358C0579">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5"/>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44DDE6A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5"/>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44BAB3E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5"/>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433BE71C">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5"/>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176D2AB7">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065367EE">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5"/>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7A00CB42">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5"/>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495F74F6">
      <w:pPr>
        <w:pStyle w:val="35"/>
        <w:spacing w:line="480" w:lineRule="auto"/>
        <w:rPr>
          <w:rFonts w:ascii="宋体" w:hAnsi="宋体"/>
          <w:color w:val="auto"/>
          <w:sz w:val="24"/>
        </w:rPr>
      </w:pPr>
      <w:r>
        <w:rPr>
          <w:rFonts w:hint="eastAsia" w:ascii="宋体" w:hAnsi="宋体"/>
          <w:color w:val="auto"/>
          <w:sz w:val="24"/>
        </w:rPr>
        <w:fldChar w:fldCharType="end"/>
      </w:r>
    </w:p>
    <w:p w14:paraId="6B66040B">
      <w:pPr>
        <w:pStyle w:val="35"/>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28"/>
        <w:snapToGrid w:val="0"/>
        <w:spacing w:beforeLines="0" w:afterLines="0" w:line="240" w:lineRule="auto"/>
        <w:jc w:val="center"/>
        <w:outlineLvl w:val="0"/>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0DE632B8">
      <w:pPr>
        <w:pStyle w:val="28"/>
        <w:snapToGrid w:val="0"/>
        <w:spacing w:beforeLines="0" w:afterLines="0" w:line="240" w:lineRule="auto"/>
        <w:jc w:val="center"/>
        <w:outlineLvl w:val="0"/>
        <w:rPr>
          <w:rFonts w:ascii="黑体" w:hAnsi="宋体" w:eastAsia="黑体"/>
          <w:b/>
          <w:color w:val="auto"/>
          <w:sz w:val="30"/>
          <w:szCs w:val="30"/>
        </w:rPr>
      </w:pPr>
      <w:r>
        <w:rPr>
          <w:rFonts w:hint="eastAsia"/>
          <w:color w:val="auto"/>
        </w:rPr>
        <w:br w:type="page"/>
      </w:r>
      <w:bookmarkStart w:id="6" w:name="_Toc466534747"/>
      <w:bookmarkStart w:id="7" w:name="_Toc48835711"/>
      <w:r>
        <w:rPr>
          <w:rFonts w:hint="eastAsia"/>
          <w:b/>
          <w:color w:val="auto"/>
          <w:sz w:val="30"/>
          <w:szCs w:val="30"/>
        </w:rPr>
        <w:t xml:space="preserve">第一章 </w:t>
      </w:r>
      <w:bookmarkEnd w:id="6"/>
      <w:r>
        <w:rPr>
          <w:rFonts w:hint="eastAsia"/>
          <w:b/>
          <w:color w:val="auto"/>
          <w:sz w:val="30"/>
          <w:szCs w:val="30"/>
        </w:rPr>
        <w:t>竞争性磋商公告</w:t>
      </w:r>
      <w:bookmarkEnd w:id="7"/>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rPr>
        <w:t>临海市自然资源和规划局</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临海市白水洋镇2024第三批土地整治项目技术服务</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4"/>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临海市白水洋镇2024第三批土地整治项目技术服务</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 xml:space="preserve">采购单位：临海市自然资源和规划局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临海市白水洋镇2024第三批土地整治项目技术服务</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83.8872</w:t>
      </w:r>
      <w:r>
        <w:rPr>
          <w:rFonts w:hint="eastAsia" w:ascii="宋体" w:hAnsi="宋体" w:cs="Arial"/>
          <w:color w:val="auto"/>
          <w:kern w:val="0"/>
          <w:sz w:val="24"/>
          <w:highlight w:val="none"/>
        </w:rPr>
        <w:t>万元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4"/>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4"/>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8" w:name="OLE_LINK5"/>
      <w:r>
        <w:rPr>
          <w:rFonts w:hint="eastAsia" w:ascii="Arial" w:hAnsi="Arial" w:cs="Arial"/>
          <w:color w:val="000000"/>
        </w:rPr>
        <w:t>竞争性磋商</w:t>
      </w:r>
      <w:bookmarkEnd w:id="8"/>
    </w:p>
    <w:p w14:paraId="36641CD5">
      <w:pPr>
        <w:pStyle w:val="44"/>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rPr>
        <w:t>项目启动至项目验收入库完成。</w:t>
      </w:r>
    </w:p>
    <w:p w14:paraId="6EBD1055">
      <w:pPr>
        <w:pStyle w:val="44"/>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4"/>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66ACE1F0">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3EE19A23">
      <w:pPr>
        <w:spacing w:line="400" w:lineRule="exact"/>
        <w:rPr>
          <w:rFonts w:hint="eastAsia" w:ascii="宋体" w:hAnsi="宋体" w:cs="Arial"/>
          <w:color w:val="auto"/>
          <w:kern w:val="0"/>
          <w:sz w:val="24"/>
          <w:highlight w:val="none"/>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w:t>
      </w:r>
      <w:r>
        <w:rPr>
          <w:rFonts w:hint="eastAsia" w:ascii="宋体" w:hAnsi="宋体" w:cs="Arial"/>
          <w:color w:val="auto"/>
          <w:kern w:val="0"/>
          <w:sz w:val="24"/>
          <w:highlight w:val="none"/>
        </w:rPr>
        <w:t>投标人须具有土地规划准乙级及以上资质。</w:t>
      </w:r>
    </w:p>
    <w:p w14:paraId="28402ED2">
      <w:pPr>
        <w:spacing w:line="400" w:lineRule="exact"/>
        <w:rPr>
          <w:rFonts w:ascii="宋体" w:hAnsi="宋体" w:cs="Arial"/>
          <w:color w:val="auto"/>
          <w:kern w:val="0"/>
          <w:sz w:val="24"/>
        </w:rPr>
      </w:pPr>
      <w:r>
        <w:rPr>
          <w:rFonts w:hint="eastAsia" w:ascii="宋体" w:hAnsi="宋体" w:cs="Arial"/>
          <w:color w:val="auto"/>
          <w:kern w:val="0"/>
          <w:sz w:val="24"/>
          <w:highlight w:val="none"/>
          <w:lang w:val="en-US" w:eastAsia="zh-CN"/>
        </w:rPr>
        <w:t>（4）</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hint="eastAsia" w:ascii="宋体" w:hAnsi="宋体" w:cs="Arial"/>
          <w:b/>
          <w:color w:val="auto"/>
          <w:kern w:val="0"/>
          <w:sz w:val="24"/>
          <w:lang w:val="en-US" w:eastAsia="zh-CN"/>
        </w:rPr>
        <w:t>5</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9"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9"/>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2</w:t>
      </w:r>
      <w:r>
        <w:rPr>
          <w:rFonts w:hint="eastAsia" w:ascii="宋体" w:hAnsi="宋体" w:cs="Arial"/>
          <w:bCs/>
          <w:color w:val="auto"/>
          <w:sz w:val="24"/>
        </w:rPr>
        <w:t>月</w:t>
      </w:r>
      <w:r>
        <w:rPr>
          <w:rFonts w:hint="eastAsia" w:ascii="宋体" w:hAnsi="宋体" w:cs="Arial"/>
          <w:bCs/>
          <w:color w:val="auto"/>
          <w:sz w:val="24"/>
          <w:lang w:val="en-US" w:eastAsia="zh-CN"/>
        </w:rPr>
        <w:t>18</w:t>
      </w:r>
      <w:r>
        <w:rPr>
          <w:rFonts w:hint="eastAsia" w:ascii="宋体" w:hAnsi="宋体" w:cs="Arial"/>
          <w:bCs/>
          <w:color w:val="auto"/>
          <w:sz w:val="24"/>
        </w:rPr>
        <w:t>日</w:t>
      </w:r>
      <w:r>
        <w:rPr>
          <w:rFonts w:ascii="宋体" w:hAnsi="宋体" w:cs="Arial"/>
          <w:bCs/>
          <w:color w:val="auto"/>
          <w:sz w:val="24"/>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 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5"/>
          <w:color w:val="auto"/>
        </w:rPr>
        <w:t xml:space="preserve"> </w:t>
      </w:r>
      <w:r>
        <w:rPr>
          <w:rStyle w:val="55"/>
          <w:rFonts w:ascii="宋体" w:hAnsi="宋体" w:cs="Arial"/>
          <w:bCs/>
          <w:color w:val="auto"/>
          <w:sz w:val="24"/>
        </w:rPr>
        <w:t>https://zfcg.czt.zj.gov.cn/</w:t>
      </w:r>
      <w:r>
        <w:rPr>
          <w:rStyle w:val="55"/>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4"/>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5"/>
          <w:rFonts w:ascii="宋体" w:hAnsi="宋体" w:cs="Arial"/>
          <w:color w:val="auto"/>
          <w:kern w:val="0"/>
          <w:sz w:val="24"/>
        </w:rPr>
        <w:t>https://customer.zcygov.cn/CA-driver-download?utm=web-login-front.75ab4087.0.0.f8e5d230c7c411ea9e54c97a8e384567</w:t>
      </w:r>
      <w:r>
        <w:rPr>
          <w:rStyle w:val="55"/>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5"/>
          <w:rFonts w:ascii="宋体" w:hAnsi="宋体" w:cs="Arial"/>
          <w:color w:val="auto"/>
          <w:kern w:val="0"/>
          <w:sz w:val="24"/>
        </w:rPr>
        <w:t>https://middle.zcygov.cn/ca/apply/edit</w:t>
      </w:r>
      <w:r>
        <w:rPr>
          <w:rStyle w:val="55"/>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rPr>
      </w:pPr>
      <w:r>
        <w:rPr>
          <w:rFonts w:ascii="宋体" w:hAnsi="宋体"/>
          <w:b/>
          <w:color w:val="auto"/>
          <w:sz w:val="24"/>
        </w:rPr>
        <w:t>7</w:t>
      </w:r>
      <w:r>
        <w:rPr>
          <w:rFonts w:ascii="宋体" w:hAnsi="宋体" w:cs="Arial"/>
          <w:b/>
          <w:color w:val="auto"/>
          <w:kern w:val="0"/>
          <w:sz w:val="24"/>
        </w:rPr>
        <w:t>.</w:t>
      </w:r>
      <w:r>
        <w:rPr>
          <w:rFonts w:hint="eastAsia"/>
          <w:b/>
          <w:color w:val="auto"/>
          <w:sz w:val="24"/>
        </w:rPr>
        <w:t>响应文件的组成、效力</w:t>
      </w:r>
    </w:p>
    <w:p w14:paraId="5A0EA2E1">
      <w:pPr>
        <w:spacing w:line="400" w:lineRule="exact"/>
        <w:rPr>
          <w:color w:val="auto"/>
          <w:sz w:val="24"/>
        </w:rPr>
      </w:pPr>
      <w:r>
        <w:rPr>
          <w:rFonts w:hint="eastAsia"/>
          <w:color w:val="auto"/>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u w:val="single"/>
        </w:rPr>
      </w:pPr>
      <w:r>
        <w:rPr>
          <w:rFonts w:hint="eastAsia"/>
          <w:color w:val="auto"/>
          <w:sz w:val="24"/>
          <w:u w:val="single"/>
        </w:rPr>
        <w:t>（</w:t>
      </w:r>
      <w:r>
        <w:rPr>
          <w:color w:val="auto"/>
          <w:sz w:val="24"/>
          <w:u w:val="single"/>
        </w:rPr>
        <w:t>2</w:t>
      </w:r>
      <w:r>
        <w:rPr>
          <w:rFonts w:hint="eastAsia"/>
          <w:color w:val="auto"/>
          <w:sz w:val="24"/>
          <w:u w:val="single"/>
        </w:rPr>
        <w:t>）未在</w:t>
      </w:r>
      <w:r>
        <w:rPr>
          <w:rFonts w:hint="eastAsia" w:ascii="宋体" w:hAnsi="宋体" w:cs="Arial"/>
          <w:color w:val="auto"/>
          <w:kern w:val="0"/>
          <w:sz w:val="24"/>
          <w:u w:val="single"/>
        </w:rPr>
        <w:t>“政府采购云平台”</w:t>
      </w:r>
      <w:r>
        <w:rPr>
          <w:rFonts w:hint="eastAsia"/>
          <w:color w:val="auto"/>
          <w:sz w:val="24"/>
          <w:u w:val="single"/>
        </w:rPr>
        <w:t>传输递交电子响应文件的，投标无效。</w:t>
      </w:r>
    </w:p>
    <w:p w14:paraId="542923FA">
      <w:pPr>
        <w:spacing w:line="400" w:lineRule="exact"/>
        <w:rPr>
          <w:rFonts w:ascii="宋体" w:hAnsi="宋体"/>
          <w:color w:val="auto"/>
          <w:sz w:val="24"/>
        </w:rPr>
      </w:pPr>
      <w:r>
        <w:rPr>
          <w:rFonts w:ascii="宋体" w:hAnsi="宋体"/>
          <w:b/>
          <w:color w:val="auto"/>
          <w:sz w:val="24"/>
        </w:rPr>
        <w:t>8.投标截止时间及</w:t>
      </w:r>
      <w:r>
        <w:rPr>
          <w:rFonts w:hint="eastAsia" w:ascii="宋体" w:hAnsi="宋体"/>
          <w:b/>
          <w:color w:val="auto"/>
          <w:sz w:val="24"/>
        </w:rPr>
        <w:t>电子</w:t>
      </w:r>
      <w:r>
        <w:rPr>
          <w:rFonts w:ascii="宋体" w:hAnsi="宋体"/>
          <w:b/>
          <w:color w:val="auto"/>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auto"/>
          <w:kern w:val="0"/>
          <w:sz w:val="24"/>
        </w:rPr>
        <w:t>电子响应文件</w:t>
      </w:r>
      <w:r>
        <w:rPr>
          <w:rFonts w:ascii="宋体" w:hAnsi="宋体"/>
          <w:b/>
          <w:color w:val="auto"/>
          <w:sz w:val="24"/>
        </w:rPr>
        <w:t>投标截止时间</w:t>
      </w:r>
      <w:r>
        <w:rPr>
          <w:rFonts w:hint="eastAsia" w:ascii="宋体" w:hAnsi="宋体"/>
          <w:b/>
          <w:color w:val="auto"/>
          <w:sz w:val="24"/>
        </w:rPr>
        <w:t>：20</w:t>
      </w:r>
      <w:r>
        <w:rPr>
          <w:rFonts w:hint="eastAsia" w:ascii="宋体" w:hAnsi="宋体"/>
          <w:b/>
          <w:color w:val="auto"/>
          <w:sz w:val="24"/>
          <w:lang w:val="en-US" w:eastAsia="zh-CN"/>
        </w:rPr>
        <w:t>25</w:t>
      </w:r>
      <w:r>
        <w:rPr>
          <w:rFonts w:hint="eastAsia" w:ascii="宋体" w:hAnsi="宋体"/>
          <w:b/>
          <w:color w:val="auto"/>
          <w:sz w:val="24"/>
        </w:rPr>
        <w:t>年</w:t>
      </w:r>
      <w:r>
        <w:rPr>
          <w:rFonts w:hint="eastAsia" w:ascii="宋体" w:hAnsi="宋体"/>
          <w:b/>
          <w:color w:val="auto"/>
          <w:sz w:val="24"/>
          <w:lang w:val="en-US" w:eastAsia="zh-CN"/>
        </w:rPr>
        <w:t>2</w:t>
      </w:r>
      <w:r>
        <w:rPr>
          <w:rFonts w:hint="eastAsia" w:ascii="宋体" w:hAnsi="宋体"/>
          <w:b/>
          <w:color w:val="auto"/>
          <w:sz w:val="24"/>
        </w:rPr>
        <w:t>月</w:t>
      </w:r>
      <w:r>
        <w:rPr>
          <w:rFonts w:hint="eastAsia" w:ascii="宋体" w:hAnsi="宋体"/>
          <w:b/>
          <w:color w:val="auto"/>
          <w:sz w:val="24"/>
          <w:lang w:val="en-US" w:eastAsia="zh-CN"/>
        </w:rPr>
        <w:t>18</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55871A05">
      <w:pPr>
        <w:spacing w:line="400" w:lineRule="exact"/>
        <w:rPr>
          <w:rFonts w:ascii="宋体" w:hAnsi="宋体"/>
          <w:color w:val="auto"/>
          <w:sz w:val="24"/>
        </w:rPr>
      </w:pPr>
      <w:r>
        <w:rPr>
          <w:rFonts w:ascii="宋体" w:hAnsi="宋体"/>
          <w:color w:val="auto"/>
          <w:sz w:val="24"/>
        </w:rPr>
        <w:t>开标时间：</w:t>
      </w:r>
      <w:r>
        <w:rPr>
          <w:rFonts w:ascii="宋体" w:hAnsi="宋体"/>
          <w:b/>
          <w:color w:val="auto"/>
          <w:sz w:val="24"/>
        </w:rPr>
        <w:t>20</w:t>
      </w:r>
      <w:r>
        <w:rPr>
          <w:rFonts w:hint="eastAsia" w:ascii="宋体" w:hAnsi="宋体"/>
          <w:b/>
          <w:color w:val="auto"/>
          <w:sz w:val="24"/>
          <w:lang w:val="en-US" w:eastAsia="zh-CN"/>
        </w:rPr>
        <w:t>25</w:t>
      </w:r>
      <w:r>
        <w:rPr>
          <w:rFonts w:ascii="宋体" w:hAnsi="宋体"/>
          <w:b/>
          <w:color w:val="auto"/>
          <w:sz w:val="24"/>
        </w:rPr>
        <w:t>年</w:t>
      </w:r>
      <w:r>
        <w:rPr>
          <w:rFonts w:hint="eastAsia" w:ascii="宋体" w:hAnsi="宋体"/>
          <w:b/>
          <w:color w:val="auto"/>
          <w:sz w:val="24"/>
          <w:lang w:val="en-US" w:eastAsia="zh-CN"/>
        </w:rPr>
        <w:t>2</w:t>
      </w:r>
      <w:r>
        <w:rPr>
          <w:rFonts w:hint="eastAsia" w:ascii="宋体" w:hAnsi="宋体"/>
          <w:b/>
          <w:color w:val="auto"/>
          <w:sz w:val="24"/>
        </w:rPr>
        <w:t>月</w:t>
      </w:r>
      <w:r>
        <w:rPr>
          <w:rFonts w:hint="eastAsia" w:ascii="宋体" w:hAnsi="宋体"/>
          <w:b/>
          <w:color w:val="auto"/>
          <w:sz w:val="24"/>
          <w:lang w:val="en-US" w:eastAsia="zh-CN"/>
        </w:rPr>
        <w:t>18</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lang w:val="en-US" w:eastAsia="zh-CN"/>
        </w:rPr>
        <w:t>一</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10" w:name="_Hlk59625364"/>
      <w:r>
        <w:rPr>
          <w:rFonts w:hint="eastAsia" w:ascii="宋体" w:hAnsi="宋体"/>
          <w:b/>
          <w:color w:val="auto"/>
          <w:sz w:val="24"/>
          <w:u w:val="single"/>
          <w:shd w:val="pct10" w:color="auto" w:fill="FFFFFF"/>
        </w:rPr>
        <w:t>显示的</w:t>
      </w:r>
      <w:bookmarkEnd w:id="10"/>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178E4332">
      <w:pPr>
        <w:spacing w:line="400" w:lineRule="exact"/>
        <w:rPr>
          <w:rFonts w:ascii="宋体" w:hAnsi="宋体"/>
          <w:color w:val="auto"/>
          <w:sz w:val="24"/>
        </w:rPr>
      </w:pPr>
      <w:r>
        <w:rPr>
          <w:rFonts w:ascii="宋体" w:hAnsi="宋体"/>
          <w:b/>
          <w:color w:val="auto"/>
          <w:sz w:val="24"/>
        </w:rPr>
        <w:t>11.发布公告的媒介</w:t>
      </w:r>
      <w:r>
        <w:rPr>
          <w:rFonts w:ascii="宋体" w:hAnsi="宋体"/>
          <w:color w:val="auto"/>
          <w:sz w:val="24"/>
        </w:rPr>
        <w:br w:type="textWrapping"/>
      </w: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5"/>
          <w:color w:val="auto"/>
          <w:sz w:val="24"/>
        </w:rPr>
        <w:t>浙江省政府采购网</w:t>
      </w:r>
      <w:r>
        <w:rPr>
          <w:rStyle w:val="55"/>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5"/>
          <w:color w:val="auto"/>
          <w:sz w:val="24"/>
        </w:rPr>
        <w:t>网</w:t>
      </w:r>
      <w:r>
        <w:rPr>
          <w:rStyle w:val="55"/>
          <w:color w:val="auto"/>
          <w:sz w:val="24"/>
        </w:rPr>
        <w:fldChar w:fldCharType="end"/>
      </w:r>
      <w:r>
        <w:rPr>
          <w:rFonts w:ascii="宋体" w:hAnsi="宋体"/>
          <w:color w:val="auto"/>
          <w:sz w:val="24"/>
        </w:rPr>
        <w:t>上发布。</w:t>
      </w:r>
    </w:p>
    <w:p w14:paraId="004F9D12">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0BF90E4B">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5B0C1E78">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1B43C2B8">
      <w:pPr>
        <w:spacing w:line="400" w:lineRule="exact"/>
        <w:rPr>
          <w:rFonts w:hint="eastAsia" w:ascii="宋体" w:hAnsi="宋体"/>
          <w:bCs/>
          <w:color w:val="auto"/>
          <w:sz w:val="24"/>
          <w:highlight w:val="none"/>
        </w:rPr>
      </w:pPr>
      <w:r>
        <w:rPr>
          <w:rFonts w:hint="eastAsia" w:ascii="宋体" w:hAnsi="宋体"/>
          <w:bCs/>
          <w:color w:val="auto"/>
          <w:sz w:val="24"/>
          <w:highlight w:val="none"/>
        </w:rPr>
        <w:t>名称：临海市自然资源和规划局</w:t>
      </w:r>
    </w:p>
    <w:p w14:paraId="4068A897">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地址：临海市人民路299号 </w:t>
      </w:r>
    </w:p>
    <w:p w14:paraId="666B5340">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项目联系人：黄先生</w:t>
      </w:r>
    </w:p>
    <w:p w14:paraId="6B254580">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项目联系方式：0576-85138926 </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浙江同益咨询有限公司</w:t>
      </w:r>
    </w:p>
    <w:p w14:paraId="6556883A">
      <w:pPr>
        <w:spacing w:line="400" w:lineRule="exact"/>
        <w:rPr>
          <w:rFonts w:hint="eastAsia" w:ascii="宋体" w:hAnsi="宋体"/>
          <w:bCs/>
          <w:color w:val="auto"/>
          <w:sz w:val="24"/>
          <w:highlight w:val="none"/>
        </w:rPr>
      </w:pPr>
      <w:r>
        <w:rPr>
          <w:rFonts w:hint="eastAsia" w:ascii="宋体" w:hAnsi="宋体"/>
          <w:bCs/>
          <w:color w:val="auto"/>
          <w:sz w:val="24"/>
          <w:highlight w:val="none"/>
        </w:rPr>
        <w:t>地址: 临海市回浦路2号九楼</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洪女士</w:t>
      </w:r>
    </w:p>
    <w:p w14:paraId="0DCD5B90">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项目联系方式：0576-85</w:t>
      </w:r>
      <w:r>
        <w:rPr>
          <w:rFonts w:hint="eastAsia" w:ascii="宋体" w:hAnsi="宋体"/>
          <w:bCs/>
          <w:color w:val="auto"/>
          <w:sz w:val="24"/>
          <w:highlight w:val="none"/>
          <w:lang w:val="en-US" w:eastAsia="zh-CN"/>
        </w:rPr>
        <w:t>805388</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冯先生</w:t>
      </w:r>
    </w:p>
    <w:p w14:paraId="163AB614">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质疑联系方式：0576-85</w:t>
      </w:r>
      <w:r>
        <w:rPr>
          <w:rFonts w:hint="eastAsia" w:ascii="宋体" w:hAnsi="宋体"/>
          <w:bCs/>
          <w:color w:val="auto"/>
          <w:sz w:val="24"/>
          <w:highlight w:val="none"/>
          <w:lang w:val="en-US" w:eastAsia="zh-CN"/>
        </w:rPr>
        <w:t>805388</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eastAsia="宋体" w:cs="宋体"/>
          <w:color w:val="auto"/>
          <w:sz w:val="24"/>
          <w:szCs w:val="24"/>
          <w:highlight w:val="none"/>
          <w:lang w:val="en-US" w:eastAsia="zh-CN"/>
        </w:rPr>
        <w:t>693513977</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50CBD1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3B2077B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65520A0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00D2F84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联系电话：0576-85188034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rPr>
      </w:pPr>
      <w:r>
        <w:rPr>
          <w:rFonts w:hint="eastAsia" w:ascii="宋体" w:hAnsi="宋体"/>
          <w:color w:val="auto"/>
          <w:spacing w:val="-4"/>
          <w:sz w:val="24"/>
          <w:highlight w:val="none"/>
        </w:rPr>
        <w:t>联系电话：</w:t>
      </w:r>
      <w:r>
        <w:rPr>
          <w:rFonts w:ascii="宋体" w:hAnsi="宋体"/>
          <w:color w:val="auto"/>
          <w:sz w:val="24"/>
          <w:highlight w:val="none"/>
        </w:rPr>
        <w:t>95763</w:t>
      </w:r>
      <w:r>
        <w:rPr>
          <w:rFonts w:hint="eastAsia" w:ascii="宋体" w:hAnsi="宋体"/>
          <w:color w:val="auto"/>
          <w:spacing w:val="-4"/>
          <w:sz w:val="24"/>
          <w:highlight w:val="none"/>
        </w:rPr>
        <w:t xml:space="preserve">   </w:t>
      </w:r>
      <w:r>
        <w:rPr>
          <w:rFonts w:ascii="宋体" w:hAnsi="宋体"/>
          <w:b/>
          <w:color w:val="auto"/>
          <w:sz w:val="24"/>
          <w:highlight w:val="none"/>
        </w:rPr>
        <w:br w:type="page"/>
      </w:r>
    </w:p>
    <w:p w14:paraId="27AE4EA6">
      <w:pPr>
        <w:rPr>
          <w:rFonts w:ascii="宋体" w:hAnsi="宋体"/>
          <w:color w:val="auto"/>
        </w:rPr>
      </w:pPr>
      <w:r>
        <w:rPr>
          <w:rFonts w:hint="eastAsia" w:ascii="宋体" w:hAnsi="宋体"/>
          <w:b/>
          <w:color w:val="auto"/>
          <w:sz w:val="24"/>
        </w:rPr>
        <w:t>附件</w:t>
      </w:r>
    </w:p>
    <w:p w14:paraId="7B660F22">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F9A104F">
      <w:pPr>
        <w:spacing w:line="400" w:lineRule="exact"/>
        <w:ind w:firstLine="720" w:firstLineChars="300"/>
        <w:jc w:val="center"/>
        <w:rPr>
          <w:rFonts w:ascii="宋体" w:hAnsi="宋体"/>
          <w:bCs/>
          <w:color w:val="auto"/>
          <w:sz w:val="24"/>
        </w:rPr>
      </w:pPr>
    </w:p>
    <w:p w14:paraId="0E38E5FB">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刘</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rPr>
          <w:rFonts w:ascii="宋体" w:hAnsi="宋体"/>
          <w:color w:val="auto"/>
          <w:sz w:val="36"/>
          <w:szCs w:val="36"/>
        </w:rPr>
      </w:pPr>
      <w:bookmarkStart w:id="11" w:name="_Toc48835712"/>
      <w:bookmarkStart w:id="12" w:name="_Toc467749357"/>
      <w:bookmarkStart w:id="13" w:name="_Toc466534748"/>
      <w:r>
        <w:rPr>
          <w:rFonts w:hint="eastAsia" w:ascii="宋体" w:hAnsi="宋体"/>
          <w:b/>
          <w:bCs/>
          <w:color w:val="auto"/>
          <w:sz w:val="30"/>
          <w:szCs w:val="30"/>
        </w:rPr>
        <w:t>第二章  采购内容、需求及</w:t>
      </w:r>
      <w:bookmarkEnd w:id="11"/>
      <w:bookmarkEnd w:id="12"/>
      <w:bookmarkEnd w:id="13"/>
      <w:r>
        <w:rPr>
          <w:rFonts w:hint="eastAsia" w:ascii="宋体" w:hAnsi="宋体"/>
          <w:b/>
          <w:bCs/>
          <w:color w:val="auto"/>
          <w:sz w:val="30"/>
          <w:szCs w:val="30"/>
        </w:rPr>
        <w:t>要求</w:t>
      </w:r>
    </w:p>
    <w:p w14:paraId="6601867E">
      <w:pPr>
        <w:spacing w:line="400" w:lineRule="exact"/>
        <w:jc w:val="center"/>
        <w:rPr>
          <w:rFonts w:ascii="宋体" w:hAnsi="宋体"/>
          <w:color w:val="auto"/>
          <w:sz w:val="36"/>
          <w:szCs w:val="36"/>
        </w:rPr>
      </w:pPr>
    </w:p>
    <w:p w14:paraId="50C94561">
      <w:pPr>
        <w:adjustRightInd w:val="0"/>
        <w:snapToGrid w:val="0"/>
        <w:spacing w:line="360" w:lineRule="auto"/>
        <w:rPr>
          <w:rFonts w:hint="eastAsia"/>
          <w:color w:val="auto"/>
          <w:highlight w:val="none"/>
        </w:rPr>
      </w:pPr>
    </w:p>
    <w:p w14:paraId="5D1177F3">
      <w:pPr>
        <w:spacing w:line="408" w:lineRule="auto"/>
        <w:outlineLvl w:val="1"/>
        <w:rPr>
          <w:rFonts w:ascii="宋体" w:cs="宋体"/>
          <w:b/>
          <w:bCs/>
          <w:color w:val="auto"/>
          <w:sz w:val="24"/>
          <w:highlight w:val="none"/>
        </w:rPr>
      </w:pPr>
      <w:bookmarkStart w:id="14" w:name="_Toc3959"/>
      <w:r>
        <w:rPr>
          <w:rFonts w:hint="eastAsia" w:ascii="宋体" w:cs="宋体"/>
          <w:b/>
          <w:bCs/>
          <w:color w:val="auto"/>
          <w:sz w:val="24"/>
          <w:highlight w:val="none"/>
          <w:lang w:val="en-US" w:eastAsia="zh-CN"/>
        </w:rPr>
        <w:t>一</w:t>
      </w:r>
      <w:r>
        <w:rPr>
          <w:rFonts w:ascii="宋体" w:cs="宋体"/>
          <w:b/>
          <w:bCs/>
          <w:color w:val="auto"/>
          <w:sz w:val="24"/>
          <w:highlight w:val="none"/>
        </w:rPr>
        <w:t>、</w:t>
      </w:r>
      <w:bookmarkEnd w:id="14"/>
      <w:r>
        <w:rPr>
          <w:rFonts w:hint="eastAsia" w:hAnsi="宋体"/>
          <w:b/>
          <w:color w:val="auto"/>
          <w:sz w:val="24"/>
          <w:highlight w:val="none"/>
        </w:rPr>
        <w:t>具体工作内容</w:t>
      </w:r>
    </w:p>
    <w:p w14:paraId="6D7572B5">
      <w:pPr>
        <w:spacing w:line="408" w:lineRule="auto"/>
        <w:ind w:firstLine="480" w:firstLineChars="200"/>
        <w:outlineLvl w:val="1"/>
        <w:rPr>
          <w:rFonts w:hint="eastAsia" w:ascii="宋体" w:cs="宋体"/>
          <w:b w:val="0"/>
          <w:bCs w:val="0"/>
          <w:color w:val="auto"/>
          <w:sz w:val="24"/>
          <w:highlight w:val="none"/>
          <w:lang w:val="en-US" w:eastAsia="zh-CN"/>
        </w:rPr>
      </w:pPr>
      <w:r>
        <w:rPr>
          <w:rFonts w:hint="eastAsia" w:ascii="宋体" w:cs="宋体"/>
          <w:b w:val="0"/>
          <w:bCs w:val="0"/>
          <w:color w:val="auto"/>
          <w:sz w:val="24"/>
          <w:highlight w:val="none"/>
          <w:lang w:val="en-US" w:eastAsia="zh-CN"/>
        </w:rPr>
        <w:t>临海市白水洋镇2024第三批土地整治项目技术服务所涉及白水洋镇上施村（上施自然村）、划溪口村（一期）、桃源村（上官自然村、溪头自然村）、山下村、下洋庄村（一期）、后谢村等6个村7个区块，实施范围面积约932.08亩，主要技术服务工作内容为项目现状勘察、土地清查、项目设计与概算编制、项目竣工测量、耕地质量等级评定、项目竣工验收入库等工作。</w:t>
      </w:r>
    </w:p>
    <w:p w14:paraId="25D90826">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二</w:t>
      </w:r>
      <w:r>
        <w:rPr>
          <w:rFonts w:hint="eastAsia" w:ascii="宋体" w:cs="宋体"/>
          <w:b/>
          <w:bCs/>
          <w:color w:val="auto"/>
          <w:sz w:val="24"/>
          <w:highlight w:val="none"/>
        </w:rPr>
        <w:t>、技术标准：</w:t>
      </w:r>
    </w:p>
    <w:p w14:paraId="0D40EB14">
      <w:pPr>
        <w:spacing w:line="408" w:lineRule="auto"/>
        <w:ind w:firstLine="480" w:firstLineChars="200"/>
        <w:outlineLvl w:val="1"/>
        <w:rPr>
          <w:rFonts w:ascii="宋体" w:cs="宋体"/>
          <w:color w:val="auto"/>
          <w:sz w:val="24"/>
          <w:highlight w:val="none"/>
        </w:rPr>
      </w:pPr>
      <w:r>
        <w:rPr>
          <w:rFonts w:ascii="宋体" w:cs="宋体"/>
          <w:color w:val="auto"/>
          <w:sz w:val="24"/>
          <w:highlight w:val="none"/>
        </w:rPr>
        <w:t>1.《土地开发整理项目规划设计规范》（TD/T1012-</w:t>
      </w:r>
      <w:r>
        <w:rPr>
          <w:rFonts w:hint="eastAsia" w:ascii="宋体" w:cs="宋体"/>
          <w:color w:val="auto"/>
          <w:sz w:val="24"/>
          <w:highlight w:val="none"/>
          <w:lang w:val="en-US" w:eastAsia="zh-CN"/>
        </w:rPr>
        <w:t>2000</w:t>
      </w:r>
      <w:r>
        <w:rPr>
          <w:rFonts w:ascii="宋体" w:cs="宋体"/>
          <w:color w:val="auto"/>
          <w:sz w:val="24"/>
          <w:highlight w:val="none"/>
        </w:rPr>
        <w:t>）及其引用规范；</w:t>
      </w:r>
    </w:p>
    <w:p w14:paraId="730EE2E5">
      <w:pPr>
        <w:spacing w:line="408" w:lineRule="auto"/>
        <w:ind w:firstLine="480" w:firstLineChars="200"/>
        <w:outlineLvl w:val="1"/>
        <w:rPr>
          <w:rFonts w:ascii="宋体" w:cs="宋体"/>
          <w:color w:val="auto"/>
          <w:sz w:val="24"/>
          <w:highlight w:val="none"/>
        </w:rPr>
      </w:pPr>
      <w:r>
        <w:rPr>
          <w:rFonts w:ascii="宋体" w:cs="宋体"/>
          <w:color w:val="auto"/>
          <w:sz w:val="24"/>
          <w:highlight w:val="none"/>
        </w:rPr>
        <w:t>2.《中华人民共和国工程建设标准强制性条文》；</w:t>
      </w:r>
    </w:p>
    <w:p w14:paraId="634A1427">
      <w:pPr>
        <w:spacing w:line="408" w:lineRule="auto"/>
        <w:ind w:firstLine="480" w:firstLineChars="200"/>
        <w:outlineLvl w:val="1"/>
        <w:rPr>
          <w:rFonts w:ascii="宋体" w:cs="宋体"/>
          <w:color w:val="auto"/>
          <w:sz w:val="24"/>
          <w:highlight w:val="none"/>
        </w:rPr>
      </w:pPr>
      <w:r>
        <w:rPr>
          <w:rFonts w:ascii="宋体" w:cs="宋体"/>
          <w:color w:val="auto"/>
          <w:sz w:val="24"/>
          <w:highlight w:val="none"/>
        </w:rPr>
        <w:t>3.《浙江省财政厅、浙江省国土资源厅关于印发浙江省土地整治项目预算定额标准的通知》（浙财农[2016]1号）；</w:t>
      </w:r>
    </w:p>
    <w:p w14:paraId="3BC2BF7C">
      <w:pPr>
        <w:spacing w:line="408" w:lineRule="auto"/>
        <w:ind w:firstLine="480" w:firstLineChars="200"/>
        <w:outlineLvl w:val="1"/>
        <w:rPr>
          <w:rFonts w:ascii="宋体" w:cs="宋体"/>
          <w:color w:val="auto"/>
          <w:sz w:val="24"/>
          <w:highlight w:val="none"/>
        </w:rPr>
      </w:pPr>
      <w:r>
        <w:rPr>
          <w:rFonts w:hint="eastAsia" w:ascii="宋体" w:cs="宋体"/>
          <w:color w:val="auto"/>
          <w:sz w:val="24"/>
          <w:highlight w:val="none"/>
        </w:rPr>
        <w:t>4</w:t>
      </w:r>
      <w:r>
        <w:rPr>
          <w:rFonts w:ascii="宋体" w:cs="宋体"/>
          <w:color w:val="auto"/>
          <w:sz w:val="24"/>
          <w:highlight w:val="none"/>
        </w:rPr>
        <w:t>.工程测量规范（标准代号GB50026－</w:t>
      </w:r>
      <w:r>
        <w:rPr>
          <w:rFonts w:hint="eastAsia" w:ascii="宋体" w:cs="宋体"/>
          <w:color w:val="auto"/>
          <w:sz w:val="24"/>
          <w:highlight w:val="none"/>
        </w:rPr>
        <w:t>2020</w:t>
      </w:r>
      <w:r>
        <w:rPr>
          <w:rFonts w:ascii="宋体" w:cs="宋体"/>
          <w:color w:val="auto"/>
          <w:sz w:val="24"/>
          <w:highlight w:val="none"/>
        </w:rPr>
        <w:t>、国标标准等级）；</w:t>
      </w:r>
    </w:p>
    <w:p w14:paraId="49DD2A7C">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5.《浙江省土地整治工程建设标准》；</w:t>
      </w:r>
    </w:p>
    <w:p w14:paraId="40874A7C">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6.《浙江省土地整治项目规划设计规范》；</w:t>
      </w:r>
    </w:p>
    <w:p w14:paraId="28DD0D93">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7.《浙江省土地整治项目测量与调查技术规定(试行)》；</w:t>
      </w:r>
    </w:p>
    <w:p w14:paraId="7FBED575">
      <w:pPr>
        <w:spacing w:line="408" w:lineRule="auto"/>
        <w:ind w:firstLine="480" w:firstLineChars="200"/>
        <w:outlineLvl w:val="1"/>
        <w:rPr>
          <w:rFonts w:ascii="宋体" w:cs="宋体"/>
          <w:color w:val="auto"/>
          <w:sz w:val="24"/>
          <w:highlight w:val="none"/>
        </w:rPr>
      </w:pPr>
      <w:r>
        <w:rPr>
          <w:rFonts w:hint="eastAsia" w:ascii="宋体" w:cs="宋体"/>
          <w:color w:val="auto"/>
          <w:sz w:val="24"/>
          <w:highlight w:val="none"/>
        </w:rPr>
        <w:t>8.《浙江省土地整治垦造水田建设标准(试行)》；</w:t>
      </w:r>
    </w:p>
    <w:p w14:paraId="4F6EF290">
      <w:pPr>
        <w:spacing w:line="408" w:lineRule="auto"/>
        <w:ind w:firstLine="480" w:firstLineChars="200"/>
        <w:outlineLvl w:val="1"/>
        <w:rPr>
          <w:rFonts w:ascii="宋体" w:cs="宋体"/>
          <w:color w:val="auto"/>
          <w:sz w:val="24"/>
          <w:highlight w:val="none"/>
        </w:rPr>
      </w:pPr>
      <w:r>
        <w:rPr>
          <w:rFonts w:hint="eastAsia" w:ascii="宋体" w:cs="宋体"/>
          <w:color w:val="auto"/>
          <w:sz w:val="24"/>
          <w:highlight w:val="none"/>
        </w:rPr>
        <w:t>9</w:t>
      </w:r>
      <w:r>
        <w:rPr>
          <w:rFonts w:ascii="宋体" w:cs="宋体"/>
          <w:color w:val="auto"/>
          <w:sz w:val="24"/>
          <w:highlight w:val="none"/>
        </w:rPr>
        <w:t>.浙江省城镇地籍测量电子数据成果规定（省标）；</w:t>
      </w:r>
    </w:p>
    <w:p w14:paraId="718E646B">
      <w:pPr>
        <w:spacing w:line="408" w:lineRule="auto"/>
        <w:ind w:firstLine="480" w:firstLineChars="200"/>
        <w:outlineLvl w:val="1"/>
        <w:rPr>
          <w:rFonts w:ascii="宋体" w:cs="宋体"/>
          <w:color w:val="auto"/>
          <w:sz w:val="24"/>
          <w:highlight w:val="none"/>
        </w:rPr>
      </w:pPr>
      <w:r>
        <w:rPr>
          <w:rFonts w:hint="eastAsia" w:ascii="宋体" w:cs="宋体"/>
          <w:color w:val="auto"/>
          <w:sz w:val="24"/>
          <w:highlight w:val="none"/>
        </w:rPr>
        <w:t>10</w:t>
      </w:r>
      <w:r>
        <w:rPr>
          <w:rFonts w:ascii="宋体" w:cs="宋体"/>
          <w:color w:val="auto"/>
          <w:sz w:val="24"/>
          <w:highlight w:val="none"/>
        </w:rPr>
        <w:t>.浙江省地籍图图式（省标）；</w:t>
      </w:r>
    </w:p>
    <w:p w14:paraId="0827933A">
      <w:pPr>
        <w:spacing w:line="408" w:lineRule="auto"/>
        <w:ind w:firstLine="480" w:firstLineChars="200"/>
        <w:outlineLvl w:val="1"/>
        <w:rPr>
          <w:rFonts w:ascii="宋体" w:cs="宋体"/>
          <w:color w:val="auto"/>
          <w:sz w:val="24"/>
          <w:highlight w:val="none"/>
        </w:rPr>
      </w:pPr>
      <w:r>
        <w:rPr>
          <w:rFonts w:ascii="宋体" w:cs="宋体"/>
          <w:color w:val="auto"/>
          <w:sz w:val="24"/>
          <w:highlight w:val="none"/>
        </w:rPr>
        <w:t>1</w:t>
      </w:r>
      <w:r>
        <w:rPr>
          <w:rFonts w:hint="eastAsia" w:ascii="宋体" w:cs="宋体"/>
          <w:color w:val="auto"/>
          <w:sz w:val="24"/>
          <w:highlight w:val="none"/>
        </w:rPr>
        <w:t>1</w:t>
      </w:r>
      <w:r>
        <w:rPr>
          <w:rFonts w:ascii="宋体" w:cs="宋体"/>
          <w:color w:val="auto"/>
          <w:sz w:val="24"/>
          <w:highlight w:val="none"/>
        </w:rPr>
        <w:t>.临海市土地整治项目相关管理规定</w:t>
      </w:r>
      <w:r>
        <w:rPr>
          <w:rFonts w:hint="eastAsia" w:ascii="宋体" w:cs="宋体"/>
          <w:color w:val="auto"/>
          <w:sz w:val="24"/>
          <w:highlight w:val="none"/>
        </w:rPr>
        <w:t>。</w:t>
      </w:r>
    </w:p>
    <w:p w14:paraId="66B4C655">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、成果要求</w:t>
      </w:r>
    </w:p>
    <w:p w14:paraId="49ED4A6F">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1.按照省厅下发的立项及验收资料要求，各提供5份资料，且所提供资料必须规范、完整。</w:t>
      </w:r>
    </w:p>
    <w:p w14:paraId="47D12CDA">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2.提供完整的工程施工设计报告、各单体工程设计图、项目概算书5份；</w:t>
      </w:r>
    </w:p>
    <w:p w14:paraId="4F256936">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3.项目实施过程中需提供的施工图、设计及工程变更相关资料按实际需要提供；</w:t>
      </w:r>
    </w:p>
    <w:p w14:paraId="074899B8">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4.招标人认为需要的其它相关资料；</w:t>
      </w:r>
    </w:p>
    <w:p w14:paraId="49ADD249">
      <w:pPr>
        <w:spacing w:line="408" w:lineRule="auto"/>
        <w:ind w:firstLine="480" w:firstLineChars="200"/>
        <w:outlineLvl w:val="1"/>
        <w:rPr>
          <w:rFonts w:hint="default" w:ascii="宋体" w:eastAsia="宋体" w:cs="宋体"/>
          <w:color w:val="auto"/>
          <w:sz w:val="24"/>
          <w:highlight w:val="none"/>
          <w:lang w:val="en-US" w:eastAsia="zh-CN"/>
        </w:rPr>
      </w:pPr>
      <w:r>
        <w:rPr>
          <w:rFonts w:hint="eastAsia" w:ascii="宋体" w:cs="宋体"/>
          <w:color w:val="auto"/>
          <w:sz w:val="24"/>
          <w:highlight w:val="none"/>
        </w:rPr>
        <w:t>5.上述资料的电子光盘（含扫描件）。</w:t>
      </w:r>
    </w:p>
    <w:p w14:paraId="78051A99">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四</w:t>
      </w:r>
      <w:r>
        <w:rPr>
          <w:rFonts w:hint="eastAsia" w:ascii="宋体" w:cs="宋体"/>
          <w:b/>
          <w:bCs/>
          <w:color w:val="auto"/>
          <w:sz w:val="24"/>
          <w:highlight w:val="none"/>
        </w:rPr>
        <w:t>、付款方式</w:t>
      </w:r>
    </w:p>
    <w:p w14:paraId="4F94278A">
      <w:pPr>
        <w:spacing w:line="408"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合同生效以及具备实施条件后7个工作日内</w:t>
      </w:r>
      <w:r>
        <w:rPr>
          <w:rFonts w:hint="eastAsia" w:ascii="宋体" w:hAnsi="宋体" w:eastAsia="宋体" w:cs="宋体"/>
          <w:color w:val="auto"/>
          <w:sz w:val="24"/>
          <w:szCs w:val="24"/>
          <w:highlight w:val="none"/>
        </w:rPr>
        <w:t>支付合同价款的25%，乙方完成项目的各项前期工作，相应的工作成果通过评审,并提交完整的成果资料,项目正式立项报备后付至该项目合同价的50%；项目通过临海市级验收，乙方提供完整的验收报备材料，甲方付清</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余款。立项与验收面积不一致的，按各自面积计算，费用比例为各50%。</w:t>
      </w:r>
      <w:r>
        <w:rPr>
          <w:rFonts w:hint="eastAsia" w:ascii="宋体" w:hAnsi="宋体" w:eastAsia="宋体" w:cs="宋体"/>
          <w:color w:val="auto"/>
          <w:sz w:val="24"/>
          <w:szCs w:val="24"/>
          <w:highlight w:val="none"/>
          <w:lang w:val="en-US" w:eastAsia="zh-CN"/>
        </w:rPr>
        <w:t>所涉项目按个单独结算，</w:t>
      </w:r>
      <w:r>
        <w:rPr>
          <w:rFonts w:hint="eastAsia" w:ascii="宋体" w:hAnsi="宋体" w:eastAsia="宋体" w:cs="宋体"/>
          <w:color w:val="auto"/>
          <w:sz w:val="24"/>
          <w:szCs w:val="24"/>
          <w:highlight w:val="none"/>
        </w:rPr>
        <w:t>项目结算金额不得超过预算价。</w:t>
      </w:r>
    </w:p>
    <w:p w14:paraId="5976950A">
      <w:pPr>
        <w:spacing w:line="408" w:lineRule="auto"/>
        <w:ind w:firstLine="480" w:firstLineChars="200"/>
        <w:outlineLvl w:val="1"/>
        <w:rPr>
          <w:rFonts w:hint="default" w:asci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注：本项目技术服务费按单个项目各自计算，允许相邻的两个区块在符合设计规范整体性要求的前提下合并为一个项目。计算公式：单个项目实施总面积*900元*中标价/预算价</w:t>
      </w:r>
      <w:r>
        <w:rPr>
          <w:rFonts w:hint="eastAsia" w:ascii="宋体" w:cs="宋体"/>
          <w:color w:val="auto"/>
          <w:sz w:val="24"/>
          <w:szCs w:val="24"/>
          <w:highlight w:val="none"/>
          <w:lang w:val="en-US" w:eastAsia="zh-CN"/>
        </w:rPr>
        <w:t>。</w:t>
      </w:r>
    </w:p>
    <w:p w14:paraId="13471E13">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五</w:t>
      </w:r>
      <w:r>
        <w:rPr>
          <w:rFonts w:hint="eastAsia" w:ascii="宋体" w:cs="宋体"/>
          <w:b/>
          <w:bCs/>
          <w:color w:val="auto"/>
          <w:sz w:val="24"/>
          <w:highlight w:val="none"/>
        </w:rPr>
        <w:t>、其他</w:t>
      </w:r>
    </w:p>
    <w:p w14:paraId="6ACA7439">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1、完成的成果的权利归属：本次规划成果其所形成的相关知识产权归甲方所有，投标人享有著作权，临海市人民政府可以无偿使用该成果。未经允许，任何单位和个人不得转让和使用本项目的调查成果。</w:t>
      </w:r>
    </w:p>
    <w:p w14:paraId="1799EBBC">
      <w:pPr>
        <w:spacing w:line="408" w:lineRule="auto"/>
        <w:ind w:firstLine="480" w:firstLineChars="200"/>
        <w:outlineLvl w:val="1"/>
        <w:rPr>
          <w:rFonts w:hint="eastAsia" w:ascii="宋体" w:cs="宋体"/>
          <w:color w:val="auto"/>
          <w:sz w:val="24"/>
          <w:highlight w:val="none"/>
        </w:rPr>
      </w:pPr>
      <w:r>
        <w:rPr>
          <w:rFonts w:hint="eastAsia" w:ascii="宋体" w:cs="宋体"/>
          <w:color w:val="auto"/>
          <w:sz w:val="24"/>
          <w:highlight w:val="none"/>
        </w:rPr>
        <w:t>2、</w:t>
      </w:r>
      <w:r>
        <w:rPr>
          <w:rFonts w:hint="eastAsia" w:ascii="宋体" w:hAnsi="宋体" w:cs="宋体"/>
          <w:color w:val="auto"/>
          <w:spacing w:val="-4"/>
          <w:kern w:val="0"/>
          <w:sz w:val="24"/>
          <w:highlight w:val="none"/>
          <w:lang w:bidi="ar"/>
        </w:rPr>
        <w:t>中标人完成全部调查任务并提交成果文件后，如须召开专家论证会论证，其召开专家论证会的所有产生的费用由中标人承担，专家名单由采购人提供。中标人应根据专家评审意见，调整、修改成果文件，直至通过为止</w:t>
      </w:r>
      <w:r>
        <w:rPr>
          <w:rFonts w:hint="eastAsia" w:ascii="宋体" w:cs="宋体"/>
          <w:color w:val="auto"/>
          <w:sz w:val="24"/>
          <w:highlight w:val="none"/>
        </w:rPr>
        <w:t>。</w:t>
      </w:r>
    </w:p>
    <w:p w14:paraId="226362D8">
      <w:pPr>
        <w:spacing w:line="408" w:lineRule="auto"/>
        <w:ind w:firstLine="480" w:firstLineChars="200"/>
        <w:outlineLvl w:val="1"/>
        <w:rPr>
          <w:rFonts w:hint="eastAsia" w:ascii="宋体" w:hAnsi="宋体" w:cs="宋体"/>
          <w:color w:val="auto"/>
          <w:sz w:val="24"/>
          <w:highlight w:val="none"/>
        </w:rPr>
      </w:pPr>
      <w:r>
        <w:rPr>
          <w:rFonts w:hint="eastAsia" w:ascii="宋体" w:cs="宋体"/>
          <w:color w:val="auto"/>
          <w:sz w:val="24"/>
          <w:highlight w:val="none"/>
        </w:rPr>
        <w:t>3、质量要求符合国家和行业主管部门现行有关法规、规范和技术标准规定的要求。</w:t>
      </w:r>
    </w:p>
    <w:p w14:paraId="394DBF0E">
      <w:pPr>
        <w:widowControl/>
        <w:spacing w:line="360" w:lineRule="auto"/>
        <w:ind w:firstLine="480" w:firstLineChars="200"/>
        <w:jc w:val="left"/>
        <w:outlineLvl w:val="0"/>
        <w:rPr>
          <w:rFonts w:ascii="宋体" w:hAnsi="宋体" w:cs="宋体"/>
          <w:color w:val="auto"/>
          <w:position w:val="-1"/>
          <w:sz w:val="24"/>
          <w:highlight w:val="none"/>
        </w:rPr>
      </w:pPr>
      <w:r>
        <w:rPr>
          <w:rFonts w:hint="eastAsia" w:ascii="宋体" w:cs="宋体"/>
          <w:color w:val="auto"/>
          <w:sz w:val="24"/>
          <w:highlight w:val="none"/>
        </w:rPr>
        <w:t>4、技术服务费取费依据：按照《浙江省财政厅、浙江省国土资源厅关于印发浙江省土地整治项目预算定额标准的通知》（浙财农[2016]1号）文件并结合临海市土地整治项目实际情况折算标准价为900元/亩；以上项目均含项目现状勘察、土地清查、项目设计与概算编制、项目竣工测量、耕地质量等级评定、项目竣工验收</w:t>
      </w:r>
      <w:r>
        <w:rPr>
          <w:rFonts w:hint="eastAsia" w:ascii="宋体" w:cs="宋体"/>
          <w:color w:val="auto"/>
          <w:sz w:val="24"/>
          <w:highlight w:val="none"/>
          <w:lang w:val="en-US" w:eastAsia="zh-CN"/>
        </w:rPr>
        <w:t>入库</w:t>
      </w:r>
      <w:r>
        <w:rPr>
          <w:rFonts w:hint="eastAsia" w:ascii="宋体" w:cs="宋体"/>
          <w:color w:val="auto"/>
          <w:sz w:val="24"/>
          <w:highlight w:val="none"/>
        </w:rPr>
        <w:t>等工作。</w:t>
      </w:r>
    </w:p>
    <w:p w14:paraId="72239F30">
      <w:pPr>
        <w:snapToGrid w:val="0"/>
        <w:spacing w:line="360" w:lineRule="auto"/>
        <w:ind w:firstLine="464" w:firstLineChars="200"/>
        <w:rPr>
          <w:rFonts w:hint="eastAsia"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bidi="ar"/>
        </w:rPr>
        <w:t>5、中标人必须按规定程序和有关要求进行实施，服务过程中的各种项目研究质量及人身财产安全意外，其责任由中标人承担，招标人不承担任何责任。</w:t>
      </w:r>
    </w:p>
    <w:p w14:paraId="50647E2E">
      <w:pPr>
        <w:spacing w:line="440" w:lineRule="exact"/>
        <w:jc w:val="center"/>
        <w:rPr>
          <w:rFonts w:hint="eastAsia"/>
          <w:b/>
          <w:color w:val="auto"/>
          <w:sz w:val="30"/>
          <w:szCs w:val="30"/>
        </w:rPr>
      </w:pPr>
    </w:p>
    <w:p w14:paraId="5D5BCE66">
      <w:pPr>
        <w:spacing w:line="440" w:lineRule="exact"/>
        <w:jc w:val="center"/>
        <w:rPr>
          <w:rFonts w:hint="eastAsia"/>
          <w:b/>
          <w:color w:val="auto"/>
          <w:sz w:val="30"/>
          <w:szCs w:val="30"/>
        </w:rPr>
      </w:pPr>
    </w:p>
    <w:p w14:paraId="750F3B46">
      <w:pPr>
        <w:spacing w:line="440" w:lineRule="exact"/>
        <w:jc w:val="center"/>
        <w:rPr>
          <w:rFonts w:hint="eastAsia"/>
          <w:b/>
          <w:color w:val="auto"/>
          <w:sz w:val="30"/>
          <w:szCs w:val="30"/>
        </w:rPr>
      </w:pPr>
    </w:p>
    <w:p w14:paraId="25D1A6A4">
      <w:pPr>
        <w:spacing w:line="440" w:lineRule="exact"/>
        <w:jc w:val="both"/>
        <w:rPr>
          <w:rFonts w:hint="eastAsia"/>
          <w:b/>
          <w:color w:val="auto"/>
          <w:sz w:val="30"/>
          <w:szCs w:val="30"/>
        </w:rPr>
      </w:pPr>
    </w:p>
    <w:p w14:paraId="1FD3C20D">
      <w:pPr>
        <w:spacing w:line="440" w:lineRule="exact"/>
        <w:jc w:val="center"/>
        <w:rPr>
          <w:rFonts w:hint="eastAsia"/>
          <w:b/>
          <w:color w:val="auto"/>
          <w:sz w:val="30"/>
          <w:szCs w:val="30"/>
        </w:rPr>
      </w:pPr>
    </w:p>
    <w:p w14:paraId="4D688BBA">
      <w:pPr>
        <w:spacing w:line="440" w:lineRule="exact"/>
        <w:jc w:val="center"/>
        <w:rPr>
          <w:b/>
          <w:color w:val="auto"/>
          <w:sz w:val="30"/>
          <w:szCs w:val="30"/>
        </w:rPr>
      </w:pPr>
      <w:r>
        <w:rPr>
          <w:rFonts w:hint="eastAsia"/>
          <w:b/>
          <w:color w:val="auto"/>
          <w:sz w:val="30"/>
          <w:szCs w:val="30"/>
        </w:rPr>
        <w:t>第三章</w:t>
      </w:r>
      <w:r>
        <w:rPr>
          <w:b/>
          <w:color w:val="auto"/>
          <w:sz w:val="30"/>
          <w:szCs w:val="30"/>
        </w:rPr>
        <w:t xml:space="preserve">  供应商磋商须知</w:t>
      </w:r>
    </w:p>
    <w:p w14:paraId="22CB1FC2">
      <w:pPr>
        <w:jc w:val="center"/>
        <w:rPr>
          <w:b/>
          <w:color w:val="auto"/>
          <w:sz w:val="30"/>
          <w:szCs w:val="30"/>
        </w:rPr>
      </w:pPr>
      <w:r>
        <w:rPr>
          <w:rFonts w:hint="eastAsia"/>
          <w:b/>
          <w:color w:val="auto"/>
          <w:sz w:val="30"/>
          <w:szCs w:val="30"/>
        </w:rPr>
        <w:t>前附表</w:t>
      </w:r>
    </w:p>
    <w:tbl>
      <w:tblPr>
        <w:tblStyle w:val="48"/>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临海市白水洋镇2024第三批土地整治项目技术服务</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Cs/>
                <w:color w:val="auto"/>
                <w:sz w:val="24"/>
              </w:rPr>
              <w:t>100万*1.5%</w:t>
            </w:r>
            <w:r>
              <w:rPr>
                <w:rFonts w:hint="eastAsia" w:ascii="宋体" w:hAnsi="宋体"/>
                <w:bCs/>
                <w:color w:val="auto"/>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3DFE3BF1">
            <w:pPr>
              <w:spacing w:line="408" w:lineRule="auto"/>
              <w:ind w:firstLine="480" w:firstLineChars="200"/>
              <w:outlineLvl w:val="1"/>
              <w:rPr>
                <w:rFonts w:hint="eastAsia" w:ascii="宋体" w:hAnsi="宋体" w:eastAsia="宋体" w:cs="宋体"/>
                <w:color w:val="auto"/>
                <w:sz w:val="24"/>
                <w:szCs w:val="24"/>
                <w:highlight w:val="none"/>
              </w:rPr>
            </w:pPr>
            <w:r>
              <w:rPr>
                <w:rFonts w:hint="eastAsia" w:ascii="宋体" w:hAnsi="Times New Roman" w:eastAsia="宋体" w:cs="宋体"/>
                <w:color w:val="auto"/>
                <w:sz w:val="24"/>
                <w:highlight w:val="none"/>
              </w:rPr>
              <w:t>付款方式：</w:t>
            </w:r>
            <w:r>
              <w:rPr>
                <w:rFonts w:hint="eastAsia" w:ascii="宋体" w:hAnsi="Times New Roman" w:eastAsia="宋体" w:cs="宋体"/>
                <w:color w:val="auto"/>
                <w:sz w:val="24"/>
                <w:highlight w:val="none"/>
                <w:lang w:val="zh-CN"/>
              </w:rPr>
              <w:t>合同生效以及具备实施条件后7个工作日内</w:t>
            </w:r>
            <w:r>
              <w:rPr>
                <w:rFonts w:hint="eastAsia" w:ascii="宋体" w:hAnsi="Times New Roman" w:eastAsia="宋体" w:cs="宋体"/>
                <w:color w:val="auto"/>
                <w:sz w:val="24"/>
                <w:highlight w:val="none"/>
              </w:rPr>
              <w:t>支付合同价款的25%</w:t>
            </w:r>
            <w:r>
              <w:rPr>
                <w:rFonts w:hint="eastAsia" w:ascii="宋体" w:cs="宋体"/>
                <w:color w:val="auto"/>
                <w:sz w:val="24"/>
                <w:highlight w:val="none"/>
                <w:lang w:eastAsia="zh-CN"/>
              </w:rPr>
              <w:t>，</w:t>
            </w:r>
            <w:r>
              <w:rPr>
                <w:rFonts w:hint="eastAsia" w:ascii="宋体" w:hAnsi="宋体" w:eastAsia="宋体" w:cs="宋体"/>
                <w:color w:val="auto"/>
                <w:sz w:val="24"/>
                <w:szCs w:val="24"/>
                <w:highlight w:val="none"/>
              </w:rPr>
              <w:t>乙方完成项目的各项前期工作，相应的工作成果通过评审,并提交完整的成果资料,项目正式立项报备后付至该项目合同价的50%；项目通过临海市级验收，乙方提供完整的验收报备材料，甲方付清</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余款。立项与验收面积不一致的，按各自面积计算，费用比例为各50%。</w:t>
            </w:r>
            <w:r>
              <w:rPr>
                <w:rFonts w:hint="eastAsia" w:ascii="宋体" w:hAnsi="宋体" w:eastAsia="宋体" w:cs="宋体"/>
                <w:color w:val="auto"/>
                <w:sz w:val="24"/>
                <w:szCs w:val="24"/>
                <w:highlight w:val="none"/>
                <w:lang w:val="en-US" w:eastAsia="zh-CN"/>
              </w:rPr>
              <w:t>所涉项目按个单独结算，</w:t>
            </w:r>
            <w:r>
              <w:rPr>
                <w:rFonts w:hint="eastAsia" w:ascii="宋体" w:hAnsi="宋体" w:eastAsia="宋体" w:cs="宋体"/>
                <w:color w:val="auto"/>
                <w:sz w:val="24"/>
                <w:szCs w:val="24"/>
                <w:highlight w:val="none"/>
              </w:rPr>
              <w:t>项目结算金额不得超过预算价。</w:t>
            </w:r>
          </w:p>
          <w:p w14:paraId="3D809A17">
            <w:pPr>
              <w:spacing w:line="408" w:lineRule="auto"/>
              <w:ind w:firstLine="480" w:firstLineChars="200"/>
              <w:outlineLvl w:val="1"/>
              <w:rPr>
                <w:rFonts w:ascii="宋体" w:hAnsi="宋体"/>
                <w:color w:val="auto"/>
                <w:sz w:val="24"/>
              </w:rPr>
            </w:pPr>
            <w:r>
              <w:rPr>
                <w:rFonts w:hint="eastAsia" w:ascii="宋体" w:hAnsi="宋体" w:eastAsia="宋体" w:cs="宋体"/>
                <w:color w:val="auto"/>
                <w:sz w:val="24"/>
                <w:szCs w:val="24"/>
                <w:highlight w:val="none"/>
                <w:lang w:val="en-US" w:eastAsia="zh-CN"/>
              </w:rPr>
              <w:t>注：本项目技术服务费按单个项目各自计算，允许相邻的两个区块在符合设计规范整体性要求的前提下合并为一个项目。计算公式：单个项目实施总面积*900元*中标价/预算价</w:t>
            </w:r>
            <w:r>
              <w:rPr>
                <w:rFonts w:hint="eastAsia" w:ascii="宋体" w:cs="宋体"/>
                <w:color w:val="auto"/>
                <w:sz w:val="24"/>
                <w:szCs w:val="24"/>
                <w:highlight w:val="none"/>
                <w:lang w:val="en-US" w:eastAsia="zh-CN"/>
              </w:rPr>
              <w:t>。</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8"/>
        <w:snapToGrid w:val="0"/>
        <w:spacing w:beforeLines="0" w:afterLines="0" w:line="420" w:lineRule="exact"/>
        <w:ind w:firstLine="482" w:firstLineChars="200"/>
        <w:rPr>
          <w:rFonts w:hAnsi="宋体"/>
          <w:b/>
          <w:color w:val="auto"/>
        </w:rPr>
      </w:pPr>
    </w:p>
    <w:p w14:paraId="658A6722">
      <w:pPr>
        <w:pStyle w:val="28"/>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5" w:name="_Hlk60996806"/>
      <w:r>
        <w:rPr>
          <w:rFonts w:hint="eastAsia" w:ascii="宋体" w:hAnsi="宋体"/>
          <w:b/>
          <w:bCs/>
          <w:color w:val="auto"/>
          <w:sz w:val="24"/>
          <w:u w:val="single"/>
          <w:shd w:val="pct10" w:color="auto" w:fill="FFFFFF"/>
        </w:rPr>
        <w:t>2.“供应商”系指向招标人提交磋商响应文件的单位和组织。</w:t>
      </w:r>
    </w:p>
    <w:bookmarkEnd w:id="15"/>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auto"/>
        </w:rPr>
      </w:pPr>
      <w:bookmarkStart w:id="16"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7" w:name="_Hlk81828896"/>
      <w:r>
        <w:rPr>
          <w:rFonts w:hint="eastAsia" w:hAnsi="宋体"/>
          <w:color w:val="auto"/>
        </w:rPr>
        <w:t>供应商</w:t>
      </w:r>
      <w:bookmarkEnd w:id="17"/>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319BB82D">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供应商对采购人或采购组织机构的质疑答复不满意或在规定时间内未得到答复的，可以在答复期满后15个工作日内，向同级政府采购监督管理机构投诉。</w:t>
      </w:r>
    </w:p>
    <w:bookmarkEnd w:id="16"/>
    <w:p w14:paraId="2163C579">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9"/>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18"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18"/>
      <w:r>
        <w:rPr>
          <w:rFonts w:hint="eastAsia" w:ascii="宋体" w:hAnsi="宋体"/>
          <w:bCs/>
          <w:color w:val="auto"/>
          <w:sz w:val="24"/>
        </w:rPr>
        <w:t>没有重大违法记录的承诺函</w:t>
      </w:r>
      <w:bookmarkStart w:id="19"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19"/>
    <w:p w14:paraId="675B5A00">
      <w:pPr>
        <w:pStyle w:val="30"/>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0"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0"/>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1" w:name="_Hlk534200539"/>
      <w:r>
        <w:rPr>
          <w:rFonts w:hint="eastAsia" w:ascii="宋体" w:hAnsi="宋体"/>
          <w:color w:val="auto"/>
          <w:sz w:val="24"/>
        </w:rPr>
        <w:t>法定代表人授权委托书</w:t>
      </w:r>
      <w:bookmarkEnd w:id="21"/>
      <w:r>
        <w:rPr>
          <w:rFonts w:hint="eastAsia" w:ascii="宋体" w:hAnsi="宋体"/>
          <w:color w:val="auto"/>
          <w:sz w:val="24"/>
          <w:lang w:eastAsia="zh-CN"/>
        </w:rPr>
        <w:t>（</w:t>
      </w:r>
      <w:r>
        <w:rPr>
          <w:rFonts w:hint="eastAsia" w:ascii="宋体" w:hAnsi="宋体"/>
          <w:color w:val="auto"/>
          <w:sz w:val="24"/>
          <w:lang w:val="en-US" w:eastAsia="zh-CN"/>
        </w:rPr>
        <w:t>或法定代表人身份证明</w:t>
      </w:r>
      <w:r>
        <w:rPr>
          <w:rFonts w:hint="eastAsia" w:ascii="宋体" w:hAnsi="宋体"/>
          <w:color w:val="auto"/>
          <w:sz w:val="24"/>
          <w:lang w:eastAsia="zh-CN"/>
        </w:rPr>
        <w:t>）</w:t>
      </w:r>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22"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2"/>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3" w:name="_Hlk534294060"/>
    </w:p>
    <w:bookmarkEnd w:id="23"/>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6BBFE643">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8"/>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4" w:name="_Hlk59462445"/>
      <w:r>
        <w:rPr>
          <w:rFonts w:hint="eastAsia" w:ascii="宋体" w:hAnsi="宋体"/>
          <w:b/>
          <w:bCs/>
          <w:color w:val="auto"/>
          <w:spacing w:val="-4"/>
          <w:sz w:val="24"/>
        </w:rPr>
        <w:t>1.</w:t>
      </w:r>
      <w:bookmarkStart w:id="25" w:name="_Hlk534294335"/>
      <w:r>
        <w:rPr>
          <w:rFonts w:hint="eastAsia" w:ascii="宋体" w:hAnsi="宋体"/>
          <w:b/>
          <w:bCs/>
          <w:color w:val="auto"/>
          <w:spacing w:val="-4"/>
          <w:sz w:val="24"/>
        </w:rPr>
        <w:t>在符合性审查和商务技术评审时，如发现下列情形之一的，响应文件将被视为无效：</w:t>
      </w:r>
    </w:p>
    <w:bookmarkEnd w:id="25"/>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4"/>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6"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6"/>
    <w:p w14:paraId="1739F06D">
      <w:pPr>
        <w:pStyle w:val="28"/>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8"/>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8"/>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8"/>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8"/>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7"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8"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7"/>
      <w:r>
        <w:rPr>
          <w:rFonts w:hint="eastAsia" w:hAnsi="宋体"/>
          <w:b/>
          <w:bCs/>
          <w:color w:val="auto"/>
          <w:u w:val="single"/>
          <w:shd w:val="pct10" w:color="auto" w:fill="FFFFFF"/>
        </w:rPr>
        <w:t>；</w:t>
      </w:r>
    </w:p>
    <w:bookmarkEnd w:id="28"/>
    <w:p w14:paraId="0750B04E">
      <w:pPr>
        <w:pStyle w:val="28"/>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9" w:name="_Hlk59625783"/>
      <w:r>
        <w:rPr>
          <w:rFonts w:hint="eastAsia" w:hAnsi="宋体"/>
          <w:color w:val="auto"/>
        </w:rPr>
        <w:t>由供应商按磋商文件规定的时间</w:t>
      </w:r>
      <w:bookmarkStart w:id="30" w:name="_Hlk60946168"/>
      <w:r>
        <w:rPr>
          <w:rFonts w:hint="eastAsia" w:hAnsi="宋体"/>
          <w:color w:val="auto"/>
        </w:rPr>
        <w:t>及</w:t>
      </w:r>
      <w:bookmarkStart w:id="31" w:name="_Hlk59626264"/>
      <w:r>
        <w:rPr>
          <w:rFonts w:hint="eastAsia" w:hAnsi="宋体"/>
          <w:color w:val="auto"/>
        </w:rPr>
        <w:t>政采云平台</w:t>
      </w:r>
      <w:bookmarkEnd w:id="31"/>
      <w:r>
        <w:rPr>
          <w:rFonts w:hint="eastAsia" w:hAnsi="宋体"/>
          <w:color w:val="auto"/>
        </w:rPr>
        <w:t>显示的时间内自行进行响应文件解密。</w:t>
      </w:r>
      <w:bookmarkEnd w:id="29"/>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int="eastAsia" w:hAnsi="宋体"/>
          <w:color w:val="auto"/>
          <w:u w:val="single"/>
        </w:rPr>
        <w:t>供应商未按时解密或解密失败的，其响应文件为无效标。</w:t>
      </w:r>
      <w:bookmarkEnd w:id="32"/>
    </w:p>
    <w:p w14:paraId="75BBD34C">
      <w:pPr>
        <w:pStyle w:val="28"/>
        <w:snapToGrid w:val="0"/>
        <w:spacing w:beforeLines="0" w:afterLines="0" w:line="420" w:lineRule="exact"/>
        <w:rPr>
          <w:rFonts w:hAnsi="宋体"/>
          <w:b/>
          <w:bCs/>
          <w:color w:val="auto"/>
          <w:u w:val="single"/>
          <w:shd w:val="pct10" w:color="auto" w:fill="FFFFFF"/>
        </w:rPr>
      </w:pPr>
    </w:p>
    <w:p w14:paraId="74A6AFE5">
      <w:pPr>
        <w:pStyle w:val="28"/>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0"/>
    <w:p w14:paraId="12147D6F">
      <w:pPr>
        <w:pStyle w:val="28"/>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5"/>
          <w:rFonts w:hint="eastAsia" w:hAnsi="宋体"/>
          <w:color w:val="auto"/>
          <w:highlight w:val="none"/>
          <w:lang w:val="en-US" w:eastAsia="zh-CN"/>
        </w:rPr>
        <w:t>693513977</w:t>
      </w:r>
      <w:r>
        <w:rPr>
          <w:rStyle w:val="55"/>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洪女士</w:t>
      </w:r>
      <w:r>
        <w:rPr>
          <w:rFonts w:hint="eastAsia" w:hAnsi="宋体"/>
          <w:color w:val="auto"/>
          <w:highlight w:val="none"/>
        </w:rPr>
        <w:t>，电话：0576-</w:t>
      </w:r>
      <w:r>
        <w:rPr>
          <w:rFonts w:hint="eastAsia" w:hAnsi="宋体"/>
          <w:color w:val="auto"/>
          <w:highlight w:val="none"/>
          <w:lang w:val="en-US" w:eastAsia="zh-CN"/>
        </w:rPr>
        <w:t>85805388</w:t>
      </w:r>
      <w:r>
        <w:rPr>
          <w:rFonts w:hint="eastAsia" w:hAnsi="宋体"/>
          <w:color w:val="auto"/>
        </w:rPr>
        <w:t>；</w:t>
      </w:r>
      <w:r>
        <w:rPr>
          <w:rFonts w:hint="eastAsia" w:hAnsi="宋体"/>
          <w:color w:val="auto"/>
          <w:highlight w:val="none"/>
          <w:lang w:eastAsia="zh-CN"/>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3" w:name="_Hlk59371589"/>
      <w:r>
        <w:rPr>
          <w:rFonts w:hint="eastAsia" w:hAnsi="宋体"/>
          <w:color w:val="auto"/>
        </w:rPr>
        <w:t>开启标书信息</w:t>
      </w:r>
      <w:bookmarkEnd w:id="33"/>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4" w:name="_Hlk4055646"/>
      <w:r>
        <w:rPr>
          <w:color w:val="auto"/>
          <w:sz w:val="24"/>
        </w:rPr>
        <w:t>最后报价，</w:t>
      </w:r>
      <w:bookmarkEnd w:id="34"/>
      <w:bookmarkStart w:id="35" w:name="_Hlk4055866"/>
      <w:r>
        <w:rPr>
          <w:color w:val="auto"/>
          <w:sz w:val="24"/>
        </w:rPr>
        <w:t>最后报价</w:t>
      </w:r>
      <w:bookmarkEnd w:id="35"/>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6" w:name="_Hlk4052304"/>
      <w:r>
        <w:rPr>
          <w:rFonts w:hAnsi="宋体"/>
          <w:color w:val="auto"/>
        </w:rPr>
        <w:t>对提交最后报价</w:t>
      </w:r>
      <w:bookmarkStart w:id="37" w:name="_Hlk4052265"/>
      <w:r>
        <w:rPr>
          <w:rFonts w:hAnsi="宋体"/>
          <w:color w:val="auto"/>
        </w:rPr>
        <w:t>供应商的</w:t>
      </w:r>
      <w:bookmarkStart w:id="38" w:name="_Hlk61427018"/>
      <w:r>
        <w:rPr>
          <w:rFonts w:hint="eastAsia" w:hAnsi="宋体"/>
          <w:color w:val="auto"/>
        </w:rPr>
        <w:t>商务技术文件</w:t>
      </w:r>
      <w:bookmarkEnd w:id="38"/>
      <w:r>
        <w:rPr>
          <w:rFonts w:hint="eastAsia" w:hAnsi="宋体"/>
          <w:color w:val="auto"/>
        </w:rPr>
        <w:t>进行</w:t>
      </w:r>
      <w:bookmarkEnd w:id="37"/>
      <w:r>
        <w:rPr>
          <w:rFonts w:hint="eastAsia" w:hAnsi="宋体"/>
          <w:color w:val="auto"/>
        </w:rPr>
        <w:t>综合评分</w:t>
      </w:r>
      <w:bookmarkEnd w:id="36"/>
      <w:r>
        <w:rPr>
          <w:rFonts w:hint="eastAsia" w:hAnsi="宋体"/>
          <w:color w:val="auto"/>
        </w:rPr>
        <w:t>；</w:t>
      </w:r>
    </w:p>
    <w:p w14:paraId="295CDCE9">
      <w:pPr>
        <w:pStyle w:val="28"/>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8"/>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9" w:name="_Hlk59371720"/>
      <w:r>
        <w:rPr>
          <w:rFonts w:hint="eastAsia" w:hAnsi="宋体"/>
          <w:color w:val="auto"/>
        </w:rPr>
        <w:t>得分结果</w:t>
      </w:r>
      <w:bookmarkEnd w:id="39"/>
      <w:r>
        <w:rPr>
          <w:rFonts w:hint="eastAsia" w:hAnsi="宋体"/>
          <w:color w:val="auto"/>
        </w:rPr>
        <w:t>及成交候选人名单。</w:t>
      </w:r>
      <w:r>
        <w:rPr>
          <w:rFonts w:hint="eastAsia" w:hAnsi="宋体"/>
          <w:b/>
          <w:bCs/>
          <w:color w:val="auto"/>
          <w:u w:val="single"/>
          <w:shd w:val="pct10" w:color="auto" w:fill="FFFFFF"/>
        </w:rPr>
        <w:t>供应商可通过</w:t>
      </w:r>
      <w:bookmarkStart w:id="40" w:name="_Hlk59626287"/>
      <w:r>
        <w:rPr>
          <w:rFonts w:hint="eastAsia" w:hAnsi="宋体"/>
          <w:b/>
          <w:bCs/>
          <w:color w:val="auto"/>
          <w:u w:val="single"/>
          <w:shd w:val="pct10" w:color="auto" w:fill="FFFFFF"/>
        </w:rPr>
        <w:t>政采云平台及</w:t>
      </w:r>
      <w:bookmarkEnd w:id="40"/>
      <w:r>
        <w:rPr>
          <w:rFonts w:hint="eastAsia" w:hAnsi="宋体"/>
          <w:b/>
          <w:bCs/>
          <w:color w:val="auto"/>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41" w:name="_Hlk60950411"/>
      <w:r>
        <w:rPr>
          <w:rFonts w:hint="eastAsia" w:ascii="宋体" w:hAnsi="宋体" w:cs="宋体"/>
          <w:b/>
          <w:color w:val="auto"/>
          <w:sz w:val="24"/>
        </w:rPr>
        <w:t>（四）澄清问题的形式</w:t>
      </w:r>
    </w:p>
    <w:p w14:paraId="503FF0EC">
      <w:pPr>
        <w:pStyle w:val="28"/>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2" w:name="_Hlk59372079"/>
      <w:r>
        <w:rPr>
          <w:rFonts w:hint="eastAsia" w:hAnsi="宋体"/>
          <w:color w:val="auto"/>
        </w:rPr>
        <w:t>澄清、说明</w:t>
      </w:r>
      <w:bookmarkEnd w:id="42"/>
      <w:r>
        <w:rPr>
          <w:rFonts w:hint="eastAsia" w:hAnsi="宋体"/>
          <w:color w:val="auto"/>
        </w:rPr>
        <w:t>或者补正。磋商小组的澄清内容及供应商的澄清、说明或者补正均通过</w:t>
      </w:r>
      <w:bookmarkStart w:id="43" w:name="_Hlk59371846"/>
      <w:r>
        <w:rPr>
          <w:rFonts w:hint="eastAsia" w:hAnsi="宋体"/>
          <w:color w:val="auto"/>
        </w:rPr>
        <w:t>政采云电子交易平台交换数据电文。</w:t>
      </w:r>
      <w:bookmarkEnd w:id="43"/>
      <w:bookmarkStart w:id="44" w:name="_Hlk59700505"/>
      <w:r>
        <w:rPr>
          <w:rFonts w:hint="eastAsia" w:hAnsi="宋体"/>
          <w:b/>
          <w:bCs/>
          <w:color w:val="auto"/>
        </w:rPr>
        <w:t>同时采购代理机构也将通过临海市公共资源交易中心视频直播平台、</w:t>
      </w:r>
      <w:bookmarkStart w:id="45"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4"/>
    </w:p>
    <w:bookmarkEnd w:id="45"/>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6" w:name="_Hlk61427222"/>
      <w:r>
        <w:rPr>
          <w:rFonts w:hint="eastAsia"/>
          <w:color w:val="auto"/>
          <w:sz w:val="24"/>
        </w:rPr>
        <w:t>开标</w:t>
      </w:r>
      <w:r>
        <w:rPr>
          <w:color w:val="auto"/>
          <w:sz w:val="24"/>
        </w:rPr>
        <w:t>一览表</w:t>
      </w:r>
      <w:bookmarkEnd w:id="46"/>
      <w:r>
        <w:rPr>
          <w:color w:val="auto"/>
          <w:sz w:val="24"/>
        </w:rPr>
        <w:t>内容与磋商响应文件中相应内容不一致的，以</w:t>
      </w:r>
      <w:r>
        <w:rPr>
          <w:rFonts w:hint="eastAsia"/>
          <w:color w:val="auto"/>
          <w:sz w:val="24"/>
        </w:rPr>
        <w:t>开标</w:t>
      </w:r>
      <w:r>
        <w:rPr>
          <w:color w:val="auto"/>
          <w:sz w:val="24"/>
        </w:rPr>
        <w:t>一览表为准；</w:t>
      </w:r>
      <w:bookmarkStart w:id="47"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7"/>
    </w:p>
    <w:p w14:paraId="4E09174C">
      <w:pPr>
        <w:snapToGrid w:val="0"/>
        <w:spacing w:line="420" w:lineRule="exact"/>
        <w:ind w:firstLine="480" w:firstLineChars="200"/>
        <w:rPr>
          <w:rFonts w:ascii="宋体" w:hAnsi="宋体" w:cs="宋体"/>
          <w:color w:val="auto"/>
          <w:sz w:val="24"/>
        </w:rPr>
      </w:pPr>
      <w:bookmarkStart w:id="48" w:name="_Hlk81829635"/>
      <w:r>
        <w:rPr>
          <w:rFonts w:hint="eastAsia" w:ascii="宋体" w:hAnsi="宋体" w:cs="宋体"/>
          <w:color w:val="auto"/>
          <w:sz w:val="24"/>
        </w:rPr>
        <w:t>（二）</w:t>
      </w:r>
      <w:bookmarkEnd w:id="48"/>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41"/>
    <w:p w14:paraId="7DF7EE96">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9" w:name="_Hlk59627548"/>
      <w:bookmarkStart w:id="50" w:name="_Hlk59369379"/>
      <w:r>
        <w:rPr>
          <w:rFonts w:hint="eastAsia" w:ascii="宋体" w:hAnsi="宋体"/>
          <w:b/>
          <w:bCs/>
          <w:color w:val="auto"/>
          <w:sz w:val="24"/>
          <w:u w:val="single"/>
          <w:shd w:val="pct10" w:color="auto" w:fill="FFFFFF"/>
        </w:rPr>
        <w:t>为营造更优质的营商环境，</w:t>
      </w:r>
      <w:bookmarkStart w:id="51"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1"/>
      <w:bookmarkStart w:id="52" w:name="_Hlk59708451"/>
      <w:r>
        <w:rPr>
          <w:rFonts w:hint="eastAsia" w:ascii="宋体" w:hAnsi="宋体"/>
          <w:b/>
          <w:bCs/>
          <w:color w:val="auto"/>
          <w:sz w:val="24"/>
          <w:u w:val="single"/>
          <w:shd w:val="pct10" w:color="auto" w:fill="FFFFFF"/>
        </w:rPr>
        <w:t>同时成交人应在成交后</w:t>
      </w:r>
      <w:bookmarkStart w:id="53" w:name="_Hlk59521069"/>
      <w:r>
        <w:rPr>
          <w:rFonts w:hint="eastAsia" w:ascii="宋体" w:hAnsi="宋体"/>
          <w:b/>
          <w:bCs/>
          <w:color w:val="auto"/>
          <w:sz w:val="24"/>
          <w:u w:val="single"/>
          <w:shd w:val="pct10" w:color="auto" w:fill="FFFFFF"/>
        </w:rPr>
        <w:t>以邮寄</w:t>
      </w:r>
      <w:bookmarkEnd w:id="53"/>
      <w:r>
        <w:rPr>
          <w:rFonts w:hint="eastAsia" w:ascii="宋体" w:hAnsi="宋体"/>
          <w:b/>
          <w:bCs/>
          <w:color w:val="auto"/>
          <w:sz w:val="24"/>
          <w:u w:val="single"/>
          <w:shd w:val="pct10" w:color="auto" w:fill="FFFFFF"/>
        </w:rPr>
        <w:t>或其他方式向</w:t>
      </w:r>
      <w:bookmarkStart w:id="54" w:name="_Hlk59521051"/>
      <w:r>
        <w:rPr>
          <w:rFonts w:hint="eastAsia" w:ascii="宋体" w:hAnsi="宋体"/>
          <w:b/>
          <w:bCs/>
          <w:color w:val="auto"/>
          <w:sz w:val="24"/>
          <w:u w:val="single"/>
          <w:shd w:val="pct10" w:color="auto" w:fill="FFFFFF"/>
        </w:rPr>
        <w:t>采购代理机构</w:t>
      </w:r>
      <w:bookmarkEnd w:id="54"/>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9"/>
      <w:bookmarkEnd w:id="50"/>
      <w:bookmarkEnd w:id="52"/>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5" w:name="_Hlk59627623"/>
      <w:r>
        <w:rPr>
          <w:rFonts w:hint="eastAsia" w:ascii="宋体" w:hAnsi="宋体"/>
          <w:b/>
          <w:bCs/>
          <w:color w:val="auto"/>
          <w:sz w:val="24"/>
          <w:u w:val="single"/>
          <w:shd w:val="pct10" w:color="auto" w:fill="FFFFFF"/>
        </w:rPr>
        <w:t>成交人可选择采购代理机构以邮寄方式向其寄达</w:t>
      </w:r>
      <w:bookmarkStart w:id="56" w:name="_Hlk59708805"/>
      <w:r>
        <w:rPr>
          <w:rFonts w:hint="eastAsia" w:ascii="宋体" w:hAnsi="宋体"/>
          <w:b/>
          <w:bCs/>
          <w:color w:val="auto"/>
          <w:sz w:val="24"/>
          <w:u w:val="single"/>
          <w:shd w:val="pct10" w:color="auto" w:fill="FFFFFF"/>
        </w:rPr>
        <w:t>《政府采购合同》</w:t>
      </w:r>
      <w:bookmarkEnd w:id="56"/>
      <w:r>
        <w:rPr>
          <w:rFonts w:hint="eastAsia" w:ascii="宋体" w:hAnsi="宋体"/>
          <w:b/>
          <w:bCs/>
          <w:color w:val="auto"/>
          <w:sz w:val="24"/>
          <w:u w:val="single"/>
          <w:shd w:val="pct10" w:color="auto" w:fill="FFFFFF"/>
        </w:rPr>
        <w:t>。</w:t>
      </w:r>
      <w:bookmarkEnd w:id="55"/>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7" w:name="_Hlk52994129"/>
      <w:r>
        <w:rPr>
          <w:rFonts w:hint="eastAsia" w:ascii="宋体" w:hAnsi="宋体" w:cs="宋体"/>
          <w:color w:val="auto"/>
          <w:sz w:val="24"/>
        </w:rPr>
        <w:t>拒绝签订政府采购合同的成交供应商不得参加对该项目重新开展的采购活动。</w:t>
      </w:r>
    </w:p>
    <w:bookmarkEnd w:id="57"/>
    <w:p w14:paraId="72465C18">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58" w:name="_Toc48835714"/>
      <w:bookmarkStart w:id="59" w:name="_Toc466534750"/>
      <w:r>
        <w:rPr>
          <w:rFonts w:hint="eastAsia" w:ascii="宋体" w:hAnsi="宋体"/>
          <w:b/>
          <w:color w:val="auto"/>
          <w:sz w:val="30"/>
          <w:szCs w:val="30"/>
        </w:rPr>
        <w:t>第四章 评标办法及评分标准</w:t>
      </w:r>
      <w:bookmarkEnd w:id="58"/>
      <w:bookmarkEnd w:id="59"/>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1</w:t>
      </w:r>
      <w:r>
        <w:rPr>
          <w:rFonts w:ascii="宋体" w:hAnsi="宋体"/>
          <w:color w:val="auto"/>
          <w:sz w:val="24"/>
        </w:rPr>
        <w:t>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9</w:t>
      </w:r>
      <w:r>
        <w:rPr>
          <w:rFonts w:ascii="宋体" w:hAnsi="宋体"/>
          <w:color w:val="auto"/>
          <w:sz w:val="24"/>
        </w:rPr>
        <w:t>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2"/>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1</w:t>
      </w:r>
      <w:r>
        <w:rPr>
          <w:rFonts w:hAnsi="宋体"/>
          <w:b/>
          <w:bCs/>
          <w:color w:val="auto"/>
          <w:sz w:val="24"/>
          <w:szCs w:val="24"/>
        </w:rPr>
        <w:t>0</w:t>
      </w:r>
      <w:r>
        <w:rPr>
          <w:rFonts w:hint="eastAsia" w:hAnsi="宋体"/>
          <w:b/>
          <w:color w:val="auto"/>
          <w:spacing w:val="0"/>
          <w:sz w:val="24"/>
          <w:szCs w:val="24"/>
        </w:rPr>
        <w:t>分</w:t>
      </w:r>
      <w:r>
        <w:rPr>
          <w:rFonts w:hint="eastAsia" w:hAnsi="宋体"/>
          <w:b/>
          <w:bCs/>
          <w:color w:val="auto"/>
          <w:sz w:val="24"/>
          <w:szCs w:val="24"/>
        </w:rPr>
        <w:t>）</w:t>
      </w:r>
    </w:p>
    <w:p w14:paraId="6F8244F1">
      <w:pPr>
        <w:pStyle w:val="22"/>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1</w:t>
      </w:r>
      <w:r>
        <w:rPr>
          <w:rFonts w:ascii="宋体" w:hAnsi="宋体"/>
          <w:color w:val="auto"/>
          <w:sz w:val="24"/>
        </w:rPr>
        <w:t>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9</w:t>
      </w:r>
      <w:r>
        <w:rPr>
          <w:rFonts w:ascii="宋体" w:hAnsi="宋体"/>
          <w:b/>
          <w:color w:val="auto"/>
          <w:sz w:val="24"/>
        </w:rPr>
        <w:t>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077"/>
        <w:gridCol w:w="1029"/>
        <w:gridCol w:w="5837"/>
        <w:gridCol w:w="601"/>
      </w:tblGrid>
      <w:tr w14:paraId="7E2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34" w:type="dxa"/>
            <w:noWrap w:val="0"/>
            <w:vAlign w:val="center"/>
          </w:tcPr>
          <w:p w14:paraId="2BEE738A">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77" w:type="dxa"/>
            <w:noWrap w:val="0"/>
            <w:vAlign w:val="center"/>
          </w:tcPr>
          <w:p w14:paraId="5C9DB990">
            <w:pPr>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6866" w:type="dxa"/>
            <w:gridSpan w:val="2"/>
            <w:noWrap w:val="0"/>
            <w:vAlign w:val="center"/>
          </w:tcPr>
          <w:p w14:paraId="458DEA5B">
            <w:pPr>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601" w:type="dxa"/>
            <w:noWrap w:val="0"/>
            <w:vAlign w:val="center"/>
          </w:tcPr>
          <w:p w14:paraId="30189D59">
            <w:pPr>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r>
      <w:tr w14:paraId="6AC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exact"/>
          <w:jc w:val="center"/>
        </w:trPr>
        <w:tc>
          <w:tcPr>
            <w:tcW w:w="634" w:type="dxa"/>
            <w:noWrap w:val="0"/>
            <w:vAlign w:val="center"/>
          </w:tcPr>
          <w:p w14:paraId="37AF6D9A">
            <w:pPr>
              <w:widowControl/>
              <w:snapToGrid w:val="0"/>
              <w:spacing w:line="300" w:lineRule="exact"/>
              <w:jc w:val="left"/>
              <w:rPr>
                <w:rFonts w:hint="eastAsia"/>
                <w:color w:val="auto"/>
                <w:szCs w:val="21"/>
                <w:highlight w:val="none"/>
              </w:rPr>
            </w:pPr>
            <w:r>
              <w:rPr>
                <w:rFonts w:hint="eastAsia"/>
                <w:color w:val="auto"/>
                <w:szCs w:val="21"/>
                <w:highlight w:val="none"/>
              </w:rPr>
              <w:t>1</w:t>
            </w:r>
          </w:p>
        </w:tc>
        <w:tc>
          <w:tcPr>
            <w:tcW w:w="1077" w:type="dxa"/>
            <w:noWrap w:val="0"/>
            <w:vAlign w:val="center"/>
          </w:tcPr>
          <w:p w14:paraId="3EE331F0">
            <w:pPr>
              <w:spacing w:line="360" w:lineRule="exact"/>
              <w:rPr>
                <w:rFonts w:hint="eastAsia"/>
                <w:color w:val="auto"/>
                <w:szCs w:val="21"/>
                <w:highlight w:val="none"/>
              </w:rPr>
            </w:pPr>
            <w:r>
              <w:rPr>
                <w:rFonts w:hint="eastAsia"/>
                <w:color w:val="auto"/>
                <w:szCs w:val="21"/>
                <w:highlight w:val="none"/>
              </w:rPr>
              <w:t>体系认证及行业证书</w:t>
            </w:r>
          </w:p>
        </w:tc>
        <w:tc>
          <w:tcPr>
            <w:tcW w:w="6866" w:type="dxa"/>
            <w:gridSpan w:val="2"/>
            <w:noWrap w:val="0"/>
            <w:vAlign w:val="center"/>
          </w:tcPr>
          <w:p w14:paraId="24D30973">
            <w:pPr>
              <w:widowControl/>
              <w:snapToGrid w:val="0"/>
              <w:spacing w:line="300" w:lineRule="exact"/>
              <w:jc w:val="left"/>
              <w:rPr>
                <w:rFonts w:hint="eastAsia"/>
                <w:color w:val="auto"/>
                <w:highlight w:val="none"/>
              </w:rPr>
            </w:pPr>
            <w:r>
              <w:rPr>
                <w:rFonts w:hint="eastAsia"/>
                <w:color w:val="auto"/>
                <w:highlight w:val="none"/>
              </w:rPr>
              <w:t>（1）投标人具有质量管理体系认证证书的得1分。</w:t>
            </w:r>
          </w:p>
          <w:p w14:paraId="22CD8346">
            <w:pPr>
              <w:widowControl/>
              <w:snapToGrid w:val="0"/>
              <w:spacing w:line="300" w:lineRule="exact"/>
              <w:jc w:val="left"/>
              <w:rPr>
                <w:rFonts w:hint="eastAsia"/>
                <w:color w:val="auto"/>
                <w:highlight w:val="none"/>
              </w:rPr>
            </w:pPr>
            <w:r>
              <w:rPr>
                <w:rFonts w:hint="eastAsia"/>
                <w:color w:val="auto"/>
                <w:highlight w:val="none"/>
              </w:rPr>
              <w:t>（2）投标人具有职业健康安全管理体系认证证书的得1分。</w:t>
            </w:r>
          </w:p>
          <w:p w14:paraId="58CD028E">
            <w:pPr>
              <w:widowControl/>
              <w:snapToGrid w:val="0"/>
              <w:spacing w:line="300" w:lineRule="exact"/>
              <w:jc w:val="left"/>
              <w:rPr>
                <w:rFonts w:hint="eastAsia"/>
                <w:color w:val="auto"/>
                <w:highlight w:val="none"/>
              </w:rPr>
            </w:pPr>
            <w:r>
              <w:rPr>
                <w:rFonts w:hint="eastAsia"/>
                <w:color w:val="auto"/>
                <w:highlight w:val="none"/>
              </w:rPr>
              <w:t>（3）投标人具有环境管理体系认证证书的得1分。</w:t>
            </w:r>
          </w:p>
          <w:p w14:paraId="6B12D3CC">
            <w:pPr>
              <w:widowControl/>
              <w:snapToGrid w:val="0"/>
              <w:spacing w:line="300" w:lineRule="exact"/>
              <w:jc w:val="left"/>
              <w:rPr>
                <w:rFonts w:hint="eastAsia"/>
                <w:color w:val="auto"/>
                <w:highlight w:val="none"/>
              </w:rPr>
            </w:pPr>
            <w:r>
              <w:rPr>
                <w:rFonts w:hint="eastAsia"/>
                <w:color w:val="auto"/>
                <w:highlight w:val="none"/>
              </w:rPr>
              <w:t>（4）投标人具有</w:t>
            </w:r>
            <w:r>
              <w:rPr>
                <w:rFonts w:hint="eastAsia"/>
                <w:color w:val="auto"/>
                <w:highlight w:val="none"/>
                <w:lang w:val="en-US" w:eastAsia="zh-CN"/>
              </w:rPr>
              <w:t>土地勘测机构注册证书</w:t>
            </w:r>
            <w:r>
              <w:rPr>
                <w:rFonts w:hint="eastAsia"/>
                <w:color w:val="auto"/>
                <w:highlight w:val="none"/>
              </w:rPr>
              <w:t>的得1分。</w:t>
            </w:r>
          </w:p>
          <w:p w14:paraId="7228B50F">
            <w:pPr>
              <w:widowControl/>
              <w:snapToGrid w:val="0"/>
              <w:spacing w:line="300" w:lineRule="exact"/>
              <w:jc w:val="left"/>
              <w:rPr>
                <w:rFonts w:hint="eastAsia"/>
                <w:color w:val="auto"/>
                <w:highlight w:val="none"/>
              </w:rPr>
            </w:pPr>
            <w:r>
              <w:rPr>
                <w:rFonts w:hint="eastAsia"/>
                <w:color w:val="auto"/>
                <w:highlight w:val="none"/>
              </w:rPr>
              <w:t>备注：</w:t>
            </w:r>
          </w:p>
          <w:p w14:paraId="0EFAB7C6">
            <w:pPr>
              <w:widowControl/>
              <w:snapToGrid w:val="0"/>
              <w:spacing w:line="300" w:lineRule="exact"/>
              <w:jc w:val="left"/>
              <w:rPr>
                <w:rFonts w:hint="eastAsia"/>
                <w:color w:val="auto"/>
                <w:highlight w:val="none"/>
              </w:rPr>
            </w:pPr>
            <w:r>
              <w:rPr>
                <w:rFonts w:hint="eastAsia"/>
                <w:color w:val="auto"/>
                <w:highlight w:val="none"/>
              </w:rPr>
              <w:t>1、上述所有证书必须真实、合规，在有效期内。</w:t>
            </w:r>
          </w:p>
          <w:p w14:paraId="7232AED4">
            <w:pPr>
              <w:widowControl/>
              <w:snapToGrid w:val="0"/>
              <w:spacing w:line="300" w:lineRule="exact"/>
              <w:jc w:val="left"/>
              <w:rPr>
                <w:rFonts w:hint="eastAsia"/>
                <w:color w:val="auto"/>
                <w:highlight w:val="none"/>
              </w:rPr>
            </w:pPr>
            <w:r>
              <w:rPr>
                <w:rFonts w:hint="eastAsia"/>
                <w:color w:val="auto"/>
                <w:highlight w:val="none"/>
              </w:rPr>
              <w:t>2、投标文件中须提供清晰可辨的证书彩色扫描件并加盖投标人公章，同时提供全国认证认可信息公共服务平台证书查询截图，否者不得分。</w:t>
            </w:r>
          </w:p>
          <w:p w14:paraId="6EC66944">
            <w:pPr>
              <w:widowControl/>
              <w:snapToGrid w:val="0"/>
              <w:spacing w:line="300" w:lineRule="exact"/>
              <w:jc w:val="left"/>
              <w:rPr>
                <w:rFonts w:hint="eastAsia"/>
                <w:color w:val="auto"/>
                <w:highlight w:val="none"/>
              </w:rPr>
            </w:pPr>
            <w:r>
              <w:rPr>
                <w:rFonts w:hint="eastAsia"/>
                <w:color w:val="auto"/>
                <w:highlight w:val="none"/>
              </w:rPr>
              <w:t>3、如投标人提供的证书扫描件因模糊不清而造成评标委员会在评审时做出对投标人不利的评审由投标人自行承担。</w:t>
            </w:r>
          </w:p>
        </w:tc>
        <w:tc>
          <w:tcPr>
            <w:tcW w:w="601" w:type="dxa"/>
            <w:noWrap w:val="0"/>
            <w:vAlign w:val="center"/>
          </w:tcPr>
          <w:p w14:paraId="2DF84BF2">
            <w:pPr>
              <w:jc w:val="center"/>
              <w:rPr>
                <w:rFonts w:hint="eastAsia"/>
                <w:b/>
                <w:color w:val="auto"/>
                <w:szCs w:val="21"/>
                <w:highlight w:val="none"/>
              </w:rPr>
            </w:pPr>
            <w:r>
              <w:rPr>
                <w:rFonts w:hint="eastAsia"/>
                <w:b/>
                <w:color w:val="auto"/>
                <w:szCs w:val="21"/>
                <w:highlight w:val="none"/>
              </w:rPr>
              <w:t>4</w:t>
            </w:r>
          </w:p>
        </w:tc>
      </w:tr>
      <w:tr w14:paraId="7349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4" w:type="dxa"/>
            <w:vMerge w:val="restart"/>
            <w:noWrap w:val="0"/>
            <w:vAlign w:val="center"/>
          </w:tcPr>
          <w:p w14:paraId="06AC93AF">
            <w:pPr>
              <w:widowControl/>
              <w:snapToGrid w:val="0"/>
              <w:spacing w:line="300" w:lineRule="exact"/>
              <w:jc w:val="left"/>
              <w:rPr>
                <w:rFonts w:hint="eastAsia" w:ascii="宋体" w:hAnsi="宋体" w:cs="宋体"/>
                <w:color w:val="auto"/>
                <w:szCs w:val="21"/>
                <w:highlight w:val="none"/>
              </w:rPr>
            </w:pPr>
            <w:r>
              <w:rPr>
                <w:rFonts w:ascii="宋体" w:hAnsi="宋体" w:cs="宋体"/>
                <w:color w:val="auto"/>
                <w:szCs w:val="21"/>
                <w:highlight w:val="none"/>
              </w:rPr>
              <w:t>2</w:t>
            </w:r>
          </w:p>
        </w:tc>
        <w:tc>
          <w:tcPr>
            <w:tcW w:w="1077" w:type="dxa"/>
            <w:vMerge w:val="restart"/>
            <w:noWrap w:val="0"/>
            <w:vAlign w:val="center"/>
          </w:tcPr>
          <w:p w14:paraId="6E630641">
            <w:pPr>
              <w:widowControl/>
              <w:snapToGrid w:val="0"/>
              <w:spacing w:line="30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项目组成员</w:t>
            </w:r>
          </w:p>
        </w:tc>
        <w:tc>
          <w:tcPr>
            <w:tcW w:w="6866" w:type="dxa"/>
            <w:gridSpan w:val="2"/>
            <w:noWrap w:val="0"/>
            <w:vAlign w:val="center"/>
          </w:tcPr>
          <w:p w14:paraId="59535A95">
            <w:pPr>
              <w:adjustRightInd w:val="0"/>
              <w:snapToGrid w:val="0"/>
              <w:spacing w:line="340" w:lineRule="exact"/>
              <w:rPr>
                <w:rFonts w:hint="eastAsia" w:ascii="宋体" w:hAnsi="宋体"/>
                <w:color w:val="auto"/>
                <w:sz w:val="21"/>
                <w:szCs w:val="21"/>
                <w:highlight w:val="none"/>
              </w:rPr>
            </w:pPr>
            <w:r>
              <w:rPr>
                <w:rFonts w:hint="eastAsia" w:ascii="宋体" w:hAnsi="宋体" w:cs="宋体"/>
                <w:color w:val="auto"/>
                <w:sz w:val="21"/>
                <w:szCs w:val="21"/>
                <w:highlight w:val="none"/>
                <w:lang w:val="zh-CN"/>
              </w:rPr>
              <w:t>项目负责人具备</w:t>
            </w:r>
            <w:r>
              <w:rPr>
                <w:rFonts w:hint="eastAsia" w:ascii="宋体" w:hAnsi="宋体" w:cs="宋体"/>
                <w:color w:val="auto"/>
                <w:sz w:val="21"/>
                <w:szCs w:val="21"/>
                <w:highlight w:val="none"/>
                <w:lang w:val="en-US" w:eastAsia="zh-CN"/>
              </w:rPr>
              <w:t>中级及以上</w:t>
            </w:r>
            <w:r>
              <w:rPr>
                <w:rFonts w:hint="eastAsia" w:ascii="宋体" w:hAnsi="宋体" w:cs="宋体"/>
                <w:color w:val="auto"/>
                <w:sz w:val="21"/>
                <w:szCs w:val="21"/>
                <w:highlight w:val="none"/>
                <w:lang w:val="zh-CN"/>
              </w:rPr>
              <w:t>职称的得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olor w:val="auto"/>
                <w:sz w:val="21"/>
                <w:szCs w:val="21"/>
                <w:highlight w:val="none"/>
              </w:rPr>
              <w:t>其他不得分。</w:t>
            </w:r>
          </w:p>
          <w:p w14:paraId="6B34A23E">
            <w:pPr>
              <w:autoSpaceDE w:val="0"/>
              <w:autoSpaceDN w:val="0"/>
              <w:spacing w:line="360" w:lineRule="exact"/>
              <w:jc w:val="left"/>
              <w:rPr>
                <w:rFonts w:hint="eastAsia" w:ascii="宋体" w:hAnsi="宋体"/>
                <w:color w:val="auto"/>
                <w:sz w:val="21"/>
                <w:szCs w:val="21"/>
                <w:highlight w:val="none"/>
              </w:rPr>
            </w:pPr>
            <w:r>
              <w:rPr>
                <w:rFonts w:hint="eastAsia" w:ascii="宋体" w:hAnsi="宋体" w:cs="宋体"/>
                <w:b/>
                <w:bCs/>
                <w:color w:val="auto"/>
                <w:sz w:val="21"/>
                <w:szCs w:val="21"/>
                <w:highlight w:val="none"/>
              </w:rPr>
              <w:t>注:须提供证书扫描件及近三个月社保缴纳证明，不提供不得分。</w:t>
            </w:r>
          </w:p>
        </w:tc>
        <w:tc>
          <w:tcPr>
            <w:tcW w:w="601" w:type="dxa"/>
            <w:vMerge w:val="restart"/>
            <w:noWrap w:val="0"/>
            <w:vAlign w:val="center"/>
          </w:tcPr>
          <w:p w14:paraId="3808C51F">
            <w:pPr>
              <w:widowControl/>
              <w:snapToGrid w:val="0"/>
              <w:spacing w:line="3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r>
      <w:tr w14:paraId="0255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4" w:type="dxa"/>
            <w:vMerge w:val="continue"/>
            <w:noWrap w:val="0"/>
            <w:vAlign w:val="center"/>
          </w:tcPr>
          <w:p w14:paraId="69BC9D76">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2B244042">
            <w:pPr>
              <w:widowControl/>
              <w:snapToGrid w:val="0"/>
              <w:spacing w:line="300" w:lineRule="exact"/>
              <w:jc w:val="center"/>
              <w:rPr>
                <w:rFonts w:hint="eastAsia" w:ascii="宋体" w:hAnsi="宋体" w:cs="宋体"/>
                <w:color w:val="auto"/>
                <w:highlight w:val="none"/>
              </w:rPr>
            </w:pPr>
          </w:p>
        </w:tc>
        <w:tc>
          <w:tcPr>
            <w:tcW w:w="6866" w:type="dxa"/>
            <w:gridSpan w:val="2"/>
            <w:noWrap w:val="0"/>
            <w:vAlign w:val="center"/>
          </w:tcPr>
          <w:p w14:paraId="699F1E7F">
            <w:pPr>
              <w:autoSpaceDE w:val="0"/>
              <w:autoSpaceDN w:val="0"/>
              <w:spacing w:line="360" w:lineRule="exact"/>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项目组成员（</w:t>
            </w:r>
            <w:r>
              <w:rPr>
                <w:rFonts w:hint="eastAsia" w:ascii="宋体" w:hAnsi="宋体" w:cs="宋体"/>
                <w:color w:val="auto"/>
                <w:sz w:val="21"/>
                <w:szCs w:val="21"/>
                <w:highlight w:val="none"/>
              </w:rPr>
              <w:t>除项目负责人</w:t>
            </w:r>
            <w:r>
              <w:rPr>
                <w:rFonts w:hint="eastAsia" w:ascii="宋体" w:hAnsi="宋体" w:cs="宋体"/>
                <w:color w:val="auto"/>
                <w:sz w:val="21"/>
                <w:szCs w:val="21"/>
                <w:highlight w:val="none"/>
                <w:lang w:val="zh-CN"/>
              </w:rPr>
              <w:t>）具备土地管理类、测绘类、地质勘测类、</w:t>
            </w:r>
            <w:r>
              <w:rPr>
                <w:rFonts w:hint="eastAsia" w:ascii="宋体" w:hAnsi="宋体" w:cs="宋体"/>
                <w:color w:val="auto"/>
                <w:sz w:val="21"/>
                <w:szCs w:val="21"/>
                <w:highlight w:val="none"/>
                <w:lang w:val="en-US" w:eastAsia="zh-CN"/>
              </w:rPr>
              <w:t>国土整治与生态修复类</w:t>
            </w:r>
            <w:r>
              <w:rPr>
                <w:rFonts w:hint="eastAsia" w:ascii="宋体" w:hAnsi="宋体" w:cs="宋体"/>
                <w:color w:val="auto"/>
                <w:sz w:val="21"/>
                <w:szCs w:val="21"/>
                <w:highlight w:val="none"/>
                <w:lang w:val="zh-CN"/>
              </w:rPr>
              <w:t>中级</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lang w:val="zh-CN"/>
              </w:rPr>
              <w:t>职称每个得</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分，最高得</w:t>
            </w:r>
            <w:r>
              <w:rPr>
                <w:rFonts w:hint="eastAsia" w:ascii="宋体" w:hAnsi="宋体" w:cs="宋体"/>
                <w:color w:val="auto"/>
                <w:sz w:val="21"/>
                <w:szCs w:val="21"/>
                <w:highlight w:val="none"/>
              </w:rPr>
              <w:t>8</w:t>
            </w:r>
            <w:r>
              <w:rPr>
                <w:rFonts w:hint="eastAsia" w:ascii="宋体" w:hAnsi="宋体" w:cs="宋体"/>
                <w:color w:val="auto"/>
                <w:sz w:val="21"/>
                <w:szCs w:val="21"/>
                <w:highlight w:val="none"/>
                <w:lang w:val="zh-CN"/>
              </w:rPr>
              <w:t>分。</w:t>
            </w:r>
          </w:p>
          <w:p w14:paraId="3A1B52D3">
            <w:pPr>
              <w:autoSpaceDE w:val="0"/>
              <w:autoSpaceDN w:val="0"/>
              <w:spacing w:line="360" w:lineRule="exact"/>
              <w:jc w:val="left"/>
              <w:rPr>
                <w:rFonts w:hint="eastAsia" w:ascii="宋体" w:hAnsi="宋体"/>
                <w:color w:val="auto"/>
                <w:sz w:val="21"/>
                <w:szCs w:val="21"/>
                <w:highlight w:val="none"/>
              </w:rPr>
            </w:pPr>
            <w:r>
              <w:rPr>
                <w:rFonts w:hint="eastAsia" w:ascii="宋体" w:hAnsi="宋体" w:cs="宋体"/>
                <w:b/>
                <w:bCs/>
                <w:color w:val="auto"/>
                <w:sz w:val="21"/>
                <w:szCs w:val="21"/>
                <w:highlight w:val="none"/>
              </w:rPr>
              <w:t>注:须提供证书扫描件及近三个月社保缴纳证明，不提供不得分。</w:t>
            </w:r>
          </w:p>
        </w:tc>
        <w:tc>
          <w:tcPr>
            <w:tcW w:w="601" w:type="dxa"/>
            <w:vMerge w:val="continue"/>
            <w:noWrap w:val="0"/>
            <w:vAlign w:val="center"/>
          </w:tcPr>
          <w:p w14:paraId="629CF15A">
            <w:pPr>
              <w:widowControl/>
              <w:snapToGrid w:val="0"/>
              <w:spacing w:line="300" w:lineRule="exact"/>
              <w:jc w:val="center"/>
              <w:rPr>
                <w:rFonts w:hint="eastAsia" w:ascii="宋体" w:hAnsi="宋体" w:cs="宋体"/>
                <w:color w:val="auto"/>
                <w:szCs w:val="21"/>
                <w:highlight w:val="none"/>
              </w:rPr>
            </w:pPr>
          </w:p>
        </w:tc>
      </w:tr>
      <w:tr w14:paraId="7FE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4" w:type="dxa"/>
            <w:vMerge w:val="continue"/>
            <w:noWrap w:val="0"/>
            <w:vAlign w:val="center"/>
          </w:tcPr>
          <w:p w14:paraId="694E394B">
            <w:pPr>
              <w:autoSpaceDE w:val="0"/>
              <w:autoSpaceDN w:val="0"/>
              <w:adjustRightInd w:val="0"/>
              <w:snapToGrid w:val="0"/>
              <w:rPr>
                <w:color w:val="auto"/>
                <w:highlight w:val="none"/>
              </w:rPr>
            </w:pPr>
          </w:p>
        </w:tc>
        <w:tc>
          <w:tcPr>
            <w:tcW w:w="1077" w:type="dxa"/>
            <w:vMerge w:val="continue"/>
            <w:noWrap w:val="0"/>
            <w:vAlign w:val="center"/>
          </w:tcPr>
          <w:p w14:paraId="5B36F8F2">
            <w:pPr>
              <w:autoSpaceDE w:val="0"/>
              <w:autoSpaceDN w:val="0"/>
              <w:adjustRightInd w:val="0"/>
              <w:snapToGrid w:val="0"/>
              <w:rPr>
                <w:color w:val="auto"/>
                <w:highlight w:val="none"/>
              </w:rPr>
            </w:pPr>
          </w:p>
        </w:tc>
        <w:tc>
          <w:tcPr>
            <w:tcW w:w="6866" w:type="dxa"/>
            <w:gridSpan w:val="2"/>
            <w:noWrap w:val="0"/>
            <w:vAlign w:val="center"/>
          </w:tcPr>
          <w:p w14:paraId="1710516E">
            <w:pPr>
              <w:widowControl/>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承诺在临海常驻人员3人及以上的得4分。</w:t>
            </w:r>
          </w:p>
          <w:p w14:paraId="0FC04490">
            <w:pPr>
              <w:widowControl/>
              <w:spacing w:line="360" w:lineRule="exact"/>
              <w:rPr>
                <w:rFonts w:hint="eastAsia" w:ascii="宋体" w:hAnsi="宋体"/>
                <w:color w:val="auto"/>
                <w:sz w:val="21"/>
                <w:szCs w:val="21"/>
                <w:highlight w:val="none"/>
              </w:rPr>
            </w:pPr>
            <w:r>
              <w:rPr>
                <w:rFonts w:hint="eastAsia" w:ascii="宋体" w:hAnsi="宋体" w:cs="宋体"/>
                <w:b/>
                <w:bCs/>
                <w:color w:val="auto"/>
                <w:sz w:val="21"/>
                <w:szCs w:val="21"/>
                <w:highlight w:val="none"/>
              </w:rPr>
              <w:t>注：须提供承诺书，不提供不得分。</w:t>
            </w:r>
          </w:p>
        </w:tc>
        <w:tc>
          <w:tcPr>
            <w:tcW w:w="601" w:type="dxa"/>
            <w:vMerge w:val="continue"/>
            <w:noWrap w:val="0"/>
            <w:vAlign w:val="center"/>
          </w:tcPr>
          <w:p w14:paraId="7901C613">
            <w:pPr>
              <w:autoSpaceDE w:val="0"/>
              <w:autoSpaceDN w:val="0"/>
              <w:adjustRightInd w:val="0"/>
              <w:snapToGrid w:val="0"/>
              <w:rPr>
                <w:rFonts w:hint="eastAsia" w:ascii="宋体" w:hAnsi="宋体"/>
                <w:color w:val="auto"/>
                <w:szCs w:val="21"/>
                <w:highlight w:val="none"/>
              </w:rPr>
            </w:pPr>
          </w:p>
        </w:tc>
      </w:tr>
      <w:tr w14:paraId="3112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59F75CA0">
            <w:pPr>
              <w:widowControl/>
              <w:snapToGrid w:val="0"/>
              <w:spacing w:line="300" w:lineRule="exact"/>
              <w:jc w:val="left"/>
              <w:rPr>
                <w:rFonts w:hint="eastAsia" w:ascii="宋体" w:hAnsi="宋体" w:cs="宋体"/>
                <w:color w:val="auto"/>
                <w:szCs w:val="21"/>
                <w:highlight w:val="none"/>
              </w:rPr>
            </w:pPr>
            <w:r>
              <w:rPr>
                <w:rFonts w:ascii="宋体" w:hAnsi="宋体" w:cs="宋体"/>
                <w:color w:val="auto"/>
                <w:szCs w:val="21"/>
                <w:highlight w:val="none"/>
              </w:rPr>
              <w:t>3</w:t>
            </w:r>
          </w:p>
        </w:tc>
        <w:tc>
          <w:tcPr>
            <w:tcW w:w="1077" w:type="dxa"/>
            <w:noWrap w:val="0"/>
            <w:vAlign w:val="center"/>
          </w:tcPr>
          <w:p w14:paraId="3EF339A1">
            <w:pPr>
              <w:widowControl/>
              <w:snapToGrid w:val="0"/>
              <w:spacing w:line="30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类似项目业绩</w:t>
            </w:r>
          </w:p>
        </w:tc>
        <w:tc>
          <w:tcPr>
            <w:tcW w:w="6866" w:type="dxa"/>
            <w:gridSpan w:val="2"/>
            <w:noWrap w:val="0"/>
            <w:vAlign w:val="center"/>
          </w:tcPr>
          <w:p w14:paraId="3434F7A3">
            <w:pPr>
              <w:autoSpaceDE w:val="0"/>
              <w:autoSpaceDN w:val="0"/>
              <w:adjustRightInd w:val="0"/>
              <w:snapToGrid w:val="0"/>
              <w:rPr>
                <w:rFonts w:hint="eastAsia" w:ascii="宋体" w:hAnsi="宋体" w:cs="宋体"/>
                <w:color w:val="auto"/>
                <w:szCs w:val="21"/>
                <w:highlight w:val="none"/>
                <w:lang w:val="zh-CN"/>
              </w:rPr>
            </w:pPr>
            <w:r>
              <w:rPr>
                <w:rFonts w:hint="eastAsia" w:ascii="宋体" w:hAnsi="宋体" w:cs="宋体"/>
                <w:color w:val="auto"/>
                <w:spacing w:val="20"/>
                <w:szCs w:val="21"/>
                <w:highlight w:val="none"/>
              </w:rPr>
              <w:t>供应商20</w:t>
            </w:r>
            <w:r>
              <w:rPr>
                <w:rFonts w:ascii="宋体" w:hAnsi="宋体" w:cs="宋体"/>
                <w:color w:val="auto"/>
                <w:spacing w:val="20"/>
                <w:szCs w:val="21"/>
                <w:highlight w:val="none"/>
              </w:rPr>
              <w:t>20</w:t>
            </w:r>
            <w:r>
              <w:rPr>
                <w:rFonts w:hint="eastAsia" w:ascii="宋体" w:hAnsi="宋体" w:cs="宋体"/>
                <w:color w:val="auto"/>
                <w:spacing w:val="20"/>
                <w:szCs w:val="21"/>
                <w:highlight w:val="none"/>
              </w:rPr>
              <w:t>年</w:t>
            </w:r>
            <w:r>
              <w:rPr>
                <w:rFonts w:ascii="宋体" w:hAnsi="宋体" w:cs="宋体"/>
                <w:color w:val="auto"/>
                <w:spacing w:val="20"/>
                <w:szCs w:val="21"/>
                <w:highlight w:val="none"/>
              </w:rPr>
              <w:t>1</w:t>
            </w:r>
            <w:r>
              <w:rPr>
                <w:rFonts w:hint="eastAsia" w:ascii="宋体" w:hAnsi="宋体" w:cs="宋体"/>
                <w:color w:val="auto"/>
                <w:spacing w:val="20"/>
                <w:szCs w:val="21"/>
                <w:highlight w:val="none"/>
              </w:rPr>
              <w:t>月1日以来，投标人承担过类似项目的，每个得0.5分，最高得1分。（提供合同原件扫描件并加盖公章，不提供不得分）</w:t>
            </w:r>
          </w:p>
        </w:tc>
        <w:tc>
          <w:tcPr>
            <w:tcW w:w="601" w:type="dxa"/>
            <w:noWrap w:val="0"/>
            <w:vAlign w:val="center"/>
          </w:tcPr>
          <w:p w14:paraId="0234C1C4">
            <w:pPr>
              <w:widowControl/>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0732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restart"/>
            <w:noWrap w:val="0"/>
            <w:vAlign w:val="center"/>
          </w:tcPr>
          <w:p w14:paraId="6A69C629">
            <w:pPr>
              <w:widowControl/>
              <w:snapToGrid w:val="0"/>
              <w:spacing w:line="300" w:lineRule="exact"/>
              <w:jc w:val="left"/>
              <w:rPr>
                <w:rFonts w:hint="eastAsia" w:ascii="宋体" w:hAnsi="宋体" w:cs="宋体"/>
                <w:color w:val="auto"/>
                <w:szCs w:val="21"/>
                <w:highlight w:val="none"/>
              </w:rPr>
            </w:pPr>
            <w:r>
              <w:rPr>
                <w:rFonts w:hint="eastAsia"/>
                <w:color w:val="auto"/>
                <w:szCs w:val="21"/>
                <w:highlight w:val="none"/>
              </w:rPr>
              <w:t>4</w:t>
            </w:r>
          </w:p>
        </w:tc>
        <w:tc>
          <w:tcPr>
            <w:tcW w:w="1077" w:type="dxa"/>
            <w:vMerge w:val="restart"/>
            <w:noWrap w:val="0"/>
            <w:vAlign w:val="center"/>
          </w:tcPr>
          <w:p w14:paraId="56310DA9">
            <w:pPr>
              <w:widowControl/>
              <w:snapToGrid w:val="0"/>
              <w:spacing w:line="300" w:lineRule="exact"/>
              <w:jc w:val="left"/>
              <w:rPr>
                <w:rFonts w:hint="eastAsia" w:ascii="宋体" w:hAnsi="宋体" w:cs="宋体"/>
                <w:color w:val="auto"/>
                <w:szCs w:val="21"/>
                <w:highlight w:val="none"/>
                <w:lang w:val="zh-CN"/>
              </w:rPr>
            </w:pPr>
            <w:r>
              <w:rPr>
                <w:rFonts w:hint="eastAsia"/>
                <w:color w:val="auto"/>
                <w:szCs w:val="21"/>
                <w:highlight w:val="none"/>
                <w:lang w:val="zh-CN"/>
              </w:rPr>
              <w:t>技术方案</w:t>
            </w:r>
          </w:p>
        </w:tc>
        <w:tc>
          <w:tcPr>
            <w:tcW w:w="1029" w:type="dxa"/>
            <w:vMerge w:val="restart"/>
            <w:noWrap w:val="0"/>
            <w:vAlign w:val="center"/>
          </w:tcPr>
          <w:p w14:paraId="66733EBF">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（1）对项目理解</w:t>
            </w:r>
          </w:p>
        </w:tc>
        <w:tc>
          <w:tcPr>
            <w:tcW w:w="5837" w:type="dxa"/>
            <w:noWrap w:val="0"/>
            <w:vAlign w:val="center"/>
          </w:tcPr>
          <w:p w14:paraId="04A62AC9">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1</w:t>
            </w:r>
            <w:r>
              <w:rPr>
                <w:color w:val="auto"/>
                <w:szCs w:val="21"/>
                <w:highlight w:val="none"/>
                <w:lang w:val="zh-CN"/>
              </w:rPr>
              <w:t>）根据</w:t>
            </w:r>
            <w:r>
              <w:rPr>
                <w:rFonts w:hint="eastAsia"/>
                <w:color w:val="auto"/>
                <w:szCs w:val="21"/>
                <w:highlight w:val="none"/>
                <w:lang w:val="zh-CN"/>
              </w:rPr>
              <w:t>供应商</w:t>
            </w:r>
            <w:r>
              <w:rPr>
                <w:color w:val="auto"/>
                <w:szCs w:val="21"/>
                <w:highlight w:val="none"/>
                <w:lang w:val="zh-CN"/>
              </w:rPr>
              <w:t>对本项目现状调研是否充分</w:t>
            </w:r>
            <w:r>
              <w:rPr>
                <w:color w:val="auto"/>
                <w:szCs w:val="21"/>
                <w:highlight w:val="none"/>
              </w:rPr>
              <w:t>进行打分（0-</w:t>
            </w:r>
            <w:r>
              <w:rPr>
                <w:rFonts w:hint="eastAsia"/>
                <w:color w:val="auto"/>
                <w:szCs w:val="21"/>
                <w:highlight w:val="none"/>
              </w:rPr>
              <w:t>4</w:t>
            </w:r>
            <w:r>
              <w:rPr>
                <w:color w:val="auto"/>
                <w:szCs w:val="21"/>
                <w:highlight w:val="none"/>
              </w:rPr>
              <w:t>分）。</w:t>
            </w:r>
          </w:p>
        </w:tc>
        <w:tc>
          <w:tcPr>
            <w:tcW w:w="601" w:type="dxa"/>
            <w:vMerge w:val="restart"/>
            <w:noWrap w:val="0"/>
            <w:vAlign w:val="center"/>
          </w:tcPr>
          <w:p w14:paraId="0752648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p>
        </w:tc>
      </w:tr>
      <w:tr w14:paraId="3AF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1E024495">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9DC948D">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45CD63B6">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5C78FFF3">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2</w:t>
            </w:r>
            <w:r>
              <w:rPr>
                <w:color w:val="auto"/>
                <w:szCs w:val="21"/>
                <w:highlight w:val="none"/>
                <w:lang w:val="zh-CN"/>
              </w:rPr>
              <w:t>）根据</w:t>
            </w:r>
            <w:r>
              <w:rPr>
                <w:rFonts w:hint="eastAsia"/>
                <w:color w:val="auto"/>
                <w:szCs w:val="21"/>
                <w:highlight w:val="none"/>
                <w:lang w:val="zh-CN"/>
              </w:rPr>
              <w:t>供应商</w:t>
            </w:r>
            <w:r>
              <w:rPr>
                <w:color w:val="auto"/>
                <w:szCs w:val="21"/>
                <w:highlight w:val="none"/>
                <w:lang w:val="zh-CN"/>
              </w:rPr>
              <w:t>对本项目现状存在的问题和矛盾分析是否到位</w:t>
            </w:r>
            <w:r>
              <w:rPr>
                <w:color w:val="auto"/>
                <w:szCs w:val="21"/>
                <w:highlight w:val="none"/>
              </w:rPr>
              <w:t>内容进行打分（0-</w:t>
            </w:r>
            <w:r>
              <w:rPr>
                <w:rFonts w:hint="eastAsia"/>
                <w:color w:val="auto"/>
                <w:szCs w:val="21"/>
                <w:highlight w:val="none"/>
              </w:rPr>
              <w:t>4</w:t>
            </w:r>
            <w:r>
              <w:rPr>
                <w:color w:val="auto"/>
                <w:szCs w:val="21"/>
                <w:highlight w:val="none"/>
              </w:rPr>
              <w:t>分）。</w:t>
            </w:r>
          </w:p>
        </w:tc>
        <w:tc>
          <w:tcPr>
            <w:tcW w:w="601" w:type="dxa"/>
            <w:vMerge w:val="continue"/>
            <w:noWrap w:val="0"/>
            <w:vAlign w:val="center"/>
          </w:tcPr>
          <w:p w14:paraId="08869805">
            <w:pPr>
              <w:widowControl/>
              <w:snapToGrid w:val="0"/>
              <w:spacing w:line="300" w:lineRule="exact"/>
              <w:jc w:val="left"/>
              <w:rPr>
                <w:rFonts w:hint="eastAsia" w:ascii="宋体" w:hAnsi="宋体" w:cs="宋体"/>
                <w:color w:val="auto"/>
                <w:kern w:val="0"/>
                <w:szCs w:val="21"/>
                <w:highlight w:val="none"/>
                <w:lang w:bidi="ar"/>
              </w:rPr>
            </w:pPr>
          </w:p>
        </w:tc>
      </w:tr>
      <w:tr w14:paraId="549A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477ED0B4">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7D3C3B5D">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continue"/>
            <w:noWrap w:val="0"/>
            <w:vAlign w:val="center"/>
          </w:tcPr>
          <w:p w14:paraId="07C6E781">
            <w:pPr>
              <w:widowControl/>
              <w:snapToGrid w:val="0"/>
              <w:spacing w:line="300" w:lineRule="exact"/>
              <w:jc w:val="left"/>
              <w:rPr>
                <w:rFonts w:hint="eastAsia" w:ascii="宋体" w:hAnsi="宋体" w:cs="宋体"/>
                <w:color w:val="auto"/>
                <w:kern w:val="0"/>
                <w:szCs w:val="21"/>
                <w:highlight w:val="none"/>
                <w:lang w:bidi="ar"/>
              </w:rPr>
            </w:pPr>
          </w:p>
        </w:tc>
        <w:tc>
          <w:tcPr>
            <w:tcW w:w="5837" w:type="dxa"/>
            <w:noWrap w:val="0"/>
            <w:vAlign w:val="center"/>
          </w:tcPr>
          <w:p w14:paraId="24FBBB95">
            <w:pPr>
              <w:widowControl/>
              <w:snapToGrid w:val="0"/>
              <w:spacing w:line="300" w:lineRule="exact"/>
              <w:jc w:val="left"/>
              <w:rPr>
                <w:color w:val="auto"/>
                <w:highlight w:val="none"/>
              </w:rPr>
            </w:pPr>
            <w:r>
              <w:rPr>
                <w:color w:val="auto"/>
                <w:szCs w:val="21"/>
                <w:highlight w:val="none"/>
                <w:lang w:val="zh-CN"/>
              </w:rPr>
              <w:t>（</w:t>
            </w:r>
            <w:r>
              <w:rPr>
                <w:rFonts w:hint="eastAsia"/>
                <w:color w:val="auto"/>
                <w:szCs w:val="21"/>
                <w:highlight w:val="none"/>
              </w:rPr>
              <w:t>3</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w:t>
            </w:r>
            <w:r>
              <w:rPr>
                <w:color w:val="auto"/>
                <w:szCs w:val="21"/>
                <w:highlight w:val="none"/>
              </w:rPr>
              <w:t>项目背景</w:t>
            </w:r>
            <w:r>
              <w:rPr>
                <w:rFonts w:hint="eastAsia"/>
                <w:color w:val="auto"/>
                <w:szCs w:val="21"/>
                <w:highlight w:val="none"/>
              </w:rPr>
              <w:t>的了解</w:t>
            </w:r>
            <w:r>
              <w:rPr>
                <w:color w:val="auto"/>
                <w:szCs w:val="21"/>
                <w:highlight w:val="none"/>
              </w:rPr>
              <w:t>，对项目实施合理安排等进行酌情打分。</w:t>
            </w:r>
            <w:r>
              <w:rPr>
                <w:rFonts w:hint="eastAsia"/>
                <w:color w:val="auto"/>
                <w:szCs w:val="21"/>
                <w:highlight w:val="none"/>
              </w:rPr>
              <w:t>（0-4分）</w:t>
            </w:r>
          </w:p>
        </w:tc>
        <w:tc>
          <w:tcPr>
            <w:tcW w:w="601" w:type="dxa"/>
            <w:vMerge w:val="continue"/>
            <w:noWrap w:val="0"/>
            <w:vAlign w:val="center"/>
          </w:tcPr>
          <w:p w14:paraId="75C947D2">
            <w:pPr>
              <w:widowControl/>
              <w:snapToGrid w:val="0"/>
              <w:spacing w:line="300" w:lineRule="exact"/>
              <w:jc w:val="left"/>
              <w:rPr>
                <w:rFonts w:hint="eastAsia" w:ascii="宋体" w:hAnsi="宋体" w:cs="宋体"/>
                <w:color w:val="auto"/>
                <w:kern w:val="0"/>
                <w:szCs w:val="21"/>
                <w:highlight w:val="none"/>
                <w:lang w:bidi="ar"/>
              </w:rPr>
            </w:pPr>
          </w:p>
        </w:tc>
      </w:tr>
      <w:tr w14:paraId="4ADF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4" w:type="dxa"/>
            <w:vMerge w:val="continue"/>
            <w:noWrap w:val="0"/>
            <w:vAlign w:val="center"/>
          </w:tcPr>
          <w:p w14:paraId="15F0EAC0">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031CCA2B">
            <w:pPr>
              <w:widowControl/>
              <w:snapToGrid w:val="0"/>
              <w:spacing w:line="300" w:lineRule="exact"/>
              <w:jc w:val="left"/>
              <w:rPr>
                <w:rFonts w:hint="eastAsia" w:ascii="宋体" w:hAnsi="宋体" w:cs="宋体"/>
                <w:color w:val="auto"/>
                <w:highlight w:val="none"/>
              </w:rPr>
            </w:pPr>
          </w:p>
        </w:tc>
        <w:tc>
          <w:tcPr>
            <w:tcW w:w="1029" w:type="dxa"/>
            <w:vMerge w:val="restart"/>
            <w:noWrap w:val="0"/>
            <w:vAlign w:val="center"/>
          </w:tcPr>
          <w:p w14:paraId="1EE7896F">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（2）重点和难点的理解</w:t>
            </w:r>
          </w:p>
        </w:tc>
        <w:tc>
          <w:tcPr>
            <w:tcW w:w="5837" w:type="dxa"/>
            <w:noWrap w:val="0"/>
            <w:vAlign w:val="top"/>
          </w:tcPr>
          <w:p w14:paraId="5D92A7DB">
            <w:pPr>
              <w:snapToGrid w:val="0"/>
              <w:spacing w:line="300" w:lineRule="exact"/>
              <w:rPr>
                <w:rFonts w:hint="eastAsia"/>
                <w:color w:val="auto"/>
                <w:highlight w:val="none"/>
              </w:rPr>
            </w:pPr>
            <w:r>
              <w:rPr>
                <w:rFonts w:hint="eastAsia"/>
                <w:color w:val="auto"/>
                <w:szCs w:val="21"/>
                <w:highlight w:val="none"/>
              </w:rPr>
              <w:t>（1）根据</w:t>
            </w:r>
            <w:r>
              <w:rPr>
                <w:rFonts w:hint="eastAsia"/>
                <w:color w:val="auto"/>
                <w:szCs w:val="21"/>
                <w:highlight w:val="none"/>
                <w:lang w:val="zh-CN"/>
              </w:rPr>
              <w:t>供应商</w:t>
            </w:r>
            <w:r>
              <w:rPr>
                <w:rFonts w:hint="eastAsia"/>
                <w:color w:val="auto"/>
                <w:szCs w:val="21"/>
                <w:highlight w:val="none"/>
              </w:rPr>
              <w:t>对重点、难点等问题识别等情况，分析的全面性、科学性、准确性进行打分（0-4分）。</w:t>
            </w:r>
          </w:p>
        </w:tc>
        <w:tc>
          <w:tcPr>
            <w:tcW w:w="601" w:type="dxa"/>
            <w:vMerge w:val="continue"/>
            <w:noWrap w:val="0"/>
            <w:vAlign w:val="center"/>
          </w:tcPr>
          <w:p w14:paraId="76F22163">
            <w:pPr>
              <w:widowControl/>
              <w:snapToGrid w:val="0"/>
              <w:spacing w:line="300" w:lineRule="exact"/>
              <w:jc w:val="left"/>
              <w:rPr>
                <w:rFonts w:hint="eastAsia" w:ascii="宋体" w:hAnsi="宋体" w:cs="宋体"/>
                <w:color w:val="auto"/>
                <w:kern w:val="0"/>
                <w:szCs w:val="21"/>
                <w:highlight w:val="none"/>
                <w:lang w:bidi="ar"/>
              </w:rPr>
            </w:pPr>
          </w:p>
        </w:tc>
      </w:tr>
      <w:tr w14:paraId="5DD9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4" w:type="dxa"/>
            <w:vMerge w:val="continue"/>
            <w:noWrap w:val="0"/>
            <w:vAlign w:val="center"/>
          </w:tcPr>
          <w:p w14:paraId="31B70479">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DEF0432">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275AE0BD">
            <w:pPr>
              <w:widowControl/>
              <w:snapToGrid w:val="0"/>
              <w:spacing w:line="300" w:lineRule="exact"/>
              <w:jc w:val="left"/>
              <w:rPr>
                <w:rFonts w:hint="eastAsia" w:ascii="宋体" w:hAnsi="宋体" w:cs="宋体"/>
                <w:color w:val="auto"/>
                <w:highlight w:val="none"/>
              </w:rPr>
            </w:pPr>
          </w:p>
        </w:tc>
        <w:tc>
          <w:tcPr>
            <w:tcW w:w="5837" w:type="dxa"/>
            <w:noWrap w:val="0"/>
            <w:vAlign w:val="top"/>
          </w:tcPr>
          <w:p w14:paraId="39EE4427">
            <w:pPr>
              <w:snapToGrid w:val="0"/>
              <w:spacing w:line="300" w:lineRule="exact"/>
              <w:rPr>
                <w:color w:val="auto"/>
                <w:highlight w:val="none"/>
              </w:rPr>
            </w:pPr>
            <w:r>
              <w:rPr>
                <w:rFonts w:hint="eastAsia"/>
                <w:color w:val="auto"/>
                <w:szCs w:val="21"/>
                <w:highlight w:val="none"/>
              </w:rPr>
              <w:t>（2）根据重难点对应的解决方案情况，针对项目的重点难点的解决方案的可行性、科学性进行打分（0-4分）。</w:t>
            </w:r>
          </w:p>
        </w:tc>
        <w:tc>
          <w:tcPr>
            <w:tcW w:w="601" w:type="dxa"/>
            <w:vMerge w:val="continue"/>
            <w:noWrap w:val="0"/>
            <w:vAlign w:val="center"/>
          </w:tcPr>
          <w:p w14:paraId="741F50DD">
            <w:pPr>
              <w:widowControl/>
              <w:snapToGrid w:val="0"/>
              <w:spacing w:line="300" w:lineRule="exact"/>
              <w:jc w:val="left"/>
              <w:rPr>
                <w:rFonts w:hint="eastAsia" w:ascii="宋体" w:hAnsi="宋体" w:cs="宋体"/>
                <w:color w:val="auto"/>
                <w:kern w:val="0"/>
                <w:szCs w:val="21"/>
                <w:highlight w:val="none"/>
                <w:lang w:bidi="ar"/>
              </w:rPr>
            </w:pPr>
          </w:p>
        </w:tc>
      </w:tr>
      <w:tr w14:paraId="691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34" w:type="dxa"/>
            <w:vMerge w:val="continue"/>
            <w:noWrap w:val="0"/>
            <w:vAlign w:val="center"/>
          </w:tcPr>
          <w:p w14:paraId="32B9210B">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249D33C9">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restart"/>
            <w:noWrap w:val="0"/>
            <w:vAlign w:val="center"/>
          </w:tcPr>
          <w:p w14:paraId="2BFF0DD8">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bCs/>
                <w:color w:val="auto"/>
                <w:kern w:val="0"/>
                <w:szCs w:val="21"/>
                <w:highlight w:val="none"/>
              </w:rPr>
              <w:t>实施方案</w:t>
            </w:r>
          </w:p>
        </w:tc>
        <w:tc>
          <w:tcPr>
            <w:tcW w:w="5837" w:type="dxa"/>
            <w:noWrap w:val="0"/>
            <w:vAlign w:val="center"/>
          </w:tcPr>
          <w:p w14:paraId="4C4BA0F4">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1</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w:t>
            </w:r>
            <w:r>
              <w:rPr>
                <w:rFonts w:hint="eastAsia"/>
                <w:color w:val="auto"/>
                <w:szCs w:val="21"/>
                <w:highlight w:val="none"/>
                <w:lang w:val="zh-CN"/>
              </w:rPr>
              <w:t>可行性进行</w:t>
            </w:r>
            <w:r>
              <w:rPr>
                <w:color w:val="auto"/>
                <w:szCs w:val="21"/>
                <w:highlight w:val="none"/>
                <w:lang w:val="zh-CN"/>
              </w:rPr>
              <w:t>分析</w:t>
            </w:r>
            <w:r>
              <w:rPr>
                <w:rFonts w:hint="eastAsia"/>
                <w:color w:val="auto"/>
                <w:szCs w:val="21"/>
                <w:highlight w:val="none"/>
              </w:rPr>
              <w:t>打分</w:t>
            </w:r>
            <w:r>
              <w:rPr>
                <w:color w:val="auto"/>
                <w:szCs w:val="21"/>
                <w:highlight w:val="none"/>
                <w:lang w:val="zh-CN"/>
              </w:rPr>
              <w:t>（0-</w:t>
            </w:r>
            <w:r>
              <w:rPr>
                <w:rFonts w:hint="eastAsia"/>
                <w:color w:val="auto"/>
                <w:szCs w:val="21"/>
                <w:highlight w:val="none"/>
                <w:lang w:val="en-US" w:eastAsia="zh-CN"/>
              </w:rPr>
              <w:t>4</w:t>
            </w:r>
            <w:r>
              <w:rPr>
                <w:color w:val="auto"/>
                <w:szCs w:val="21"/>
                <w:highlight w:val="none"/>
                <w:lang w:val="zh-CN"/>
              </w:rPr>
              <w:t>分）。</w:t>
            </w:r>
          </w:p>
        </w:tc>
        <w:tc>
          <w:tcPr>
            <w:tcW w:w="601" w:type="dxa"/>
            <w:vMerge w:val="continue"/>
            <w:noWrap w:val="0"/>
            <w:vAlign w:val="center"/>
          </w:tcPr>
          <w:p w14:paraId="606846E8">
            <w:pPr>
              <w:widowControl/>
              <w:snapToGrid w:val="0"/>
              <w:spacing w:line="300" w:lineRule="exact"/>
              <w:jc w:val="left"/>
              <w:rPr>
                <w:rFonts w:hint="eastAsia" w:ascii="宋体" w:hAnsi="宋体" w:cs="宋体"/>
                <w:color w:val="auto"/>
                <w:kern w:val="0"/>
                <w:szCs w:val="21"/>
                <w:highlight w:val="none"/>
                <w:lang w:bidi="ar"/>
              </w:rPr>
            </w:pPr>
          </w:p>
        </w:tc>
      </w:tr>
      <w:tr w14:paraId="55B0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34" w:type="dxa"/>
            <w:vMerge w:val="continue"/>
            <w:noWrap w:val="0"/>
            <w:vAlign w:val="center"/>
          </w:tcPr>
          <w:p w14:paraId="5D53B961">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711C164">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596844BC">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4F6615E8">
            <w:pPr>
              <w:widowControl/>
              <w:snapToGrid w:val="0"/>
              <w:spacing w:line="300" w:lineRule="exact"/>
              <w:jc w:val="left"/>
              <w:rPr>
                <w:color w:val="auto"/>
                <w:highlight w:val="none"/>
              </w:rPr>
            </w:pPr>
            <w:r>
              <w:rPr>
                <w:color w:val="auto"/>
                <w:szCs w:val="21"/>
                <w:highlight w:val="none"/>
                <w:lang w:val="zh-CN"/>
              </w:rPr>
              <w:t>（</w:t>
            </w:r>
            <w:r>
              <w:rPr>
                <w:color w:val="auto"/>
                <w:szCs w:val="21"/>
                <w:highlight w:val="none"/>
              </w:rPr>
              <w:t>2</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对项目初步设计</w:t>
            </w:r>
            <w:r>
              <w:rPr>
                <w:rFonts w:hint="eastAsia"/>
                <w:color w:val="auto"/>
                <w:szCs w:val="21"/>
                <w:highlight w:val="none"/>
                <w:lang w:val="zh-CN"/>
              </w:rPr>
              <w:t>进行</w:t>
            </w:r>
            <w:r>
              <w:rPr>
                <w:color w:val="auto"/>
                <w:szCs w:val="21"/>
                <w:highlight w:val="none"/>
                <w:lang w:val="zh-CN"/>
              </w:rPr>
              <w:t>研究分析</w:t>
            </w:r>
            <w:r>
              <w:rPr>
                <w:rFonts w:hint="eastAsia"/>
                <w:color w:val="auto"/>
                <w:szCs w:val="21"/>
                <w:highlight w:val="none"/>
              </w:rPr>
              <w:t>打分</w:t>
            </w:r>
            <w:r>
              <w:rPr>
                <w:color w:val="auto"/>
                <w:szCs w:val="21"/>
                <w:highlight w:val="none"/>
                <w:lang w:val="zh-CN"/>
              </w:rPr>
              <w:t>（0-</w:t>
            </w:r>
            <w:r>
              <w:rPr>
                <w:rFonts w:hint="eastAsia"/>
                <w:color w:val="auto"/>
                <w:szCs w:val="21"/>
                <w:highlight w:val="none"/>
                <w:lang w:val="en-US" w:eastAsia="zh-CN"/>
              </w:rPr>
              <w:t>4</w:t>
            </w:r>
            <w:r>
              <w:rPr>
                <w:color w:val="auto"/>
                <w:szCs w:val="21"/>
                <w:highlight w:val="none"/>
                <w:lang w:val="zh-CN"/>
              </w:rPr>
              <w:t>）。</w:t>
            </w:r>
          </w:p>
        </w:tc>
        <w:tc>
          <w:tcPr>
            <w:tcW w:w="601" w:type="dxa"/>
            <w:vMerge w:val="continue"/>
            <w:noWrap w:val="0"/>
            <w:vAlign w:val="center"/>
          </w:tcPr>
          <w:p w14:paraId="01359293">
            <w:pPr>
              <w:widowControl/>
              <w:snapToGrid w:val="0"/>
              <w:spacing w:line="300" w:lineRule="exact"/>
              <w:jc w:val="left"/>
              <w:rPr>
                <w:rFonts w:hint="eastAsia" w:ascii="宋体" w:hAnsi="宋体" w:cs="宋体"/>
                <w:color w:val="auto"/>
                <w:kern w:val="0"/>
                <w:szCs w:val="21"/>
                <w:highlight w:val="none"/>
                <w:lang w:bidi="ar"/>
              </w:rPr>
            </w:pPr>
          </w:p>
        </w:tc>
      </w:tr>
      <w:tr w14:paraId="5AC7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7A8AC68F">
            <w:pPr>
              <w:widowControl/>
              <w:snapToGrid w:val="0"/>
              <w:spacing w:line="300" w:lineRule="exact"/>
              <w:jc w:val="left"/>
              <w:rPr>
                <w:rFonts w:hint="eastAsia" w:ascii="宋体" w:hAnsi="宋体" w:cs="宋体"/>
                <w:color w:val="auto"/>
                <w:kern w:val="0"/>
                <w:szCs w:val="21"/>
                <w:highlight w:val="none"/>
                <w:lang w:bidi="ar"/>
              </w:rPr>
            </w:pPr>
          </w:p>
        </w:tc>
        <w:tc>
          <w:tcPr>
            <w:tcW w:w="1077" w:type="dxa"/>
            <w:vMerge w:val="continue"/>
            <w:noWrap w:val="0"/>
            <w:vAlign w:val="center"/>
          </w:tcPr>
          <w:p w14:paraId="5CAF049E">
            <w:pPr>
              <w:widowControl/>
              <w:snapToGrid w:val="0"/>
              <w:spacing w:line="300" w:lineRule="exact"/>
              <w:jc w:val="left"/>
              <w:rPr>
                <w:rFonts w:hint="eastAsia" w:ascii="宋体" w:hAnsi="宋体" w:cs="宋体"/>
                <w:color w:val="auto"/>
                <w:kern w:val="0"/>
                <w:szCs w:val="21"/>
                <w:highlight w:val="none"/>
                <w:lang w:bidi="ar"/>
              </w:rPr>
            </w:pPr>
          </w:p>
        </w:tc>
        <w:tc>
          <w:tcPr>
            <w:tcW w:w="1029" w:type="dxa"/>
            <w:vMerge w:val="continue"/>
            <w:noWrap w:val="0"/>
            <w:vAlign w:val="center"/>
          </w:tcPr>
          <w:p w14:paraId="78702724">
            <w:pPr>
              <w:widowControl/>
              <w:snapToGrid w:val="0"/>
              <w:spacing w:line="300" w:lineRule="exact"/>
              <w:jc w:val="left"/>
              <w:rPr>
                <w:rFonts w:hint="eastAsia" w:ascii="宋体" w:hAnsi="宋体" w:cs="宋体"/>
                <w:color w:val="auto"/>
                <w:kern w:val="0"/>
                <w:szCs w:val="21"/>
                <w:highlight w:val="none"/>
                <w:lang w:bidi="ar"/>
              </w:rPr>
            </w:pPr>
          </w:p>
        </w:tc>
        <w:tc>
          <w:tcPr>
            <w:tcW w:w="5837" w:type="dxa"/>
            <w:noWrap w:val="0"/>
            <w:vAlign w:val="center"/>
          </w:tcPr>
          <w:p w14:paraId="0817E798">
            <w:pPr>
              <w:widowControl/>
              <w:snapToGrid w:val="0"/>
              <w:spacing w:line="300" w:lineRule="exact"/>
              <w:jc w:val="left"/>
              <w:rPr>
                <w:rFonts w:hint="eastAsia"/>
                <w:color w:val="auto"/>
                <w:highlight w:val="none"/>
              </w:rPr>
            </w:pPr>
            <w:r>
              <w:rPr>
                <w:color w:val="auto"/>
                <w:szCs w:val="21"/>
                <w:highlight w:val="none"/>
                <w:lang w:val="zh-CN"/>
              </w:rPr>
              <w:t>（</w:t>
            </w:r>
            <w:r>
              <w:rPr>
                <w:color w:val="auto"/>
                <w:szCs w:val="21"/>
                <w:highlight w:val="none"/>
              </w:rPr>
              <w:t>3</w:t>
            </w:r>
            <w:r>
              <w:rPr>
                <w:color w:val="auto"/>
                <w:szCs w:val="21"/>
                <w:highlight w:val="none"/>
                <w:lang w:val="zh-CN"/>
              </w:rPr>
              <w:t>）</w:t>
            </w:r>
            <w:r>
              <w:rPr>
                <w:rFonts w:hint="eastAsia"/>
                <w:color w:val="auto"/>
                <w:szCs w:val="21"/>
                <w:highlight w:val="none"/>
              </w:rPr>
              <w:t>根据</w:t>
            </w:r>
            <w:r>
              <w:rPr>
                <w:rFonts w:hint="eastAsia"/>
                <w:color w:val="auto"/>
                <w:szCs w:val="21"/>
                <w:highlight w:val="none"/>
                <w:lang w:val="zh-CN"/>
              </w:rPr>
              <w:t>供应商</w:t>
            </w:r>
            <w:r>
              <w:rPr>
                <w:rFonts w:hint="eastAsia"/>
                <w:color w:val="auto"/>
                <w:szCs w:val="21"/>
                <w:highlight w:val="none"/>
              </w:rPr>
              <w:t>对项目</w:t>
            </w:r>
            <w:r>
              <w:rPr>
                <w:rFonts w:hint="eastAsia"/>
                <w:color w:val="auto"/>
                <w:szCs w:val="21"/>
                <w:highlight w:val="none"/>
                <w:lang w:val="zh-CN"/>
              </w:rPr>
              <w:t>实施过程中工作内容进行打分</w:t>
            </w:r>
            <w:r>
              <w:rPr>
                <w:color w:val="auto"/>
                <w:szCs w:val="21"/>
                <w:highlight w:val="none"/>
                <w:lang w:val="zh-CN"/>
              </w:rPr>
              <w:t>（0-</w:t>
            </w:r>
            <w:r>
              <w:rPr>
                <w:rFonts w:hint="eastAsia"/>
                <w:color w:val="auto"/>
                <w:szCs w:val="21"/>
                <w:highlight w:val="none"/>
              </w:rPr>
              <w:t>4</w:t>
            </w:r>
            <w:r>
              <w:rPr>
                <w:color w:val="auto"/>
                <w:szCs w:val="21"/>
                <w:highlight w:val="none"/>
                <w:lang w:val="zh-CN"/>
              </w:rPr>
              <w:t>分）。</w:t>
            </w:r>
          </w:p>
        </w:tc>
        <w:tc>
          <w:tcPr>
            <w:tcW w:w="601" w:type="dxa"/>
            <w:vMerge w:val="continue"/>
            <w:noWrap w:val="0"/>
            <w:vAlign w:val="center"/>
          </w:tcPr>
          <w:p w14:paraId="2E2A829C">
            <w:pPr>
              <w:widowControl/>
              <w:snapToGrid w:val="0"/>
              <w:spacing w:line="300" w:lineRule="exact"/>
              <w:jc w:val="left"/>
              <w:rPr>
                <w:rFonts w:hint="eastAsia" w:ascii="宋体" w:hAnsi="宋体" w:cs="宋体"/>
                <w:color w:val="auto"/>
                <w:kern w:val="0"/>
                <w:szCs w:val="21"/>
                <w:highlight w:val="none"/>
                <w:lang w:bidi="ar"/>
              </w:rPr>
            </w:pPr>
          </w:p>
        </w:tc>
      </w:tr>
      <w:tr w14:paraId="4ED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34" w:type="dxa"/>
            <w:vMerge w:val="continue"/>
            <w:noWrap w:val="0"/>
            <w:vAlign w:val="center"/>
          </w:tcPr>
          <w:p w14:paraId="05231990">
            <w:pPr>
              <w:widowControl/>
              <w:snapToGrid w:val="0"/>
              <w:spacing w:line="300" w:lineRule="exact"/>
              <w:jc w:val="left"/>
              <w:rPr>
                <w:rFonts w:hint="eastAsia" w:ascii="宋体" w:hAnsi="宋体" w:cs="宋体"/>
                <w:color w:val="auto"/>
                <w:highlight w:val="none"/>
              </w:rPr>
            </w:pPr>
          </w:p>
        </w:tc>
        <w:tc>
          <w:tcPr>
            <w:tcW w:w="1077" w:type="dxa"/>
            <w:vMerge w:val="continue"/>
            <w:noWrap w:val="0"/>
            <w:vAlign w:val="center"/>
          </w:tcPr>
          <w:p w14:paraId="7B529257">
            <w:pPr>
              <w:widowControl/>
              <w:snapToGrid w:val="0"/>
              <w:spacing w:line="300" w:lineRule="exact"/>
              <w:jc w:val="left"/>
              <w:rPr>
                <w:rFonts w:hint="eastAsia" w:ascii="宋体" w:hAnsi="宋体" w:cs="宋体"/>
                <w:color w:val="auto"/>
                <w:highlight w:val="none"/>
              </w:rPr>
            </w:pPr>
          </w:p>
        </w:tc>
        <w:tc>
          <w:tcPr>
            <w:tcW w:w="1029" w:type="dxa"/>
            <w:vMerge w:val="continue"/>
            <w:noWrap w:val="0"/>
            <w:vAlign w:val="center"/>
          </w:tcPr>
          <w:p w14:paraId="0DE00C33">
            <w:pPr>
              <w:widowControl/>
              <w:snapToGrid w:val="0"/>
              <w:spacing w:line="300" w:lineRule="exact"/>
              <w:jc w:val="left"/>
              <w:rPr>
                <w:rFonts w:hint="eastAsia" w:ascii="宋体" w:hAnsi="宋体" w:cs="宋体"/>
                <w:color w:val="auto"/>
                <w:highlight w:val="none"/>
              </w:rPr>
            </w:pPr>
          </w:p>
        </w:tc>
        <w:tc>
          <w:tcPr>
            <w:tcW w:w="5837" w:type="dxa"/>
            <w:noWrap w:val="0"/>
            <w:vAlign w:val="center"/>
          </w:tcPr>
          <w:p w14:paraId="17E4249D">
            <w:pPr>
              <w:snapToGrid w:val="0"/>
              <w:spacing w:line="300" w:lineRule="exact"/>
              <w:jc w:val="left"/>
              <w:rPr>
                <w:rFonts w:hint="eastAsia" w:eastAsia="宋体"/>
                <w:color w:val="auto"/>
                <w:highlight w:val="none"/>
                <w:lang w:eastAsia="zh-CN"/>
              </w:rPr>
            </w:pPr>
            <w:r>
              <w:rPr>
                <w:color w:val="auto"/>
                <w:szCs w:val="21"/>
                <w:highlight w:val="none"/>
              </w:rPr>
              <w:t>（</w:t>
            </w:r>
            <w:r>
              <w:rPr>
                <w:rFonts w:hint="eastAsia"/>
                <w:color w:val="auto"/>
                <w:szCs w:val="21"/>
                <w:highlight w:val="none"/>
              </w:rPr>
              <w:t>4</w:t>
            </w:r>
            <w:r>
              <w:rPr>
                <w:color w:val="auto"/>
                <w:szCs w:val="21"/>
                <w:highlight w:val="none"/>
              </w:rPr>
              <w:t>）根据</w:t>
            </w:r>
            <w:r>
              <w:rPr>
                <w:rFonts w:hint="eastAsia"/>
                <w:color w:val="auto"/>
                <w:szCs w:val="21"/>
                <w:highlight w:val="none"/>
                <w:lang w:val="zh-CN"/>
              </w:rPr>
              <w:t>供应商</w:t>
            </w:r>
            <w:r>
              <w:rPr>
                <w:color w:val="auto"/>
                <w:szCs w:val="21"/>
                <w:highlight w:val="none"/>
              </w:rPr>
              <w:t>的对本项目的</w:t>
            </w:r>
            <w:r>
              <w:rPr>
                <w:rFonts w:hint="eastAsia"/>
                <w:color w:val="auto"/>
                <w:szCs w:val="21"/>
                <w:highlight w:val="none"/>
              </w:rPr>
              <w:t>验收服务</w:t>
            </w:r>
            <w:r>
              <w:rPr>
                <w:color w:val="auto"/>
                <w:szCs w:val="21"/>
                <w:highlight w:val="none"/>
              </w:rPr>
              <w:t>打分（0-</w:t>
            </w:r>
            <w:r>
              <w:rPr>
                <w:rFonts w:hint="eastAsia"/>
                <w:color w:val="auto"/>
                <w:szCs w:val="21"/>
                <w:highlight w:val="none"/>
              </w:rPr>
              <w:t>4</w:t>
            </w:r>
            <w:r>
              <w:rPr>
                <w:color w:val="auto"/>
                <w:szCs w:val="21"/>
                <w:highlight w:val="none"/>
              </w:rPr>
              <w:t>分）</w:t>
            </w:r>
            <w:r>
              <w:rPr>
                <w:rFonts w:hint="eastAsia"/>
                <w:color w:val="auto"/>
                <w:szCs w:val="21"/>
                <w:highlight w:val="none"/>
                <w:lang w:eastAsia="zh-CN"/>
              </w:rPr>
              <w:t>。</w:t>
            </w:r>
          </w:p>
        </w:tc>
        <w:tc>
          <w:tcPr>
            <w:tcW w:w="601" w:type="dxa"/>
            <w:vMerge w:val="continue"/>
            <w:noWrap w:val="0"/>
            <w:vAlign w:val="center"/>
          </w:tcPr>
          <w:p w14:paraId="690140F2">
            <w:pPr>
              <w:widowControl/>
              <w:snapToGrid w:val="0"/>
              <w:spacing w:line="300" w:lineRule="exact"/>
              <w:jc w:val="left"/>
              <w:rPr>
                <w:rFonts w:hint="eastAsia" w:ascii="宋体" w:hAnsi="宋体" w:cs="宋体"/>
                <w:color w:val="auto"/>
                <w:spacing w:val="20"/>
                <w:szCs w:val="21"/>
                <w:highlight w:val="none"/>
              </w:rPr>
            </w:pPr>
          </w:p>
        </w:tc>
      </w:tr>
      <w:tr w14:paraId="782A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4" w:type="dxa"/>
            <w:vMerge w:val="continue"/>
            <w:shd w:val="clear" w:color="auto" w:fill="auto"/>
            <w:noWrap w:val="0"/>
            <w:vAlign w:val="center"/>
          </w:tcPr>
          <w:p w14:paraId="45DC73C1">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340BF337">
            <w:pPr>
              <w:widowControl/>
              <w:snapToGrid w:val="0"/>
              <w:spacing w:line="300" w:lineRule="exact"/>
              <w:jc w:val="left"/>
              <w:rPr>
                <w:rFonts w:hint="eastAsia" w:ascii="宋体" w:hAnsi="宋体" w:cs="宋体"/>
                <w:color w:val="auto"/>
                <w:highlight w:val="none"/>
              </w:rPr>
            </w:pPr>
          </w:p>
        </w:tc>
        <w:tc>
          <w:tcPr>
            <w:tcW w:w="6866" w:type="dxa"/>
            <w:gridSpan w:val="2"/>
            <w:shd w:val="clear" w:color="auto" w:fill="FFFFFF"/>
            <w:noWrap w:val="0"/>
            <w:vAlign w:val="center"/>
          </w:tcPr>
          <w:p w14:paraId="2E91F41E">
            <w:pPr>
              <w:widowControl/>
              <w:snapToGrid w:val="0"/>
              <w:spacing w:line="3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（4）根据对本项目可能存在的问题研判合理、相应预案等</w:t>
            </w:r>
            <w:r>
              <w:rPr>
                <w:rFonts w:hint="eastAsia"/>
                <w:color w:val="auto"/>
                <w:szCs w:val="21"/>
                <w:highlight w:val="none"/>
              </w:rPr>
              <w:t>进行打分（0-</w:t>
            </w:r>
            <w:r>
              <w:rPr>
                <w:rFonts w:hint="eastAsia"/>
                <w:color w:val="auto"/>
                <w:szCs w:val="21"/>
                <w:highlight w:val="none"/>
                <w:lang w:val="en-US" w:eastAsia="zh-CN"/>
              </w:rPr>
              <w:t>4</w:t>
            </w:r>
            <w:r>
              <w:rPr>
                <w:rFonts w:hint="eastAsia"/>
                <w:color w:val="auto"/>
                <w:szCs w:val="21"/>
                <w:highlight w:val="none"/>
              </w:rPr>
              <w:t>分）。</w:t>
            </w:r>
          </w:p>
        </w:tc>
        <w:tc>
          <w:tcPr>
            <w:tcW w:w="601" w:type="dxa"/>
            <w:vMerge w:val="continue"/>
            <w:shd w:val="clear" w:color="auto" w:fill="FFFFFF"/>
            <w:noWrap w:val="0"/>
            <w:vAlign w:val="center"/>
          </w:tcPr>
          <w:p w14:paraId="75E7D392">
            <w:pPr>
              <w:pStyle w:val="19"/>
              <w:jc w:val="center"/>
              <w:rPr>
                <w:rFonts w:hint="eastAsia" w:ascii="宋体" w:hAnsi="宋体" w:cs="宋体"/>
                <w:color w:val="auto"/>
                <w:kern w:val="2"/>
                <w:sz w:val="21"/>
                <w:highlight w:val="none"/>
                <w:lang w:val="zh-CN"/>
              </w:rPr>
            </w:pPr>
          </w:p>
        </w:tc>
      </w:tr>
      <w:tr w14:paraId="53AD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4" w:type="dxa"/>
            <w:vMerge w:val="continue"/>
            <w:shd w:val="clear" w:color="auto" w:fill="auto"/>
            <w:noWrap w:val="0"/>
            <w:vAlign w:val="center"/>
          </w:tcPr>
          <w:p w14:paraId="01535E15">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067E919C">
            <w:pPr>
              <w:widowControl/>
              <w:snapToGrid w:val="0"/>
              <w:spacing w:line="300" w:lineRule="exact"/>
              <w:jc w:val="left"/>
              <w:rPr>
                <w:rFonts w:hint="eastAsia" w:ascii="宋体" w:hAnsi="宋体" w:cs="宋体"/>
                <w:color w:val="auto"/>
                <w:szCs w:val="21"/>
                <w:highlight w:val="none"/>
              </w:rPr>
            </w:pPr>
          </w:p>
        </w:tc>
        <w:tc>
          <w:tcPr>
            <w:tcW w:w="6866" w:type="dxa"/>
            <w:gridSpan w:val="2"/>
            <w:shd w:val="clear" w:color="auto" w:fill="FFFFFF"/>
            <w:noWrap w:val="0"/>
            <w:vAlign w:val="center"/>
          </w:tcPr>
          <w:p w14:paraId="2F3B6353">
            <w:pPr>
              <w:widowControl/>
              <w:snapToGrid w:val="0"/>
              <w:spacing w:line="300" w:lineRule="exact"/>
              <w:jc w:val="left"/>
              <w:rPr>
                <w:rFonts w:hint="eastAsia" w:ascii="宋体" w:hAnsi="宋体" w:cs="EtGsHeiBold"/>
                <w:color w:val="auto"/>
                <w:szCs w:val="21"/>
                <w:highlight w:val="none"/>
              </w:rPr>
            </w:pPr>
            <w:r>
              <w:rPr>
                <w:rFonts w:hint="eastAsia" w:ascii="宋体" w:hAnsi="宋体" w:cs="宋体"/>
                <w:color w:val="auto"/>
                <w:kern w:val="0"/>
                <w:szCs w:val="21"/>
                <w:highlight w:val="none"/>
                <w:lang w:bidi="ar"/>
              </w:rPr>
              <w:t>（5）根据供应商制定的工作方案科学、结构性等</w:t>
            </w:r>
            <w:r>
              <w:rPr>
                <w:rFonts w:hint="eastAsia"/>
                <w:color w:val="auto"/>
                <w:szCs w:val="21"/>
                <w:highlight w:val="none"/>
              </w:rPr>
              <w:t>进行打分（0-</w:t>
            </w:r>
            <w:r>
              <w:rPr>
                <w:rFonts w:hint="eastAsia"/>
                <w:color w:val="auto"/>
                <w:szCs w:val="21"/>
                <w:highlight w:val="none"/>
                <w:lang w:val="en-US" w:eastAsia="zh-CN"/>
              </w:rPr>
              <w:t>4</w:t>
            </w:r>
            <w:r>
              <w:rPr>
                <w:rFonts w:hint="eastAsia"/>
                <w:color w:val="auto"/>
                <w:szCs w:val="21"/>
                <w:highlight w:val="none"/>
              </w:rPr>
              <w:t>分）。</w:t>
            </w:r>
          </w:p>
        </w:tc>
        <w:tc>
          <w:tcPr>
            <w:tcW w:w="601" w:type="dxa"/>
            <w:vMerge w:val="continue"/>
            <w:shd w:val="clear" w:color="auto" w:fill="FFFFFF"/>
            <w:noWrap w:val="0"/>
            <w:vAlign w:val="center"/>
          </w:tcPr>
          <w:p w14:paraId="0AC04ED8">
            <w:pPr>
              <w:snapToGrid w:val="0"/>
              <w:spacing w:line="300" w:lineRule="exact"/>
              <w:jc w:val="center"/>
              <w:rPr>
                <w:rFonts w:ascii="宋体" w:hAnsi="宋体" w:cs="宋体"/>
                <w:color w:val="auto"/>
                <w:szCs w:val="21"/>
                <w:highlight w:val="none"/>
              </w:rPr>
            </w:pPr>
          </w:p>
        </w:tc>
      </w:tr>
      <w:tr w14:paraId="3B7F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4" w:type="dxa"/>
            <w:vMerge w:val="continue"/>
            <w:shd w:val="clear" w:color="auto" w:fill="auto"/>
            <w:noWrap w:val="0"/>
            <w:vAlign w:val="center"/>
          </w:tcPr>
          <w:p w14:paraId="7F71D4D1">
            <w:pPr>
              <w:widowControl/>
              <w:snapToGrid w:val="0"/>
              <w:spacing w:line="300" w:lineRule="exact"/>
              <w:jc w:val="left"/>
              <w:rPr>
                <w:rFonts w:hint="eastAsia" w:ascii="宋体" w:hAnsi="宋体" w:cs="宋体"/>
                <w:color w:val="auto"/>
                <w:szCs w:val="21"/>
                <w:highlight w:val="none"/>
              </w:rPr>
            </w:pPr>
          </w:p>
        </w:tc>
        <w:tc>
          <w:tcPr>
            <w:tcW w:w="1077" w:type="dxa"/>
            <w:vMerge w:val="continue"/>
            <w:shd w:val="clear" w:color="auto" w:fill="auto"/>
            <w:noWrap w:val="0"/>
            <w:vAlign w:val="center"/>
          </w:tcPr>
          <w:p w14:paraId="4BCC375C">
            <w:pPr>
              <w:widowControl/>
              <w:snapToGrid w:val="0"/>
              <w:spacing w:line="300" w:lineRule="exact"/>
              <w:jc w:val="left"/>
              <w:rPr>
                <w:rFonts w:hint="eastAsia" w:ascii="宋体" w:hAnsi="宋体"/>
                <w:color w:val="auto"/>
                <w:highlight w:val="none"/>
              </w:rPr>
            </w:pPr>
          </w:p>
        </w:tc>
        <w:tc>
          <w:tcPr>
            <w:tcW w:w="6866" w:type="dxa"/>
            <w:gridSpan w:val="2"/>
            <w:shd w:val="clear" w:color="auto" w:fill="FFFFFF"/>
            <w:noWrap w:val="0"/>
            <w:vAlign w:val="center"/>
          </w:tcPr>
          <w:p w14:paraId="31D4AAE2">
            <w:pPr>
              <w:widowControl/>
              <w:snapToGrid w:val="0"/>
              <w:spacing w:line="300" w:lineRule="exact"/>
              <w:jc w:val="left"/>
              <w:rPr>
                <w:rFonts w:hint="eastAsia" w:ascii="宋体" w:hAnsi="宋体"/>
                <w:color w:val="auto"/>
                <w:highlight w:val="none"/>
              </w:rPr>
            </w:pPr>
            <w:r>
              <w:rPr>
                <w:rFonts w:hint="eastAsia" w:ascii="宋体" w:hAnsi="宋体" w:cs="宋体"/>
                <w:color w:val="auto"/>
                <w:kern w:val="0"/>
                <w:szCs w:val="21"/>
                <w:highlight w:val="none"/>
                <w:lang w:bidi="ar"/>
              </w:rPr>
              <w:t>（6）根据供应商提出的拟提交的成果内容完整性等进行打分（0-</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tc>
        <w:tc>
          <w:tcPr>
            <w:tcW w:w="601" w:type="dxa"/>
            <w:vMerge w:val="continue"/>
            <w:shd w:val="clear" w:color="auto" w:fill="FFFFFF"/>
            <w:noWrap w:val="0"/>
            <w:vAlign w:val="center"/>
          </w:tcPr>
          <w:p w14:paraId="01CE747C">
            <w:pPr>
              <w:jc w:val="center"/>
              <w:rPr>
                <w:rFonts w:ascii="宋体" w:hAnsi="宋体" w:cs="宋体"/>
                <w:color w:val="auto"/>
                <w:szCs w:val="21"/>
                <w:highlight w:val="none"/>
              </w:rPr>
            </w:pPr>
          </w:p>
        </w:tc>
      </w:tr>
      <w:tr w14:paraId="79B0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4" w:type="dxa"/>
            <w:vMerge w:val="continue"/>
            <w:shd w:val="clear" w:color="auto" w:fill="auto"/>
            <w:noWrap w:val="0"/>
            <w:vAlign w:val="center"/>
          </w:tcPr>
          <w:p w14:paraId="43E75D0F">
            <w:pPr>
              <w:jc w:val="center"/>
              <w:rPr>
                <w:rFonts w:ascii="宋体" w:hAnsi="宋体" w:cs="宋体"/>
                <w:color w:val="auto"/>
                <w:szCs w:val="21"/>
                <w:highlight w:val="none"/>
              </w:rPr>
            </w:pPr>
          </w:p>
        </w:tc>
        <w:tc>
          <w:tcPr>
            <w:tcW w:w="1077" w:type="dxa"/>
            <w:vMerge w:val="continue"/>
            <w:shd w:val="clear" w:color="auto" w:fill="auto"/>
            <w:noWrap w:val="0"/>
            <w:vAlign w:val="center"/>
          </w:tcPr>
          <w:p w14:paraId="128FFFFB">
            <w:pPr>
              <w:snapToGrid w:val="0"/>
              <w:spacing w:line="300" w:lineRule="exact"/>
              <w:rPr>
                <w:rFonts w:hint="eastAsia" w:ascii="宋体" w:hAnsi="宋体"/>
                <w:color w:val="auto"/>
                <w:highlight w:val="none"/>
              </w:rPr>
            </w:pPr>
          </w:p>
        </w:tc>
        <w:tc>
          <w:tcPr>
            <w:tcW w:w="6866" w:type="dxa"/>
            <w:gridSpan w:val="2"/>
            <w:shd w:val="clear" w:color="auto" w:fill="FFFFFF"/>
            <w:noWrap w:val="0"/>
            <w:vAlign w:val="center"/>
          </w:tcPr>
          <w:p w14:paraId="6009DD01">
            <w:pPr>
              <w:snapToGrid w:val="0"/>
              <w:spacing w:line="300" w:lineRule="exact"/>
              <w:jc w:val="left"/>
              <w:rPr>
                <w:rFonts w:hint="eastAsia" w:ascii="宋体" w:hAnsi="宋体"/>
                <w:color w:val="auto"/>
                <w:highlight w:val="none"/>
              </w:rPr>
            </w:pPr>
            <w:r>
              <w:rPr>
                <w:rFonts w:hint="eastAsia"/>
                <w:color w:val="auto"/>
                <w:szCs w:val="21"/>
                <w:highlight w:val="none"/>
              </w:rPr>
              <w:t>（7）</w:t>
            </w:r>
            <w:r>
              <w:rPr>
                <w:color w:val="auto"/>
                <w:szCs w:val="21"/>
                <w:highlight w:val="none"/>
              </w:rPr>
              <w:t>根据应对突发状况的应急举措、响应时间、人员、设备储备、后续处理方法等内容进行打分（0-</w:t>
            </w:r>
            <w:r>
              <w:rPr>
                <w:rFonts w:hint="eastAsia"/>
                <w:color w:val="auto"/>
                <w:szCs w:val="21"/>
                <w:highlight w:val="none"/>
              </w:rPr>
              <w:t>4</w:t>
            </w:r>
            <w:r>
              <w:rPr>
                <w:color w:val="auto"/>
                <w:szCs w:val="21"/>
                <w:highlight w:val="none"/>
              </w:rPr>
              <w:t>分）。</w:t>
            </w:r>
          </w:p>
        </w:tc>
        <w:tc>
          <w:tcPr>
            <w:tcW w:w="601" w:type="dxa"/>
            <w:vMerge w:val="continue"/>
            <w:shd w:val="clear" w:color="auto" w:fill="FFFFFF"/>
            <w:noWrap w:val="0"/>
            <w:vAlign w:val="center"/>
          </w:tcPr>
          <w:p w14:paraId="07641753">
            <w:pPr>
              <w:jc w:val="center"/>
              <w:rPr>
                <w:rFonts w:hint="eastAsia" w:ascii="宋体" w:hAnsi="宋体" w:cs="宋体"/>
                <w:color w:val="auto"/>
                <w:szCs w:val="21"/>
                <w:highlight w:val="none"/>
              </w:rPr>
            </w:pPr>
          </w:p>
        </w:tc>
      </w:tr>
      <w:tr w14:paraId="3FC9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continue"/>
            <w:shd w:val="clear" w:color="auto" w:fill="auto"/>
            <w:noWrap w:val="0"/>
            <w:vAlign w:val="center"/>
          </w:tcPr>
          <w:p w14:paraId="1923BD14">
            <w:pPr>
              <w:jc w:val="center"/>
              <w:rPr>
                <w:rFonts w:hint="eastAsia" w:ascii="宋体" w:hAnsi="宋体" w:cs="宋体"/>
                <w:color w:val="auto"/>
                <w:szCs w:val="21"/>
                <w:highlight w:val="none"/>
              </w:rPr>
            </w:pPr>
          </w:p>
        </w:tc>
        <w:tc>
          <w:tcPr>
            <w:tcW w:w="1077" w:type="dxa"/>
            <w:vMerge w:val="continue"/>
            <w:shd w:val="clear" w:color="auto" w:fill="auto"/>
            <w:noWrap w:val="0"/>
            <w:vAlign w:val="center"/>
          </w:tcPr>
          <w:p w14:paraId="5EFEE0F4">
            <w:pPr>
              <w:jc w:val="center"/>
              <w:rPr>
                <w:rFonts w:ascii="宋体" w:hAnsi="宋体"/>
                <w:color w:val="auto"/>
                <w:highlight w:val="none"/>
              </w:rPr>
            </w:pPr>
          </w:p>
        </w:tc>
        <w:tc>
          <w:tcPr>
            <w:tcW w:w="6866" w:type="dxa"/>
            <w:gridSpan w:val="2"/>
            <w:shd w:val="clear" w:color="auto" w:fill="FFFFFF"/>
            <w:noWrap w:val="0"/>
            <w:vAlign w:val="center"/>
          </w:tcPr>
          <w:p w14:paraId="2C22C225">
            <w:pPr>
              <w:pStyle w:val="19"/>
              <w:rPr>
                <w:rFonts w:hint="eastAsia" w:ascii="宋体" w:hAnsi="宋体"/>
                <w:color w:val="auto"/>
                <w:sz w:val="21"/>
                <w:highlight w:val="none"/>
              </w:rPr>
            </w:pPr>
            <w:r>
              <w:rPr>
                <w:rFonts w:hint="eastAsia"/>
                <w:color w:val="auto"/>
                <w:kern w:val="2"/>
                <w:sz w:val="21"/>
                <w:szCs w:val="21"/>
                <w:highlight w:val="none"/>
              </w:rPr>
              <w:t>（8）</w:t>
            </w:r>
            <w:r>
              <w:rPr>
                <w:color w:val="auto"/>
                <w:kern w:val="2"/>
                <w:sz w:val="21"/>
                <w:szCs w:val="21"/>
                <w:highlight w:val="none"/>
              </w:rPr>
              <w:t>根据</w:t>
            </w:r>
            <w:r>
              <w:rPr>
                <w:rFonts w:hint="eastAsia"/>
                <w:color w:val="auto"/>
                <w:kern w:val="2"/>
                <w:szCs w:val="21"/>
                <w:highlight w:val="none"/>
                <w:lang w:val="zh-CN"/>
              </w:rPr>
              <w:t>供应商</w:t>
            </w:r>
            <w:r>
              <w:rPr>
                <w:color w:val="auto"/>
                <w:kern w:val="2"/>
                <w:sz w:val="21"/>
                <w:szCs w:val="21"/>
                <w:highlight w:val="none"/>
              </w:rPr>
              <w:t>针对本项目完成期限提出有效的保障措施进行打分（0-</w:t>
            </w:r>
            <w:r>
              <w:rPr>
                <w:rFonts w:hint="eastAsia"/>
                <w:color w:val="auto"/>
                <w:kern w:val="2"/>
                <w:sz w:val="21"/>
                <w:szCs w:val="21"/>
                <w:highlight w:val="none"/>
              </w:rPr>
              <w:t>3</w:t>
            </w:r>
            <w:r>
              <w:rPr>
                <w:color w:val="auto"/>
                <w:kern w:val="2"/>
                <w:sz w:val="21"/>
                <w:szCs w:val="21"/>
                <w:highlight w:val="none"/>
              </w:rPr>
              <w:t>分）。</w:t>
            </w:r>
          </w:p>
        </w:tc>
        <w:tc>
          <w:tcPr>
            <w:tcW w:w="601" w:type="dxa"/>
            <w:vMerge w:val="continue"/>
            <w:tcBorders>
              <w:bottom w:val="single" w:color="auto" w:sz="4" w:space="0"/>
            </w:tcBorders>
            <w:shd w:val="clear" w:color="auto" w:fill="FFFFFF"/>
            <w:noWrap w:val="0"/>
            <w:vAlign w:val="center"/>
          </w:tcPr>
          <w:p w14:paraId="55C0B256">
            <w:pPr>
              <w:jc w:val="center"/>
              <w:rPr>
                <w:rFonts w:hint="eastAsia" w:ascii="宋体" w:hAnsi="宋体" w:cs="宋体"/>
                <w:color w:val="auto"/>
                <w:szCs w:val="21"/>
                <w:highlight w:val="none"/>
              </w:rPr>
            </w:pPr>
          </w:p>
        </w:tc>
      </w:tr>
      <w:tr w14:paraId="5DF9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60A81BBB">
            <w:pPr>
              <w:jc w:val="center"/>
              <w:rPr>
                <w:rFonts w:hint="eastAsia" w:ascii="宋体" w:hAnsi="宋体" w:cs="宋体"/>
                <w:color w:val="auto"/>
                <w:szCs w:val="21"/>
                <w:highlight w:val="none"/>
              </w:rPr>
            </w:pPr>
            <w:r>
              <w:rPr>
                <w:rFonts w:hint="eastAsia"/>
                <w:color w:val="auto"/>
                <w:szCs w:val="21"/>
                <w:highlight w:val="none"/>
              </w:rPr>
              <w:t>5</w:t>
            </w:r>
          </w:p>
        </w:tc>
        <w:tc>
          <w:tcPr>
            <w:tcW w:w="1077" w:type="dxa"/>
            <w:shd w:val="clear" w:color="auto" w:fill="auto"/>
            <w:noWrap w:val="0"/>
            <w:vAlign w:val="center"/>
          </w:tcPr>
          <w:p w14:paraId="030D86C3">
            <w:pPr>
              <w:widowControl/>
              <w:jc w:val="center"/>
              <w:textAlignment w:val="center"/>
              <w:rPr>
                <w:rFonts w:hint="eastAsia" w:ascii="宋体" w:hAnsi="宋体"/>
                <w:color w:val="auto"/>
                <w:highlight w:val="none"/>
              </w:rPr>
            </w:pPr>
            <w:r>
              <w:rPr>
                <w:rFonts w:hint="eastAsia" w:ascii="宋体" w:hAnsi="宋体" w:cs="宋体"/>
                <w:color w:val="auto"/>
                <w:kern w:val="0"/>
                <w:szCs w:val="21"/>
                <w:highlight w:val="none"/>
                <w:lang w:bidi="ar"/>
              </w:rPr>
              <w:t>服务承诺</w:t>
            </w:r>
          </w:p>
        </w:tc>
        <w:tc>
          <w:tcPr>
            <w:tcW w:w="6866" w:type="dxa"/>
            <w:gridSpan w:val="2"/>
            <w:shd w:val="clear" w:color="auto" w:fill="FFFFFF"/>
            <w:noWrap w:val="0"/>
            <w:vAlign w:val="center"/>
          </w:tcPr>
          <w:p w14:paraId="7EC64843">
            <w:pPr>
              <w:pStyle w:val="19"/>
              <w:rPr>
                <w:rFonts w:hint="eastAsia" w:ascii="宋体" w:hAnsi="宋体"/>
                <w:color w:val="auto"/>
                <w:sz w:val="21"/>
                <w:highlight w:val="none"/>
              </w:rPr>
            </w:pPr>
            <w:r>
              <w:rPr>
                <w:color w:val="auto"/>
                <w:kern w:val="2"/>
                <w:sz w:val="21"/>
                <w:szCs w:val="21"/>
                <w:highlight w:val="none"/>
              </w:rPr>
              <w:t>根据</w:t>
            </w:r>
            <w:r>
              <w:rPr>
                <w:rFonts w:hint="eastAsia"/>
                <w:color w:val="auto"/>
                <w:kern w:val="2"/>
                <w:szCs w:val="21"/>
                <w:highlight w:val="none"/>
                <w:lang w:val="zh-CN"/>
              </w:rPr>
              <w:t>供应商</w:t>
            </w:r>
            <w:r>
              <w:rPr>
                <w:color w:val="auto"/>
                <w:kern w:val="2"/>
                <w:sz w:val="21"/>
                <w:szCs w:val="21"/>
                <w:highlight w:val="none"/>
              </w:rPr>
              <w:t>针对本项目的服务质量承诺</w:t>
            </w:r>
            <w:r>
              <w:rPr>
                <w:rFonts w:hint="eastAsia"/>
                <w:color w:val="auto"/>
                <w:kern w:val="2"/>
                <w:sz w:val="21"/>
                <w:szCs w:val="21"/>
                <w:highlight w:val="none"/>
              </w:rPr>
              <w:t>和</w:t>
            </w:r>
            <w:r>
              <w:rPr>
                <w:color w:val="auto"/>
                <w:kern w:val="2"/>
                <w:sz w:val="21"/>
                <w:szCs w:val="21"/>
                <w:highlight w:val="none"/>
              </w:rPr>
              <w:t>提出有效的保障措施进行打分（0-</w:t>
            </w:r>
            <w:r>
              <w:rPr>
                <w:rFonts w:hint="eastAsia"/>
                <w:color w:val="auto"/>
                <w:kern w:val="2"/>
                <w:sz w:val="21"/>
                <w:szCs w:val="21"/>
                <w:highlight w:val="none"/>
              </w:rPr>
              <w:t>3</w:t>
            </w:r>
            <w:r>
              <w:rPr>
                <w:color w:val="auto"/>
                <w:kern w:val="2"/>
                <w:sz w:val="21"/>
                <w:szCs w:val="21"/>
                <w:highlight w:val="none"/>
              </w:rPr>
              <w:t>分）。</w:t>
            </w:r>
          </w:p>
        </w:tc>
        <w:tc>
          <w:tcPr>
            <w:tcW w:w="601" w:type="dxa"/>
            <w:tcBorders>
              <w:top w:val="single" w:color="auto" w:sz="4" w:space="0"/>
              <w:bottom w:val="single" w:color="auto" w:sz="4" w:space="0"/>
            </w:tcBorders>
            <w:shd w:val="clear" w:color="auto" w:fill="FFFFFF"/>
            <w:noWrap w:val="0"/>
            <w:vAlign w:val="center"/>
          </w:tcPr>
          <w:p w14:paraId="1178BCF7">
            <w:pPr>
              <w:spacing w:line="320" w:lineRule="exact"/>
              <w:jc w:val="center"/>
              <w:rPr>
                <w:rFonts w:hint="eastAsia" w:ascii="宋体" w:hAnsi="宋体" w:cs="宋体"/>
                <w:color w:val="auto"/>
                <w:szCs w:val="21"/>
                <w:highlight w:val="none"/>
              </w:rPr>
            </w:pPr>
            <w:r>
              <w:rPr>
                <w:rFonts w:hint="eastAsia"/>
                <w:color w:val="auto"/>
                <w:szCs w:val="21"/>
                <w:highlight w:val="none"/>
              </w:rPr>
              <w:t>3</w:t>
            </w:r>
          </w:p>
        </w:tc>
      </w:tr>
      <w:tr w14:paraId="1728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2BAE507A">
            <w:pPr>
              <w:jc w:val="center"/>
              <w:rPr>
                <w:rFonts w:hint="eastAsia"/>
                <w:color w:val="auto"/>
                <w:szCs w:val="21"/>
                <w:highlight w:val="none"/>
              </w:rPr>
            </w:pPr>
            <w:r>
              <w:rPr>
                <w:rFonts w:hint="eastAsia"/>
                <w:color w:val="auto"/>
                <w:szCs w:val="21"/>
                <w:highlight w:val="none"/>
              </w:rPr>
              <w:t>6</w:t>
            </w:r>
          </w:p>
        </w:tc>
        <w:tc>
          <w:tcPr>
            <w:tcW w:w="1077" w:type="dxa"/>
            <w:shd w:val="clear" w:color="auto" w:fill="auto"/>
            <w:noWrap w:val="0"/>
            <w:vAlign w:val="center"/>
          </w:tcPr>
          <w:p w14:paraId="6DA0265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拟投入的设备</w:t>
            </w:r>
          </w:p>
        </w:tc>
        <w:tc>
          <w:tcPr>
            <w:tcW w:w="6866" w:type="dxa"/>
            <w:gridSpan w:val="2"/>
            <w:shd w:val="clear" w:color="auto" w:fill="FFFFFF"/>
            <w:noWrap w:val="0"/>
            <w:vAlign w:val="center"/>
          </w:tcPr>
          <w:p w14:paraId="25D97349">
            <w:pPr>
              <w:widowControl/>
              <w:jc w:val="left"/>
              <w:textAlignment w:val="center"/>
              <w:rPr>
                <w:rFonts w:hint="eastAsia"/>
                <w:color w:val="auto"/>
                <w:szCs w:val="21"/>
                <w:highlight w:val="none"/>
              </w:rPr>
            </w:pPr>
            <w:r>
              <w:rPr>
                <w:rFonts w:hint="eastAsia"/>
                <w:color w:val="auto"/>
                <w:szCs w:val="21"/>
                <w:highlight w:val="none"/>
              </w:rPr>
              <w:t>根据投标人针对本项目拟投入设备的合理性和先进性进行打分。0-</w:t>
            </w:r>
            <w:r>
              <w:rPr>
                <w:rFonts w:hint="eastAsia"/>
                <w:color w:val="auto"/>
                <w:szCs w:val="21"/>
                <w:highlight w:val="none"/>
                <w:lang w:val="en-US" w:eastAsia="zh-CN"/>
              </w:rPr>
              <w:t>3</w:t>
            </w:r>
            <w:r>
              <w:rPr>
                <w:rFonts w:hint="eastAsia"/>
                <w:color w:val="auto"/>
                <w:szCs w:val="21"/>
                <w:highlight w:val="none"/>
              </w:rPr>
              <w:t>分</w:t>
            </w:r>
          </w:p>
          <w:p w14:paraId="01D83AD2">
            <w:pPr>
              <w:widowControl/>
              <w:jc w:val="left"/>
              <w:textAlignment w:val="center"/>
              <w:rPr>
                <w:color w:val="auto"/>
                <w:szCs w:val="21"/>
                <w:highlight w:val="none"/>
              </w:rPr>
            </w:pPr>
            <w:r>
              <w:rPr>
                <w:rFonts w:hint="eastAsia"/>
                <w:color w:val="auto"/>
                <w:szCs w:val="21"/>
                <w:highlight w:val="none"/>
              </w:rPr>
              <w:t>注：附购买发票或租赁合同扫描件加盖电子章，否则不得分。</w:t>
            </w:r>
          </w:p>
        </w:tc>
        <w:tc>
          <w:tcPr>
            <w:tcW w:w="601" w:type="dxa"/>
            <w:tcBorders>
              <w:top w:val="single" w:color="auto" w:sz="4" w:space="0"/>
              <w:bottom w:val="single" w:color="auto" w:sz="4" w:space="0"/>
            </w:tcBorders>
            <w:shd w:val="clear" w:color="auto" w:fill="FFFFFF"/>
            <w:noWrap w:val="0"/>
            <w:vAlign w:val="center"/>
          </w:tcPr>
          <w:p w14:paraId="7B2DE8A8">
            <w:pPr>
              <w:spacing w:line="320" w:lineRule="exact"/>
              <w:jc w:val="center"/>
              <w:rPr>
                <w:rFonts w:hint="eastAsia" w:ascii="宋体" w:hAnsi="宋体" w:eastAsia="宋体" w:cs="宋体"/>
                <w:color w:val="auto"/>
                <w:szCs w:val="21"/>
                <w:highlight w:val="none"/>
                <w:lang w:eastAsia="zh-CN"/>
              </w:rPr>
            </w:pPr>
            <w:r>
              <w:rPr>
                <w:rFonts w:hint="eastAsia"/>
                <w:color w:val="auto"/>
                <w:szCs w:val="21"/>
                <w:highlight w:val="none"/>
                <w:lang w:val="en-US" w:eastAsia="zh-CN"/>
              </w:rPr>
              <w:t>3</w:t>
            </w:r>
          </w:p>
        </w:tc>
      </w:tr>
      <w:tr w14:paraId="1F8A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shd w:val="clear" w:color="auto" w:fill="auto"/>
            <w:noWrap w:val="0"/>
            <w:vAlign w:val="center"/>
          </w:tcPr>
          <w:p w14:paraId="28383534">
            <w:pPr>
              <w:jc w:val="center"/>
              <w:rPr>
                <w:rFonts w:hint="eastAsia"/>
                <w:color w:val="auto"/>
                <w:szCs w:val="21"/>
                <w:highlight w:val="none"/>
              </w:rPr>
            </w:pPr>
            <w:r>
              <w:rPr>
                <w:rFonts w:hint="eastAsia"/>
                <w:color w:val="auto"/>
                <w:szCs w:val="21"/>
                <w:highlight w:val="none"/>
              </w:rPr>
              <w:t>7</w:t>
            </w:r>
          </w:p>
        </w:tc>
        <w:tc>
          <w:tcPr>
            <w:tcW w:w="1077" w:type="dxa"/>
            <w:shd w:val="clear" w:color="auto" w:fill="auto"/>
            <w:noWrap w:val="0"/>
            <w:vAlign w:val="center"/>
          </w:tcPr>
          <w:p w14:paraId="4AE6BBD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合理化建议</w:t>
            </w:r>
          </w:p>
        </w:tc>
        <w:tc>
          <w:tcPr>
            <w:tcW w:w="6866" w:type="dxa"/>
            <w:gridSpan w:val="2"/>
            <w:shd w:val="clear" w:color="auto" w:fill="FFFFFF"/>
            <w:noWrap w:val="0"/>
            <w:vAlign w:val="center"/>
          </w:tcPr>
          <w:p w14:paraId="703471B0">
            <w:pPr>
              <w:snapToGrid w:val="0"/>
              <w:spacing w:line="300" w:lineRule="exact"/>
              <w:rPr>
                <w:color w:val="auto"/>
                <w:szCs w:val="21"/>
                <w:highlight w:val="none"/>
              </w:rPr>
            </w:pPr>
            <w:r>
              <w:rPr>
                <w:rFonts w:hint="eastAsia"/>
                <w:color w:val="auto"/>
                <w:szCs w:val="21"/>
                <w:highlight w:val="none"/>
                <w:lang w:val="zh-CN"/>
              </w:rPr>
              <w:t>根据</w:t>
            </w:r>
            <w:r>
              <w:rPr>
                <w:rFonts w:hint="eastAsia"/>
                <w:color w:val="auto"/>
                <w:szCs w:val="21"/>
                <w:highlight w:val="none"/>
              </w:rPr>
              <w:t>针对本项目提出合理化建议方案的合理性、可实施性和相应的解决措施等内容进行打分</w:t>
            </w:r>
            <w:r>
              <w:rPr>
                <w:color w:val="auto"/>
                <w:szCs w:val="21"/>
                <w:highlight w:val="none"/>
              </w:rPr>
              <w:t>（0-3分）。</w:t>
            </w:r>
          </w:p>
        </w:tc>
        <w:tc>
          <w:tcPr>
            <w:tcW w:w="601" w:type="dxa"/>
            <w:tcBorders>
              <w:top w:val="single" w:color="auto" w:sz="4" w:space="0"/>
              <w:bottom w:val="single" w:color="auto" w:sz="4" w:space="0"/>
            </w:tcBorders>
            <w:shd w:val="clear" w:color="auto" w:fill="FFFFFF"/>
            <w:noWrap w:val="0"/>
            <w:vAlign w:val="center"/>
          </w:tcPr>
          <w:p w14:paraId="198E5511">
            <w:pPr>
              <w:snapToGrid w:val="0"/>
              <w:spacing w:line="300" w:lineRule="exact"/>
              <w:jc w:val="center"/>
              <w:rPr>
                <w:rFonts w:hint="eastAsia" w:ascii="宋体" w:hAnsi="宋体" w:cs="宋体"/>
                <w:color w:val="auto"/>
                <w:szCs w:val="21"/>
                <w:highlight w:val="none"/>
              </w:rPr>
            </w:pPr>
            <w:r>
              <w:rPr>
                <w:rFonts w:hint="eastAsia"/>
                <w:color w:val="auto"/>
                <w:szCs w:val="21"/>
                <w:highlight w:val="none"/>
              </w:rPr>
              <w:t>3</w:t>
            </w:r>
          </w:p>
        </w:tc>
      </w:tr>
      <w:tr w14:paraId="460F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restart"/>
            <w:shd w:val="clear" w:color="auto" w:fill="auto"/>
            <w:noWrap w:val="0"/>
            <w:vAlign w:val="center"/>
          </w:tcPr>
          <w:p w14:paraId="4F2A4849">
            <w:pPr>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1077" w:type="dxa"/>
            <w:vMerge w:val="restart"/>
            <w:shd w:val="clear" w:color="auto" w:fill="auto"/>
            <w:noWrap w:val="0"/>
            <w:vAlign w:val="center"/>
          </w:tcPr>
          <w:p w14:paraId="3E39BFB3">
            <w:pPr>
              <w:pStyle w:val="324"/>
              <w:ind w:firstLine="0" w:firstLineChars="0"/>
              <w:jc w:val="center"/>
              <w:rPr>
                <w:rFonts w:hint="eastAsia" w:ascii="宋体" w:hAnsi="宋体" w:eastAsia="宋体"/>
                <w:color w:val="auto"/>
                <w:kern w:val="0"/>
                <w:sz w:val="21"/>
                <w:highlight w:val="none"/>
                <w:lang w:bidi="ar"/>
              </w:rPr>
            </w:pPr>
            <w:r>
              <w:rPr>
                <w:rFonts w:hint="eastAsia" w:ascii="宋体" w:hAnsi="宋体" w:eastAsia="宋体" w:cs="宋体"/>
                <w:color w:val="auto"/>
                <w:sz w:val="21"/>
                <w:highlight w:val="none"/>
                <w:lang w:val="zh-CN"/>
              </w:rPr>
              <w:t>后续服务</w:t>
            </w:r>
          </w:p>
        </w:tc>
        <w:tc>
          <w:tcPr>
            <w:tcW w:w="6866" w:type="dxa"/>
            <w:gridSpan w:val="2"/>
            <w:shd w:val="clear" w:color="auto" w:fill="FFFFFF"/>
            <w:noWrap w:val="0"/>
            <w:vAlign w:val="center"/>
          </w:tcPr>
          <w:p w14:paraId="09DDDE58">
            <w:pPr>
              <w:jc w:val="left"/>
              <w:rPr>
                <w:color w:val="auto"/>
                <w:sz w:val="21"/>
                <w:highlight w:val="none"/>
              </w:rPr>
            </w:pPr>
            <w:r>
              <w:rPr>
                <w:rFonts w:hint="eastAsia"/>
                <w:color w:val="auto"/>
              </w:rPr>
              <w:t>根据投标人针对后续服务方案和承诺情况进行</w:t>
            </w:r>
            <w:r>
              <w:rPr>
                <w:rFonts w:hint="eastAsia"/>
                <w:color w:val="auto"/>
                <w:lang w:val="en-US" w:eastAsia="zh-CN"/>
              </w:rPr>
              <w:t>打</w:t>
            </w:r>
            <w:r>
              <w:rPr>
                <w:rFonts w:hint="eastAsia"/>
                <w:color w:val="auto"/>
              </w:rPr>
              <w:t>分</w:t>
            </w:r>
            <w:r>
              <w:rPr>
                <w:rFonts w:hint="eastAsia" w:ascii="宋体" w:hAnsi="宋体" w:eastAsia="宋体"/>
                <w:color w:val="auto"/>
                <w:sz w:val="21"/>
              </w:rPr>
              <w:t>（0-</w:t>
            </w:r>
            <w:r>
              <w:rPr>
                <w:rFonts w:hint="eastAsia" w:ascii="宋体" w:hAnsi="宋体" w:eastAsia="宋体"/>
                <w:color w:val="auto"/>
                <w:sz w:val="21"/>
                <w:lang w:val="en-US" w:eastAsia="zh-CN"/>
              </w:rPr>
              <w:t>3</w:t>
            </w:r>
            <w:r>
              <w:rPr>
                <w:rFonts w:hint="eastAsia" w:ascii="宋体" w:hAnsi="宋体" w:eastAsia="宋体"/>
                <w:color w:val="auto"/>
                <w:sz w:val="21"/>
              </w:rPr>
              <w:t>分）</w:t>
            </w:r>
            <w:r>
              <w:rPr>
                <w:rFonts w:hint="eastAsia"/>
                <w:color w:val="auto"/>
              </w:rPr>
              <w:t>。</w:t>
            </w:r>
          </w:p>
        </w:tc>
        <w:tc>
          <w:tcPr>
            <w:tcW w:w="601" w:type="dxa"/>
            <w:tcBorders>
              <w:top w:val="single" w:color="auto" w:sz="4" w:space="0"/>
            </w:tcBorders>
            <w:shd w:val="clear" w:color="auto" w:fill="FFFFFF"/>
            <w:noWrap w:val="0"/>
            <w:vAlign w:val="center"/>
          </w:tcPr>
          <w:p w14:paraId="53A7A6D7">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r>
      <w:tr w14:paraId="742E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continue"/>
            <w:shd w:val="clear" w:color="auto" w:fill="auto"/>
            <w:noWrap w:val="0"/>
            <w:vAlign w:val="center"/>
          </w:tcPr>
          <w:p w14:paraId="39A20AE9">
            <w:pPr>
              <w:jc w:val="center"/>
              <w:rPr>
                <w:color w:val="auto"/>
                <w:szCs w:val="21"/>
                <w:highlight w:val="none"/>
              </w:rPr>
            </w:pPr>
          </w:p>
        </w:tc>
        <w:tc>
          <w:tcPr>
            <w:tcW w:w="1077" w:type="dxa"/>
            <w:vMerge w:val="continue"/>
            <w:shd w:val="clear" w:color="auto" w:fill="auto"/>
            <w:noWrap w:val="0"/>
            <w:vAlign w:val="center"/>
          </w:tcPr>
          <w:p w14:paraId="69543FD4">
            <w:pPr>
              <w:jc w:val="center"/>
              <w:rPr>
                <w:rFonts w:hint="eastAsia"/>
                <w:color w:val="auto"/>
                <w:szCs w:val="21"/>
                <w:highlight w:val="none"/>
                <w:lang w:val="zh-CN"/>
              </w:rPr>
            </w:pPr>
          </w:p>
        </w:tc>
        <w:tc>
          <w:tcPr>
            <w:tcW w:w="6866" w:type="dxa"/>
            <w:gridSpan w:val="2"/>
            <w:shd w:val="clear" w:color="auto" w:fill="FFFFFF"/>
            <w:noWrap w:val="0"/>
            <w:vAlign w:val="center"/>
          </w:tcPr>
          <w:p w14:paraId="76360785">
            <w:pPr>
              <w:jc w:val="left"/>
              <w:rPr>
                <w:color w:val="auto"/>
                <w:szCs w:val="21"/>
                <w:highlight w:val="none"/>
              </w:rPr>
            </w:pPr>
            <w:bookmarkStart w:id="78" w:name="_GoBack"/>
            <w:r>
              <w:rPr>
                <w:rFonts w:hint="eastAsia"/>
                <w:color w:val="auto"/>
              </w:rPr>
              <w:t>根据投标人针对后续服务响应的及时性进行</w:t>
            </w:r>
            <w:r>
              <w:rPr>
                <w:rFonts w:hint="eastAsia"/>
                <w:color w:val="auto"/>
                <w:lang w:val="en-US" w:eastAsia="zh-CN"/>
              </w:rPr>
              <w:t>打</w:t>
            </w:r>
            <w:r>
              <w:rPr>
                <w:rFonts w:hint="eastAsia"/>
                <w:color w:val="auto"/>
              </w:rPr>
              <w:t>分</w:t>
            </w:r>
            <w:r>
              <w:rPr>
                <w:rFonts w:hint="eastAsia" w:ascii="宋体" w:hAnsi="宋体" w:eastAsia="宋体"/>
                <w:color w:val="auto"/>
                <w:sz w:val="21"/>
              </w:rPr>
              <w:t>（0-</w:t>
            </w:r>
            <w:r>
              <w:rPr>
                <w:rFonts w:hint="eastAsia" w:ascii="宋体" w:hAnsi="宋体" w:eastAsia="宋体"/>
                <w:color w:val="auto"/>
                <w:sz w:val="21"/>
                <w:lang w:val="en-US" w:eastAsia="zh-CN"/>
              </w:rPr>
              <w:t>3</w:t>
            </w:r>
            <w:r>
              <w:rPr>
                <w:rFonts w:hint="eastAsia" w:ascii="宋体" w:hAnsi="宋体" w:eastAsia="宋体"/>
                <w:color w:val="auto"/>
                <w:sz w:val="21"/>
              </w:rPr>
              <w:t>分）</w:t>
            </w:r>
            <w:r>
              <w:rPr>
                <w:rFonts w:hint="eastAsia"/>
                <w:color w:val="auto"/>
              </w:rPr>
              <w:t>。</w:t>
            </w:r>
            <w:bookmarkEnd w:id="78"/>
          </w:p>
        </w:tc>
        <w:tc>
          <w:tcPr>
            <w:tcW w:w="601" w:type="dxa"/>
            <w:tcBorders>
              <w:bottom w:val="single" w:color="auto" w:sz="4" w:space="0"/>
            </w:tcBorders>
            <w:shd w:val="clear" w:color="auto" w:fill="FFFFFF"/>
            <w:noWrap w:val="0"/>
            <w:vAlign w:val="center"/>
          </w:tcPr>
          <w:p w14:paraId="33CFF822">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r>
    </w:tbl>
    <w:p w14:paraId="6C293583">
      <w:pPr>
        <w:spacing w:line="400" w:lineRule="exact"/>
        <w:rPr>
          <w:rFonts w:hAnsi="宋体"/>
          <w:color w:val="auto"/>
          <w:sz w:val="24"/>
          <w:lang w:val="zh-CN"/>
        </w:rPr>
      </w:pPr>
    </w:p>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2"/>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4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0724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2089987C">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评标内容</w:t>
            </w:r>
          </w:p>
        </w:tc>
        <w:tc>
          <w:tcPr>
            <w:tcW w:w="992" w:type="dxa"/>
            <w:noWrap w:val="0"/>
            <w:vAlign w:val="center"/>
          </w:tcPr>
          <w:p w14:paraId="726CE192">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1134" w:type="dxa"/>
            <w:tcBorders>
              <w:top w:val="single" w:color="auto" w:sz="4" w:space="0"/>
              <w:left w:val="nil"/>
              <w:bottom w:val="single" w:color="auto" w:sz="4" w:space="0"/>
              <w:right w:val="single" w:color="auto" w:sz="4" w:space="0"/>
            </w:tcBorders>
            <w:noWrap w:val="0"/>
            <w:vAlign w:val="center"/>
          </w:tcPr>
          <w:p w14:paraId="3949F545">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w:t>
            </w:r>
          </w:p>
          <w:p w14:paraId="44773146">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响应页码</w:t>
            </w:r>
          </w:p>
        </w:tc>
        <w:tc>
          <w:tcPr>
            <w:tcW w:w="3544" w:type="dxa"/>
            <w:tcBorders>
              <w:top w:val="single" w:color="auto" w:sz="4" w:space="0"/>
              <w:left w:val="nil"/>
              <w:bottom w:val="single" w:color="auto" w:sz="4" w:space="0"/>
              <w:right w:val="single" w:color="auto" w:sz="4" w:space="0"/>
            </w:tcBorders>
            <w:noWrap w:val="0"/>
            <w:vAlign w:val="center"/>
          </w:tcPr>
          <w:p w14:paraId="5B6C9B8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012C8C35">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应标情况</w:t>
            </w:r>
          </w:p>
        </w:tc>
        <w:tc>
          <w:tcPr>
            <w:tcW w:w="1276" w:type="dxa"/>
            <w:tcBorders>
              <w:top w:val="single" w:color="auto" w:sz="4" w:space="0"/>
              <w:left w:val="nil"/>
              <w:bottom w:val="single" w:color="auto" w:sz="4" w:space="0"/>
              <w:right w:val="single" w:color="auto" w:sz="4" w:space="0"/>
            </w:tcBorders>
            <w:noWrap w:val="0"/>
            <w:vAlign w:val="center"/>
          </w:tcPr>
          <w:p w14:paraId="444B0D47">
            <w:pPr>
              <w:widowControl/>
              <w:jc w:val="center"/>
              <w:rPr>
                <w:rFonts w:hint="eastAsia" w:ascii="宋体" w:hAnsi="宋体" w:cs="宋体"/>
                <w:color w:val="auto"/>
                <w:szCs w:val="21"/>
                <w:highlight w:val="none"/>
              </w:rPr>
            </w:pPr>
            <w:r>
              <w:rPr>
                <w:rFonts w:hint="eastAsia" w:ascii="宋体" w:hAnsi="宋体" w:cs="宋体"/>
                <w:b/>
                <w:bCs/>
                <w:color w:val="auto"/>
                <w:kern w:val="0"/>
                <w:sz w:val="24"/>
                <w:highlight w:val="none"/>
              </w:rPr>
              <w:t>投标人自评分值</w:t>
            </w:r>
          </w:p>
        </w:tc>
      </w:tr>
      <w:tr w14:paraId="392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noWrap w:val="0"/>
            <w:vAlign w:val="center"/>
          </w:tcPr>
          <w:p w14:paraId="396155DE">
            <w:pPr>
              <w:widowControl/>
              <w:snapToGrid w:val="0"/>
              <w:spacing w:line="300" w:lineRule="exact"/>
              <w:jc w:val="left"/>
              <w:rPr>
                <w:rFonts w:hint="eastAsia" w:ascii="宋体" w:hAnsi="宋体" w:cs="宋体"/>
                <w:bCs/>
                <w:color w:val="auto"/>
                <w:sz w:val="24"/>
                <w:highlight w:val="none"/>
              </w:rPr>
            </w:pPr>
            <w:r>
              <w:rPr>
                <w:rFonts w:hint="eastAsia"/>
                <w:color w:val="auto"/>
                <w:szCs w:val="21"/>
                <w:highlight w:val="none"/>
              </w:rPr>
              <w:t>1</w:t>
            </w:r>
          </w:p>
        </w:tc>
        <w:tc>
          <w:tcPr>
            <w:tcW w:w="2329" w:type="dxa"/>
            <w:noWrap w:val="0"/>
            <w:vAlign w:val="center"/>
          </w:tcPr>
          <w:p w14:paraId="5B9B58BD">
            <w:pPr>
              <w:spacing w:line="360" w:lineRule="exact"/>
              <w:jc w:val="center"/>
              <w:rPr>
                <w:rFonts w:hint="eastAsia" w:ascii="宋体" w:hAnsi="宋体" w:cs="宋体"/>
                <w:color w:val="auto"/>
                <w:szCs w:val="21"/>
                <w:highlight w:val="none"/>
                <w:lang w:val="zh-CN"/>
              </w:rPr>
            </w:pPr>
            <w:r>
              <w:rPr>
                <w:rFonts w:hint="eastAsia"/>
                <w:color w:val="auto"/>
                <w:szCs w:val="21"/>
                <w:highlight w:val="none"/>
              </w:rPr>
              <w:t>体系认证及行业证书</w:t>
            </w:r>
          </w:p>
        </w:tc>
        <w:tc>
          <w:tcPr>
            <w:tcW w:w="992" w:type="dxa"/>
            <w:noWrap w:val="0"/>
            <w:vAlign w:val="center"/>
          </w:tcPr>
          <w:p w14:paraId="7E8FEC82">
            <w:pPr>
              <w:jc w:val="center"/>
              <w:rPr>
                <w:rFonts w:hint="eastAsia" w:ascii="宋体" w:hAnsi="宋体" w:cs="宋体"/>
                <w:color w:val="auto"/>
                <w:sz w:val="24"/>
                <w:highlight w:val="none"/>
              </w:rPr>
            </w:pPr>
            <w:r>
              <w:rPr>
                <w:rFonts w:hint="eastAsia"/>
                <w:b/>
                <w:color w:val="auto"/>
                <w:szCs w:val="21"/>
                <w:highlight w:val="none"/>
              </w:rPr>
              <w:t>4</w:t>
            </w:r>
          </w:p>
        </w:tc>
        <w:tc>
          <w:tcPr>
            <w:tcW w:w="1134" w:type="dxa"/>
            <w:noWrap w:val="0"/>
            <w:vAlign w:val="center"/>
          </w:tcPr>
          <w:p w14:paraId="2E6C1969">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25A4E606">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A7C437F">
            <w:pPr>
              <w:jc w:val="left"/>
              <w:rPr>
                <w:rFonts w:hint="eastAsia" w:ascii="宋体" w:hAnsi="宋体" w:cs="宋体"/>
                <w:bCs/>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7FB3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noWrap w:val="0"/>
            <w:vAlign w:val="center"/>
          </w:tcPr>
          <w:p w14:paraId="545EA9C7">
            <w:pPr>
              <w:widowControl/>
              <w:snapToGrid w:val="0"/>
              <w:spacing w:line="300" w:lineRule="exact"/>
              <w:jc w:val="left"/>
              <w:rPr>
                <w:rFonts w:hint="eastAsia" w:ascii="宋体" w:hAnsi="宋体"/>
                <w:color w:val="auto"/>
                <w:szCs w:val="21"/>
                <w:highlight w:val="none"/>
              </w:rPr>
            </w:pPr>
            <w:r>
              <w:rPr>
                <w:rFonts w:ascii="宋体" w:hAnsi="宋体" w:cs="宋体"/>
                <w:color w:val="auto"/>
                <w:szCs w:val="21"/>
                <w:highlight w:val="none"/>
              </w:rPr>
              <w:t>2</w:t>
            </w:r>
          </w:p>
        </w:tc>
        <w:tc>
          <w:tcPr>
            <w:tcW w:w="2329" w:type="dxa"/>
            <w:noWrap w:val="0"/>
            <w:vAlign w:val="center"/>
          </w:tcPr>
          <w:p w14:paraId="559E88FD">
            <w:pPr>
              <w:widowControl/>
              <w:snapToGrid w:val="0"/>
              <w:spacing w:line="300" w:lineRule="exact"/>
              <w:jc w:val="center"/>
              <w:rPr>
                <w:rFonts w:hint="eastAsia" w:ascii="宋体" w:hAnsi="宋体" w:cs="宋体"/>
                <w:bCs/>
                <w:color w:val="auto"/>
                <w:kern w:val="0"/>
                <w:szCs w:val="21"/>
                <w:highlight w:val="none"/>
              </w:rPr>
            </w:pPr>
            <w:r>
              <w:rPr>
                <w:rFonts w:hint="eastAsia" w:ascii="宋体" w:hAnsi="宋体" w:cs="宋体"/>
                <w:color w:val="auto"/>
                <w:szCs w:val="21"/>
                <w:highlight w:val="none"/>
                <w:lang w:val="zh-CN"/>
              </w:rPr>
              <w:t>项目组成员</w:t>
            </w:r>
          </w:p>
        </w:tc>
        <w:tc>
          <w:tcPr>
            <w:tcW w:w="992" w:type="dxa"/>
            <w:noWrap w:val="0"/>
            <w:vAlign w:val="center"/>
          </w:tcPr>
          <w:p w14:paraId="62874673">
            <w:pPr>
              <w:widowControl/>
              <w:snapToGrid w:val="0"/>
              <w:spacing w:line="300" w:lineRule="exact"/>
              <w:jc w:val="center"/>
              <w:rPr>
                <w:rFonts w:hint="default"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15</w:t>
            </w:r>
          </w:p>
        </w:tc>
        <w:tc>
          <w:tcPr>
            <w:tcW w:w="1134" w:type="dxa"/>
            <w:noWrap w:val="0"/>
            <w:vAlign w:val="center"/>
          </w:tcPr>
          <w:p w14:paraId="12188246">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69F1D65D">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A248634">
            <w:pPr>
              <w:jc w:val="left"/>
              <w:rPr>
                <w:rFonts w:hint="eastAsia" w:ascii="宋体" w:hAnsi="宋体" w:cs="宋体"/>
                <w:b/>
                <w:bCs/>
                <w:color w:val="auto"/>
                <w:kern w:val="0"/>
                <w:sz w:val="24"/>
                <w:highlight w:val="none"/>
                <w:shd w:val="pct10" w:color="auto" w:fill="FFFFFF"/>
              </w:rPr>
            </w:pPr>
            <w:r>
              <w:rPr>
                <w:rFonts w:hint="eastAsia" w:ascii="宋体" w:hAnsi="宋体" w:cs="宋体"/>
                <w:b/>
                <w:bCs/>
                <w:color w:val="auto"/>
                <w:kern w:val="0"/>
                <w:sz w:val="24"/>
                <w:highlight w:val="none"/>
                <w:shd w:val="pct10" w:color="auto" w:fill="FFFFFF"/>
              </w:rPr>
              <w:t>投标人将应得分值填写准确</w:t>
            </w:r>
          </w:p>
        </w:tc>
      </w:tr>
      <w:tr w14:paraId="6E7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noWrap w:val="0"/>
            <w:vAlign w:val="center"/>
          </w:tcPr>
          <w:p w14:paraId="1DE71C5F">
            <w:pPr>
              <w:widowControl/>
              <w:snapToGrid w:val="0"/>
              <w:spacing w:line="300" w:lineRule="exact"/>
              <w:jc w:val="left"/>
              <w:rPr>
                <w:rFonts w:hint="eastAsia" w:ascii="宋体" w:hAnsi="宋体" w:cs="宋体"/>
                <w:bCs/>
                <w:color w:val="auto"/>
                <w:sz w:val="24"/>
                <w:highlight w:val="none"/>
              </w:rPr>
            </w:pPr>
            <w:r>
              <w:rPr>
                <w:rFonts w:ascii="宋体" w:hAnsi="宋体" w:cs="宋体"/>
                <w:color w:val="auto"/>
                <w:szCs w:val="21"/>
                <w:highlight w:val="none"/>
              </w:rPr>
              <w:t>3</w:t>
            </w:r>
          </w:p>
        </w:tc>
        <w:tc>
          <w:tcPr>
            <w:tcW w:w="2329" w:type="dxa"/>
            <w:noWrap w:val="0"/>
            <w:vAlign w:val="center"/>
          </w:tcPr>
          <w:p w14:paraId="71149361">
            <w:pPr>
              <w:widowControl/>
              <w:snapToGrid w:val="0"/>
              <w:spacing w:line="300" w:lineRule="exact"/>
              <w:jc w:val="center"/>
              <w:rPr>
                <w:rFonts w:hint="eastAsia" w:ascii="宋体" w:hAnsi="宋体"/>
                <w:color w:val="auto"/>
                <w:highlight w:val="none"/>
              </w:rPr>
            </w:pPr>
            <w:r>
              <w:rPr>
                <w:rFonts w:hint="eastAsia" w:ascii="宋体" w:hAnsi="宋体" w:cs="宋体"/>
                <w:color w:val="auto"/>
                <w:szCs w:val="21"/>
                <w:highlight w:val="none"/>
                <w:lang w:val="zh-CN"/>
              </w:rPr>
              <w:t>类似项目业绩</w:t>
            </w:r>
          </w:p>
        </w:tc>
        <w:tc>
          <w:tcPr>
            <w:tcW w:w="992" w:type="dxa"/>
            <w:noWrap w:val="0"/>
            <w:vAlign w:val="center"/>
          </w:tcPr>
          <w:p w14:paraId="7A22A65E">
            <w:pPr>
              <w:widowControl/>
              <w:snapToGrid w:val="0"/>
              <w:spacing w:line="300" w:lineRule="exact"/>
              <w:jc w:val="center"/>
              <w:rPr>
                <w:rFonts w:ascii="宋体" w:hAnsi="宋体" w:cs="宋体"/>
                <w:color w:val="auto"/>
                <w:sz w:val="24"/>
                <w:highlight w:val="none"/>
              </w:rPr>
            </w:pPr>
            <w:r>
              <w:rPr>
                <w:rFonts w:hint="eastAsia" w:ascii="宋体" w:hAnsi="宋体" w:cs="宋体"/>
                <w:color w:val="auto"/>
                <w:szCs w:val="21"/>
                <w:highlight w:val="none"/>
              </w:rPr>
              <w:t>1</w:t>
            </w:r>
          </w:p>
        </w:tc>
        <w:tc>
          <w:tcPr>
            <w:tcW w:w="1134" w:type="dxa"/>
            <w:noWrap w:val="0"/>
            <w:vAlign w:val="center"/>
          </w:tcPr>
          <w:p w14:paraId="10B371B8">
            <w:pPr>
              <w:jc w:val="left"/>
              <w:rPr>
                <w:rFonts w:hint="eastAsia" w:ascii="宋体" w:hAnsi="宋体" w:cs="宋体"/>
                <w:bCs/>
                <w:color w:val="auto"/>
                <w:szCs w:val="21"/>
                <w:highlight w:val="none"/>
              </w:rPr>
            </w:pPr>
          </w:p>
        </w:tc>
        <w:tc>
          <w:tcPr>
            <w:tcW w:w="3544" w:type="dxa"/>
            <w:noWrap w:val="0"/>
            <w:vAlign w:val="center"/>
          </w:tcPr>
          <w:p w14:paraId="4DDCB29C">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76" w:type="dxa"/>
            <w:noWrap w:val="0"/>
            <w:vAlign w:val="center"/>
          </w:tcPr>
          <w:p w14:paraId="225559B4">
            <w:pPr>
              <w:jc w:val="left"/>
              <w:rPr>
                <w:rFonts w:hint="eastAsia" w:ascii="宋体" w:hAnsi="宋体" w:cs="宋体"/>
                <w:b/>
                <w:color w:val="auto"/>
                <w:szCs w:val="21"/>
                <w:highlight w:val="none"/>
              </w:rPr>
            </w:pPr>
            <w:r>
              <w:rPr>
                <w:rFonts w:hint="eastAsia" w:ascii="宋体" w:hAnsi="宋体" w:cs="宋体"/>
                <w:b/>
                <w:bCs/>
                <w:color w:val="auto"/>
                <w:kern w:val="0"/>
                <w:sz w:val="24"/>
                <w:highlight w:val="none"/>
                <w:shd w:val="pct10" w:color="auto" w:fill="FFFFFF"/>
              </w:rPr>
              <w:t>投标人将应得分值填写准确</w:t>
            </w:r>
          </w:p>
        </w:tc>
      </w:tr>
      <w:tr w14:paraId="5DD4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10E5BB8B">
            <w:pPr>
              <w:widowControl/>
              <w:snapToGrid w:val="0"/>
              <w:spacing w:line="300" w:lineRule="exact"/>
              <w:jc w:val="left"/>
              <w:rPr>
                <w:rFonts w:hint="eastAsia" w:ascii="宋体" w:hAnsi="宋体" w:cs="宋体"/>
                <w:bCs/>
                <w:color w:val="auto"/>
                <w:sz w:val="24"/>
                <w:highlight w:val="none"/>
              </w:rPr>
            </w:pPr>
            <w:r>
              <w:rPr>
                <w:rFonts w:hint="eastAsia"/>
                <w:color w:val="auto"/>
                <w:szCs w:val="21"/>
                <w:highlight w:val="none"/>
              </w:rPr>
              <w:t>4</w:t>
            </w:r>
          </w:p>
        </w:tc>
        <w:tc>
          <w:tcPr>
            <w:tcW w:w="2329" w:type="dxa"/>
            <w:noWrap w:val="0"/>
            <w:vAlign w:val="center"/>
          </w:tcPr>
          <w:p w14:paraId="108DFB18">
            <w:pPr>
              <w:widowControl/>
              <w:snapToGrid w:val="0"/>
              <w:spacing w:line="300" w:lineRule="exact"/>
              <w:jc w:val="center"/>
              <w:rPr>
                <w:rFonts w:hint="eastAsia" w:ascii="宋体" w:hAnsi="宋体" w:cs="宋体"/>
                <w:color w:val="auto"/>
                <w:szCs w:val="21"/>
                <w:highlight w:val="none"/>
              </w:rPr>
            </w:pPr>
            <w:r>
              <w:rPr>
                <w:rFonts w:hint="eastAsia"/>
                <w:color w:val="auto"/>
                <w:szCs w:val="21"/>
                <w:highlight w:val="none"/>
                <w:lang w:val="zh-CN"/>
              </w:rPr>
              <w:t>技术方案</w:t>
            </w:r>
          </w:p>
        </w:tc>
        <w:tc>
          <w:tcPr>
            <w:tcW w:w="992" w:type="dxa"/>
            <w:noWrap w:val="0"/>
            <w:vAlign w:val="center"/>
          </w:tcPr>
          <w:p w14:paraId="74825318">
            <w:pPr>
              <w:jc w:val="center"/>
              <w:rPr>
                <w:rFonts w:ascii="宋体" w:hAnsi="宋体" w:cs="宋体"/>
                <w:color w:val="auto"/>
                <w:sz w:val="24"/>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p>
        </w:tc>
        <w:tc>
          <w:tcPr>
            <w:tcW w:w="1134" w:type="dxa"/>
            <w:noWrap w:val="0"/>
            <w:vAlign w:val="center"/>
          </w:tcPr>
          <w:p w14:paraId="7E7B0CBA">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BAA3E31">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31D91F4B">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608F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301F6DE2">
            <w:pPr>
              <w:jc w:val="center"/>
              <w:rPr>
                <w:rFonts w:hint="eastAsia" w:ascii="宋体" w:hAnsi="宋体" w:cs="宋体"/>
                <w:bCs/>
                <w:color w:val="auto"/>
                <w:sz w:val="24"/>
                <w:highlight w:val="none"/>
              </w:rPr>
            </w:pPr>
            <w:r>
              <w:rPr>
                <w:rFonts w:hint="eastAsia"/>
                <w:color w:val="auto"/>
                <w:szCs w:val="21"/>
                <w:highlight w:val="none"/>
              </w:rPr>
              <w:t>5</w:t>
            </w:r>
          </w:p>
        </w:tc>
        <w:tc>
          <w:tcPr>
            <w:tcW w:w="2329" w:type="dxa"/>
            <w:noWrap w:val="0"/>
            <w:vAlign w:val="center"/>
          </w:tcPr>
          <w:p w14:paraId="19AC63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服务承诺</w:t>
            </w:r>
          </w:p>
        </w:tc>
        <w:tc>
          <w:tcPr>
            <w:tcW w:w="992" w:type="dxa"/>
            <w:noWrap w:val="0"/>
            <w:vAlign w:val="center"/>
          </w:tcPr>
          <w:p w14:paraId="35BB5ED4">
            <w:pPr>
              <w:spacing w:line="320" w:lineRule="exact"/>
              <w:jc w:val="center"/>
              <w:rPr>
                <w:rFonts w:ascii="宋体" w:hAnsi="宋体" w:cs="宋体"/>
                <w:color w:val="auto"/>
                <w:sz w:val="24"/>
                <w:highlight w:val="none"/>
              </w:rPr>
            </w:pPr>
            <w:r>
              <w:rPr>
                <w:rFonts w:hint="eastAsia"/>
                <w:color w:val="auto"/>
                <w:szCs w:val="21"/>
                <w:highlight w:val="none"/>
              </w:rPr>
              <w:t>3</w:t>
            </w:r>
          </w:p>
        </w:tc>
        <w:tc>
          <w:tcPr>
            <w:tcW w:w="1134" w:type="dxa"/>
            <w:noWrap w:val="0"/>
            <w:vAlign w:val="center"/>
          </w:tcPr>
          <w:p w14:paraId="4102437B">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0C4E0334">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AE0F99C">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08A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06408B4D">
            <w:pPr>
              <w:jc w:val="center"/>
              <w:rPr>
                <w:rFonts w:hint="eastAsia" w:ascii="宋体" w:hAnsi="宋体"/>
                <w:color w:val="auto"/>
                <w:szCs w:val="21"/>
                <w:highlight w:val="none"/>
              </w:rPr>
            </w:pPr>
            <w:r>
              <w:rPr>
                <w:rFonts w:hint="eastAsia"/>
                <w:color w:val="auto"/>
                <w:szCs w:val="21"/>
                <w:highlight w:val="none"/>
              </w:rPr>
              <w:t>6</w:t>
            </w:r>
          </w:p>
        </w:tc>
        <w:tc>
          <w:tcPr>
            <w:tcW w:w="2329" w:type="dxa"/>
            <w:noWrap w:val="0"/>
            <w:vAlign w:val="center"/>
          </w:tcPr>
          <w:p w14:paraId="419A332B">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拟投入的设备</w:t>
            </w:r>
          </w:p>
        </w:tc>
        <w:tc>
          <w:tcPr>
            <w:tcW w:w="992" w:type="dxa"/>
            <w:noWrap w:val="0"/>
            <w:vAlign w:val="center"/>
          </w:tcPr>
          <w:p w14:paraId="199B7849">
            <w:pPr>
              <w:spacing w:line="320" w:lineRule="exact"/>
              <w:jc w:val="center"/>
              <w:rPr>
                <w:rFonts w:hint="eastAsia" w:ascii="宋体" w:hAnsi="宋体" w:cs="宋体"/>
                <w:color w:val="auto"/>
                <w:sz w:val="24"/>
                <w:highlight w:val="none"/>
              </w:rPr>
            </w:pPr>
            <w:r>
              <w:rPr>
                <w:rFonts w:hint="eastAsia"/>
                <w:color w:val="auto"/>
                <w:szCs w:val="21"/>
                <w:highlight w:val="none"/>
                <w:lang w:val="en-US" w:eastAsia="zh-CN"/>
              </w:rPr>
              <w:t>3</w:t>
            </w:r>
          </w:p>
        </w:tc>
        <w:tc>
          <w:tcPr>
            <w:tcW w:w="1134" w:type="dxa"/>
            <w:noWrap w:val="0"/>
            <w:vAlign w:val="center"/>
          </w:tcPr>
          <w:p w14:paraId="018D6DF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44A2DD7F">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361E8078">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08E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2A67D017">
            <w:pPr>
              <w:jc w:val="center"/>
              <w:rPr>
                <w:rFonts w:hint="eastAsia" w:ascii="宋体" w:hAnsi="宋体"/>
                <w:color w:val="auto"/>
                <w:szCs w:val="21"/>
                <w:highlight w:val="none"/>
              </w:rPr>
            </w:pPr>
            <w:r>
              <w:rPr>
                <w:rFonts w:hint="eastAsia"/>
                <w:color w:val="auto"/>
                <w:szCs w:val="21"/>
                <w:highlight w:val="none"/>
              </w:rPr>
              <w:t>7</w:t>
            </w:r>
          </w:p>
        </w:tc>
        <w:tc>
          <w:tcPr>
            <w:tcW w:w="2329" w:type="dxa"/>
            <w:noWrap w:val="0"/>
            <w:vAlign w:val="center"/>
          </w:tcPr>
          <w:p w14:paraId="4ABC4C85">
            <w:pPr>
              <w:widowControl/>
              <w:jc w:val="center"/>
              <w:textAlignment w:val="center"/>
              <w:rPr>
                <w:rFonts w:hint="eastAsia" w:ascii="宋体" w:hAnsi="宋体"/>
                <w:color w:val="auto"/>
                <w:highlight w:val="none"/>
              </w:rPr>
            </w:pPr>
            <w:r>
              <w:rPr>
                <w:rFonts w:hint="eastAsia" w:ascii="宋体" w:hAnsi="宋体" w:cs="宋体"/>
                <w:color w:val="auto"/>
                <w:kern w:val="0"/>
                <w:szCs w:val="21"/>
                <w:highlight w:val="none"/>
                <w:lang w:bidi="ar"/>
              </w:rPr>
              <w:t>合理化建议</w:t>
            </w:r>
          </w:p>
        </w:tc>
        <w:tc>
          <w:tcPr>
            <w:tcW w:w="992" w:type="dxa"/>
            <w:noWrap w:val="0"/>
            <w:vAlign w:val="center"/>
          </w:tcPr>
          <w:p w14:paraId="605B0E2E">
            <w:pPr>
              <w:snapToGrid w:val="0"/>
              <w:spacing w:line="300" w:lineRule="exact"/>
              <w:jc w:val="center"/>
              <w:rPr>
                <w:rFonts w:hint="eastAsia" w:ascii="宋体" w:hAnsi="宋体" w:cs="宋体"/>
                <w:color w:val="auto"/>
                <w:sz w:val="24"/>
                <w:highlight w:val="none"/>
              </w:rPr>
            </w:pPr>
            <w:r>
              <w:rPr>
                <w:rFonts w:hint="eastAsia"/>
                <w:color w:val="auto"/>
                <w:szCs w:val="21"/>
                <w:highlight w:val="none"/>
              </w:rPr>
              <w:t>3</w:t>
            </w:r>
          </w:p>
        </w:tc>
        <w:tc>
          <w:tcPr>
            <w:tcW w:w="1134" w:type="dxa"/>
            <w:noWrap w:val="0"/>
            <w:vAlign w:val="center"/>
          </w:tcPr>
          <w:p w14:paraId="3EC11323">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3B64D8A7">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691499BE">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1C3B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5EF63E75">
            <w:pPr>
              <w:jc w:val="center"/>
              <w:rPr>
                <w:rFonts w:hint="eastAsia" w:ascii="宋体" w:hAnsi="宋体"/>
                <w:color w:val="auto"/>
                <w:szCs w:val="21"/>
                <w:highlight w:val="none"/>
              </w:rPr>
            </w:pPr>
            <w:r>
              <w:rPr>
                <w:rFonts w:hint="eastAsia"/>
                <w:color w:val="auto"/>
                <w:szCs w:val="21"/>
                <w:highlight w:val="none"/>
              </w:rPr>
              <w:t>8</w:t>
            </w:r>
          </w:p>
        </w:tc>
        <w:tc>
          <w:tcPr>
            <w:tcW w:w="2329" w:type="dxa"/>
            <w:noWrap w:val="0"/>
            <w:vAlign w:val="center"/>
          </w:tcPr>
          <w:p w14:paraId="31134604">
            <w:pPr>
              <w:pStyle w:val="324"/>
              <w:ind w:firstLine="0" w:firstLineChars="0"/>
              <w:jc w:val="center"/>
              <w:rPr>
                <w:rFonts w:hint="eastAsia" w:ascii="宋体" w:hAnsi="宋体"/>
                <w:color w:val="auto"/>
                <w:highlight w:val="none"/>
              </w:rPr>
            </w:pPr>
            <w:r>
              <w:rPr>
                <w:rFonts w:hint="eastAsia" w:ascii="宋体" w:hAnsi="宋体" w:eastAsia="宋体" w:cs="宋体"/>
                <w:color w:val="auto"/>
                <w:sz w:val="21"/>
                <w:highlight w:val="none"/>
                <w:lang w:val="zh-CN"/>
              </w:rPr>
              <w:t>后续服务</w:t>
            </w:r>
          </w:p>
        </w:tc>
        <w:tc>
          <w:tcPr>
            <w:tcW w:w="992" w:type="dxa"/>
            <w:noWrap w:val="0"/>
            <w:vAlign w:val="center"/>
          </w:tcPr>
          <w:p w14:paraId="6EFA0293">
            <w:pPr>
              <w:jc w:val="center"/>
              <w:rPr>
                <w:rFonts w:hint="eastAsia" w:ascii="宋体" w:hAnsi="宋体" w:cs="宋体"/>
                <w:color w:val="auto"/>
                <w:sz w:val="24"/>
                <w:highlight w:val="none"/>
              </w:rPr>
            </w:pPr>
            <w:r>
              <w:rPr>
                <w:rFonts w:hint="eastAsia"/>
                <w:color w:val="auto"/>
                <w:szCs w:val="21"/>
                <w:highlight w:val="none"/>
                <w:lang w:val="en-US" w:eastAsia="zh-CN"/>
              </w:rPr>
              <w:t>6</w:t>
            </w:r>
          </w:p>
        </w:tc>
        <w:tc>
          <w:tcPr>
            <w:tcW w:w="1134" w:type="dxa"/>
            <w:noWrap w:val="0"/>
            <w:vAlign w:val="center"/>
          </w:tcPr>
          <w:p w14:paraId="469DFEEF">
            <w:pPr>
              <w:jc w:val="left"/>
              <w:rPr>
                <w:rFonts w:hint="eastAsia" w:ascii="宋体" w:hAnsi="宋体" w:cs="宋体"/>
                <w:bCs/>
                <w:color w:val="auto"/>
                <w:szCs w:val="21"/>
                <w:highlight w:val="none"/>
              </w:rPr>
            </w:pPr>
          </w:p>
        </w:tc>
        <w:tc>
          <w:tcPr>
            <w:tcW w:w="3544" w:type="dxa"/>
            <w:tcBorders>
              <w:top w:val="nil"/>
              <w:left w:val="nil"/>
              <w:bottom w:val="single" w:color="auto" w:sz="4" w:space="0"/>
              <w:right w:val="single" w:color="auto" w:sz="4" w:space="0"/>
            </w:tcBorders>
            <w:noWrap w:val="0"/>
            <w:vAlign w:val="center"/>
          </w:tcPr>
          <w:p w14:paraId="75014490">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6B6E9469">
            <w:pPr>
              <w:jc w:val="center"/>
              <w:rPr>
                <w:rFonts w:hint="eastAsia" w:ascii="宋体" w:hAnsi="宋体" w:cs="宋体"/>
                <w:b/>
                <w:bCs/>
                <w:color w:val="auto"/>
                <w:kern w:val="0"/>
                <w:sz w:val="24"/>
                <w:highlight w:val="none"/>
                <w:shd w:val="pct10" w:color="auto" w:fill="FFFFFF"/>
              </w:rPr>
            </w:pPr>
            <w:r>
              <w:rPr>
                <w:rFonts w:hint="eastAsia" w:ascii="宋体" w:hAnsi="宋体" w:cs="宋体"/>
                <w:b/>
                <w:color w:val="auto"/>
                <w:szCs w:val="21"/>
                <w:highlight w:val="none"/>
              </w:rPr>
              <w:t>/</w:t>
            </w:r>
          </w:p>
        </w:tc>
      </w:tr>
      <w:tr w14:paraId="6085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06AAAD4B">
            <w:pPr>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992" w:type="dxa"/>
            <w:noWrap w:val="0"/>
            <w:vAlign w:val="center"/>
          </w:tcPr>
          <w:p w14:paraId="56C43858">
            <w:pPr>
              <w:jc w:val="center"/>
              <w:rPr>
                <w:rFonts w:hint="eastAsia" w:ascii="宋体" w:hAnsi="宋体" w:cs="宋体"/>
                <w:color w:val="auto"/>
                <w:sz w:val="24"/>
                <w:highlight w:val="none"/>
              </w:rPr>
            </w:pPr>
            <w:r>
              <w:rPr>
                <w:rFonts w:hint="eastAsia" w:ascii="宋体" w:hAnsi="宋体" w:cs="宋体"/>
                <w:color w:val="auto"/>
                <w:sz w:val="24"/>
                <w:highlight w:val="none"/>
              </w:rPr>
              <w:t>90分</w:t>
            </w:r>
          </w:p>
        </w:tc>
        <w:tc>
          <w:tcPr>
            <w:tcW w:w="1134" w:type="dxa"/>
            <w:noWrap w:val="0"/>
            <w:vAlign w:val="center"/>
          </w:tcPr>
          <w:p w14:paraId="2C2E58AB">
            <w:pPr>
              <w:snapToGrid w:val="0"/>
              <w:jc w:val="left"/>
              <w:rPr>
                <w:rFonts w:hint="eastAsia" w:ascii="宋体" w:hAnsi="宋体" w:cs="宋体"/>
                <w:bCs/>
                <w:color w:val="auto"/>
                <w:szCs w:val="21"/>
                <w:highlight w:val="none"/>
                <w:lang w:val="zh-CN"/>
              </w:rPr>
            </w:pPr>
          </w:p>
        </w:tc>
        <w:tc>
          <w:tcPr>
            <w:tcW w:w="3544" w:type="dxa"/>
            <w:tcBorders>
              <w:top w:val="nil"/>
              <w:left w:val="nil"/>
              <w:bottom w:val="single" w:color="auto" w:sz="4" w:space="0"/>
              <w:right w:val="single" w:color="auto" w:sz="4" w:space="0"/>
            </w:tcBorders>
            <w:noWrap w:val="0"/>
            <w:vAlign w:val="center"/>
          </w:tcPr>
          <w:p w14:paraId="62420B07">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c>
          <w:tcPr>
            <w:tcW w:w="1276" w:type="dxa"/>
            <w:tcBorders>
              <w:top w:val="nil"/>
              <w:left w:val="nil"/>
              <w:bottom w:val="single" w:color="auto" w:sz="4" w:space="0"/>
              <w:right w:val="single" w:color="auto" w:sz="4" w:space="0"/>
            </w:tcBorders>
            <w:noWrap w:val="0"/>
            <w:vAlign w:val="center"/>
          </w:tcPr>
          <w:p w14:paraId="7D28118F">
            <w:pPr>
              <w:snapToGrid w:val="0"/>
              <w:jc w:val="center"/>
              <w:rPr>
                <w:rFonts w:hint="eastAsia" w:ascii="宋体" w:hAnsi="宋体" w:cs="宋体"/>
                <w:bCs/>
                <w:color w:val="auto"/>
                <w:szCs w:val="21"/>
                <w:highlight w:val="none"/>
                <w:lang w:val="zh-CN"/>
              </w:rPr>
            </w:pPr>
            <w:r>
              <w:rPr>
                <w:rFonts w:hint="eastAsia" w:ascii="宋体" w:hAnsi="宋体" w:cs="宋体"/>
                <w:b/>
                <w:color w:val="auto"/>
                <w:szCs w:val="21"/>
                <w:highlight w:val="none"/>
              </w:rPr>
              <w:t>/</w:t>
            </w:r>
          </w:p>
        </w:tc>
      </w:tr>
    </w:tbl>
    <w:p w14:paraId="62178742">
      <w:pPr>
        <w:rPr>
          <w:rFonts w:ascii="宋体" w:hAnsi="宋体"/>
          <w:b/>
          <w:color w:val="auto"/>
          <w:sz w:val="24"/>
        </w:rPr>
      </w:pPr>
    </w:p>
    <w:p w14:paraId="2C98A953">
      <w:pPr>
        <w:spacing w:before="120" w:beforeLines="50" w:after="120" w:afterLines="50" w:line="400" w:lineRule="exact"/>
        <w:outlineLvl w:val="0"/>
        <w:rPr>
          <w:rFonts w:ascii="宋体" w:hAnsi="宋体"/>
          <w:b/>
          <w:color w:val="auto"/>
          <w:sz w:val="30"/>
          <w:szCs w:val="30"/>
        </w:rPr>
      </w:pPr>
      <w:r>
        <w:rPr>
          <w:rFonts w:hAnsi="宋体"/>
          <w:b/>
          <w:color w:val="auto"/>
          <w:sz w:val="30"/>
          <w:szCs w:val="30"/>
        </w:rPr>
        <w:br w:type="page"/>
      </w:r>
    </w:p>
    <w:p w14:paraId="650D7383">
      <w:pPr>
        <w:pStyle w:val="3"/>
        <w:spacing w:line="240" w:lineRule="auto"/>
        <w:jc w:val="center"/>
        <w:rPr>
          <w:color w:val="auto"/>
        </w:rPr>
      </w:pPr>
      <w:bookmarkStart w:id="60" w:name="_Toc48835715"/>
      <w:r>
        <w:rPr>
          <w:rFonts w:hint="eastAsia" w:hAnsi="宋体"/>
          <w:color w:val="auto"/>
          <w:sz w:val="30"/>
          <w:szCs w:val="30"/>
        </w:rPr>
        <w:t>第五章  合同主要条款</w:t>
      </w:r>
      <w:bookmarkEnd w:id="60"/>
      <w:bookmarkStart w:id="61" w:name="_Toc466534751"/>
    </w:p>
    <w:p w14:paraId="1BF694A1">
      <w:pPr>
        <w:ind w:left="4216" w:hanging="4216" w:hangingChars="1400"/>
        <w:jc w:val="center"/>
        <w:rPr>
          <w:rFonts w:hAnsi="宋体"/>
          <w:b/>
          <w:color w:val="auto"/>
          <w:sz w:val="30"/>
          <w:szCs w:val="30"/>
        </w:rPr>
      </w:pPr>
      <w:r>
        <w:rPr>
          <w:rStyle w:val="170"/>
          <w:rFonts w:hint="eastAsia"/>
          <w:color w:val="auto"/>
          <w:sz w:val="30"/>
          <w:szCs w:val="30"/>
        </w:rPr>
        <w:t>（服务类）</w:t>
      </w:r>
    </w:p>
    <w:p w14:paraId="214E1AFA">
      <w:pPr>
        <w:adjustRightInd w:val="0"/>
        <w:spacing w:line="240" w:lineRule="atLeast"/>
        <w:jc w:val="center"/>
        <w:rPr>
          <w:rFonts w:hAnsi="宋体"/>
          <w:color w:val="auto"/>
          <w:sz w:val="28"/>
          <w:szCs w:val="28"/>
          <w:shd w:val="pct10" w:color="auto" w:fill="FFFFFF"/>
        </w:rPr>
      </w:pPr>
      <w:r>
        <w:rPr>
          <w:rFonts w:hint="eastAsia" w:hAnsi="宋体"/>
          <w:color w:val="auto"/>
          <w:sz w:val="28"/>
          <w:szCs w:val="28"/>
          <w:shd w:val="pct10" w:color="auto" w:fill="FFFFFF"/>
        </w:rPr>
        <w:t>（此稿为合同样本，最终定稿待双方协商后商定）</w:t>
      </w:r>
    </w:p>
    <w:p w14:paraId="7C026093">
      <w:pPr>
        <w:adjustRightInd w:val="0"/>
        <w:spacing w:line="240" w:lineRule="atLeast"/>
        <w:jc w:val="center"/>
        <w:rPr>
          <w:rFonts w:hAnsi="宋体"/>
          <w:color w:val="auto"/>
          <w:sz w:val="28"/>
          <w:szCs w:val="28"/>
          <w:shd w:val="pct10" w:color="auto" w:fill="FFFFFF"/>
        </w:rPr>
      </w:pPr>
    </w:p>
    <w:p w14:paraId="2D45E2EF">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项目名称：                                 </w:t>
      </w:r>
      <w:r>
        <w:rPr>
          <w:rFonts w:ascii="宋体" w:hAnsi="宋体"/>
          <w:color w:val="auto"/>
          <w:kern w:val="0"/>
          <w:sz w:val="24"/>
          <w:lang w:val="zh-CN" w:eastAsia="zh-CN"/>
        </w:rPr>
        <w:t xml:space="preserve"> </w:t>
      </w:r>
      <w:r>
        <w:rPr>
          <w:rFonts w:hint="eastAsia" w:ascii="宋体" w:hAnsi="宋体"/>
          <w:color w:val="auto"/>
          <w:kern w:val="0"/>
          <w:sz w:val="24"/>
          <w:lang w:val="zh-CN" w:eastAsia="zh-CN"/>
        </w:rPr>
        <w:t>项目编号：</w:t>
      </w:r>
    </w:p>
    <w:p w14:paraId="4CDA3C34">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甲方：（采购方）                              乙方：（供应商）</w:t>
      </w:r>
    </w:p>
    <w:p w14:paraId="474179CD">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见证方：采购代理机构</w:t>
      </w:r>
    </w:p>
    <w:p w14:paraId="6570FDE7">
      <w:pPr>
        <w:snapToGrid w:val="0"/>
        <w:spacing w:before="120" w:beforeLines="50" w:after="120" w:afterLines="50" w:line="480" w:lineRule="exact"/>
        <w:ind w:firstLine="480" w:firstLineChars="200"/>
        <w:rPr>
          <w:rFonts w:ascii="宋体" w:hAnsi="宋体"/>
          <w:b/>
          <w:color w:val="auto"/>
          <w:kern w:val="0"/>
          <w:sz w:val="24"/>
          <w:lang w:val="zh-CN" w:eastAsia="zh-CN"/>
        </w:rPr>
      </w:pPr>
      <w:r>
        <w:rPr>
          <w:rFonts w:hint="eastAsia" w:ascii="宋体" w:hAnsi="宋体"/>
          <w:color w:val="auto"/>
          <w:kern w:val="0"/>
          <w:sz w:val="24"/>
          <w:lang w:val="zh-CN" w:eastAsia="zh-CN"/>
        </w:rPr>
        <w:t>甲、乙双方根据《中华人民共和国政府采购法》、《中华人民共和国民法典》和_______________________项目竞争性</w:t>
      </w:r>
      <w:r>
        <w:rPr>
          <w:rFonts w:hint="eastAsia" w:ascii="宋体" w:hAnsi="宋体"/>
          <w:color w:val="auto"/>
          <w:kern w:val="0"/>
          <w:sz w:val="24"/>
          <w:lang w:val="zh-CN"/>
        </w:rPr>
        <w:t>磋商</w:t>
      </w:r>
      <w:r>
        <w:rPr>
          <w:rFonts w:hint="eastAsia" w:ascii="宋体" w:hAnsi="宋体"/>
          <w:color w:val="auto"/>
          <w:kern w:val="0"/>
          <w:sz w:val="24"/>
          <w:lang w:val="zh-CN" w:eastAsia="zh-CN"/>
        </w:rPr>
        <w:t>文件</w:t>
      </w:r>
      <w:r>
        <w:rPr>
          <w:rFonts w:hint="eastAsia" w:ascii="宋体" w:hAnsi="宋体"/>
          <w:color w:val="auto"/>
          <w:kern w:val="0"/>
          <w:sz w:val="24"/>
          <w:lang w:val="zh-CN"/>
        </w:rPr>
        <w:t>的</w:t>
      </w:r>
      <w:r>
        <w:rPr>
          <w:rFonts w:hint="eastAsia" w:ascii="宋体" w:hAnsi="宋体"/>
          <w:color w:val="auto"/>
          <w:kern w:val="0"/>
          <w:sz w:val="24"/>
          <w:lang w:val="zh-CN" w:eastAsia="zh-CN"/>
        </w:rPr>
        <w:t>相关规定，双方达成一致签署本合同。</w:t>
      </w:r>
    </w:p>
    <w:p w14:paraId="482F34FE">
      <w:pPr>
        <w:snapToGrid w:val="0"/>
        <w:spacing w:before="120" w:after="120" w:line="460" w:lineRule="exact"/>
        <w:rPr>
          <w:rFonts w:ascii="宋体" w:hAnsi="宋体"/>
          <w:b/>
          <w:color w:val="auto"/>
          <w:sz w:val="24"/>
        </w:rPr>
      </w:pPr>
      <w:r>
        <w:rPr>
          <w:rFonts w:hint="eastAsia" w:ascii="宋体" w:hAnsi="宋体"/>
          <w:b/>
          <w:color w:val="auto"/>
          <w:sz w:val="24"/>
        </w:rPr>
        <w:t>一、项目内容</w:t>
      </w:r>
    </w:p>
    <w:p w14:paraId="5C777541">
      <w:pPr>
        <w:snapToGrid w:val="0"/>
        <w:spacing w:before="120" w:after="120" w:line="460" w:lineRule="exact"/>
        <w:rPr>
          <w:rFonts w:ascii="宋体" w:hAnsi="宋体"/>
          <w:b/>
          <w:color w:val="auto"/>
          <w:sz w:val="24"/>
        </w:rPr>
      </w:pPr>
    </w:p>
    <w:p w14:paraId="56286416">
      <w:pPr>
        <w:snapToGrid w:val="0"/>
        <w:spacing w:before="120" w:after="120" w:line="460" w:lineRule="exact"/>
        <w:rPr>
          <w:rFonts w:ascii="宋体" w:hAnsi="宋体"/>
          <w:b/>
          <w:color w:val="auto"/>
          <w:sz w:val="24"/>
        </w:rPr>
      </w:pPr>
      <w:r>
        <w:rPr>
          <w:rFonts w:hint="eastAsia" w:ascii="宋体" w:hAnsi="宋体"/>
          <w:b/>
          <w:color w:val="auto"/>
          <w:sz w:val="24"/>
        </w:rPr>
        <w:t>二、合同金额</w:t>
      </w:r>
    </w:p>
    <w:p w14:paraId="5F671466">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本合同金额为（大写）：____________________________________元（￥_______________元）人民币。</w:t>
      </w:r>
    </w:p>
    <w:p w14:paraId="7A7B567A">
      <w:pPr>
        <w:snapToGrid w:val="0"/>
        <w:spacing w:before="120" w:after="120" w:line="460" w:lineRule="exact"/>
        <w:rPr>
          <w:rFonts w:ascii="宋体" w:hAnsi="宋体"/>
          <w:b/>
          <w:color w:val="auto"/>
          <w:sz w:val="24"/>
        </w:rPr>
      </w:pPr>
      <w:r>
        <w:rPr>
          <w:rFonts w:hint="eastAsia" w:ascii="宋体" w:hAnsi="宋体"/>
          <w:b/>
          <w:color w:val="auto"/>
          <w:sz w:val="24"/>
        </w:rPr>
        <w:t>三、技术资料</w:t>
      </w:r>
    </w:p>
    <w:p w14:paraId="7FBA3767">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 乙方应按磋商文件规定的时间向甲方提供有关技术资料。</w:t>
      </w:r>
    </w:p>
    <w:p w14:paraId="6BE1DDEC">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color w:val="auto"/>
          <w:sz w:val="24"/>
        </w:rPr>
      </w:pPr>
      <w:r>
        <w:rPr>
          <w:rFonts w:hint="eastAsia" w:ascii="宋体" w:hAnsi="宋体"/>
          <w:b/>
          <w:color w:val="auto"/>
          <w:sz w:val="24"/>
        </w:rPr>
        <w:t>四、知识产权</w:t>
      </w:r>
    </w:p>
    <w:p w14:paraId="6A72E6EC">
      <w:pPr>
        <w:snapToGrid w:val="0"/>
        <w:spacing w:before="120" w:after="120" w:line="460" w:lineRule="exact"/>
        <w:ind w:left="410" w:hanging="410" w:hangingChars="171"/>
        <w:rPr>
          <w:rFonts w:ascii="宋体" w:hAnsi="宋体"/>
          <w:b/>
          <w:bCs/>
          <w:color w:val="auto"/>
          <w:sz w:val="24"/>
        </w:rPr>
      </w:pPr>
      <w:r>
        <w:rPr>
          <w:rFonts w:hint="eastAsia" w:ascii="宋体" w:hAnsi="宋体"/>
          <w:color w:val="auto"/>
          <w:sz w:val="24"/>
        </w:rPr>
        <w:t>乙方应保证提供服务过程中不会侵犯任何第三方的</w:t>
      </w:r>
      <w:r>
        <w:rPr>
          <w:rFonts w:hint="eastAsia" w:ascii="宋体" w:hAnsi="宋体"/>
          <w:b/>
          <w:color w:val="auto"/>
          <w:sz w:val="24"/>
        </w:rPr>
        <w:t>知识产权</w:t>
      </w:r>
      <w:r>
        <w:rPr>
          <w:rFonts w:hint="eastAsia" w:ascii="宋体" w:hAnsi="宋体"/>
          <w:b/>
          <w:bCs/>
          <w:color w:val="auto"/>
          <w:sz w:val="24"/>
        </w:rPr>
        <w:t>。</w:t>
      </w:r>
    </w:p>
    <w:p w14:paraId="49071437">
      <w:pPr>
        <w:snapToGrid w:val="0"/>
        <w:spacing w:before="120" w:after="120" w:line="460" w:lineRule="exact"/>
        <w:ind w:left="410" w:hanging="410" w:hangingChars="170"/>
        <w:rPr>
          <w:rFonts w:ascii="宋体" w:hAnsi="宋体"/>
          <w:b/>
          <w:color w:val="auto"/>
          <w:sz w:val="24"/>
        </w:rPr>
      </w:pPr>
      <w:r>
        <w:rPr>
          <w:rFonts w:hint="eastAsia" w:ascii="宋体" w:hAnsi="宋体"/>
          <w:b/>
          <w:color w:val="auto"/>
          <w:sz w:val="24"/>
        </w:rPr>
        <w:t>五、履约保证金</w:t>
      </w:r>
    </w:p>
    <w:p w14:paraId="73EEC76F">
      <w:pPr>
        <w:pStyle w:val="28"/>
        <w:snapToGrid w:val="0"/>
        <w:spacing w:beforeLines="0" w:afterLines="0" w:line="480" w:lineRule="exact"/>
        <w:ind w:left="408" w:hanging="408" w:hangingChars="17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w:t>
      </w:r>
    </w:p>
    <w:p w14:paraId="7833E43D">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200BE40B">
      <w:pPr>
        <w:pStyle w:val="28"/>
        <w:snapToGrid w:val="0"/>
        <w:spacing w:beforeLines="0" w:afterLines="0" w:line="480" w:lineRule="exact"/>
        <w:ind w:left="408" w:hanging="408" w:hangingChars="170"/>
        <w:jc w:val="left"/>
        <w:rPr>
          <w:rFonts w:hAnsi="宋体"/>
          <w:color w:val="auto"/>
        </w:rPr>
      </w:pPr>
      <w:r>
        <w:rPr>
          <w:rFonts w:hint="eastAsia" w:hAnsi="宋体"/>
          <w:color w:val="auto"/>
        </w:rPr>
        <w:t>退还。</w:t>
      </w:r>
    </w:p>
    <w:p w14:paraId="25ADAA37">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六、转包或分包</w:t>
      </w:r>
    </w:p>
    <w:p w14:paraId="4E282060">
      <w:pPr>
        <w:snapToGrid w:val="0"/>
        <w:spacing w:before="120" w:beforeLines="50" w:after="120" w:afterLines="50" w:line="460" w:lineRule="exact"/>
        <w:rPr>
          <w:rFonts w:ascii="宋体" w:hAnsi="宋体"/>
          <w:color w:val="auto"/>
          <w:sz w:val="24"/>
        </w:rPr>
      </w:pPr>
      <w:r>
        <w:rPr>
          <w:rFonts w:hint="eastAsia" w:ascii="宋体" w:hAnsi="宋体"/>
          <w:color w:val="auto"/>
          <w:sz w:val="24"/>
        </w:rPr>
        <w:t>1.本合同范围的服务，应由</w:t>
      </w:r>
      <w:r>
        <w:rPr>
          <w:rFonts w:hint="eastAsia" w:hAnsi="宋体"/>
          <w:color w:val="auto"/>
          <w:sz w:val="24"/>
        </w:rPr>
        <w:t>乙</w:t>
      </w:r>
      <w:r>
        <w:rPr>
          <w:rFonts w:hint="eastAsia" w:ascii="宋体" w:hAnsi="宋体"/>
          <w:color w:val="auto"/>
          <w:sz w:val="24"/>
        </w:rPr>
        <w:t>方直接供应，不得转让他人供应；</w:t>
      </w:r>
    </w:p>
    <w:p w14:paraId="3DF664E9">
      <w:pPr>
        <w:snapToGrid w:val="0"/>
        <w:spacing w:before="120" w:beforeLines="50" w:after="120" w:afterLines="50" w:line="460" w:lineRule="exact"/>
        <w:rPr>
          <w:rFonts w:ascii="宋体" w:hAnsi="宋体"/>
          <w:color w:val="auto"/>
          <w:sz w:val="24"/>
        </w:rPr>
      </w:pPr>
      <w:r>
        <w:rPr>
          <w:rFonts w:hint="eastAsia" w:ascii="宋体" w:hAnsi="宋体"/>
          <w:color w:val="auto"/>
          <w:sz w:val="24"/>
        </w:rPr>
        <w:t>2. 除非得到甲方的书面同意，</w:t>
      </w:r>
      <w:r>
        <w:rPr>
          <w:rFonts w:hint="eastAsia" w:hAnsi="宋体"/>
          <w:color w:val="auto"/>
          <w:sz w:val="24"/>
        </w:rPr>
        <w:t>乙</w:t>
      </w:r>
      <w:r>
        <w:rPr>
          <w:rFonts w:hint="eastAsia" w:ascii="宋体" w:hAnsi="宋体"/>
          <w:color w:val="auto"/>
          <w:sz w:val="24"/>
        </w:rPr>
        <w:t>方不得将本合同范围的服务全部或部分分包给他人供应；</w:t>
      </w:r>
    </w:p>
    <w:p w14:paraId="5B2363F2">
      <w:pPr>
        <w:snapToGrid w:val="0"/>
        <w:spacing w:before="120" w:beforeLines="50" w:after="120" w:afterLines="50" w:line="460" w:lineRule="exact"/>
        <w:rPr>
          <w:rFonts w:ascii="宋体" w:hAnsi="宋体"/>
          <w:color w:val="auto"/>
          <w:sz w:val="24"/>
        </w:rPr>
      </w:pPr>
      <w:r>
        <w:rPr>
          <w:rFonts w:hint="eastAsia" w:ascii="宋体" w:hAnsi="宋体"/>
          <w:color w:val="auto"/>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color w:val="auto"/>
          <w:sz w:val="24"/>
        </w:rPr>
      </w:pPr>
      <w:r>
        <w:rPr>
          <w:rFonts w:hint="eastAsia" w:ascii="宋体" w:hAnsi="宋体"/>
          <w:b/>
          <w:color w:val="auto"/>
          <w:sz w:val="24"/>
        </w:rPr>
        <w:t>七、服务质量保证期和服务质量保证金(选用)</w:t>
      </w:r>
    </w:p>
    <w:p w14:paraId="653A3CFE">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1.服务质量保证期</w:t>
      </w:r>
      <w:r>
        <w:rPr>
          <w:rFonts w:hint="eastAsia" w:ascii="宋体" w:hAnsi="宋体"/>
          <w:color w:val="auto"/>
          <w:sz w:val="24"/>
          <w:u w:val="single"/>
        </w:rPr>
        <w:t xml:space="preserve">      </w:t>
      </w:r>
      <w:r>
        <w:rPr>
          <w:rFonts w:hint="eastAsia" w:ascii="宋体" w:hAnsi="宋体"/>
          <w:color w:val="auto"/>
          <w:sz w:val="24"/>
        </w:rPr>
        <w:t>年。（自验收合格之日起计）</w:t>
      </w:r>
    </w:p>
    <w:p w14:paraId="605C71AF">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2.服务质量保证金</w:t>
      </w:r>
      <w:r>
        <w:rPr>
          <w:rFonts w:hint="eastAsia" w:ascii="宋体" w:hAnsi="宋体"/>
          <w:color w:val="auto"/>
          <w:sz w:val="24"/>
          <w:u w:val="single"/>
        </w:rPr>
        <w:t xml:space="preserve">            </w:t>
      </w:r>
      <w:r>
        <w:rPr>
          <w:rFonts w:hint="eastAsia" w:ascii="宋体" w:hAnsi="宋体"/>
          <w:color w:val="auto"/>
          <w:sz w:val="24"/>
        </w:rPr>
        <w:t>元。</w:t>
      </w:r>
    </w:p>
    <w:p w14:paraId="2B57DD11">
      <w:pPr>
        <w:snapToGrid w:val="0"/>
        <w:spacing w:before="120" w:after="120" w:line="460" w:lineRule="exact"/>
        <w:rPr>
          <w:rFonts w:ascii="宋体" w:hAnsi="宋体"/>
          <w:b/>
          <w:color w:val="auto"/>
          <w:sz w:val="24"/>
        </w:rPr>
      </w:pPr>
      <w:r>
        <w:rPr>
          <w:rFonts w:hint="eastAsia" w:ascii="宋体" w:hAnsi="宋体"/>
          <w:b/>
          <w:color w:val="auto"/>
          <w:sz w:val="24"/>
        </w:rPr>
        <w:t>八、合同履行时间、履行方式及履行地点</w:t>
      </w:r>
    </w:p>
    <w:p w14:paraId="1A9CCFE9">
      <w:pPr>
        <w:snapToGrid w:val="0"/>
        <w:spacing w:before="120" w:after="120" w:line="460" w:lineRule="exact"/>
        <w:rPr>
          <w:rFonts w:ascii="宋体" w:hAnsi="宋体"/>
          <w:bCs/>
          <w:color w:val="auto"/>
          <w:sz w:val="24"/>
        </w:rPr>
      </w:pPr>
      <w:r>
        <w:rPr>
          <w:rFonts w:hint="eastAsia" w:ascii="宋体" w:hAnsi="宋体"/>
          <w:bCs/>
          <w:color w:val="auto"/>
          <w:sz w:val="24"/>
        </w:rPr>
        <w:t xml:space="preserve">1. </w:t>
      </w:r>
      <w:r>
        <w:rPr>
          <w:rFonts w:hint="eastAsia" w:ascii="宋体" w:hAnsi="宋体"/>
          <w:color w:val="auto"/>
          <w:sz w:val="24"/>
        </w:rPr>
        <w:t>履行时间</w:t>
      </w:r>
      <w:r>
        <w:rPr>
          <w:rFonts w:hint="eastAsia" w:ascii="宋体" w:hAnsi="宋体"/>
          <w:bCs/>
          <w:color w:val="auto"/>
          <w:sz w:val="24"/>
        </w:rPr>
        <w:t>：</w:t>
      </w:r>
    </w:p>
    <w:p w14:paraId="4A5F4670">
      <w:pPr>
        <w:snapToGrid w:val="0"/>
        <w:spacing w:before="120" w:after="120" w:line="460" w:lineRule="exact"/>
        <w:rPr>
          <w:rFonts w:ascii="宋体" w:hAnsi="宋体"/>
          <w:bCs/>
          <w:color w:val="auto"/>
          <w:sz w:val="24"/>
        </w:rPr>
      </w:pPr>
      <w:r>
        <w:rPr>
          <w:rFonts w:hint="eastAsia" w:ascii="宋体" w:hAnsi="宋体"/>
          <w:bCs/>
          <w:color w:val="auto"/>
          <w:sz w:val="24"/>
        </w:rPr>
        <w:t xml:space="preserve">2. </w:t>
      </w:r>
      <w:r>
        <w:rPr>
          <w:rFonts w:hint="eastAsia" w:ascii="宋体" w:hAnsi="宋体"/>
          <w:color w:val="auto"/>
          <w:sz w:val="24"/>
        </w:rPr>
        <w:t>履行方式</w:t>
      </w:r>
      <w:r>
        <w:rPr>
          <w:rFonts w:hint="eastAsia" w:ascii="宋体" w:hAnsi="宋体"/>
          <w:bCs/>
          <w:color w:val="auto"/>
          <w:sz w:val="24"/>
        </w:rPr>
        <w:t>：</w:t>
      </w:r>
    </w:p>
    <w:p w14:paraId="44F48C7B">
      <w:pPr>
        <w:snapToGrid w:val="0"/>
        <w:spacing w:before="120" w:after="120" w:line="460" w:lineRule="exact"/>
        <w:rPr>
          <w:rFonts w:ascii="宋体" w:hAnsi="宋体"/>
          <w:color w:val="auto"/>
          <w:sz w:val="24"/>
        </w:rPr>
      </w:pPr>
      <w:r>
        <w:rPr>
          <w:rFonts w:hint="eastAsia" w:ascii="宋体" w:hAnsi="宋体"/>
          <w:bCs/>
          <w:color w:val="auto"/>
          <w:sz w:val="24"/>
        </w:rPr>
        <w:t xml:space="preserve">3. </w:t>
      </w:r>
      <w:r>
        <w:rPr>
          <w:rFonts w:hint="eastAsia" w:ascii="宋体" w:hAnsi="宋体"/>
          <w:color w:val="auto"/>
          <w:sz w:val="24"/>
        </w:rPr>
        <w:t>履行地点</w:t>
      </w:r>
      <w:r>
        <w:rPr>
          <w:rFonts w:hint="eastAsia" w:ascii="宋体" w:hAnsi="宋体"/>
          <w:bCs/>
          <w:color w:val="auto"/>
          <w:sz w:val="24"/>
        </w:rPr>
        <w:t>：</w:t>
      </w:r>
    </w:p>
    <w:p w14:paraId="77FF134F">
      <w:pPr>
        <w:snapToGrid w:val="0"/>
        <w:spacing w:before="120" w:after="120" w:line="460" w:lineRule="exact"/>
        <w:rPr>
          <w:rFonts w:ascii="宋体" w:hAnsi="宋体"/>
          <w:b/>
          <w:color w:val="auto"/>
          <w:sz w:val="24"/>
        </w:rPr>
      </w:pPr>
      <w:r>
        <w:rPr>
          <w:rFonts w:hint="eastAsia" w:ascii="宋体" w:hAnsi="宋体"/>
          <w:b/>
          <w:color w:val="auto"/>
          <w:sz w:val="24"/>
        </w:rPr>
        <w:t>九、款项支付</w:t>
      </w:r>
    </w:p>
    <w:p w14:paraId="1BDDFF4E">
      <w:pPr>
        <w:snapToGrid w:val="0"/>
        <w:spacing w:before="120" w:after="120" w:line="460" w:lineRule="exact"/>
        <w:rPr>
          <w:rFonts w:ascii="宋体" w:hAnsi="宋体"/>
          <w:bCs/>
          <w:color w:val="auto"/>
          <w:sz w:val="24"/>
        </w:rPr>
      </w:pPr>
      <w:r>
        <w:rPr>
          <w:rFonts w:hint="eastAsia" w:ascii="宋体" w:hAnsi="宋体"/>
          <w:bCs/>
          <w:color w:val="auto"/>
          <w:sz w:val="24"/>
        </w:rPr>
        <w:t>付款方式：</w:t>
      </w:r>
    </w:p>
    <w:p w14:paraId="38773396">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5BE1700D">
      <w:pPr>
        <w:snapToGrid w:val="0"/>
        <w:spacing w:before="120" w:beforeLines="50" w:after="120" w:afterLines="50" w:line="460" w:lineRule="exact"/>
        <w:rPr>
          <w:rFonts w:ascii="宋体" w:hAnsi="宋体"/>
          <w:color w:val="auto"/>
          <w:sz w:val="24"/>
        </w:rPr>
      </w:pPr>
      <w:r>
        <w:rPr>
          <w:rFonts w:hint="eastAsia" w:ascii="宋体" w:hAnsi="宋体"/>
          <w:color w:val="auto"/>
          <w:sz w:val="24"/>
        </w:rPr>
        <w:t>本合同执行中相关的一切税费均由</w:t>
      </w:r>
      <w:r>
        <w:rPr>
          <w:rFonts w:hint="eastAsia" w:hAnsi="宋体"/>
          <w:color w:val="auto"/>
          <w:sz w:val="24"/>
        </w:rPr>
        <w:t>乙</w:t>
      </w:r>
      <w:r>
        <w:rPr>
          <w:rFonts w:hint="eastAsia" w:ascii="宋体" w:hAnsi="宋体"/>
          <w:color w:val="auto"/>
          <w:sz w:val="24"/>
        </w:rPr>
        <w:t>方负担。</w:t>
      </w:r>
    </w:p>
    <w:p w14:paraId="3D7ED484">
      <w:pPr>
        <w:snapToGrid w:val="0"/>
        <w:spacing w:before="120" w:after="120" w:line="460" w:lineRule="exact"/>
        <w:ind w:left="412" w:hanging="412" w:hangingChars="171"/>
        <w:rPr>
          <w:rFonts w:ascii="宋体" w:hAnsi="宋体"/>
          <w:color w:val="auto"/>
          <w:sz w:val="24"/>
        </w:rPr>
      </w:pPr>
      <w:r>
        <w:rPr>
          <w:rFonts w:hint="eastAsia" w:ascii="宋体" w:hAnsi="宋体"/>
          <w:b/>
          <w:color w:val="auto"/>
          <w:sz w:val="24"/>
        </w:rPr>
        <w:t>十一、质量保证及后续服务</w:t>
      </w:r>
    </w:p>
    <w:p w14:paraId="061F78D3">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1．乙方应按磋商文件规定向甲方提供服务。</w:t>
      </w:r>
    </w:p>
    <w:p w14:paraId="086E5568">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color w:val="auto"/>
          <w:sz w:val="24"/>
        </w:rPr>
      </w:pPr>
      <w:r>
        <w:rPr>
          <w:rFonts w:hint="eastAsia" w:ascii="宋体" w:hAnsi="宋体"/>
          <w:color w:val="auto"/>
          <w:sz w:val="24"/>
        </w:rPr>
        <w:t>⑴重做：由乙方承担所发生的全部费用。</w:t>
      </w:r>
    </w:p>
    <w:p w14:paraId="2D75A6D1">
      <w:pPr>
        <w:snapToGrid w:val="0"/>
        <w:spacing w:before="120" w:after="120" w:line="460" w:lineRule="exact"/>
        <w:ind w:firstLine="420"/>
        <w:rPr>
          <w:rFonts w:ascii="宋体" w:hAnsi="宋体"/>
          <w:color w:val="auto"/>
          <w:sz w:val="24"/>
        </w:rPr>
      </w:pPr>
      <w:r>
        <w:rPr>
          <w:rFonts w:hint="eastAsia" w:ascii="宋体" w:hAnsi="宋体"/>
          <w:color w:val="auto"/>
          <w:sz w:val="24"/>
        </w:rPr>
        <w:t>⑵贬值处理：由甲乙双方合议定价。</w:t>
      </w:r>
    </w:p>
    <w:p w14:paraId="76282991">
      <w:pPr>
        <w:snapToGrid w:val="0"/>
        <w:spacing w:before="120" w:after="120" w:line="460" w:lineRule="exact"/>
        <w:ind w:left="420" w:leftChars="200"/>
        <w:rPr>
          <w:rFonts w:ascii="宋体" w:hAnsi="宋体"/>
          <w:color w:val="auto"/>
          <w:sz w:val="24"/>
        </w:rPr>
      </w:pPr>
      <w:r>
        <w:rPr>
          <w:rFonts w:hint="eastAsia" w:ascii="宋体" w:hAnsi="宋体"/>
          <w:color w:val="auto"/>
          <w:sz w:val="24"/>
        </w:rPr>
        <w:t>⑶解除合同。</w:t>
      </w:r>
    </w:p>
    <w:p w14:paraId="03FD70F5">
      <w:pPr>
        <w:snapToGrid w:val="0"/>
        <w:spacing w:before="120" w:after="120" w:line="460" w:lineRule="exact"/>
        <w:rPr>
          <w:rFonts w:ascii="宋体" w:hAnsi="宋体"/>
          <w:color w:val="auto"/>
          <w:sz w:val="24"/>
        </w:rPr>
      </w:pPr>
      <w:r>
        <w:rPr>
          <w:rFonts w:hint="eastAsia" w:ascii="宋体" w:hAnsi="宋体"/>
          <w:color w:val="auto"/>
          <w:sz w:val="24"/>
        </w:rPr>
        <w:t>3． 如在使用过程中发生问题，乙方在接到甲方通知后在△小时内到达甲方现场。</w:t>
      </w:r>
    </w:p>
    <w:p w14:paraId="51C3F902">
      <w:pPr>
        <w:snapToGrid w:val="0"/>
        <w:spacing w:before="120" w:after="120" w:line="460" w:lineRule="exact"/>
        <w:rPr>
          <w:rFonts w:ascii="宋体" w:hAnsi="宋体"/>
          <w:color w:val="auto"/>
          <w:sz w:val="24"/>
        </w:rPr>
      </w:pPr>
      <w:r>
        <w:rPr>
          <w:rFonts w:hint="eastAsia" w:ascii="宋体" w:hAnsi="宋体"/>
          <w:color w:val="auto"/>
          <w:sz w:val="24"/>
        </w:rPr>
        <w:t>4．在</w:t>
      </w:r>
      <w:r>
        <w:rPr>
          <w:rFonts w:hint="eastAsia" w:ascii="宋体" w:hAnsi="宋体"/>
          <w:b/>
          <w:color w:val="auto"/>
          <w:sz w:val="24"/>
        </w:rPr>
        <w:t>服务质量保证期</w:t>
      </w:r>
      <w:r>
        <w:rPr>
          <w:rFonts w:hint="eastAsia" w:ascii="宋体" w:hAnsi="宋体"/>
          <w:color w:val="auto"/>
          <w:sz w:val="24"/>
        </w:rPr>
        <w:t>内，乙方应对出现的质量及安全问题负责处理解决并承担</w:t>
      </w:r>
    </w:p>
    <w:p w14:paraId="13DED56B">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一切费用。</w:t>
      </w:r>
    </w:p>
    <w:p w14:paraId="42140791">
      <w:pPr>
        <w:snapToGrid w:val="0"/>
        <w:spacing w:before="120" w:after="120" w:line="460" w:lineRule="exact"/>
        <w:rPr>
          <w:rFonts w:ascii="宋体" w:hAnsi="宋体"/>
          <w:b/>
          <w:color w:val="auto"/>
          <w:sz w:val="24"/>
        </w:rPr>
      </w:pPr>
      <w:r>
        <w:rPr>
          <w:rFonts w:hint="eastAsia" w:ascii="宋体" w:hAnsi="宋体"/>
          <w:b/>
          <w:color w:val="auto"/>
          <w:sz w:val="24"/>
        </w:rPr>
        <w:t>十二、违约责任</w:t>
      </w:r>
    </w:p>
    <w:p w14:paraId="3408226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1．甲方无正当理由拒收接受服务的，甲方向乙方偿付合同款项百分之五作为违约金。</w:t>
      </w:r>
    </w:p>
    <w:p w14:paraId="3FE2C435">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2．甲方无故逾期验收和办理款项支付手续的,甲方应按逾期付款总额每日万分之五向乙方支付违约金。</w:t>
      </w:r>
    </w:p>
    <w:p w14:paraId="08765C1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color w:val="auto"/>
          <w:sz w:val="24"/>
        </w:rPr>
      </w:pPr>
      <w:r>
        <w:rPr>
          <w:rFonts w:hint="eastAsia" w:ascii="宋体" w:hAnsi="宋体"/>
          <w:b/>
          <w:color w:val="auto"/>
          <w:sz w:val="24"/>
        </w:rPr>
        <w:t>十三、不可抗力事件处理</w:t>
      </w:r>
    </w:p>
    <w:p w14:paraId="4FDA98DD">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1．在合同有效期内，任何一方因不可抗力事件导致不能履行合同，则合同履行</w:t>
      </w:r>
    </w:p>
    <w:p w14:paraId="6CDCD74F">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期可延长，其延长期与不可抗力影响期相同。</w:t>
      </w:r>
    </w:p>
    <w:p w14:paraId="675D08AC">
      <w:pPr>
        <w:snapToGrid w:val="0"/>
        <w:spacing w:before="120" w:after="120" w:line="460" w:lineRule="exact"/>
        <w:rPr>
          <w:rFonts w:ascii="宋体" w:hAnsi="宋体"/>
          <w:color w:val="auto"/>
          <w:sz w:val="24"/>
        </w:rPr>
      </w:pPr>
      <w:r>
        <w:rPr>
          <w:rFonts w:hint="eastAsia" w:ascii="宋体" w:hAnsi="宋体"/>
          <w:color w:val="auto"/>
          <w:sz w:val="24"/>
        </w:rPr>
        <w:t>2．不可抗力事件发生后，应立即通知对方，并寄送有关权威机构出具的证明。</w:t>
      </w:r>
    </w:p>
    <w:p w14:paraId="061E11EB">
      <w:pPr>
        <w:snapToGrid w:val="0"/>
        <w:spacing w:before="120" w:after="120" w:line="460" w:lineRule="exact"/>
        <w:rPr>
          <w:rFonts w:ascii="宋体" w:hAnsi="宋体"/>
          <w:color w:val="auto"/>
          <w:sz w:val="24"/>
        </w:rPr>
      </w:pPr>
      <w:r>
        <w:rPr>
          <w:rFonts w:hint="eastAsia" w:ascii="宋体" w:hAnsi="宋体"/>
          <w:color w:val="auto"/>
          <w:sz w:val="24"/>
        </w:rPr>
        <w:t>3．不可抗力事件延续120天以上，双方应通过友好协商，确定是否继续履行合</w:t>
      </w:r>
    </w:p>
    <w:p w14:paraId="327B6FFC">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同。</w:t>
      </w:r>
    </w:p>
    <w:p w14:paraId="167CFBF5">
      <w:pPr>
        <w:snapToGrid w:val="0"/>
        <w:spacing w:before="120" w:after="120" w:line="460" w:lineRule="exact"/>
        <w:rPr>
          <w:rFonts w:ascii="宋体" w:hAnsi="宋体"/>
          <w:b/>
          <w:color w:val="auto"/>
          <w:sz w:val="24"/>
        </w:rPr>
      </w:pPr>
      <w:r>
        <w:rPr>
          <w:rFonts w:hint="eastAsia" w:ascii="宋体" w:hAnsi="宋体"/>
          <w:b/>
          <w:color w:val="auto"/>
          <w:sz w:val="24"/>
        </w:rPr>
        <w:t>十四、诉讼</w:t>
      </w:r>
    </w:p>
    <w:p w14:paraId="7C9EBD47">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 xml:space="preserve"> 双方在执行合同中所发生的一切争议，应通过协商解决。如协商不成，可向甲</w:t>
      </w:r>
    </w:p>
    <w:p w14:paraId="25937EEF">
      <w:pPr>
        <w:snapToGrid w:val="0"/>
        <w:spacing w:before="120" w:after="120" w:line="460" w:lineRule="exact"/>
        <w:ind w:left="480" w:leftChars="57" w:hanging="360" w:hangingChars="150"/>
        <w:rPr>
          <w:rFonts w:ascii="宋体" w:hAnsi="宋体"/>
          <w:color w:val="auto"/>
          <w:sz w:val="24"/>
        </w:rPr>
      </w:pPr>
      <w:r>
        <w:rPr>
          <w:rFonts w:hint="eastAsia" w:ascii="宋体" w:hAnsi="宋体"/>
          <w:color w:val="auto"/>
          <w:sz w:val="24"/>
        </w:rPr>
        <w:t>方所在地法院起诉。</w:t>
      </w:r>
    </w:p>
    <w:p w14:paraId="6B718A8B">
      <w:pPr>
        <w:snapToGrid w:val="0"/>
        <w:spacing w:before="120" w:after="120" w:line="460" w:lineRule="exact"/>
        <w:rPr>
          <w:rFonts w:ascii="宋体" w:hAnsi="宋体"/>
          <w:b/>
          <w:color w:val="auto"/>
          <w:sz w:val="24"/>
        </w:rPr>
      </w:pPr>
      <w:r>
        <w:rPr>
          <w:rFonts w:hint="eastAsia" w:ascii="宋体" w:hAnsi="宋体"/>
          <w:b/>
          <w:color w:val="auto"/>
          <w:sz w:val="24"/>
        </w:rPr>
        <w:t>十五、合同生效及其它</w:t>
      </w:r>
    </w:p>
    <w:p w14:paraId="40186CD3">
      <w:pPr>
        <w:snapToGrid w:val="0"/>
        <w:spacing w:before="120" w:after="120" w:line="460" w:lineRule="exact"/>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rPr>
          <w:rFonts w:ascii="宋体" w:hAnsi="宋体"/>
          <w:b/>
          <w:bCs/>
          <w:color w:val="auto"/>
          <w:kern w:val="0"/>
          <w:sz w:val="24"/>
          <w:lang w:val="zh-CN" w:eastAsia="zh-CN"/>
        </w:rPr>
      </w:pPr>
      <w:r>
        <w:rPr>
          <w:rFonts w:hint="eastAsia" w:ascii="宋体" w:hAnsi="宋体"/>
          <w:color w:val="auto"/>
          <w:kern w:val="0"/>
          <w:sz w:val="24"/>
          <w:lang w:val="zh-CN" w:eastAsia="zh-CN"/>
        </w:rPr>
        <w:t>4. 本合同正本一式四份,甲乙双方签订后采购代理机构见证盖章</w:t>
      </w:r>
      <w:r>
        <w:rPr>
          <w:rFonts w:hint="eastAsia" w:ascii="宋体" w:hAnsi="宋体"/>
          <w:color w:val="auto"/>
          <w:kern w:val="0"/>
          <w:sz w:val="24"/>
          <w:lang w:val="zh-CN"/>
        </w:rPr>
        <w:t>，</w:t>
      </w:r>
      <w:r>
        <w:rPr>
          <w:rFonts w:hint="eastAsia" w:ascii="宋体" w:hAnsi="宋体"/>
          <w:b/>
          <w:bCs/>
          <w:color w:val="auto"/>
          <w:kern w:val="0"/>
          <w:sz w:val="24"/>
          <w:lang w:val="zh-CN" w:eastAsia="zh-CN"/>
        </w:rPr>
        <w:t>采购代理机构需留备二份。</w:t>
      </w:r>
    </w:p>
    <w:p w14:paraId="500ED4A5">
      <w:pPr>
        <w:snapToGrid w:val="0"/>
        <w:spacing w:line="480" w:lineRule="exact"/>
        <w:ind w:firstLine="240" w:firstLineChars="100"/>
        <w:rPr>
          <w:rFonts w:ascii="宋体" w:hAnsi="宋体"/>
          <w:color w:val="auto"/>
          <w:kern w:val="0"/>
          <w:sz w:val="24"/>
          <w:lang w:val="zh-CN" w:eastAsia="zh-CN"/>
        </w:rPr>
      </w:pPr>
    </w:p>
    <w:p w14:paraId="3CDE7EBF">
      <w:pPr>
        <w:snapToGrid w:val="0"/>
        <w:spacing w:line="480" w:lineRule="exact"/>
        <w:ind w:firstLine="240" w:firstLineChars="100"/>
        <w:rPr>
          <w:rFonts w:ascii="宋体" w:hAnsi="宋体"/>
          <w:color w:val="auto"/>
          <w:kern w:val="0"/>
          <w:sz w:val="24"/>
          <w:lang w:val="zh-CN" w:eastAsia="zh-CN"/>
        </w:rPr>
      </w:pPr>
    </w:p>
    <w:p w14:paraId="3904840B">
      <w:pPr>
        <w:snapToGrid w:val="0"/>
        <w:spacing w:line="480" w:lineRule="exact"/>
        <w:ind w:firstLine="240" w:firstLineChars="100"/>
        <w:rPr>
          <w:rFonts w:ascii="宋体" w:hAnsi="宋体"/>
          <w:color w:val="auto"/>
          <w:kern w:val="0"/>
          <w:sz w:val="24"/>
          <w:lang w:val="zh-CN" w:eastAsia="zh-CN"/>
        </w:rPr>
      </w:pPr>
      <w:r>
        <w:rPr>
          <w:rFonts w:hint="eastAsia" w:ascii="宋体" w:hAnsi="宋体"/>
          <w:color w:val="auto"/>
          <w:kern w:val="0"/>
          <w:sz w:val="24"/>
          <w:lang w:val="zh-CN" w:eastAsia="zh-CN"/>
        </w:rPr>
        <w:t xml:space="preserve">甲方：                                   乙方： </w:t>
      </w:r>
    </w:p>
    <w:p w14:paraId="5F3A0FF7">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  地址：                                   地址： </w:t>
      </w:r>
    </w:p>
    <w:p w14:paraId="7C673C88">
      <w:pPr>
        <w:snapToGrid w:val="0"/>
        <w:spacing w:line="480" w:lineRule="exact"/>
        <w:rPr>
          <w:rFonts w:ascii="宋体" w:hAnsi="宋体"/>
          <w:color w:val="auto"/>
          <w:kern w:val="0"/>
          <w:sz w:val="24"/>
          <w:lang w:val="zh-CN" w:eastAsia="zh-CN"/>
        </w:rPr>
      </w:pPr>
      <w:r>
        <w:rPr>
          <w:rFonts w:hint="eastAsia" w:ascii="宋体" w:hAnsi="宋体"/>
          <w:color w:val="auto"/>
          <w:kern w:val="0"/>
          <w:sz w:val="24"/>
          <w:lang w:val="zh-CN" w:eastAsia="zh-CN"/>
        </w:rPr>
        <w:t xml:space="preserve">  法定（授权）代表人：                     法定（授权）代表人：</w:t>
      </w:r>
    </w:p>
    <w:p w14:paraId="2BED065A">
      <w:pPr>
        <w:snapToGrid w:val="0"/>
        <w:spacing w:line="480" w:lineRule="exact"/>
        <w:ind w:firstLine="360" w:firstLineChars="150"/>
        <w:rPr>
          <w:rFonts w:ascii="宋体" w:hAnsi="宋体"/>
          <w:color w:val="auto"/>
          <w:kern w:val="0"/>
          <w:sz w:val="24"/>
          <w:lang w:val="zh-CN" w:eastAsia="zh-CN"/>
        </w:rPr>
      </w:pPr>
      <w:r>
        <w:rPr>
          <w:rFonts w:hint="eastAsia" w:ascii="宋体" w:hAnsi="宋体"/>
          <w:color w:val="auto"/>
          <w:kern w:val="0"/>
          <w:sz w:val="24"/>
          <w:lang w:val="zh-CN" w:eastAsia="zh-CN"/>
        </w:rPr>
        <w:t>签订日期：     年　  月　 日            签订日期：     年　  月　 日</w:t>
      </w:r>
    </w:p>
    <w:p w14:paraId="599496A2">
      <w:pPr>
        <w:snapToGrid w:val="0"/>
        <w:spacing w:line="480" w:lineRule="exact"/>
        <w:ind w:firstLine="360" w:firstLineChars="150"/>
        <w:rPr>
          <w:rFonts w:ascii="宋体" w:hAnsi="宋体"/>
          <w:color w:val="auto"/>
          <w:kern w:val="0"/>
          <w:sz w:val="24"/>
          <w:lang w:val="zh-CN"/>
        </w:rPr>
      </w:pPr>
    </w:p>
    <w:p w14:paraId="00A8ED6A">
      <w:pPr>
        <w:pStyle w:val="28"/>
        <w:snapToGrid w:val="0"/>
        <w:spacing w:before="120" w:after="120" w:line="420" w:lineRule="exact"/>
        <w:ind w:firstLine="201"/>
        <w:rPr>
          <w:rFonts w:ascii="Times New Roman" w:hAnsi="宋体"/>
          <w:color w:val="auto"/>
          <w:sz w:val="21"/>
        </w:rPr>
      </w:pPr>
      <w:r>
        <w:rPr>
          <w:rFonts w:hint="eastAsia" w:ascii="Times New Roman" w:hAnsi="宋体"/>
          <w:b/>
          <w:bCs/>
          <w:color w:val="auto"/>
        </w:rPr>
        <w:t xml:space="preserve">见证方：（盖章）  </w:t>
      </w:r>
      <w:r>
        <w:rPr>
          <w:rFonts w:hint="eastAsia" w:ascii="Times New Roman" w:hAnsi="宋体"/>
          <w:b/>
          <w:bCs/>
          <w:color w:val="auto"/>
          <w:sz w:val="21"/>
        </w:rPr>
        <w:t xml:space="preserve"> </w:t>
      </w:r>
      <w:r>
        <w:rPr>
          <w:rFonts w:hint="eastAsia" w:ascii="Times New Roman" w:hAnsi="宋体"/>
          <w:color w:val="auto"/>
          <w:sz w:val="21"/>
        </w:rPr>
        <w:t xml:space="preserve">     </w:t>
      </w:r>
    </w:p>
    <w:p w14:paraId="1795BB7D">
      <w:pPr>
        <w:pStyle w:val="28"/>
        <w:snapToGrid w:val="0"/>
        <w:spacing w:before="120" w:after="120" w:line="420" w:lineRule="exact"/>
        <w:ind w:firstLine="201"/>
        <w:rPr>
          <w:rFonts w:hAnsi="宋体"/>
          <w:b/>
          <w:bCs/>
          <w:color w:val="auto"/>
        </w:rPr>
      </w:pPr>
    </w:p>
    <w:p w14:paraId="53166877">
      <w:pPr>
        <w:adjustRightInd w:val="0"/>
        <w:spacing w:line="240" w:lineRule="atLeast"/>
        <w:rPr>
          <w:rFonts w:hAnsi="宋体"/>
          <w:b/>
          <w:bCs/>
          <w:color w:val="auto"/>
          <w:sz w:val="28"/>
          <w:szCs w:val="28"/>
          <w:u w:val="single"/>
          <w:shd w:val="pct10" w:color="auto" w:fill="FFFFFF"/>
        </w:rPr>
      </w:pPr>
    </w:p>
    <w:p w14:paraId="4F97E573">
      <w:pPr>
        <w:adjustRightInd w:val="0"/>
        <w:spacing w:line="240" w:lineRule="atLeast"/>
        <w:ind w:left="3092" w:hanging="3092" w:hangingChars="1100"/>
        <w:rPr>
          <w:rFonts w:hAnsi="宋体"/>
          <w:b/>
          <w:bCs/>
          <w:color w:val="auto"/>
          <w:sz w:val="28"/>
          <w:szCs w:val="28"/>
          <w:u w:val="single"/>
          <w:shd w:val="pct10" w:color="auto" w:fill="FFFFFF"/>
        </w:rPr>
      </w:pPr>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hint="eastAsia" w:hAnsi="宋体"/>
          <w:color w:val="auto"/>
        </w:rPr>
        <w:t xml:space="preserve">     </w:t>
      </w:r>
      <w:r>
        <w:rPr>
          <w:rFonts w:asciiTheme="minorEastAsia" w:hAnsiTheme="minorEastAsia" w:eastAsiaTheme="minorEastAsia"/>
          <w:b/>
          <w:bCs/>
          <w:color w:val="auto"/>
        </w:rPr>
        <w:br w:type="page"/>
      </w:r>
      <w:r>
        <w:rPr>
          <w:rFonts w:hint="eastAsia" w:hAnsi="宋体"/>
          <w:b/>
          <w:color w:val="auto"/>
          <w:sz w:val="30"/>
          <w:szCs w:val="30"/>
        </w:rPr>
        <w:t>第六章　响应文件格式</w:t>
      </w:r>
    </w:p>
    <w:p w14:paraId="284F7D1A">
      <w:pPr>
        <w:pStyle w:val="28"/>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62"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63" w:name="_Hlk60757343"/>
      <w:r>
        <w:rPr>
          <w:rFonts w:ascii="宋体" w:hAnsi="宋体"/>
          <w:color w:val="auto"/>
          <w:sz w:val="24"/>
        </w:rPr>
        <w:t>2</w:t>
      </w:r>
      <w:r>
        <w:rPr>
          <w:rFonts w:hint="eastAsia" w:ascii="宋体" w:hAnsi="宋体"/>
          <w:color w:val="auto"/>
          <w:sz w:val="24"/>
        </w:rPr>
        <w:t>.营业执照等：</w:t>
      </w:r>
      <w:bookmarkEnd w:id="63"/>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val="en-US" w:eastAsia="zh-CN"/>
        </w:rPr>
        <w:t>人</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18662B8">
      <w:pPr>
        <w:pStyle w:val="28"/>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28"/>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lang w:val="en-US" w:eastAsia="zh-CN"/>
        </w:rPr>
        <w:t xml:space="preserve"> </w:t>
      </w:r>
      <w:r>
        <w:rPr>
          <w:rFonts w:hint="eastAsia" w:ascii="宋体" w:hAnsi="宋体" w:eastAsia="宋体"/>
          <w:bCs/>
          <w:sz w:val="24"/>
          <w:szCs w:val="24"/>
          <w:u w:val="single"/>
        </w:rPr>
        <w:t>其他未列明</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28"/>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rPr>
      </w:pPr>
      <w:r>
        <w:rPr>
          <w:bCs/>
          <w:color w:val="auto"/>
        </w:rPr>
        <w:t>………</w:t>
      </w:r>
    </w:p>
    <w:p w14:paraId="6E9A114E">
      <w:pPr>
        <w:pStyle w:val="28"/>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rPr>
      </w:pPr>
    </w:p>
    <w:p w14:paraId="0D6354FF">
      <w:pPr>
        <w:pStyle w:val="28"/>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19AB4E5A">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sz w:val="24"/>
          <w:szCs w:val="24"/>
          <w:highlight w:val="none"/>
          <w:u w:val="none"/>
          <w:shd w:val="clear" w:color="FFFFFF" w:fill="D9D9D9"/>
          <w:lang w:val="en-US" w:eastAsia="zh-CN"/>
        </w:rPr>
      </w:pPr>
      <w:r>
        <w:rPr>
          <w:rFonts w:hint="eastAsia"/>
          <w:b/>
          <w:bCs w:val="0"/>
          <w:color w:val="FF0000"/>
          <w:sz w:val="24"/>
          <w:szCs w:val="24"/>
          <w:highlight w:val="none"/>
          <w:u w:val="none"/>
          <w:shd w:val="clear" w:color="FFFFFF" w:fill="D9D9D9"/>
          <w:lang w:val="en-US" w:eastAsia="zh-CN"/>
        </w:rPr>
        <w:t>温馨提醒：</w:t>
      </w:r>
    </w:p>
    <w:p w14:paraId="0B86AE6B">
      <w:pPr>
        <w:pStyle w:val="28"/>
        <w:snapToGrid w:val="0"/>
        <w:spacing w:before="120" w:beforeLines="0" w:after="120" w:afterLines="0" w:line="240" w:lineRule="auto"/>
        <w:jc w:val="left"/>
        <w:rPr>
          <w:rFonts w:hint="eastAsia" w:hAnsi="Courier New" w:eastAsia="宋体" w:cs="Times New Roman"/>
          <w:b/>
          <w:bCs w:val="0"/>
          <w:color w:val="FF0000"/>
          <w:sz w:val="24"/>
          <w:szCs w:val="24"/>
          <w:highlight w:val="none"/>
          <w:u w:val="none"/>
          <w:shd w:val="clear" w:color="FFFFFF" w:fill="D9D9D9"/>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1、投标人请将《中小企业声明函》中加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里面的内容全部填写齐全，《中小企业声明函》中内容未填写齐全的、缺项的，将不给予投标人小微企业报价优惠扣除。</w:t>
      </w:r>
    </w:p>
    <w:p w14:paraId="5F14756B">
      <w:pPr>
        <w:snapToGrid w:val="0"/>
        <w:spacing w:line="360" w:lineRule="auto"/>
        <w:rPr>
          <w:rFonts w:hint="eastAsia" w:hAnsi="宋体"/>
          <w:sz w:val="24"/>
          <w:szCs w:val="24"/>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”里面的内容全部填写正确，《中小企业声明函》中填写内容出现错误的（不影响企业规模类型判定的除外）、未如实填写的，将不给予投标人小微企业报价优惠扣除。</w:t>
      </w:r>
    </w:p>
    <w:p w14:paraId="23CEB19C">
      <w:pPr>
        <w:snapToGrid w:val="0"/>
        <w:spacing w:line="360" w:lineRule="auto"/>
        <w:rPr>
          <w:rFonts w:hint="eastAsia" w:hAnsi="宋体"/>
          <w:sz w:val="24"/>
          <w:szCs w:val="24"/>
          <w:lang w:val="en-US" w:eastAsia="zh-CN"/>
        </w:rPr>
      </w:pPr>
    </w:p>
    <w:p w14:paraId="2CE84170">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填表说明：</w:t>
      </w:r>
    </w:p>
    <w:p w14:paraId="1AA5C80E">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1、标的分别由不同承接企业承接的，请按序号填写齐全所有标的承接企业的信息。</w:t>
      </w:r>
    </w:p>
    <w:p w14:paraId="7914F8AD">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2、从业人员、营业收入、资产总额填报上一年度数据，无上一年度数据的新成立企业可不填报。</w:t>
      </w:r>
    </w:p>
    <w:p w14:paraId="22DEECEE">
      <w:pPr>
        <w:widowControl w:val="0"/>
        <w:snapToGrid w:val="0"/>
        <w:spacing w:before="120" w:beforeLines="50" w:after="120" w:afterLines="5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3、（1）按照国家统计局统计口径规定，单位从业人员指报告期末最后一日在本单位工作，并取得工资或其他形式劳动报酬的人员数。</w:t>
      </w:r>
    </w:p>
    <w:p w14:paraId="791B1049">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（2）企业划型时，应将分公司的从业人员、营业收入纳入合并计算。</w:t>
      </w:r>
    </w:p>
    <w:p w14:paraId="4DB900BF">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4、投标人应当按照招标文件中明确的采购标的所属行业的划分标准来评判承接企业的企业规模类型（大型、中型、小型、微型企业），而非按照承接企业自身经营范围所属行业的划分标准来评判承接企业的企业规模类型。</w:t>
      </w:r>
    </w:p>
    <w:p w14:paraId="21062A32">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5、为了更加准确判定制造商是否为小微企业，请投标人根据工业和信息化部官方网站---中小企业规模类型自测小程序来辨别制造商企业规模类型，中小企业规模类型自测小程序链接网址为</w:t>
      </w:r>
    </w:p>
    <w:p w14:paraId="150A1B04">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ascii="宋体" w:hAnsi="Courier New" w:eastAsia="宋体" w:cs="Times New Roman"/>
          <w:b/>
          <w:bCs/>
          <w:color w:val="auto"/>
          <w:kern w:val="0"/>
          <w:sz w:val="24"/>
          <w:szCs w:val="24"/>
          <w:highlight w:val="none"/>
          <w:u w:val="single"/>
          <w:shd w:val="pct10" w:color="auto" w:fill="FFFFFF"/>
          <w:lang w:val="en-US" w:eastAsia="zh-CN" w:bidi="ar-SA"/>
        </w:rPr>
        <w:t>http://202.106.120.146/baosong/appweb/orgScale.html</w:t>
      </w:r>
    </w:p>
    <w:p w14:paraId="00C5E8BA">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6、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4E5EAEC0">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中标供应商享受中小企业扶持政策的，将在成交结果公告中公开中标供应商的《中小企业声明函》。</w:t>
      </w:r>
    </w:p>
    <w:p w14:paraId="1C21E2B1">
      <w:pPr>
        <w:pStyle w:val="28"/>
        <w:snapToGrid w:val="0"/>
        <w:spacing w:before="120" w:beforeLines="0" w:after="120" w:afterLines="0"/>
        <w:jc w:val="left"/>
        <w:rPr>
          <w:b/>
          <w:bCs/>
          <w:color w:val="auto"/>
          <w:sz w:val="24"/>
          <w:szCs w:val="24"/>
          <w:u w:val="single"/>
          <w:shd w:val="pct10" w:color="auto" w:fill="FFFFFF"/>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7、如国家对中小企业划型标准有新的规定的，从其规定。</w:t>
      </w:r>
    </w:p>
    <w:p w14:paraId="1C5C58EF">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1"/>
        <w:rPr>
          <w:rFonts w:ascii="宋体" w:hAnsi="宋体"/>
          <w:b/>
          <w:bCs/>
          <w:color w:val="auto"/>
          <w:sz w:val="24"/>
        </w:rPr>
      </w:pP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64" w:name="_Toc466534753"/>
      <w:r>
        <w:rPr>
          <w:rFonts w:hint="eastAsia" w:ascii="宋体" w:hAnsi="宋体"/>
          <w:b/>
          <w:bCs/>
          <w:color w:val="auto"/>
          <w:sz w:val="28"/>
          <w:szCs w:val="28"/>
        </w:rPr>
        <w:t>二、商务技术文件格式</w:t>
      </w:r>
      <w:bookmarkEnd w:id="62"/>
      <w:bookmarkEnd w:id="64"/>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28"/>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65" w:name="_Hlk60757098"/>
      <w:r>
        <w:rPr>
          <w:rFonts w:hint="eastAsia" w:ascii="宋体" w:hAnsi="宋体"/>
          <w:color w:val="auto"/>
          <w:sz w:val="24"/>
          <w:lang w:val="en-US" w:eastAsia="zh-CN"/>
        </w:rPr>
        <w:t>6</w:t>
      </w:r>
      <w:r>
        <w:rPr>
          <w:rFonts w:hint="eastAsia" w:ascii="宋体" w:hAnsi="宋体"/>
          <w:color w:val="auto"/>
          <w:sz w:val="24"/>
        </w:rPr>
        <w:t>.投标函格式：</w:t>
      </w:r>
      <w:bookmarkEnd w:id="65"/>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66" w:name="_Hlk59707887"/>
      <w:r>
        <w:rPr>
          <w:rFonts w:hint="eastAsia" w:ascii="宋体" w:hAnsi="宋体"/>
          <w:b/>
          <w:bCs/>
          <w:color w:val="auto"/>
          <w:sz w:val="24"/>
          <w:shd w:val="pct10" w:color="auto" w:fill="FFFFFF"/>
        </w:rPr>
        <w:t>证书、合同、报告等</w:t>
      </w:r>
      <w:bookmarkEnd w:id="66"/>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67"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68"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68"/>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69"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69"/>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70"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70"/>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67"/>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71"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71"/>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72" w:name="_Hlk12177819"/>
      <w:r>
        <w:rPr>
          <w:rFonts w:hint="eastAsia" w:ascii="宋体" w:hAnsi="宋体"/>
          <w:color w:val="auto"/>
          <w:sz w:val="24"/>
        </w:rPr>
        <w:t>______</w:t>
      </w:r>
      <w:r>
        <w:rPr>
          <w:rFonts w:hint="eastAsia" w:ascii="宋体" w:hAnsi="宋体"/>
          <w:color w:val="auto"/>
          <w:sz w:val="24"/>
          <w:u w:val="single"/>
        </w:rPr>
        <w:t xml:space="preserve">_ </w:t>
      </w:r>
      <w:bookmarkEnd w:id="72"/>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2CFF7C7">
      <w:pPr>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5063F653">
      <w:pPr>
        <w:rPr>
          <w:rFonts w:hint="eastAsia" w:ascii="宋体" w:hAnsi="宋体"/>
          <w:b/>
          <w:color w:val="auto"/>
          <w:sz w:val="24"/>
        </w:rPr>
      </w:pP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1"/>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57"/>
        <w:rPr>
          <w:rFonts w:hint="eastAsia"/>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2DF9938D">
      <w:pPr>
        <w:snapToGrid w:val="0"/>
        <w:spacing w:before="120" w:beforeLines="50" w:after="50" w:line="460" w:lineRule="exact"/>
        <w:rPr>
          <w:rFonts w:hint="eastAsia" w:ascii="宋体" w:hAnsi="宋体"/>
          <w:b/>
          <w:color w:val="000000"/>
          <w:sz w:val="24"/>
        </w:rPr>
      </w:pPr>
    </w:p>
    <w:p w14:paraId="5E300AC0">
      <w:pPr>
        <w:snapToGrid w:val="0"/>
        <w:spacing w:before="120" w:beforeLines="50" w:after="50" w:line="460" w:lineRule="exact"/>
        <w:rPr>
          <w:rFonts w:hint="eastAsia" w:ascii="宋体" w:hAnsi="宋体"/>
          <w:b/>
          <w:color w:val="000000"/>
          <w:sz w:val="24"/>
        </w:rPr>
      </w:pPr>
    </w:p>
    <w:p w14:paraId="595777B8">
      <w:pPr>
        <w:snapToGrid w:val="0"/>
        <w:spacing w:before="120" w:beforeLines="50" w:after="50" w:line="460" w:lineRule="exact"/>
        <w:rPr>
          <w:rFonts w:hint="eastAsia" w:ascii="宋体" w:hAnsi="宋体"/>
          <w:b/>
          <w:color w:val="000000"/>
          <w:sz w:val="24"/>
        </w:rPr>
      </w:pPr>
    </w:p>
    <w:p w14:paraId="7EB65137">
      <w:pPr>
        <w:snapToGrid w:val="0"/>
        <w:spacing w:before="120" w:beforeLines="50" w:after="50" w:line="460" w:lineRule="exact"/>
        <w:rPr>
          <w:rFonts w:hint="eastAsia" w:ascii="宋体" w:hAnsi="宋体"/>
          <w:color w:val="000000"/>
          <w:sz w:val="24"/>
        </w:rPr>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____年___月___日</w:t>
      </w:r>
    </w:p>
    <w:p w14:paraId="7961F333">
      <w:pPr>
        <w:snapToGrid w:val="0"/>
        <w:spacing w:before="120" w:beforeLines="50" w:after="50" w:line="460" w:lineRule="exact"/>
        <w:rPr>
          <w:rFonts w:hint="eastAsia" w:ascii="宋体" w:hAnsi="宋体"/>
          <w:color w:val="000000"/>
          <w:sz w:val="24"/>
        </w:rPr>
      </w:pPr>
    </w:p>
    <w:p w14:paraId="5ADF85B5">
      <w:pPr>
        <w:snapToGrid w:val="0"/>
        <w:spacing w:before="120" w:beforeLines="50" w:after="50" w:line="460" w:lineRule="exact"/>
      </w:pPr>
      <w:r>
        <w:rPr>
          <w:color w:val="000000"/>
        </w:rPr>
        <mc:AlternateContent>
          <mc:Choice Requires="wps">
            <w:drawing>
              <wp:anchor distT="0" distB="0" distL="0" distR="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73" w:name="_Hlk52958408"/>
      <w:r>
        <w:rPr>
          <w:rFonts w:hint="eastAsia" w:ascii="宋体" w:hAnsi="宋体"/>
          <w:b/>
          <w:color w:val="auto"/>
          <w:sz w:val="24"/>
        </w:rPr>
        <w:t>勿填写价格信息。</w:t>
      </w:r>
      <w:bookmarkEnd w:id="73"/>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74"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74"/>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11.</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28"/>
        <w:snapToGrid w:val="0"/>
        <w:spacing w:beforeLines="0" w:afterLines="0" w:line="240" w:lineRule="auto"/>
        <w:rPr>
          <w:rFonts w:hAnsi="宋体"/>
          <w:b/>
          <w:color w:val="auto"/>
        </w:rPr>
      </w:pPr>
    </w:p>
    <w:p w14:paraId="306BA1AD">
      <w:pPr>
        <w:pStyle w:val="28"/>
        <w:snapToGrid w:val="0"/>
        <w:spacing w:beforeLines="0" w:afterLines="0" w:line="240" w:lineRule="auto"/>
        <w:rPr>
          <w:rFonts w:hAnsi="宋体"/>
          <w:b/>
          <w:color w:val="auto"/>
        </w:rPr>
      </w:pPr>
      <w:r>
        <w:rPr>
          <w:rFonts w:hint="eastAsia" w:hAnsi="宋体"/>
          <w:b/>
          <w:color w:val="auto"/>
        </w:rPr>
        <w:t>日期:_____年___月___日</w:t>
      </w:r>
    </w:p>
    <w:p w14:paraId="1C69D219">
      <w:pPr>
        <w:pStyle w:val="28"/>
        <w:snapToGrid w:val="0"/>
        <w:spacing w:beforeLines="0" w:afterLines="0" w:line="240" w:lineRule="auto"/>
        <w:rPr>
          <w:rFonts w:hAnsi="宋体"/>
          <w:color w:val="auto"/>
        </w:rPr>
      </w:pPr>
    </w:p>
    <w:p w14:paraId="50B2C118">
      <w:pPr>
        <w:pStyle w:val="28"/>
        <w:snapToGrid w:val="0"/>
        <w:spacing w:beforeLines="0" w:afterLines="0" w:line="240" w:lineRule="auto"/>
        <w:rPr>
          <w:rFonts w:hAnsi="宋体"/>
          <w:color w:val="auto"/>
        </w:rPr>
      </w:pPr>
    </w:p>
    <w:p w14:paraId="5560216C">
      <w:pPr>
        <w:pStyle w:val="28"/>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5"/>
        <w:snapToGrid w:val="0"/>
        <w:ind w:firstLine="360" w:firstLineChars="150"/>
        <w:rPr>
          <w:rFonts w:ascii="宋体" w:hAnsi="宋体" w:eastAsia="宋体"/>
          <w:color w:val="auto"/>
          <w:sz w:val="24"/>
          <w:szCs w:val="24"/>
        </w:rPr>
      </w:pPr>
    </w:p>
    <w:p w14:paraId="450ADD33">
      <w:pPr>
        <w:pStyle w:val="15"/>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5"/>
        <w:snapToGrid w:val="0"/>
        <w:rPr>
          <w:rFonts w:ascii="宋体" w:hAnsi="宋体" w:eastAsia="宋体"/>
          <w:color w:val="auto"/>
          <w:sz w:val="24"/>
          <w:szCs w:val="24"/>
        </w:rPr>
      </w:pPr>
    </w:p>
    <w:p w14:paraId="55AD6D20">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13</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7"/>
        <w:snapToGrid w:val="0"/>
        <w:ind w:left="480" w:hanging="480"/>
        <w:rPr>
          <w:rFonts w:ascii="宋体" w:hAnsi="宋体"/>
          <w:color w:val="auto"/>
          <w:sz w:val="24"/>
        </w:rPr>
      </w:pPr>
    </w:p>
    <w:p w14:paraId="6DE1EC64">
      <w:pPr>
        <w:pStyle w:val="37"/>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7"/>
        <w:snapToGrid w:val="0"/>
        <w:ind w:left="199" w:hanging="199" w:hangingChars="83"/>
        <w:rPr>
          <w:rFonts w:ascii="宋体" w:hAnsi="宋体"/>
          <w:color w:val="auto"/>
          <w:sz w:val="24"/>
        </w:rPr>
      </w:pPr>
    </w:p>
    <w:p w14:paraId="0617EC29">
      <w:pPr>
        <w:pStyle w:val="15"/>
        <w:snapToGrid w:val="0"/>
        <w:rPr>
          <w:rFonts w:ascii="宋体" w:hAnsi="宋体" w:eastAsia="宋体"/>
          <w:color w:val="auto"/>
          <w:sz w:val="24"/>
        </w:rPr>
      </w:pPr>
    </w:p>
    <w:p w14:paraId="7F6E2839">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1"/>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75" w:name="_Hlk535995896"/>
      <w:r>
        <w:rPr>
          <w:rFonts w:hint="eastAsia" w:ascii="宋体" w:hAnsi="宋体"/>
          <w:b/>
          <w:color w:val="auto"/>
          <w:sz w:val="24"/>
          <w:u w:val="single"/>
          <w:shd w:val="pct10" w:color="auto" w:fill="FFFFFF"/>
        </w:rPr>
        <w:t>的商务要求和技术参数要求的正偏离或负偏离的应标内容详细写明，</w:t>
      </w:r>
      <w:bookmarkEnd w:id="75"/>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8"/>
        <w:snapToGrid w:val="0"/>
        <w:spacing w:beforeLines="0" w:afterLines="0" w:line="240" w:lineRule="auto"/>
        <w:rPr>
          <w:rFonts w:hAnsi="宋体"/>
          <w:color w:val="auto"/>
          <w:spacing w:val="20"/>
        </w:rPr>
      </w:pPr>
    </w:p>
    <w:p w14:paraId="0FD54F15">
      <w:pPr>
        <w:pStyle w:val="28"/>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76"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61"/>
    <w:bookmarkEnd w:id="76"/>
    <w:p w14:paraId="4B3F8F04">
      <w:pPr>
        <w:snapToGrid w:val="0"/>
        <w:spacing w:before="50" w:after="120" w:afterLines="50"/>
        <w:jc w:val="center"/>
        <w:outlineLvl w:val="1"/>
        <w:rPr>
          <w:rFonts w:ascii="宋体" w:hAnsi="宋体"/>
          <w:b/>
          <w:color w:val="auto"/>
          <w:sz w:val="30"/>
          <w:szCs w:val="30"/>
        </w:rPr>
      </w:pPr>
      <w:bookmarkStart w:id="77" w:name="_Toc466534754"/>
      <w:r>
        <w:rPr>
          <w:rFonts w:hint="eastAsia" w:ascii="宋体" w:hAnsi="宋体"/>
          <w:b/>
          <w:color w:val="auto"/>
          <w:sz w:val="30"/>
          <w:szCs w:val="30"/>
        </w:rPr>
        <w:t>三、报价文件格式</w:t>
      </w:r>
      <w:bookmarkEnd w:id="77"/>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8"/>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8"/>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28"/>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28"/>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rPr>
            </w:pPr>
          </w:p>
          <w:p w14:paraId="533EADC8">
            <w:pPr>
              <w:pStyle w:val="28"/>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8"/>
              <w:snapToGrid w:val="0"/>
              <w:spacing w:beforeLines="0" w:afterLines="0" w:line="240" w:lineRule="auto"/>
              <w:jc w:val="center"/>
              <w:rPr>
                <w:rFonts w:hAnsi="宋体"/>
                <w:b/>
                <w:color w:val="auto"/>
                <w:kern w:val="2"/>
              </w:rPr>
            </w:pPr>
          </w:p>
          <w:p w14:paraId="62645755">
            <w:pPr>
              <w:pStyle w:val="28"/>
              <w:snapToGrid w:val="0"/>
              <w:spacing w:beforeLines="0" w:afterLines="0" w:line="240" w:lineRule="auto"/>
              <w:jc w:val="center"/>
              <w:rPr>
                <w:rFonts w:hAnsi="宋体"/>
                <w:b/>
                <w:color w:val="auto"/>
                <w:kern w:val="2"/>
              </w:rPr>
            </w:pPr>
          </w:p>
          <w:p w14:paraId="72854FD2">
            <w:pPr>
              <w:pStyle w:val="28"/>
              <w:snapToGrid w:val="0"/>
              <w:spacing w:beforeLines="0" w:afterLines="0" w:line="240" w:lineRule="auto"/>
              <w:jc w:val="center"/>
              <w:rPr>
                <w:rFonts w:hAnsi="宋体"/>
                <w:b/>
                <w:color w:val="auto"/>
                <w:kern w:val="2"/>
              </w:rPr>
            </w:pPr>
          </w:p>
        </w:tc>
        <w:tc>
          <w:tcPr>
            <w:tcW w:w="5760" w:type="dxa"/>
            <w:vAlign w:val="center"/>
          </w:tcPr>
          <w:p w14:paraId="36AE7B36">
            <w:pPr>
              <w:pStyle w:val="28"/>
              <w:snapToGrid w:val="0"/>
              <w:spacing w:beforeLines="0" w:afterLines="0" w:line="240" w:lineRule="auto"/>
              <w:rPr>
                <w:rFonts w:hAnsi="宋体"/>
                <w:color w:val="auto"/>
                <w:kern w:val="2"/>
              </w:rPr>
            </w:pPr>
          </w:p>
          <w:p w14:paraId="324B5E6B">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28"/>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64A4F4A1">
            <w:pPr>
              <w:pStyle w:val="28"/>
              <w:snapToGrid w:val="0"/>
              <w:spacing w:beforeLines="0" w:afterLines="0" w:line="240" w:lineRule="auto"/>
              <w:rPr>
                <w:rFonts w:hAnsi="宋体"/>
                <w:b/>
                <w:color w:val="auto"/>
                <w:kern w:val="2"/>
              </w:rPr>
            </w:pPr>
          </w:p>
        </w:tc>
        <w:tc>
          <w:tcPr>
            <w:tcW w:w="1620" w:type="dxa"/>
          </w:tcPr>
          <w:p w14:paraId="4E4B189C">
            <w:pPr>
              <w:pStyle w:val="28"/>
              <w:snapToGrid w:val="0"/>
              <w:spacing w:beforeLines="0" w:afterLines="0" w:line="240" w:lineRule="auto"/>
              <w:rPr>
                <w:rFonts w:hAnsi="宋体"/>
                <w:b/>
                <w:color w:val="auto"/>
                <w:kern w:val="2"/>
              </w:rPr>
            </w:pPr>
          </w:p>
        </w:tc>
      </w:tr>
    </w:tbl>
    <w:p w14:paraId="057620E4">
      <w:pPr>
        <w:pStyle w:val="28"/>
        <w:snapToGrid w:val="0"/>
        <w:spacing w:beforeLines="0" w:afterLines="0" w:line="240" w:lineRule="auto"/>
        <w:rPr>
          <w:rFonts w:hAnsi="宋体"/>
          <w:b/>
          <w:color w:val="auto"/>
        </w:rPr>
      </w:pPr>
    </w:p>
    <w:p w14:paraId="3129F90E">
      <w:pPr>
        <w:pStyle w:val="28"/>
        <w:snapToGrid w:val="0"/>
        <w:spacing w:beforeLines="0" w:afterLines="0" w:line="480" w:lineRule="exact"/>
        <w:rPr>
          <w:rFonts w:hAnsi="宋体"/>
          <w:b/>
          <w:color w:val="auto"/>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28"/>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28"/>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28"/>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28"/>
        <w:snapToGrid w:val="0"/>
        <w:spacing w:beforeLines="0" w:afterLines="0" w:line="240" w:lineRule="auto"/>
        <w:rPr>
          <w:rFonts w:hAnsi="宋体"/>
          <w:color w:val="auto"/>
        </w:rPr>
      </w:pPr>
    </w:p>
    <w:p w14:paraId="7B480536">
      <w:pPr>
        <w:pStyle w:val="28"/>
        <w:snapToGrid w:val="0"/>
        <w:spacing w:beforeLines="0" w:afterLines="0" w:line="240" w:lineRule="auto"/>
        <w:rPr>
          <w:rFonts w:hAnsi="宋体"/>
          <w:color w:val="auto"/>
        </w:rPr>
      </w:pPr>
    </w:p>
    <w:p w14:paraId="792BFEB3">
      <w:pPr>
        <w:pStyle w:val="28"/>
        <w:snapToGrid w:val="0"/>
        <w:spacing w:beforeLines="0" w:afterLines="0" w:line="240" w:lineRule="auto"/>
        <w:rPr>
          <w:rFonts w:hAnsi="宋体"/>
          <w:color w:val="auto"/>
        </w:rPr>
      </w:pPr>
    </w:p>
    <w:p w14:paraId="69404860">
      <w:pPr>
        <w:pStyle w:val="28"/>
        <w:snapToGrid w:val="0"/>
        <w:spacing w:beforeLines="0" w:afterLines="0" w:line="240" w:lineRule="auto"/>
        <w:rPr>
          <w:rFonts w:hAnsi="宋体"/>
          <w:color w:val="auto"/>
        </w:rPr>
      </w:pPr>
      <w:r>
        <w:rPr>
          <w:rFonts w:hAnsi="宋体"/>
          <w:color w:val="auto"/>
        </w:rPr>
        <w:br w:type="page"/>
      </w:r>
    </w:p>
    <w:p w14:paraId="6D66E20E">
      <w:pPr>
        <w:pStyle w:val="28"/>
        <w:snapToGrid w:val="0"/>
        <w:spacing w:before="120" w:beforeLines="0" w:after="120" w:afterLines="0"/>
        <w:jc w:val="left"/>
        <w:rPr>
          <w:rFonts w:hAnsi="宋体"/>
          <w:color w:val="auto"/>
        </w:rPr>
      </w:pPr>
      <w:r>
        <w:rPr>
          <w:rFonts w:hint="eastAsia" w:hAnsi="宋体"/>
          <w:color w:val="auto"/>
          <w:lang w:val="en-US" w:eastAsia="zh-CN"/>
        </w:rPr>
        <w:t>17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2D440A5">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2"/>
      </w:rPr>
    </w:pPr>
    <w:r>
      <w:fldChar w:fldCharType="begin"/>
    </w:r>
    <w:r>
      <w:rPr>
        <w:rStyle w:val="52"/>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698F">
                          <w:pPr>
                            <w:pStyle w:val="33"/>
                            <w:rPr>
                              <w:rStyle w:val="52"/>
                            </w:rPr>
                          </w:pPr>
                          <w:r>
                            <w:fldChar w:fldCharType="begin"/>
                          </w:r>
                          <w:r>
                            <w:rPr>
                              <w:rStyle w:val="52"/>
                            </w:rPr>
                            <w:instrText xml:space="preserve">PAGE  </w:instrText>
                          </w:r>
                          <w:r>
                            <w:fldChar w:fldCharType="separate"/>
                          </w:r>
                          <w:r>
                            <w:rPr>
                              <w:rStyle w:val="52"/>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F698F">
                    <w:pPr>
                      <w:pStyle w:val="33"/>
                      <w:rPr>
                        <w:rStyle w:val="52"/>
                      </w:rPr>
                    </w:pPr>
                    <w:r>
                      <w:fldChar w:fldCharType="begin"/>
                    </w:r>
                    <w:r>
                      <w:rPr>
                        <w:rStyle w:val="52"/>
                      </w:rPr>
                      <w:instrText xml:space="preserve">PAGE  </w:instrText>
                    </w:r>
                    <w:r>
                      <w:fldChar w:fldCharType="separate"/>
                    </w:r>
                    <w:r>
                      <w:rPr>
                        <w:rStyle w:val="52"/>
                      </w:rP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NDAwZGI2NjBkZWExODhkMTYwZmVmZjEyZjA0MmI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11E5626B"/>
    <w:rsid w:val="146E360F"/>
    <w:rsid w:val="14D00DDF"/>
    <w:rsid w:val="180644EE"/>
    <w:rsid w:val="1B3111E6"/>
    <w:rsid w:val="1F5E479D"/>
    <w:rsid w:val="23984AF2"/>
    <w:rsid w:val="246615F4"/>
    <w:rsid w:val="27FA0D7D"/>
    <w:rsid w:val="29E96216"/>
    <w:rsid w:val="2A777809"/>
    <w:rsid w:val="2C182496"/>
    <w:rsid w:val="2D3B1518"/>
    <w:rsid w:val="32DE4916"/>
    <w:rsid w:val="358C181A"/>
    <w:rsid w:val="35D55EA5"/>
    <w:rsid w:val="412C533B"/>
    <w:rsid w:val="42540E22"/>
    <w:rsid w:val="42F535F3"/>
    <w:rsid w:val="4568303D"/>
    <w:rsid w:val="4B4C2F64"/>
    <w:rsid w:val="4DAA5EF7"/>
    <w:rsid w:val="52076924"/>
    <w:rsid w:val="5457003B"/>
    <w:rsid w:val="583E6ACE"/>
    <w:rsid w:val="59913C4B"/>
    <w:rsid w:val="625E4788"/>
    <w:rsid w:val="6842639B"/>
    <w:rsid w:val="69AB6951"/>
    <w:rsid w:val="6AFE30DF"/>
    <w:rsid w:val="72892320"/>
    <w:rsid w:val="72B42502"/>
    <w:rsid w:val="75AB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annotation subject"/>
    <w:basedOn w:val="19"/>
    <w:next w:val="19"/>
    <w:link w:val="169"/>
    <w:qFormat/>
    <w:uiPriority w:val="99"/>
    <w:rPr>
      <w:b/>
      <w:bCs/>
    </w:rPr>
  </w:style>
  <w:style w:type="paragraph" w:styleId="47">
    <w:name w:val="Body Text First Indent"/>
    <w:basedOn w:val="21"/>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2"/>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16477</Words>
  <Characters>17514</Characters>
  <Lines>283</Lines>
  <Paragraphs>79</Paragraphs>
  <TotalTime>14</TotalTime>
  <ScaleCrop>false</ScaleCrop>
  <LinksUpToDate>false</LinksUpToDate>
  <CharactersWithSpaces>17640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F.</cp:lastModifiedBy>
  <cp:lastPrinted>2025-01-24T03:05:00Z</cp:lastPrinted>
  <dcterms:modified xsi:type="dcterms:W3CDTF">2025-02-05T02:02:23Z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61B98A65243340E480E5B8BD8ECAC08B_13</vt:lpwstr>
  </property>
  <property fmtid="{D5CDD505-2E9C-101B-9397-08002B2CF9AE}" pid="4" name="KSOTemplateDocerSaveRecord">
    <vt:lpwstr>eyJoZGlkIjoiY2FjNDAwZGI2NjBkZWExODhkMTYwZmVmZjEyZjA0MmIiLCJ1c2VySWQiOiI0MDUzODM3NDEifQ==</vt:lpwstr>
  </property>
</Properties>
</file>